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861DA" w14:textId="77777777" w:rsidR="008755FA" w:rsidRPr="008755FA" w:rsidRDefault="008E14E7" w:rsidP="000359AE">
      <w:pPr>
        <w:jc w:val="right"/>
      </w:pPr>
      <w:bookmarkStart w:id="0" w:name="OLE_LINK58"/>
      <w:bookmarkStart w:id="1" w:name="OLE_LINK65"/>
      <w:bookmarkStart w:id="2" w:name="_GoBack"/>
      <w:bookmarkEnd w:id="2"/>
      <w:r>
        <w:rPr>
          <w:noProof/>
        </w:rPr>
        <w:drawing>
          <wp:anchor distT="0" distB="0" distL="114300" distR="114300" simplePos="0" relativeHeight="251661312" behindDoc="1" locked="0" layoutInCell="1" allowOverlap="1" wp14:anchorId="7F486E01" wp14:editId="7F486E02">
            <wp:simplePos x="0" y="0"/>
            <wp:positionH relativeFrom="column">
              <wp:posOffset>-304800</wp:posOffset>
            </wp:positionH>
            <wp:positionV relativeFrom="paragraph">
              <wp:posOffset>111760</wp:posOffset>
            </wp:positionV>
            <wp:extent cx="3105150" cy="870585"/>
            <wp:effectExtent l="19050" t="0" r="0" b="0"/>
            <wp:wrapTight wrapText="bothSides">
              <wp:wrapPolygon edited="0">
                <wp:start x="-133" y="0"/>
                <wp:lineTo x="-133" y="21269"/>
                <wp:lineTo x="21600" y="21269"/>
                <wp:lineTo x="21600" y="0"/>
                <wp:lineTo x="-133" y="0"/>
              </wp:wrapPolygon>
            </wp:wrapTight>
            <wp:docPr id="11" name="Picture 11" descr="Austr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trlian Government, Department of Education, Employment and Workplace Relations"/>
                    <pic:cNvPicPr>
                      <a:picLocks noChangeAspect="1" noChangeArrowheads="1"/>
                    </pic:cNvPicPr>
                  </pic:nvPicPr>
                  <pic:blipFill>
                    <a:blip r:embed="rId12" cstate="print"/>
                    <a:srcRect/>
                    <a:stretch>
                      <a:fillRect/>
                    </a:stretch>
                  </pic:blipFill>
                  <pic:spPr bwMode="auto">
                    <a:xfrm>
                      <a:off x="0" y="0"/>
                      <a:ext cx="3105150" cy="870585"/>
                    </a:xfrm>
                    <a:prstGeom prst="rect">
                      <a:avLst/>
                    </a:prstGeom>
                    <a:noFill/>
                    <a:ln w="9525">
                      <a:noFill/>
                      <a:miter lim="800000"/>
                      <a:headEnd/>
                      <a:tailEnd/>
                    </a:ln>
                  </pic:spPr>
                </pic:pic>
              </a:graphicData>
            </a:graphic>
          </wp:anchor>
        </w:drawing>
      </w:r>
    </w:p>
    <w:p w14:paraId="7F4861DB" w14:textId="77777777" w:rsidR="008E14E7" w:rsidRPr="00D73287" w:rsidRDefault="008E14E7" w:rsidP="000359AE"/>
    <w:p w14:paraId="7F4861DC" w14:textId="77777777" w:rsidR="008E14E7" w:rsidRPr="00D73287" w:rsidRDefault="008E14E7" w:rsidP="000359AE"/>
    <w:p w14:paraId="7F4861DD" w14:textId="77777777" w:rsidR="008E14E7" w:rsidRDefault="008E14E7">
      <w:pPr>
        <w:spacing w:before="0" w:line="240" w:lineRule="auto"/>
        <w:rPr>
          <w:sz w:val="28"/>
          <w:szCs w:val="28"/>
        </w:rPr>
        <w:sectPr w:rsidR="008E14E7" w:rsidSect="007A79E0">
          <w:footerReference w:type="default" r:id="rId13"/>
          <w:pgSz w:w="11906" w:h="16838" w:code="9"/>
          <w:pgMar w:top="1418" w:right="1418" w:bottom="1134" w:left="1418" w:header="567" w:footer="567" w:gutter="0"/>
          <w:pgNumType w:start="2"/>
          <w:cols w:space="720"/>
          <w:docGrid w:linePitch="326"/>
        </w:sectPr>
      </w:pPr>
    </w:p>
    <w:p w14:paraId="7F4861DE" w14:textId="77777777" w:rsidR="00294BCD" w:rsidRDefault="00294BCD" w:rsidP="008E14E7">
      <w:pPr>
        <w:pStyle w:val="HeaderSmallText"/>
        <w:jc w:val="left"/>
      </w:pPr>
    </w:p>
    <w:p w14:paraId="7F4861DF" w14:textId="77777777" w:rsidR="00294BCD" w:rsidRDefault="00294BCD" w:rsidP="008E14E7">
      <w:pPr>
        <w:pStyle w:val="HeaderSmallText"/>
        <w:jc w:val="left"/>
      </w:pPr>
    </w:p>
    <w:p w14:paraId="7F4861E0" w14:textId="77777777" w:rsidR="00B25EFC" w:rsidRDefault="00B25EFC" w:rsidP="008E14E7">
      <w:pPr>
        <w:pStyle w:val="HeaderSmallText"/>
        <w:jc w:val="left"/>
      </w:pPr>
    </w:p>
    <w:p w14:paraId="7F4861E1" w14:textId="77777777" w:rsidR="008E14E7" w:rsidRPr="002B6785" w:rsidRDefault="008E14E7" w:rsidP="008E14E7">
      <w:pPr>
        <w:pStyle w:val="HeaderSmallText"/>
        <w:jc w:val="left"/>
      </w:pPr>
      <w:r w:rsidRPr="002B6785">
        <w:t>Schools</w:t>
      </w:r>
      <w:r w:rsidRPr="002B6785">
        <w:br/>
        <w:t>Assistance</w:t>
      </w:r>
      <w:r w:rsidRPr="002B6785">
        <w:br/>
        <w:t>Act 2008</w:t>
      </w:r>
    </w:p>
    <w:p w14:paraId="7F4861E2" w14:textId="77777777" w:rsidR="008E14E7" w:rsidRPr="008E14E7" w:rsidRDefault="00B25EFC" w:rsidP="008E14E7">
      <w:pPr>
        <w:pStyle w:val="Header"/>
        <w:tabs>
          <w:tab w:val="clear" w:pos="4153"/>
          <w:tab w:val="clear" w:pos="8306"/>
        </w:tabs>
        <w:spacing w:before="120" w:after="120" w:line="640" w:lineRule="exact"/>
        <w:rPr>
          <w:rFonts w:cs="Calibri"/>
          <w:b/>
          <w:i/>
          <w:color w:val="66B18C"/>
          <w:sz w:val="78"/>
          <w:szCs w:val="78"/>
        </w:rPr>
      </w:pPr>
      <w:r>
        <w:rPr>
          <w:noProof/>
        </w:rPr>
        <w:drawing>
          <wp:anchor distT="0" distB="0" distL="114300" distR="114300" simplePos="0" relativeHeight="251660288" behindDoc="1" locked="0" layoutInCell="1" allowOverlap="1" wp14:anchorId="7F486E03" wp14:editId="7F486E04">
            <wp:simplePos x="0" y="0"/>
            <wp:positionH relativeFrom="column">
              <wp:posOffset>-944686</wp:posOffset>
            </wp:positionH>
            <wp:positionV relativeFrom="paragraph">
              <wp:posOffset>181705</wp:posOffset>
            </wp:positionV>
            <wp:extent cx="7641590" cy="7335520"/>
            <wp:effectExtent l="0" t="0" r="0" b="0"/>
            <wp:wrapNone/>
            <wp:docPr id="2" name="Picture 6" descr="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ver2"/>
                    <pic:cNvPicPr>
                      <a:picLocks noChangeAspect="1" noChangeArrowheads="1"/>
                    </pic:cNvPicPr>
                  </pic:nvPicPr>
                  <pic:blipFill>
                    <a:blip r:embed="rId14" cstate="print"/>
                    <a:srcRect/>
                    <a:stretch>
                      <a:fillRect/>
                    </a:stretch>
                  </pic:blipFill>
                  <pic:spPr bwMode="auto">
                    <a:xfrm>
                      <a:off x="0" y="0"/>
                      <a:ext cx="7641590" cy="7335520"/>
                    </a:xfrm>
                    <a:prstGeom prst="rect">
                      <a:avLst/>
                    </a:prstGeom>
                    <a:noFill/>
                    <a:ln w="9525">
                      <a:noFill/>
                      <a:miter lim="800000"/>
                      <a:headEnd/>
                      <a:tailEnd/>
                    </a:ln>
                  </pic:spPr>
                </pic:pic>
              </a:graphicData>
            </a:graphic>
          </wp:anchor>
        </w:drawing>
      </w:r>
      <w:r w:rsidR="008E14E7" w:rsidRPr="008E14E7">
        <w:rPr>
          <w:rFonts w:cs="Calibri"/>
          <w:b/>
          <w:i/>
          <w:color w:val="66B18C"/>
          <w:sz w:val="78"/>
          <w:szCs w:val="78"/>
        </w:rPr>
        <w:t>Administrative</w:t>
      </w:r>
      <w:r w:rsidR="008E14E7" w:rsidRPr="008E14E7">
        <w:rPr>
          <w:rFonts w:cs="Calibri"/>
          <w:b/>
          <w:i/>
          <w:color w:val="66B18C"/>
          <w:sz w:val="78"/>
          <w:szCs w:val="78"/>
        </w:rPr>
        <w:br/>
        <w:t>Guidelines</w:t>
      </w:r>
    </w:p>
    <w:p w14:paraId="7F4861E3" w14:textId="77777777" w:rsidR="008E14E7" w:rsidRDefault="008E14E7" w:rsidP="008E14E7">
      <w:pPr>
        <w:pStyle w:val="Subtitle"/>
        <w:jc w:val="left"/>
      </w:pPr>
      <w:r w:rsidRPr="00674E63">
        <w:t>COMMONWEALTH</w:t>
      </w:r>
      <w:r w:rsidRPr="00674E63">
        <w:br/>
        <w:t>PROGRAMS FOR</w:t>
      </w:r>
      <w:r w:rsidRPr="00674E63">
        <w:br/>
        <w:t>NON-GOVERNMENT</w:t>
      </w:r>
      <w:r w:rsidRPr="00674E63">
        <w:br/>
        <w:t xml:space="preserve">SCHOOLS </w:t>
      </w:r>
      <w:r w:rsidR="00D73287">
        <w:t>2009 to 2013/</w:t>
      </w:r>
      <w:r w:rsidR="000359AE">
        <w:t>20</w:t>
      </w:r>
      <w:r w:rsidR="00D73287">
        <w:t>14</w:t>
      </w:r>
    </w:p>
    <w:p w14:paraId="7F4861E4" w14:textId="77777777" w:rsidR="00D73287" w:rsidRDefault="00D73287" w:rsidP="000359AE"/>
    <w:p w14:paraId="7F4861E5" w14:textId="77777777" w:rsidR="00D73287" w:rsidRDefault="00D73287" w:rsidP="000359AE"/>
    <w:p w14:paraId="7F4861E6" w14:textId="77777777" w:rsidR="00D73287" w:rsidRDefault="00D73287" w:rsidP="000359AE"/>
    <w:p w14:paraId="7F4861E7" w14:textId="77777777" w:rsidR="00D73287" w:rsidRDefault="00D73287" w:rsidP="000359AE"/>
    <w:p w14:paraId="7F4861E8" w14:textId="77777777" w:rsidR="00D73287" w:rsidRDefault="00D73287" w:rsidP="000359AE"/>
    <w:p w14:paraId="7F4861E9" w14:textId="77777777" w:rsidR="00D73287" w:rsidRDefault="00D73287" w:rsidP="000359AE"/>
    <w:p w14:paraId="7F4861EA" w14:textId="77777777" w:rsidR="00D73287" w:rsidRDefault="00D73287" w:rsidP="000359AE"/>
    <w:p w14:paraId="7F4861EB" w14:textId="77777777" w:rsidR="00D73287" w:rsidRDefault="00D73287" w:rsidP="000359AE"/>
    <w:p w14:paraId="7F4861EC" w14:textId="77777777" w:rsidR="00D73287" w:rsidRDefault="00D73287" w:rsidP="000359AE"/>
    <w:p w14:paraId="7F4861ED" w14:textId="77777777" w:rsidR="00D73287" w:rsidRDefault="00D73287" w:rsidP="000359AE"/>
    <w:p w14:paraId="7F4861EE" w14:textId="77777777" w:rsidR="00D73287" w:rsidRDefault="00D73287" w:rsidP="000359AE"/>
    <w:p w14:paraId="7F4861EF" w14:textId="77777777" w:rsidR="00D73287" w:rsidRDefault="00D73287" w:rsidP="000359AE"/>
    <w:p w14:paraId="7F4861F0" w14:textId="77777777" w:rsidR="00D73287" w:rsidRPr="00294BCD" w:rsidRDefault="00D73287" w:rsidP="000359AE">
      <w:r w:rsidRPr="000359AE">
        <w:rPr>
          <w:i/>
        </w:rPr>
        <w:t>2013 Update</w:t>
      </w:r>
    </w:p>
    <w:p w14:paraId="7F4861F1" w14:textId="77777777" w:rsidR="008E14E7" w:rsidRDefault="008E14E7">
      <w:pPr>
        <w:spacing w:before="0" w:line="240" w:lineRule="auto"/>
        <w:rPr>
          <w:sz w:val="28"/>
          <w:szCs w:val="28"/>
        </w:rPr>
      </w:pPr>
    </w:p>
    <w:p w14:paraId="7F4861F2" w14:textId="77777777" w:rsidR="008E14E7" w:rsidRDefault="008E14E7">
      <w:pPr>
        <w:spacing w:before="0" w:line="240" w:lineRule="auto"/>
        <w:rPr>
          <w:sz w:val="28"/>
          <w:szCs w:val="28"/>
        </w:rPr>
      </w:pPr>
      <w:r>
        <w:rPr>
          <w:sz w:val="28"/>
          <w:szCs w:val="28"/>
        </w:rPr>
        <w:br w:type="page"/>
      </w:r>
    </w:p>
    <w:p w14:paraId="7F4861F3" w14:textId="77777777" w:rsidR="008E14E7" w:rsidRDefault="008E14E7" w:rsidP="004219BA">
      <w:pPr>
        <w:jc w:val="center"/>
        <w:rPr>
          <w:sz w:val="28"/>
          <w:szCs w:val="28"/>
        </w:rPr>
        <w:sectPr w:rsidR="008E14E7" w:rsidSect="008E14E7">
          <w:type w:val="continuous"/>
          <w:pgSz w:w="11906" w:h="16838" w:code="9"/>
          <w:pgMar w:top="1418" w:right="1418" w:bottom="1134" w:left="1418" w:header="567" w:footer="567" w:gutter="0"/>
          <w:pgNumType w:start="2"/>
          <w:cols w:space="720"/>
          <w:docGrid w:linePitch="326"/>
        </w:sectPr>
      </w:pPr>
    </w:p>
    <w:p w14:paraId="7F4861F4" w14:textId="77777777" w:rsidR="004219BA" w:rsidRDefault="004219BA" w:rsidP="004219BA">
      <w:pPr>
        <w:jc w:val="center"/>
        <w:rPr>
          <w:sz w:val="28"/>
          <w:szCs w:val="28"/>
        </w:rPr>
      </w:pPr>
      <w:r w:rsidRPr="00697B99">
        <w:rPr>
          <w:sz w:val="28"/>
          <w:szCs w:val="28"/>
        </w:rPr>
        <w:lastRenderedPageBreak/>
        <w:t>Summary of key changes made to the 201</w:t>
      </w:r>
      <w:r w:rsidR="006B02FA">
        <w:rPr>
          <w:sz w:val="28"/>
          <w:szCs w:val="28"/>
        </w:rPr>
        <w:t>3</w:t>
      </w:r>
      <w:r w:rsidRPr="00697B99">
        <w:rPr>
          <w:sz w:val="28"/>
          <w:szCs w:val="28"/>
        </w:rPr>
        <w:t xml:space="preserve"> Update of the </w:t>
      </w:r>
      <w:r w:rsidRPr="00697B99">
        <w:rPr>
          <w:sz w:val="28"/>
          <w:szCs w:val="28"/>
        </w:rPr>
        <w:br/>
      </w:r>
      <w:r>
        <w:rPr>
          <w:sz w:val="28"/>
          <w:szCs w:val="28"/>
        </w:rPr>
        <w:t>Administrative Guidelines</w:t>
      </w:r>
    </w:p>
    <w:p w14:paraId="7F4861F5" w14:textId="77777777" w:rsidR="004219BA" w:rsidRDefault="004219BA" w:rsidP="004219BA">
      <w:pPr>
        <w:jc w:val="center"/>
        <w:rPr>
          <w:sz w:val="28"/>
          <w:szCs w:val="28"/>
        </w:rPr>
      </w:pPr>
    </w:p>
    <w:tbl>
      <w:tblPr>
        <w:tblW w:w="5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0"/>
        <w:gridCol w:w="2268"/>
        <w:gridCol w:w="2693"/>
        <w:gridCol w:w="2729"/>
      </w:tblGrid>
      <w:tr w:rsidR="004219BA" w:rsidRPr="00166909" w14:paraId="7F4861FC" w14:textId="77777777" w:rsidTr="00250414">
        <w:trPr>
          <w:cantSplit/>
          <w:tblHeader/>
          <w:jc w:val="center"/>
        </w:trPr>
        <w:tc>
          <w:tcPr>
            <w:tcW w:w="1545" w:type="pct"/>
            <w:shd w:val="clear" w:color="auto" w:fill="A6A6A6"/>
          </w:tcPr>
          <w:p w14:paraId="7F4861F6" w14:textId="77777777" w:rsidR="004219BA" w:rsidRPr="00166909" w:rsidRDefault="004219BA" w:rsidP="00D014E4">
            <w:pPr>
              <w:spacing w:before="60" w:after="60"/>
              <w:rPr>
                <w:b/>
                <w:szCs w:val="22"/>
              </w:rPr>
            </w:pPr>
            <w:r w:rsidRPr="00166909">
              <w:rPr>
                <w:b/>
                <w:szCs w:val="22"/>
              </w:rPr>
              <w:t>SECTION HEADING</w:t>
            </w:r>
          </w:p>
        </w:tc>
        <w:tc>
          <w:tcPr>
            <w:tcW w:w="1019" w:type="pct"/>
            <w:shd w:val="clear" w:color="auto" w:fill="A6A6A6"/>
          </w:tcPr>
          <w:p w14:paraId="7F4861F7" w14:textId="77777777" w:rsidR="004219BA" w:rsidRPr="00166909" w:rsidRDefault="004219BA" w:rsidP="00D014E4">
            <w:pPr>
              <w:spacing w:before="60" w:after="60"/>
              <w:rPr>
                <w:b/>
                <w:szCs w:val="22"/>
              </w:rPr>
            </w:pPr>
            <w:r w:rsidRPr="00166909">
              <w:rPr>
                <w:b/>
                <w:szCs w:val="22"/>
              </w:rPr>
              <w:t>CHANGES</w:t>
            </w:r>
          </w:p>
        </w:tc>
        <w:tc>
          <w:tcPr>
            <w:tcW w:w="1210" w:type="pct"/>
            <w:shd w:val="clear" w:color="auto" w:fill="A6A6A6"/>
          </w:tcPr>
          <w:p w14:paraId="7F4861F8" w14:textId="77777777" w:rsidR="004219BA" w:rsidRPr="00166909" w:rsidRDefault="004219BA" w:rsidP="00D014E4">
            <w:pPr>
              <w:spacing w:before="60" w:after="60"/>
              <w:rPr>
                <w:b/>
                <w:szCs w:val="22"/>
              </w:rPr>
            </w:pPr>
            <w:r w:rsidRPr="00166909">
              <w:rPr>
                <w:b/>
                <w:szCs w:val="22"/>
              </w:rPr>
              <w:t>PARAGRAPH NO.</w:t>
            </w:r>
          </w:p>
          <w:p w14:paraId="7F4861F9" w14:textId="77777777" w:rsidR="004219BA" w:rsidRPr="00166909" w:rsidRDefault="004219BA" w:rsidP="006B02FA">
            <w:pPr>
              <w:spacing w:before="60" w:after="60"/>
              <w:rPr>
                <w:b/>
                <w:szCs w:val="22"/>
              </w:rPr>
            </w:pPr>
            <w:r w:rsidRPr="00166909">
              <w:rPr>
                <w:b/>
                <w:szCs w:val="22"/>
              </w:rPr>
              <w:t>201</w:t>
            </w:r>
            <w:r w:rsidR="006B02FA">
              <w:rPr>
                <w:b/>
                <w:szCs w:val="22"/>
              </w:rPr>
              <w:t>3</w:t>
            </w:r>
            <w:r>
              <w:rPr>
                <w:b/>
                <w:szCs w:val="22"/>
              </w:rPr>
              <w:t xml:space="preserve"> Update</w:t>
            </w:r>
          </w:p>
        </w:tc>
        <w:tc>
          <w:tcPr>
            <w:tcW w:w="1226" w:type="pct"/>
            <w:shd w:val="clear" w:color="auto" w:fill="A6A6A6"/>
          </w:tcPr>
          <w:p w14:paraId="7F4861FA" w14:textId="77777777" w:rsidR="004219BA" w:rsidRPr="00166909" w:rsidRDefault="004219BA" w:rsidP="00D014E4">
            <w:pPr>
              <w:spacing w:before="60" w:after="60"/>
              <w:rPr>
                <w:b/>
                <w:color w:val="0000FF"/>
                <w:szCs w:val="22"/>
              </w:rPr>
            </w:pPr>
            <w:r w:rsidRPr="00166909">
              <w:rPr>
                <w:b/>
                <w:color w:val="0000FF"/>
                <w:szCs w:val="22"/>
              </w:rPr>
              <w:t>PARAGRAPH NO.</w:t>
            </w:r>
          </w:p>
          <w:p w14:paraId="7F4861FB" w14:textId="77777777" w:rsidR="004219BA" w:rsidRPr="00166909" w:rsidRDefault="004219BA" w:rsidP="001D631D">
            <w:pPr>
              <w:spacing w:before="60" w:after="60"/>
              <w:rPr>
                <w:b/>
                <w:color w:val="0000FF"/>
                <w:szCs w:val="22"/>
              </w:rPr>
            </w:pPr>
            <w:r w:rsidRPr="00166909">
              <w:rPr>
                <w:b/>
                <w:color w:val="0000FF"/>
                <w:szCs w:val="22"/>
              </w:rPr>
              <w:t>201</w:t>
            </w:r>
            <w:r w:rsidR="001D631D">
              <w:rPr>
                <w:b/>
                <w:color w:val="0000FF"/>
                <w:szCs w:val="22"/>
              </w:rPr>
              <w:t>2</w:t>
            </w:r>
            <w:r>
              <w:rPr>
                <w:b/>
                <w:color w:val="0000FF"/>
                <w:szCs w:val="22"/>
              </w:rPr>
              <w:t xml:space="preserve"> Update</w:t>
            </w:r>
          </w:p>
        </w:tc>
      </w:tr>
      <w:tr w:rsidR="004219BA" w14:paraId="7F486201" w14:textId="77777777" w:rsidTr="00250414">
        <w:trPr>
          <w:cantSplit/>
          <w:jc w:val="center"/>
        </w:trPr>
        <w:tc>
          <w:tcPr>
            <w:tcW w:w="1545" w:type="pct"/>
          </w:tcPr>
          <w:p w14:paraId="7F4861FD" w14:textId="77777777" w:rsidR="004219BA" w:rsidRPr="00B0270B" w:rsidRDefault="006A6C42" w:rsidP="00D014E4">
            <w:pPr>
              <w:spacing w:before="60" w:after="60"/>
            </w:pPr>
            <w:r>
              <w:t>Part 1: Introduction</w:t>
            </w:r>
          </w:p>
        </w:tc>
        <w:tc>
          <w:tcPr>
            <w:tcW w:w="1019" w:type="pct"/>
          </w:tcPr>
          <w:p w14:paraId="7F4861FE" w14:textId="77777777" w:rsidR="004219BA" w:rsidRDefault="006A6C42" w:rsidP="00D014E4">
            <w:pPr>
              <w:spacing w:before="60" w:after="60"/>
            </w:pPr>
            <w:r>
              <w:t>Updated</w:t>
            </w:r>
          </w:p>
        </w:tc>
        <w:tc>
          <w:tcPr>
            <w:tcW w:w="1210" w:type="pct"/>
          </w:tcPr>
          <w:p w14:paraId="7F4861FF" w14:textId="77777777" w:rsidR="004219BA" w:rsidRDefault="006A6C42" w:rsidP="00D014E4">
            <w:pPr>
              <w:spacing w:before="60" w:after="60"/>
            </w:pPr>
            <w:r>
              <w:t xml:space="preserve">8, </w:t>
            </w:r>
            <w:r w:rsidR="002D75F0">
              <w:t>9,</w:t>
            </w:r>
            <w:r w:rsidR="00DD4911">
              <w:t xml:space="preserve"> 11,</w:t>
            </w:r>
            <w:r w:rsidR="002D75F0">
              <w:t xml:space="preserve"> </w:t>
            </w:r>
            <w:r>
              <w:t>18, 20</w:t>
            </w:r>
            <w:r w:rsidR="004135D5">
              <w:t xml:space="preserve">, </w:t>
            </w:r>
            <w:r w:rsidR="00DD4911">
              <w:t xml:space="preserve">24, </w:t>
            </w:r>
            <w:r w:rsidR="004135D5">
              <w:t>25</w:t>
            </w:r>
            <w:r w:rsidR="00E44327">
              <w:t>, 27, 33, 34, 46, 47, 48</w:t>
            </w:r>
            <w:r w:rsidR="008956E8">
              <w:t>, 49</w:t>
            </w:r>
            <w:r w:rsidR="002D75F0">
              <w:t>, 50</w:t>
            </w:r>
          </w:p>
        </w:tc>
        <w:tc>
          <w:tcPr>
            <w:tcW w:w="1226" w:type="pct"/>
          </w:tcPr>
          <w:p w14:paraId="7F486200" w14:textId="77777777" w:rsidR="004219BA" w:rsidRPr="00166909" w:rsidRDefault="006A6C42" w:rsidP="002D75F0">
            <w:pPr>
              <w:spacing w:before="60" w:after="60"/>
              <w:rPr>
                <w:color w:val="0000FF"/>
              </w:rPr>
            </w:pPr>
            <w:r>
              <w:rPr>
                <w:color w:val="0000FF"/>
              </w:rPr>
              <w:t xml:space="preserve">8, </w:t>
            </w:r>
            <w:r w:rsidR="002D75F0">
              <w:rPr>
                <w:color w:val="0000FF"/>
              </w:rPr>
              <w:t xml:space="preserve">9, </w:t>
            </w:r>
            <w:r w:rsidR="00DD4911">
              <w:rPr>
                <w:color w:val="0000FF"/>
              </w:rPr>
              <w:t xml:space="preserve">11, </w:t>
            </w:r>
            <w:r>
              <w:rPr>
                <w:color w:val="0000FF"/>
              </w:rPr>
              <w:t>18, 20</w:t>
            </w:r>
            <w:r w:rsidR="004135D5">
              <w:rPr>
                <w:color w:val="0000FF"/>
              </w:rPr>
              <w:t xml:space="preserve">, </w:t>
            </w:r>
            <w:r w:rsidR="00DD4911">
              <w:rPr>
                <w:color w:val="0000FF"/>
              </w:rPr>
              <w:t xml:space="preserve">24, </w:t>
            </w:r>
            <w:r w:rsidR="004135D5">
              <w:rPr>
                <w:color w:val="0000FF"/>
              </w:rPr>
              <w:t>25</w:t>
            </w:r>
            <w:r w:rsidR="00E44327">
              <w:rPr>
                <w:color w:val="0000FF"/>
              </w:rPr>
              <w:t>, 27, 33, 34, 46, 47, 48</w:t>
            </w:r>
            <w:r w:rsidR="00EB3F7C">
              <w:rPr>
                <w:color w:val="0000FF"/>
              </w:rPr>
              <w:t xml:space="preserve"> </w:t>
            </w:r>
          </w:p>
        </w:tc>
      </w:tr>
      <w:tr w:rsidR="004219BA" w14:paraId="7F486206" w14:textId="77777777" w:rsidTr="00250414">
        <w:trPr>
          <w:cantSplit/>
          <w:jc w:val="center"/>
        </w:trPr>
        <w:tc>
          <w:tcPr>
            <w:tcW w:w="1545" w:type="pct"/>
          </w:tcPr>
          <w:p w14:paraId="7F486202" w14:textId="77777777" w:rsidR="004219BA" w:rsidRPr="00B0270B" w:rsidRDefault="004219BA" w:rsidP="00D014E4">
            <w:pPr>
              <w:spacing w:before="60" w:after="60"/>
            </w:pPr>
          </w:p>
        </w:tc>
        <w:tc>
          <w:tcPr>
            <w:tcW w:w="1019" w:type="pct"/>
          </w:tcPr>
          <w:p w14:paraId="7F486203" w14:textId="77777777" w:rsidR="004219BA" w:rsidRDefault="006A6C42" w:rsidP="00D014E4">
            <w:pPr>
              <w:spacing w:before="60" w:after="60"/>
            </w:pPr>
            <w:r>
              <w:t>New information</w:t>
            </w:r>
          </w:p>
        </w:tc>
        <w:tc>
          <w:tcPr>
            <w:tcW w:w="1210" w:type="pct"/>
          </w:tcPr>
          <w:p w14:paraId="7F486204" w14:textId="77777777" w:rsidR="004219BA" w:rsidRDefault="008956E8" w:rsidP="00D014E4">
            <w:pPr>
              <w:spacing w:before="60" w:after="60"/>
            </w:pPr>
            <w:r>
              <w:t>49</w:t>
            </w:r>
          </w:p>
        </w:tc>
        <w:tc>
          <w:tcPr>
            <w:tcW w:w="1226" w:type="pct"/>
          </w:tcPr>
          <w:p w14:paraId="7F486205" w14:textId="77777777" w:rsidR="004219BA" w:rsidRPr="00166909" w:rsidRDefault="004219BA" w:rsidP="00D014E4">
            <w:pPr>
              <w:spacing w:before="60" w:after="60"/>
              <w:rPr>
                <w:color w:val="0000FF"/>
              </w:rPr>
            </w:pPr>
          </w:p>
        </w:tc>
      </w:tr>
      <w:tr w:rsidR="002D75F0" w14:paraId="7F48620B" w14:textId="77777777" w:rsidTr="00250414">
        <w:trPr>
          <w:cantSplit/>
          <w:jc w:val="center"/>
        </w:trPr>
        <w:tc>
          <w:tcPr>
            <w:tcW w:w="1545" w:type="pct"/>
          </w:tcPr>
          <w:p w14:paraId="7F486207" w14:textId="77777777" w:rsidR="002D75F0" w:rsidRDefault="002D75F0" w:rsidP="00D014E4">
            <w:pPr>
              <w:spacing w:before="60" w:after="60"/>
            </w:pPr>
          </w:p>
        </w:tc>
        <w:tc>
          <w:tcPr>
            <w:tcW w:w="1019" w:type="pct"/>
          </w:tcPr>
          <w:p w14:paraId="7F486208" w14:textId="77777777" w:rsidR="002D75F0" w:rsidRDefault="002D75F0" w:rsidP="00D014E4">
            <w:pPr>
              <w:spacing w:before="60" w:after="60"/>
            </w:pPr>
            <w:r>
              <w:t>Removed</w:t>
            </w:r>
          </w:p>
        </w:tc>
        <w:tc>
          <w:tcPr>
            <w:tcW w:w="1210" w:type="pct"/>
          </w:tcPr>
          <w:p w14:paraId="7F486209" w14:textId="77777777" w:rsidR="002D75F0" w:rsidRDefault="002D75F0" w:rsidP="001E12C6">
            <w:pPr>
              <w:spacing w:before="60" w:after="60"/>
            </w:pPr>
          </w:p>
        </w:tc>
        <w:tc>
          <w:tcPr>
            <w:tcW w:w="1226" w:type="pct"/>
          </w:tcPr>
          <w:p w14:paraId="7F48620A" w14:textId="77777777" w:rsidR="002D75F0" w:rsidRDefault="002D75F0" w:rsidP="002D75F0">
            <w:pPr>
              <w:spacing w:before="60" w:after="60"/>
              <w:rPr>
                <w:color w:val="0000FF"/>
              </w:rPr>
            </w:pPr>
            <w:r>
              <w:rPr>
                <w:color w:val="0000FF"/>
              </w:rPr>
              <w:t>49</w:t>
            </w:r>
          </w:p>
        </w:tc>
      </w:tr>
      <w:tr w:rsidR="004219BA" w14:paraId="7F486210" w14:textId="77777777" w:rsidTr="00250414">
        <w:trPr>
          <w:cantSplit/>
          <w:jc w:val="center"/>
        </w:trPr>
        <w:tc>
          <w:tcPr>
            <w:tcW w:w="1545" w:type="pct"/>
          </w:tcPr>
          <w:p w14:paraId="7F48620C" w14:textId="77777777" w:rsidR="004219BA" w:rsidRPr="00B0270B" w:rsidRDefault="008956E8" w:rsidP="00D014E4">
            <w:pPr>
              <w:spacing w:before="60" w:after="60"/>
            </w:pPr>
            <w:r>
              <w:t>Part 2: Grants for Recurrent Expenditure</w:t>
            </w:r>
          </w:p>
        </w:tc>
        <w:tc>
          <w:tcPr>
            <w:tcW w:w="1019" w:type="pct"/>
          </w:tcPr>
          <w:p w14:paraId="7F48620D" w14:textId="77777777" w:rsidR="004219BA" w:rsidRDefault="008956E8" w:rsidP="00D014E4">
            <w:pPr>
              <w:spacing w:before="60" w:after="60"/>
            </w:pPr>
            <w:r>
              <w:t>Updated</w:t>
            </w:r>
          </w:p>
        </w:tc>
        <w:tc>
          <w:tcPr>
            <w:tcW w:w="1210" w:type="pct"/>
          </w:tcPr>
          <w:p w14:paraId="7F48620E" w14:textId="77777777" w:rsidR="004219BA" w:rsidRDefault="00FA4808" w:rsidP="00250F19">
            <w:pPr>
              <w:spacing w:before="60" w:after="60"/>
            </w:pPr>
            <w:r>
              <w:t xml:space="preserve">77, 79, </w:t>
            </w:r>
            <w:r w:rsidR="00250F19">
              <w:t>81</w:t>
            </w:r>
            <w:r>
              <w:t xml:space="preserve">, 83, 85, 87, </w:t>
            </w:r>
            <w:r w:rsidR="008956E8">
              <w:t>95</w:t>
            </w:r>
            <w:r w:rsidR="002D75F0">
              <w:t>a</w:t>
            </w:r>
            <w:r w:rsidR="008956E8">
              <w:t>, 98, 100, 10</w:t>
            </w:r>
            <w:r w:rsidR="00A739C6">
              <w:t>3</w:t>
            </w:r>
            <w:r w:rsidR="008956E8">
              <w:t>, 108</w:t>
            </w:r>
            <w:r w:rsidR="00250F19">
              <w:t xml:space="preserve">, </w:t>
            </w:r>
            <w:r w:rsidR="008956E8">
              <w:t>109</w:t>
            </w:r>
            <w:r w:rsidR="00745BE7">
              <w:t>, 126</w:t>
            </w:r>
            <w:r w:rsidR="00B04F69">
              <w:t>-</w:t>
            </w:r>
            <w:r w:rsidR="001E12C6">
              <w:t>127, 129</w:t>
            </w:r>
            <w:r w:rsidR="00B04F69">
              <w:t>-</w:t>
            </w:r>
            <w:r w:rsidR="00745BE7">
              <w:t>130</w:t>
            </w:r>
            <w:r w:rsidR="00B04F69">
              <w:t>, 134</w:t>
            </w:r>
            <w:r w:rsidR="00A61895">
              <w:t>h</w:t>
            </w:r>
            <w:r w:rsidR="00745BE7">
              <w:t xml:space="preserve"> </w:t>
            </w:r>
          </w:p>
        </w:tc>
        <w:tc>
          <w:tcPr>
            <w:tcW w:w="1226" w:type="pct"/>
          </w:tcPr>
          <w:p w14:paraId="7F48620F" w14:textId="77777777" w:rsidR="004219BA" w:rsidRDefault="00FA4808" w:rsidP="00A61895">
            <w:pPr>
              <w:spacing w:before="60" w:after="60"/>
              <w:rPr>
                <w:color w:val="0000FF"/>
              </w:rPr>
            </w:pPr>
            <w:r>
              <w:rPr>
                <w:color w:val="0000FF"/>
              </w:rPr>
              <w:t xml:space="preserve">76, 78, 80, 82, 84, 86, </w:t>
            </w:r>
            <w:r w:rsidR="008956E8">
              <w:rPr>
                <w:color w:val="0000FF"/>
              </w:rPr>
              <w:t>94</w:t>
            </w:r>
            <w:r w:rsidR="002D75F0">
              <w:rPr>
                <w:color w:val="0000FF"/>
              </w:rPr>
              <w:t>a</w:t>
            </w:r>
            <w:r w:rsidR="008956E8">
              <w:rPr>
                <w:color w:val="0000FF"/>
              </w:rPr>
              <w:t>, 97, 99, 10</w:t>
            </w:r>
            <w:r w:rsidR="00250F19">
              <w:rPr>
                <w:color w:val="0000FF"/>
              </w:rPr>
              <w:t>3</w:t>
            </w:r>
            <w:r>
              <w:rPr>
                <w:color w:val="0000FF"/>
              </w:rPr>
              <w:t>, 106</w:t>
            </w:r>
            <w:r w:rsidR="00250F19">
              <w:rPr>
                <w:color w:val="0000FF"/>
              </w:rPr>
              <w:t xml:space="preserve">, </w:t>
            </w:r>
            <w:r>
              <w:rPr>
                <w:color w:val="0000FF"/>
              </w:rPr>
              <w:t>107</w:t>
            </w:r>
            <w:r w:rsidR="00745BE7">
              <w:rPr>
                <w:color w:val="0000FF"/>
              </w:rPr>
              <w:t>, 12</w:t>
            </w:r>
            <w:r w:rsidR="00B04F69">
              <w:rPr>
                <w:color w:val="0000FF"/>
              </w:rPr>
              <w:t>4</w:t>
            </w:r>
            <w:r w:rsidR="001E12C6">
              <w:rPr>
                <w:color w:val="0000FF"/>
              </w:rPr>
              <w:t>12</w:t>
            </w:r>
            <w:r w:rsidR="00B04F69">
              <w:rPr>
                <w:color w:val="0000FF"/>
              </w:rPr>
              <w:t>5</w:t>
            </w:r>
            <w:r w:rsidR="001E12C6">
              <w:rPr>
                <w:color w:val="0000FF"/>
              </w:rPr>
              <w:t>, 12</w:t>
            </w:r>
            <w:r w:rsidR="00B04F69">
              <w:rPr>
                <w:color w:val="0000FF"/>
              </w:rPr>
              <w:t>7</w:t>
            </w:r>
            <w:r w:rsidR="001E12C6">
              <w:rPr>
                <w:color w:val="0000FF"/>
              </w:rPr>
              <w:t xml:space="preserve">, </w:t>
            </w:r>
            <w:r w:rsidR="00745BE7">
              <w:rPr>
                <w:color w:val="0000FF"/>
              </w:rPr>
              <w:t>12</w:t>
            </w:r>
            <w:r w:rsidR="00B04F69">
              <w:rPr>
                <w:color w:val="0000FF"/>
              </w:rPr>
              <w:t>7</w:t>
            </w:r>
            <w:r w:rsidR="00A61895">
              <w:rPr>
                <w:color w:val="0000FF"/>
              </w:rPr>
              <w:t xml:space="preserve">, </w:t>
            </w:r>
            <w:r w:rsidR="00B04F69">
              <w:rPr>
                <w:color w:val="0000FF"/>
              </w:rPr>
              <w:t>128, 132</w:t>
            </w:r>
            <w:r w:rsidR="00A61895">
              <w:rPr>
                <w:color w:val="0000FF"/>
              </w:rPr>
              <w:t>h</w:t>
            </w:r>
            <w:r w:rsidR="00745BE7">
              <w:rPr>
                <w:color w:val="0000FF"/>
              </w:rPr>
              <w:t xml:space="preserve"> </w:t>
            </w:r>
          </w:p>
        </w:tc>
      </w:tr>
      <w:tr w:rsidR="004219BA" w14:paraId="7F486215" w14:textId="77777777" w:rsidTr="00250414">
        <w:trPr>
          <w:cantSplit/>
          <w:jc w:val="center"/>
        </w:trPr>
        <w:tc>
          <w:tcPr>
            <w:tcW w:w="1545" w:type="pct"/>
          </w:tcPr>
          <w:p w14:paraId="7F486211" w14:textId="77777777" w:rsidR="004219BA" w:rsidRPr="00B0270B" w:rsidRDefault="00745BE7" w:rsidP="00D014E4">
            <w:pPr>
              <w:spacing w:before="60" w:after="60"/>
            </w:pPr>
            <w:r>
              <w:t>Part 3: Grants for Capital Expenditure</w:t>
            </w:r>
          </w:p>
        </w:tc>
        <w:tc>
          <w:tcPr>
            <w:tcW w:w="1019" w:type="pct"/>
          </w:tcPr>
          <w:p w14:paraId="7F486212" w14:textId="77777777" w:rsidR="004219BA" w:rsidRDefault="00745BE7" w:rsidP="00D014E4">
            <w:pPr>
              <w:spacing w:before="60" w:after="60"/>
            </w:pPr>
            <w:r>
              <w:t>Updated</w:t>
            </w:r>
          </w:p>
        </w:tc>
        <w:tc>
          <w:tcPr>
            <w:tcW w:w="1210" w:type="pct"/>
          </w:tcPr>
          <w:p w14:paraId="7F486213" w14:textId="77777777" w:rsidR="004219BA" w:rsidRDefault="00A61895" w:rsidP="002D75F0">
            <w:pPr>
              <w:spacing w:before="60" w:after="60"/>
            </w:pPr>
            <w:r>
              <w:t xml:space="preserve">154c, 154h, 154k, 156 </w:t>
            </w:r>
            <w:r w:rsidR="00745BE7">
              <w:t>15</w:t>
            </w:r>
            <w:r w:rsidR="001E12C6">
              <w:t>8</w:t>
            </w:r>
            <w:r w:rsidR="00745BE7">
              <w:t>, 163</w:t>
            </w:r>
            <w:r w:rsidR="002D75F0">
              <w:t xml:space="preserve"> Table 3.1, </w:t>
            </w:r>
            <w:r w:rsidR="00745BE7">
              <w:t>164, 176</w:t>
            </w:r>
            <w:r>
              <w:t>b(iv)</w:t>
            </w:r>
            <w:r w:rsidR="00745BE7">
              <w:t>, 183</w:t>
            </w:r>
          </w:p>
        </w:tc>
        <w:tc>
          <w:tcPr>
            <w:tcW w:w="1226" w:type="pct"/>
          </w:tcPr>
          <w:p w14:paraId="7F486214" w14:textId="77777777" w:rsidR="004219BA" w:rsidRPr="00166909" w:rsidRDefault="00A61895" w:rsidP="00B04F69">
            <w:pPr>
              <w:spacing w:before="60" w:after="60"/>
              <w:rPr>
                <w:color w:val="0000FF"/>
              </w:rPr>
            </w:pPr>
            <w:r>
              <w:rPr>
                <w:color w:val="0000FF"/>
              </w:rPr>
              <w:t xml:space="preserve">152c, 152h, 152k, 154, </w:t>
            </w:r>
            <w:r w:rsidR="00745BE7">
              <w:rPr>
                <w:color w:val="0000FF"/>
              </w:rPr>
              <w:t>15</w:t>
            </w:r>
            <w:r w:rsidR="00B04F69">
              <w:rPr>
                <w:color w:val="0000FF"/>
              </w:rPr>
              <w:t>6</w:t>
            </w:r>
            <w:r w:rsidR="00745BE7">
              <w:rPr>
                <w:color w:val="0000FF"/>
              </w:rPr>
              <w:t>, 162</w:t>
            </w:r>
            <w:r w:rsidR="002D75F0">
              <w:rPr>
                <w:color w:val="0000FF"/>
              </w:rPr>
              <w:t xml:space="preserve"> Table 3.1, </w:t>
            </w:r>
            <w:r w:rsidR="00745BE7">
              <w:rPr>
                <w:color w:val="0000FF"/>
              </w:rPr>
              <w:t>16</w:t>
            </w:r>
            <w:r w:rsidR="00B04F69">
              <w:rPr>
                <w:color w:val="0000FF"/>
              </w:rPr>
              <w:t>2, 174</w:t>
            </w:r>
            <w:r>
              <w:t xml:space="preserve"> b(iv)</w:t>
            </w:r>
            <w:r w:rsidR="00745BE7">
              <w:rPr>
                <w:color w:val="0000FF"/>
              </w:rPr>
              <w:t>, 18</w:t>
            </w:r>
            <w:r w:rsidR="00B04F69">
              <w:rPr>
                <w:color w:val="0000FF"/>
              </w:rPr>
              <w:t>1</w:t>
            </w:r>
          </w:p>
        </w:tc>
      </w:tr>
      <w:tr w:rsidR="004219BA" w14:paraId="7F48621A" w14:textId="77777777" w:rsidTr="00250414">
        <w:trPr>
          <w:cantSplit/>
          <w:jc w:val="center"/>
        </w:trPr>
        <w:tc>
          <w:tcPr>
            <w:tcW w:w="1545" w:type="pct"/>
          </w:tcPr>
          <w:p w14:paraId="7F486216" w14:textId="77777777" w:rsidR="004219BA" w:rsidRDefault="00565EF2" w:rsidP="00D014E4">
            <w:pPr>
              <w:tabs>
                <w:tab w:val="left" w:pos="1050"/>
              </w:tabs>
              <w:spacing w:before="60" w:after="60"/>
            </w:pPr>
            <w:r>
              <w:t>Part 4: Grants for Targeted Expenditure</w:t>
            </w:r>
          </w:p>
        </w:tc>
        <w:tc>
          <w:tcPr>
            <w:tcW w:w="1019" w:type="pct"/>
          </w:tcPr>
          <w:p w14:paraId="7F486217" w14:textId="77777777" w:rsidR="004219BA" w:rsidRDefault="00565EF2" w:rsidP="00D014E4">
            <w:pPr>
              <w:spacing w:before="60" w:after="60"/>
            </w:pPr>
            <w:r>
              <w:t>Updated</w:t>
            </w:r>
          </w:p>
        </w:tc>
        <w:tc>
          <w:tcPr>
            <w:tcW w:w="1210" w:type="pct"/>
          </w:tcPr>
          <w:p w14:paraId="7F486218" w14:textId="77777777" w:rsidR="004219BA" w:rsidRDefault="00565EF2" w:rsidP="006D39A3">
            <w:pPr>
              <w:spacing w:before="60" w:after="60"/>
            </w:pPr>
            <w:r>
              <w:t xml:space="preserve">210, </w:t>
            </w:r>
            <w:r w:rsidR="00A61895">
              <w:t xml:space="preserve">220, </w:t>
            </w:r>
            <w:r>
              <w:t>223</w:t>
            </w:r>
            <w:r w:rsidR="00A61895">
              <w:t>, 245, 246, Table 4.1, Table 4.2</w:t>
            </w:r>
            <w:r>
              <w:t xml:space="preserve">, </w:t>
            </w:r>
            <w:r w:rsidR="00A61895">
              <w:t xml:space="preserve">252, 256, 258, </w:t>
            </w:r>
            <w:r>
              <w:t>259, 266</w:t>
            </w:r>
            <w:r w:rsidR="00A61895">
              <w:t xml:space="preserve">, </w:t>
            </w:r>
            <w:r>
              <w:t>267, 274, 283, 293, 297</w:t>
            </w:r>
            <w:r w:rsidR="00A61895">
              <w:t>b, 297c</w:t>
            </w:r>
            <w:r>
              <w:t>, 303, 307, 313</w:t>
            </w:r>
            <w:r w:rsidR="002D75F0">
              <w:t xml:space="preserve"> Table</w:t>
            </w:r>
            <w:r w:rsidR="006D39A3">
              <w:t>s</w:t>
            </w:r>
            <w:r w:rsidR="002D75F0">
              <w:t xml:space="preserve"> 4.</w:t>
            </w:r>
            <w:r w:rsidR="006D39A3">
              <w:t>3 and 4.4</w:t>
            </w:r>
            <w:r>
              <w:t>, 322</w:t>
            </w:r>
            <w:r w:rsidR="00EB4471">
              <w:t>, 335</w:t>
            </w:r>
          </w:p>
        </w:tc>
        <w:tc>
          <w:tcPr>
            <w:tcW w:w="1226" w:type="pct"/>
          </w:tcPr>
          <w:p w14:paraId="7F486219" w14:textId="77777777" w:rsidR="004219BA" w:rsidRDefault="00B04F69" w:rsidP="00A33E65">
            <w:pPr>
              <w:spacing w:before="60" w:after="60"/>
              <w:rPr>
                <w:color w:val="0000FF"/>
              </w:rPr>
            </w:pPr>
            <w:r>
              <w:rPr>
                <w:color w:val="0000FF"/>
              </w:rPr>
              <w:t>208</w:t>
            </w:r>
            <w:r w:rsidR="00565EF2">
              <w:rPr>
                <w:color w:val="0000FF"/>
              </w:rPr>
              <w:t xml:space="preserve">, </w:t>
            </w:r>
            <w:r w:rsidR="00A61895">
              <w:rPr>
                <w:color w:val="0000FF"/>
              </w:rPr>
              <w:t xml:space="preserve">218, </w:t>
            </w:r>
            <w:r w:rsidR="00565EF2">
              <w:rPr>
                <w:color w:val="0000FF"/>
              </w:rPr>
              <w:t>22</w:t>
            </w:r>
            <w:r>
              <w:rPr>
                <w:color w:val="0000FF"/>
              </w:rPr>
              <w:t>1</w:t>
            </w:r>
            <w:r w:rsidR="00565EF2">
              <w:rPr>
                <w:color w:val="0000FF"/>
              </w:rPr>
              <w:t>, 24</w:t>
            </w:r>
            <w:r>
              <w:rPr>
                <w:color w:val="0000FF"/>
              </w:rPr>
              <w:t>3</w:t>
            </w:r>
            <w:r w:rsidR="00A61895">
              <w:rPr>
                <w:color w:val="0000FF"/>
              </w:rPr>
              <w:t>, 244, Table 4.1, Table 4.2</w:t>
            </w:r>
            <w:r w:rsidR="00565EF2">
              <w:rPr>
                <w:color w:val="0000FF"/>
              </w:rPr>
              <w:t>, 25</w:t>
            </w:r>
            <w:r>
              <w:rPr>
                <w:color w:val="0000FF"/>
              </w:rPr>
              <w:t>0</w:t>
            </w:r>
            <w:r w:rsidR="00A33E65">
              <w:rPr>
                <w:color w:val="0000FF"/>
              </w:rPr>
              <w:t>, 254</w:t>
            </w:r>
            <w:r w:rsidR="00565EF2">
              <w:rPr>
                <w:color w:val="0000FF"/>
              </w:rPr>
              <w:t>, 25</w:t>
            </w:r>
            <w:r w:rsidR="00A33E65">
              <w:rPr>
                <w:color w:val="0000FF"/>
              </w:rPr>
              <w:t>6</w:t>
            </w:r>
            <w:r w:rsidR="00A61895">
              <w:rPr>
                <w:color w:val="0000FF"/>
              </w:rPr>
              <w:t xml:space="preserve">, </w:t>
            </w:r>
            <w:r w:rsidR="00565EF2">
              <w:rPr>
                <w:color w:val="0000FF"/>
              </w:rPr>
              <w:t>25</w:t>
            </w:r>
            <w:r w:rsidR="00A33E65">
              <w:rPr>
                <w:color w:val="0000FF"/>
              </w:rPr>
              <w:t>7, 26</w:t>
            </w:r>
            <w:r w:rsidR="00A61895">
              <w:rPr>
                <w:color w:val="0000FF"/>
              </w:rPr>
              <w:t xml:space="preserve">6, </w:t>
            </w:r>
            <w:r w:rsidR="00565EF2">
              <w:rPr>
                <w:color w:val="0000FF"/>
              </w:rPr>
              <w:t>26</w:t>
            </w:r>
            <w:r w:rsidR="00A33E65">
              <w:rPr>
                <w:color w:val="0000FF"/>
              </w:rPr>
              <w:t>7</w:t>
            </w:r>
            <w:r w:rsidR="00565EF2">
              <w:rPr>
                <w:color w:val="0000FF"/>
              </w:rPr>
              <w:t>, 27</w:t>
            </w:r>
            <w:r w:rsidR="00A33E65">
              <w:rPr>
                <w:color w:val="0000FF"/>
              </w:rPr>
              <w:t>4</w:t>
            </w:r>
            <w:r w:rsidR="00565EF2">
              <w:rPr>
                <w:color w:val="0000FF"/>
              </w:rPr>
              <w:t>, 28</w:t>
            </w:r>
            <w:r w:rsidR="00A33E65">
              <w:rPr>
                <w:color w:val="0000FF"/>
              </w:rPr>
              <w:t>3, 293</w:t>
            </w:r>
            <w:r w:rsidR="00565EF2">
              <w:rPr>
                <w:color w:val="0000FF"/>
              </w:rPr>
              <w:t>, 29</w:t>
            </w:r>
            <w:r w:rsidR="00A33E65">
              <w:rPr>
                <w:color w:val="0000FF"/>
              </w:rPr>
              <w:t>7</w:t>
            </w:r>
            <w:r w:rsidR="00A61895">
              <w:t xml:space="preserve"> b, 297c</w:t>
            </w:r>
            <w:r w:rsidR="00A33E65">
              <w:rPr>
                <w:color w:val="0000FF"/>
              </w:rPr>
              <w:t>, 303, 307</w:t>
            </w:r>
            <w:r w:rsidR="00565EF2">
              <w:rPr>
                <w:color w:val="0000FF"/>
              </w:rPr>
              <w:t>, 31</w:t>
            </w:r>
            <w:r w:rsidR="00A33E65">
              <w:rPr>
                <w:color w:val="0000FF"/>
              </w:rPr>
              <w:t>3</w:t>
            </w:r>
            <w:r w:rsidR="006D39A3">
              <w:rPr>
                <w:color w:val="0000FF"/>
              </w:rPr>
              <w:t xml:space="preserve"> Tables 4.3 and  4.4</w:t>
            </w:r>
            <w:r w:rsidR="00565EF2">
              <w:rPr>
                <w:color w:val="0000FF"/>
              </w:rPr>
              <w:t>, 32</w:t>
            </w:r>
            <w:r w:rsidR="00A33E65">
              <w:rPr>
                <w:color w:val="0000FF"/>
              </w:rPr>
              <w:t>2</w:t>
            </w:r>
            <w:r w:rsidR="00EB4471">
              <w:rPr>
                <w:color w:val="0000FF"/>
              </w:rPr>
              <w:t>, 33</w:t>
            </w:r>
            <w:r w:rsidR="00A33E65">
              <w:rPr>
                <w:color w:val="0000FF"/>
              </w:rPr>
              <w:t>5</w:t>
            </w:r>
          </w:p>
        </w:tc>
      </w:tr>
      <w:tr w:rsidR="004219BA" w14:paraId="7F48621F" w14:textId="77777777" w:rsidTr="00250414">
        <w:trPr>
          <w:cantSplit/>
          <w:jc w:val="center"/>
        </w:trPr>
        <w:tc>
          <w:tcPr>
            <w:tcW w:w="1545" w:type="pct"/>
          </w:tcPr>
          <w:p w14:paraId="7F48621B" w14:textId="77777777" w:rsidR="004219BA" w:rsidRDefault="004219BA" w:rsidP="00D014E4">
            <w:pPr>
              <w:tabs>
                <w:tab w:val="left" w:pos="1050"/>
              </w:tabs>
              <w:spacing w:before="60" w:after="60"/>
            </w:pPr>
          </w:p>
        </w:tc>
        <w:tc>
          <w:tcPr>
            <w:tcW w:w="1019" w:type="pct"/>
          </w:tcPr>
          <w:p w14:paraId="7F48621C" w14:textId="77777777" w:rsidR="004219BA" w:rsidRDefault="00565EF2" w:rsidP="00D014E4">
            <w:pPr>
              <w:spacing w:before="60" w:after="60"/>
            </w:pPr>
            <w:r>
              <w:t>Removed</w:t>
            </w:r>
          </w:p>
        </w:tc>
        <w:tc>
          <w:tcPr>
            <w:tcW w:w="1210" w:type="pct"/>
          </w:tcPr>
          <w:p w14:paraId="7F48621D" w14:textId="77777777" w:rsidR="004219BA" w:rsidRDefault="004219BA" w:rsidP="00D014E4">
            <w:pPr>
              <w:spacing w:before="60" w:after="60"/>
            </w:pPr>
          </w:p>
        </w:tc>
        <w:tc>
          <w:tcPr>
            <w:tcW w:w="1226" w:type="pct"/>
          </w:tcPr>
          <w:p w14:paraId="7F48621E" w14:textId="77777777" w:rsidR="004219BA" w:rsidRDefault="00565EF2" w:rsidP="00A33E65">
            <w:pPr>
              <w:spacing w:before="60" w:after="60"/>
              <w:rPr>
                <w:color w:val="0000FF"/>
              </w:rPr>
            </w:pPr>
            <w:r>
              <w:rPr>
                <w:color w:val="0000FF"/>
              </w:rPr>
              <w:t>26</w:t>
            </w:r>
            <w:r w:rsidR="00A33E65">
              <w:rPr>
                <w:color w:val="0000FF"/>
              </w:rPr>
              <w:t>1</w:t>
            </w:r>
            <w:r w:rsidR="00A61895">
              <w:rPr>
                <w:color w:val="0000FF"/>
              </w:rPr>
              <w:t xml:space="preserve">, </w:t>
            </w:r>
            <w:r>
              <w:rPr>
                <w:color w:val="0000FF"/>
              </w:rPr>
              <w:t>26</w:t>
            </w:r>
            <w:r w:rsidR="00A33E65">
              <w:rPr>
                <w:color w:val="0000FF"/>
              </w:rPr>
              <w:t>2</w:t>
            </w:r>
          </w:p>
        </w:tc>
      </w:tr>
      <w:tr w:rsidR="00EB4471" w14:paraId="7F486224" w14:textId="77777777" w:rsidTr="00250414">
        <w:trPr>
          <w:cantSplit/>
          <w:jc w:val="center"/>
        </w:trPr>
        <w:tc>
          <w:tcPr>
            <w:tcW w:w="1545" w:type="pct"/>
          </w:tcPr>
          <w:p w14:paraId="7F486220" w14:textId="77777777" w:rsidR="00EB4471" w:rsidRDefault="00EB4471" w:rsidP="00D014E4">
            <w:pPr>
              <w:tabs>
                <w:tab w:val="left" w:pos="1050"/>
              </w:tabs>
              <w:spacing w:before="60" w:after="60"/>
            </w:pPr>
            <w:r>
              <w:t>Part 5: References</w:t>
            </w:r>
          </w:p>
        </w:tc>
        <w:tc>
          <w:tcPr>
            <w:tcW w:w="1019" w:type="pct"/>
          </w:tcPr>
          <w:p w14:paraId="7F486221" w14:textId="77777777" w:rsidR="00EB4471" w:rsidRDefault="00EB4471" w:rsidP="00D014E4">
            <w:pPr>
              <w:spacing w:before="60" w:after="60"/>
            </w:pPr>
            <w:r>
              <w:t>Updated</w:t>
            </w:r>
          </w:p>
        </w:tc>
        <w:tc>
          <w:tcPr>
            <w:tcW w:w="1210" w:type="pct"/>
          </w:tcPr>
          <w:p w14:paraId="7F486222" w14:textId="77777777" w:rsidR="00EB4471" w:rsidRDefault="00EB4471" w:rsidP="00326ADF">
            <w:pPr>
              <w:spacing w:before="60" w:after="60"/>
            </w:pPr>
            <w:r>
              <w:t xml:space="preserve">5.1, </w:t>
            </w:r>
            <w:r w:rsidR="002D75F0">
              <w:t>5.2 sub-heading</w:t>
            </w:r>
            <w:r w:rsidR="00326ADF">
              <w:t>, 342</w:t>
            </w:r>
            <w:r>
              <w:t>, 34</w:t>
            </w:r>
            <w:r w:rsidR="00326ADF">
              <w:t>4</w:t>
            </w:r>
            <w:r w:rsidR="007F2C40">
              <w:t xml:space="preserve">, </w:t>
            </w:r>
            <w:r>
              <w:t>34</w:t>
            </w:r>
            <w:r w:rsidR="00326ADF">
              <w:t>5</w:t>
            </w:r>
            <w:r>
              <w:t>, 3</w:t>
            </w:r>
            <w:r w:rsidR="00326ADF">
              <w:t>4</w:t>
            </w:r>
            <w:r w:rsidR="007F2C40">
              <w:t>9</w:t>
            </w:r>
          </w:p>
        </w:tc>
        <w:tc>
          <w:tcPr>
            <w:tcW w:w="1226" w:type="pct"/>
          </w:tcPr>
          <w:p w14:paraId="7F486223" w14:textId="77777777" w:rsidR="00EB4471" w:rsidRDefault="00EB4471" w:rsidP="00326ADF">
            <w:pPr>
              <w:spacing w:before="60" w:after="60"/>
              <w:rPr>
                <w:color w:val="0000FF"/>
              </w:rPr>
            </w:pPr>
            <w:r>
              <w:rPr>
                <w:color w:val="0000FF"/>
              </w:rPr>
              <w:t xml:space="preserve">5.1, </w:t>
            </w:r>
            <w:r w:rsidR="002D75F0">
              <w:rPr>
                <w:color w:val="0000FF"/>
              </w:rPr>
              <w:t>5.2 sub-heading</w:t>
            </w:r>
            <w:r>
              <w:rPr>
                <w:color w:val="0000FF"/>
              </w:rPr>
              <w:t>, 3</w:t>
            </w:r>
            <w:r w:rsidR="00326ADF">
              <w:rPr>
                <w:color w:val="0000FF"/>
              </w:rPr>
              <w:t>41</w:t>
            </w:r>
            <w:r>
              <w:rPr>
                <w:color w:val="0000FF"/>
              </w:rPr>
              <w:t>, 34</w:t>
            </w:r>
            <w:r w:rsidR="00326ADF">
              <w:rPr>
                <w:color w:val="0000FF"/>
              </w:rPr>
              <w:t>3</w:t>
            </w:r>
            <w:r w:rsidR="007F2C40">
              <w:rPr>
                <w:color w:val="0000FF"/>
              </w:rPr>
              <w:t xml:space="preserve">, </w:t>
            </w:r>
            <w:r w:rsidR="002D75F0">
              <w:rPr>
                <w:color w:val="0000FF"/>
              </w:rPr>
              <w:t>34</w:t>
            </w:r>
            <w:r w:rsidR="00326ADF">
              <w:rPr>
                <w:color w:val="0000FF"/>
              </w:rPr>
              <w:t>4</w:t>
            </w:r>
            <w:r w:rsidR="002D75F0">
              <w:rPr>
                <w:color w:val="0000FF"/>
              </w:rPr>
              <w:t xml:space="preserve">, </w:t>
            </w:r>
            <w:r>
              <w:rPr>
                <w:color w:val="0000FF"/>
              </w:rPr>
              <w:t>3</w:t>
            </w:r>
            <w:r w:rsidR="00326ADF">
              <w:rPr>
                <w:color w:val="0000FF"/>
              </w:rPr>
              <w:t>4</w:t>
            </w:r>
            <w:r w:rsidR="007F2C40">
              <w:rPr>
                <w:color w:val="0000FF"/>
              </w:rPr>
              <w:t>8</w:t>
            </w:r>
          </w:p>
        </w:tc>
      </w:tr>
      <w:tr w:rsidR="00EB4471" w14:paraId="7F486229" w14:textId="77777777" w:rsidTr="00250414">
        <w:trPr>
          <w:cantSplit/>
          <w:jc w:val="center"/>
        </w:trPr>
        <w:tc>
          <w:tcPr>
            <w:tcW w:w="1545" w:type="pct"/>
          </w:tcPr>
          <w:p w14:paraId="7F486225" w14:textId="77777777" w:rsidR="00EB4471" w:rsidRDefault="00EB4471" w:rsidP="00D014E4">
            <w:pPr>
              <w:tabs>
                <w:tab w:val="left" w:pos="1050"/>
              </w:tabs>
              <w:spacing w:before="60" w:after="60"/>
            </w:pPr>
          </w:p>
        </w:tc>
        <w:tc>
          <w:tcPr>
            <w:tcW w:w="1019" w:type="pct"/>
          </w:tcPr>
          <w:p w14:paraId="7F486226" w14:textId="77777777" w:rsidR="00EB4471" w:rsidRDefault="00EB4471" w:rsidP="00D014E4">
            <w:pPr>
              <w:spacing w:before="60" w:after="60"/>
            </w:pPr>
            <w:r>
              <w:t>New</w:t>
            </w:r>
          </w:p>
        </w:tc>
        <w:tc>
          <w:tcPr>
            <w:tcW w:w="1210" w:type="pct"/>
          </w:tcPr>
          <w:p w14:paraId="7F486227" w14:textId="77777777" w:rsidR="00EB4471" w:rsidRDefault="007F2C40" w:rsidP="00D014E4">
            <w:pPr>
              <w:spacing w:before="60" w:after="60"/>
            </w:pPr>
            <w:r>
              <w:t>341</w:t>
            </w:r>
          </w:p>
        </w:tc>
        <w:tc>
          <w:tcPr>
            <w:tcW w:w="1226" w:type="pct"/>
          </w:tcPr>
          <w:p w14:paraId="7F486228" w14:textId="77777777" w:rsidR="00EB4471" w:rsidRDefault="00EB4471" w:rsidP="00D014E4">
            <w:pPr>
              <w:spacing w:before="60" w:after="60"/>
              <w:rPr>
                <w:color w:val="0000FF"/>
              </w:rPr>
            </w:pPr>
          </w:p>
        </w:tc>
      </w:tr>
    </w:tbl>
    <w:p w14:paraId="7F48622A" w14:textId="77777777" w:rsidR="004C7C89" w:rsidRDefault="004C7C89" w:rsidP="004219BA">
      <w:pPr>
        <w:spacing w:before="240" w:after="120"/>
        <w:ind w:left="-902"/>
        <w:jc w:val="center"/>
        <w:rPr>
          <w:sz w:val="28"/>
        </w:rPr>
      </w:pPr>
    </w:p>
    <w:p w14:paraId="7F48622B" w14:textId="77777777" w:rsidR="004C7C89" w:rsidRDefault="004C7C89">
      <w:pPr>
        <w:spacing w:before="0" w:line="240" w:lineRule="auto"/>
        <w:rPr>
          <w:sz w:val="28"/>
        </w:rPr>
      </w:pPr>
      <w:r>
        <w:rPr>
          <w:sz w:val="28"/>
        </w:rPr>
        <w:br w:type="page"/>
      </w:r>
    </w:p>
    <w:p w14:paraId="7F48622C" w14:textId="77777777" w:rsidR="004219BA" w:rsidRPr="00B0270B" w:rsidRDefault="004219BA" w:rsidP="004219BA">
      <w:pPr>
        <w:spacing w:before="240" w:after="120"/>
        <w:ind w:left="-902"/>
        <w:jc w:val="center"/>
        <w:rPr>
          <w:sz w:val="28"/>
        </w:rPr>
      </w:pPr>
      <w:r>
        <w:rPr>
          <w:sz w:val="28"/>
        </w:rPr>
        <w:lastRenderedPageBreak/>
        <w:t xml:space="preserve">Key changes to </w:t>
      </w:r>
      <w:r w:rsidRPr="00B0270B">
        <w:rPr>
          <w:sz w:val="28"/>
        </w:rPr>
        <w:t>Appendices</w:t>
      </w:r>
    </w:p>
    <w:tbl>
      <w:tblPr>
        <w:tblW w:w="5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1"/>
        <w:gridCol w:w="3441"/>
        <w:gridCol w:w="2022"/>
        <w:gridCol w:w="2022"/>
      </w:tblGrid>
      <w:tr w:rsidR="004219BA" w:rsidRPr="00166909" w14:paraId="7F486232" w14:textId="77777777" w:rsidTr="00D014E4">
        <w:trPr>
          <w:cantSplit/>
          <w:tblHeader/>
          <w:jc w:val="center"/>
        </w:trPr>
        <w:tc>
          <w:tcPr>
            <w:tcW w:w="1624" w:type="pct"/>
            <w:shd w:val="clear" w:color="auto" w:fill="A6A6A6"/>
          </w:tcPr>
          <w:p w14:paraId="7F48622D" w14:textId="77777777" w:rsidR="004219BA" w:rsidRPr="00166909" w:rsidRDefault="004219BA" w:rsidP="00D014E4">
            <w:pPr>
              <w:spacing w:before="60" w:after="60"/>
              <w:rPr>
                <w:b/>
                <w:szCs w:val="22"/>
              </w:rPr>
            </w:pPr>
            <w:r w:rsidRPr="00166909">
              <w:rPr>
                <w:b/>
                <w:szCs w:val="22"/>
              </w:rPr>
              <w:t>APPENDIX HEADING</w:t>
            </w:r>
          </w:p>
        </w:tc>
        <w:tc>
          <w:tcPr>
            <w:tcW w:w="1552" w:type="pct"/>
            <w:shd w:val="clear" w:color="auto" w:fill="A6A6A6"/>
          </w:tcPr>
          <w:p w14:paraId="7F48622E" w14:textId="77777777" w:rsidR="004219BA" w:rsidRPr="00166909" w:rsidRDefault="004219BA" w:rsidP="00D014E4">
            <w:pPr>
              <w:spacing w:before="60" w:after="60"/>
              <w:rPr>
                <w:b/>
                <w:szCs w:val="22"/>
              </w:rPr>
            </w:pPr>
            <w:r w:rsidRPr="00166909">
              <w:rPr>
                <w:b/>
                <w:szCs w:val="22"/>
              </w:rPr>
              <w:t>CHANGES</w:t>
            </w:r>
          </w:p>
        </w:tc>
        <w:tc>
          <w:tcPr>
            <w:tcW w:w="912" w:type="pct"/>
            <w:shd w:val="clear" w:color="auto" w:fill="A6A6A6"/>
          </w:tcPr>
          <w:p w14:paraId="7F48622F" w14:textId="77777777" w:rsidR="004219BA" w:rsidRPr="00166909" w:rsidRDefault="004219BA" w:rsidP="002B22CF">
            <w:pPr>
              <w:spacing w:before="60" w:after="60"/>
              <w:rPr>
                <w:b/>
                <w:szCs w:val="22"/>
              </w:rPr>
            </w:pPr>
            <w:r>
              <w:rPr>
                <w:b/>
                <w:szCs w:val="22"/>
              </w:rPr>
              <w:t>PAGE NO. 201</w:t>
            </w:r>
            <w:r w:rsidR="002B22CF">
              <w:rPr>
                <w:b/>
                <w:szCs w:val="22"/>
              </w:rPr>
              <w:t>3</w:t>
            </w:r>
            <w:r>
              <w:rPr>
                <w:b/>
                <w:szCs w:val="22"/>
              </w:rPr>
              <w:t xml:space="preserve"> Update</w:t>
            </w:r>
          </w:p>
        </w:tc>
        <w:tc>
          <w:tcPr>
            <w:tcW w:w="912" w:type="pct"/>
            <w:shd w:val="clear" w:color="auto" w:fill="A6A6A6"/>
          </w:tcPr>
          <w:p w14:paraId="7F486230" w14:textId="77777777" w:rsidR="004219BA" w:rsidRPr="00166909" w:rsidRDefault="004219BA" w:rsidP="00D014E4">
            <w:pPr>
              <w:spacing w:before="60" w:after="60"/>
              <w:rPr>
                <w:b/>
                <w:color w:val="0000FF"/>
                <w:szCs w:val="22"/>
              </w:rPr>
            </w:pPr>
            <w:r>
              <w:rPr>
                <w:b/>
                <w:color w:val="0000FF"/>
                <w:szCs w:val="22"/>
              </w:rPr>
              <w:t>PAGE NO.</w:t>
            </w:r>
          </w:p>
          <w:p w14:paraId="7F486231" w14:textId="77777777" w:rsidR="004219BA" w:rsidRPr="00166909" w:rsidRDefault="004219BA" w:rsidP="002B22CF">
            <w:pPr>
              <w:spacing w:before="60" w:after="60"/>
              <w:rPr>
                <w:b/>
                <w:color w:val="0000FF"/>
                <w:szCs w:val="22"/>
              </w:rPr>
            </w:pPr>
            <w:r w:rsidRPr="00166909">
              <w:rPr>
                <w:b/>
                <w:color w:val="0000FF"/>
                <w:szCs w:val="22"/>
              </w:rPr>
              <w:t>20</w:t>
            </w:r>
            <w:r>
              <w:rPr>
                <w:b/>
                <w:color w:val="0000FF"/>
                <w:szCs w:val="22"/>
              </w:rPr>
              <w:t>1</w:t>
            </w:r>
            <w:r w:rsidR="002B22CF">
              <w:rPr>
                <w:b/>
                <w:color w:val="0000FF"/>
                <w:szCs w:val="22"/>
              </w:rPr>
              <w:t>2</w:t>
            </w:r>
            <w:r>
              <w:rPr>
                <w:b/>
                <w:color w:val="0000FF"/>
                <w:szCs w:val="22"/>
              </w:rPr>
              <w:t xml:space="preserve"> Update</w:t>
            </w:r>
          </w:p>
        </w:tc>
      </w:tr>
      <w:tr w:rsidR="00EB4471" w14:paraId="7F486237" w14:textId="77777777" w:rsidTr="00D014E4">
        <w:trPr>
          <w:cantSplit/>
          <w:jc w:val="center"/>
        </w:trPr>
        <w:tc>
          <w:tcPr>
            <w:tcW w:w="1624" w:type="pct"/>
          </w:tcPr>
          <w:p w14:paraId="7F486233" w14:textId="77777777" w:rsidR="00EB4471" w:rsidRDefault="00EB4471" w:rsidP="00D014E4">
            <w:pPr>
              <w:spacing w:before="60" w:after="60"/>
            </w:pPr>
            <w:r>
              <w:t>Appendix F</w:t>
            </w:r>
          </w:p>
        </w:tc>
        <w:tc>
          <w:tcPr>
            <w:tcW w:w="1552" w:type="pct"/>
          </w:tcPr>
          <w:p w14:paraId="7F486234" w14:textId="77777777" w:rsidR="00EB4471" w:rsidRDefault="00EB4471" w:rsidP="00D014E4">
            <w:pPr>
              <w:spacing w:before="60" w:after="60"/>
            </w:pPr>
            <w:r>
              <w:t>Updated contact details</w:t>
            </w:r>
          </w:p>
        </w:tc>
        <w:tc>
          <w:tcPr>
            <w:tcW w:w="912" w:type="pct"/>
          </w:tcPr>
          <w:p w14:paraId="7F486235" w14:textId="77777777" w:rsidR="00EB4471" w:rsidRDefault="000815ED" w:rsidP="00615995">
            <w:pPr>
              <w:spacing w:before="60" w:after="60"/>
            </w:pPr>
            <w:r>
              <w:t>92-93</w:t>
            </w:r>
          </w:p>
        </w:tc>
        <w:tc>
          <w:tcPr>
            <w:tcW w:w="912" w:type="pct"/>
          </w:tcPr>
          <w:p w14:paraId="7F486236" w14:textId="77777777" w:rsidR="00EB4471" w:rsidRDefault="00B11951" w:rsidP="00D014E4">
            <w:pPr>
              <w:spacing w:before="60" w:after="60"/>
              <w:rPr>
                <w:color w:val="0000FF"/>
              </w:rPr>
            </w:pPr>
            <w:r>
              <w:rPr>
                <w:color w:val="0000FF"/>
              </w:rPr>
              <w:t>92-93</w:t>
            </w:r>
          </w:p>
        </w:tc>
      </w:tr>
      <w:tr w:rsidR="00615995" w14:paraId="7F48623C" w14:textId="77777777" w:rsidTr="00D014E4">
        <w:trPr>
          <w:cantSplit/>
          <w:jc w:val="center"/>
        </w:trPr>
        <w:tc>
          <w:tcPr>
            <w:tcW w:w="1624" w:type="pct"/>
          </w:tcPr>
          <w:p w14:paraId="7F486238" w14:textId="77777777" w:rsidR="00615995" w:rsidRDefault="00615995" w:rsidP="00D014E4">
            <w:pPr>
              <w:spacing w:before="60" w:after="60"/>
            </w:pPr>
            <w:r>
              <w:t>Appendix G</w:t>
            </w:r>
          </w:p>
        </w:tc>
        <w:tc>
          <w:tcPr>
            <w:tcW w:w="1552" w:type="pct"/>
          </w:tcPr>
          <w:p w14:paraId="7F486239" w14:textId="77777777" w:rsidR="00615995" w:rsidRDefault="00615995" w:rsidP="00D014E4">
            <w:pPr>
              <w:spacing w:before="60" w:after="60"/>
            </w:pPr>
            <w:r>
              <w:t>Updated website link</w:t>
            </w:r>
          </w:p>
        </w:tc>
        <w:tc>
          <w:tcPr>
            <w:tcW w:w="912" w:type="pct"/>
          </w:tcPr>
          <w:p w14:paraId="7F48623A" w14:textId="77777777" w:rsidR="00615995" w:rsidRDefault="000815ED" w:rsidP="00D014E4">
            <w:pPr>
              <w:spacing w:before="60" w:after="60"/>
            </w:pPr>
            <w:r>
              <w:t>94-95</w:t>
            </w:r>
          </w:p>
        </w:tc>
        <w:tc>
          <w:tcPr>
            <w:tcW w:w="912" w:type="pct"/>
          </w:tcPr>
          <w:p w14:paraId="7F48623B" w14:textId="77777777" w:rsidR="00615995" w:rsidRDefault="00615995" w:rsidP="00D014E4">
            <w:pPr>
              <w:spacing w:before="60" w:after="60"/>
              <w:rPr>
                <w:color w:val="0000FF"/>
              </w:rPr>
            </w:pPr>
            <w:r>
              <w:rPr>
                <w:color w:val="0000FF"/>
              </w:rPr>
              <w:t>94</w:t>
            </w:r>
            <w:r w:rsidR="002E6571">
              <w:rPr>
                <w:color w:val="0000FF"/>
              </w:rPr>
              <w:t>-95</w:t>
            </w:r>
          </w:p>
        </w:tc>
      </w:tr>
      <w:tr w:rsidR="00EB4471" w14:paraId="7F486241" w14:textId="77777777" w:rsidTr="00D014E4">
        <w:trPr>
          <w:cantSplit/>
          <w:jc w:val="center"/>
        </w:trPr>
        <w:tc>
          <w:tcPr>
            <w:tcW w:w="1624" w:type="pct"/>
          </w:tcPr>
          <w:p w14:paraId="7F48623D" w14:textId="77777777" w:rsidR="00EB4471" w:rsidRDefault="00B11951" w:rsidP="00D014E4">
            <w:pPr>
              <w:spacing w:before="60" w:after="60"/>
            </w:pPr>
            <w:r>
              <w:t>Appendix H</w:t>
            </w:r>
          </w:p>
        </w:tc>
        <w:tc>
          <w:tcPr>
            <w:tcW w:w="1552" w:type="pct"/>
          </w:tcPr>
          <w:p w14:paraId="7F48623E" w14:textId="77777777" w:rsidR="00EB4471" w:rsidRDefault="00B11951" w:rsidP="00D014E4">
            <w:pPr>
              <w:spacing w:before="60" w:after="60"/>
            </w:pPr>
            <w:r>
              <w:t>Updated table H.6</w:t>
            </w:r>
          </w:p>
        </w:tc>
        <w:tc>
          <w:tcPr>
            <w:tcW w:w="912" w:type="pct"/>
          </w:tcPr>
          <w:p w14:paraId="7F48623F" w14:textId="77777777" w:rsidR="00EB4471" w:rsidRDefault="000815ED" w:rsidP="00D014E4">
            <w:pPr>
              <w:spacing w:before="60" w:after="60"/>
            </w:pPr>
            <w:r>
              <w:t>97</w:t>
            </w:r>
          </w:p>
        </w:tc>
        <w:tc>
          <w:tcPr>
            <w:tcW w:w="912" w:type="pct"/>
          </w:tcPr>
          <w:p w14:paraId="7F486240" w14:textId="77777777" w:rsidR="00EB4471" w:rsidRDefault="002E6571" w:rsidP="00D014E4">
            <w:pPr>
              <w:spacing w:before="60" w:after="60"/>
              <w:rPr>
                <w:color w:val="0000FF"/>
              </w:rPr>
            </w:pPr>
            <w:r>
              <w:rPr>
                <w:color w:val="0000FF"/>
              </w:rPr>
              <w:t>96-</w:t>
            </w:r>
            <w:r w:rsidR="00B11951">
              <w:rPr>
                <w:color w:val="0000FF"/>
              </w:rPr>
              <w:t>97</w:t>
            </w:r>
          </w:p>
        </w:tc>
      </w:tr>
      <w:tr w:rsidR="00EB4471" w14:paraId="7F486246" w14:textId="77777777" w:rsidTr="00D014E4">
        <w:trPr>
          <w:cantSplit/>
          <w:jc w:val="center"/>
        </w:trPr>
        <w:tc>
          <w:tcPr>
            <w:tcW w:w="1624" w:type="pct"/>
          </w:tcPr>
          <w:p w14:paraId="7F486242" w14:textId="77777777" w:rsidR="00EB4471" w:rsidRDefault="00B11951" w:rsidP="00D014E4">
            <w:pPr>
              <w:spacing w:before="60" w:after="60"/>
            </w:pPr>
            <w:r>
              <w:t>Appendix I</w:t>
            </w:r>
          </w:p>
        </w:tc>
        <w:tc>
          <w:tcPr>
            <w:tcW w:w="1552" w:type="pct"/>
          </w:tcPr>
          <w:p w14:paraId="7F486243" w14:textId="77777777" w:rsidR="00EB4471" w:rsidRDefault="00B11951" w:rsidP="00B11951">
            <w:pPr>
              <w:spacing w:before="60" w:after="60"/>
            </w:pPr>
            <w:r>
              <w:t>Updated summary and data</w:t>
            </w:r>
          </w:p>
        </w:tc>
        <w:tc>
          <w:tcPr>
            <w:tcW w:w="912" w:type="pct"/>
          </w:tcPr>
          <w:p w14:paraId="7F486244" w14:textId="77777777" w:rsidR="00EB4471" w:rsidRDefault="000815ED" w:rsidP="00D014E4">
            <w:pPr>
              <w:spacing w:before="60" w:after="60"/>
            </w:pPr>
            <w:r>
              <w:t>98</w:t>
            </w:r>
          </w:p>
        </w:tc>
        <w:tc>
          <w:tcPr>
            <w:tcW w:w="912" w:type="pct"/>
          </w:tcPr>
          <w:p w14:paraId="7F486245" w14:textId="77777777" w:rsidR="00EB4471" w:rsidRDefault="00B11951" w:rsidP="00D014E4">
            <w:pPr>
              <w:spacing w:before="60" w:after="60"/>
              <w:rPr>
                <w:color w:val="0000FF"/>
              </w:rPr>
            </w:pPr>
            <w:r>
              <w:rPr>
                <w:color w:val="0000FF"/>
              </w:rPr>
              <w:t>98</w:t>
            </w:r>
          </w:p>
        </w:tc>
      </w:tr>
      <w:tr w:rsidR="00EB4471" w14:paraId="7F48624B" w14:textId="77777777" w:rsidTr="00D014E4">
        <w:trPr>
          <w:cantSplit/>
          <w:jc w:val="center"/>
        </w:trPr>
        <w:tc>
          <w:tcPr>
            <w:tcW w:w="1624" w:type="pct"/>
          </w:tcPr>
          <w:p w14:paraId="7F486247" w14:textId="77777777" w:rsidR="00EB4471" w:rsidRDefault="00B11951" w:rsidP="00D014E4">
            <w:pPr>
              <w:spacing w:before="60" w:after="60"/>
            </w:pPr>
            <w:r>
              <w:t>Appendix K</w:t>
            </w:r>
          </w:p>
        </w:tc>
        <w:tc>
          <w:tcPr>
            <w:tcW w:w="1552" w:type="pct"/>
          </w:tcPr>
          <w:p w14:paraId="7F486248" w14:textId="77777777" w:rsidR="00B11951" w:rsidRDefault="00B11951" w:rsidP="00B11951">
            <w:pPr>
              <w:spacing w:before="60" w:after="60"/>
            </w:pPr>
            <w:r>
              <w:t>Updated year and funding amounts in RG and ISA; capital grants; AGSRC Amounts and AGSRC Index</w:t>
            </w:r>
          </w:p>
        </w:tc>
        <w:tc>
          <w:tcPr>
            <w:tcW w:w="912" w:type="pct"/>
          </w:tcPr>
          <w:p w14:paraId="7F486249" w14:textId="77777777" w:rsidR="00EB4471" w:rsidRDefault="000815ED" w:rsidP="00D014E4">
            <w:pPr>
              <w:spacing w:before="60" w:after="60"/>
            </w:pPr>
            <w:r>
              <w:t>101-102</w:t>
            </w:r>
          </w:p>
        </w:tc>
        <w:tc>
          <w:tcPr>
            <w:tcW w:w="912" w:type="pct"/>
          </w:tcPr>
          <w:p w14:paraId="7F48624A" w14:textId="77777777" w:rsidR="00EB4471" w:rsidRDefault="00B11951" w:rsidP="00D014E4">
            <w:pPr>
              <w:spacing w:before="60" w:after="60"/>
              <w:rPr>
                <w:color w:val="0000FF"/>
              </w:rPr>
            </w:pPr>
            <w:r>
              <w:rPr>
                <w:color w:val="0000FF"/>
              </w:rPr>
              <w:t>101-102</w:t>
            </w:r>
          </w:p>
        </w:tc>
      </w:tr>
      <w:tr w:rsidR="00026633" w14:paraId="7F486250" w14:textId="77777777" w:rsidTr="00D014E4">
        <w:trPr>
          <w:cantSplit/>
          <w:jc w:val="center"/>
        </w:trPr>
        <w:tc>
          <w:tcPr>
            <w:tcW w:w="1624" w:type="pct"/>
          </w:tcPr>
          <w:p w14:paraId="7F48624C" w14:textId="77777777" w:rsidR="00026633" w:rsidRDefault="00026633" w:rsidP="00D014E4">
            <w:pPr>
              <w:spacing w:before="60" w:after="60"/>
            </w:pPr>
            <w:r>
              <w:t>Appendix L</w:t>
            </w:r>
          </w:p>
        </w:tc>
        <w:tc>
          <w:tcPr>
            <w:tcW w:w="1552" w:type="pct"/>
          </w:tcPr>
          <w:p w14:paraId="7F48624D" w14:textId="77777777" w:rsidR="00026633" w:rsidRDefault="002E6571" w:rsidP="002E6571">
            <w:pPr>
              <w:spacing w:before="60" w:after="60"/>
            </w:pPr>
            <w:r>
              <w:t>Updated information about requirements for funding</w:t>
            </w:r>
          </w:p>
        </w:tc>
        <w:tc>
          <w:tcPr>
            <w:tcW w:w="912" w:type="pct"/>
          </w:tcPr>
          <w:p w14:paraId="7F48624E" w14:textId="77777777" w:rsidR="00026633" w:rsidRDefault="000815ED" w:rsidP="002E6571">
            <w:pPr>
              <w:spacing w:before="60" w:after="60"/>
            </w:pPr>
            <w:r>
              <w:t>103-104</w:t>
            </w:r>
          </w:p>
        </w:tc>
        <w:tc>
          <w:tcPr>
            <w:tcW w:w="912" w:type="pct"/>
          </w:tcPr>
          <w:p w14:paraId="7F48624F" w14:textId="77777777" w:rsidR="00026633" w:rsidRDefault="002E6571" w:rsidP="00D014E4">
            <w:pPr>
              <w:spacing w:before="60" w:after="60"/>
              <w:rPr>
                <w:color w:val="0000FF"/>
              </w:rPr>
            </w:pPr>
            <w:r>
              <w:rPr>
                <w:color w:val="0000FF"/>
              </w:rPr>
              <w:t>103-104</w:t>
            </w:r>
          </w:p>
        </w:tc>
      </w:tr>
      <w:tr w:rsidR="00EB4471" w14:paraId="7F486255" w14:textId="77777777" w:rsidTr="00D014E4">
        <w:trPr>
          <w:cantSplit/>
          <w:jc w:val="center"/>
        </w:trPr>
        <w:tc>
          <w:tcPr>
            <w:tcW w:w="1624" w:type="pct"/>
          </w:tcPr>
          <w:p w14:paraId="7F486251" w14:textId="77777777" w:rsidR="00EB4471" w:rsidRPr="00981988" w:rsidRDefault="00B11951" w:rsidP="00D014E4">
            <w:pPr>
              <w:spacing w:before="60" w:after="60"/>
            </w:pPr>
            <w:r>
              <w:t xml:space="preserve">Appendix </w:t>
            </w:r>
            <w:r w:rsidR="00026633">
              <w:t>M</w:t>
            </w:r>
          </w:p>
        </w:tc>
        <w:tc>
          <w:tcPr>
            <w:tcW w:w="1552" w:type="pct"/>
          </w:tcPr>
          <w:p w14:paraId="7F486252" w14:textId="77777777" w:rsidR="00EB4471" w:rsidRDefault="002E6571" w:rsidP="002E6571">
            <w:pPr>
              <w:spacing w:before="60" w:after="60"/>
            </w:pPr>
            <w:r>
              <w:t xml:space="preserve">New appendix added on Schools not conducted for profit </w:t>
            </w:r>
          </w:p>
        </w:tc>
        <w:tc>
          <w:tcPr>
            <w:tcW w:w="912" w:type="pct"/>
          </w:tcPr>
          <w:p w14:paraId="7F486253" w14:textId="77777777" w:rsidR="00EB4471" w:rsidRDefault="000815ED" w:rsidP="00D014E4">
            <w:pPr>
              <w:spacing w:before="60" w:after="60"/>
            </w:pPr>
            <w:r>
              <w:t>105-106</w:t>
            </w:r>
          </w:p>
        </w:tc>
        <w:tc>
          <w:tcPr>
            <w:tcW w:w="912" w:type="pct"/>
          </w:tcPr>
          <w:p w14:paraId="7F486254" w14:textId="77777777" w:rsidR="00EB4471" w:rsidRPr="00166909" w:rsidRDefault="00EB4471" w:rsidP="002E6571">
            <w:pPr>
              <w:spacing w:before="60" w:after="60"/>
              <w:rPr>
                <w:color w:val="0000FF"/>
              </w:rPr>
            </w:pPr>
          </w:p>
        </w:tc>
      </w:tr>
      <w:tr w:rsidR="00EB4471" w14:paraId="7F48625A" w14:textId="77777777" w:rsidTr="00D014E4">
        <w:trPr>
          <w:cantSplit/>
          <w:jc w:val="center"/>
        </w:trPr>
        <w:tc>
          <w:tcPr>
            <w:tcW w:w="1624" w:type="pct"/>
          </w:tcPr>
          <w:p w14:paraId="7F486256" w14:textId="77777777" w:rsidR="00EB4471" w:rsidRDefault="00B11951" w:rsidP="00D014E4">
            <w:pPr>
              <w:spacing w:before="60" w:after="60"/>
            </w:pPr>
            <w:r>
              <w:t xml:space="preserve">Appendix </w:t>
            </w:r>
            <w:r w:rsidR="00026633">
              <w:t>O</w:t>
            </w:r>
          </w:p>
        </w:tc>
        <w:tc>
          <w:tcPr>
            <w:tcW w:w="1552" w:type="pct"/>
          </w:tcPr>
          <w:p w14:paraId="7F486257" w14:textId="77777777" w:rsidR="00EB4471" w:rsidRDefault="00B11951" w:rsidP="00D014E4">
            <w:pPr>
              <w:spacing w:before="60" w:after="60"/>
            </w:pPr>
            <w:r>
              <w:t>Updated Background; Regulation 4; Table N.1 Individual school information; Timing</w:t>
            </w:r>
          </w:p>
        </w:tc>
        <w:tc>
          <w:tcPr>
            <w:tcW w:w="912" w:type="pct"/>
          </w:tcPr>
          <w:p w14:paraId="7F486258" w14:textId="77777777" w:rsidR="00EB4471" w:rsidRDefault="000815ED" w:rsidP="00026633">
            <w:pPr>
              <w:spacing w:before="60" w:after="60"/>
            </w:pPr>
            <w:r>
              <w:t>108-113</w:t>
            </w:r>
          </w:p>
        </w:tc>
        <w:tc>
          <w:tcPr>
            <w:tcW w:w="912" w:type="pct"/>
          </w:tcPr>
          <w:p w14:paraId="7F486259" w14:textId="77777777" w:rsidR="00EB4471" w:rsidRDefault="000815ED" w:rsidP="002E6571">
            <w:pPr>
              <w:spacing w:before="60" w:after="60"/>
              <w:rPr>
                <w:color w:val="0000FF"/>
              </w:rPr>
            </w:pPr>
            <w:r>
              <w:rPr>
                <w:color w:val="0000FF"/>
              </w:rPr>
              <w:t>106-111</w:t>
            </w:r>
          </w:p>
        </w:tc>
      </w:tr>
      <w:tr w:rsidR="00EB4471" w14:paraId="7F48625F" w14:textId="77777777" w:rsidTr="003A43F4">
        <w:trPr>
          <w:cantSplit/>
          <w:jc w:val="center"/>
        </w:trPr>
        <w:tc>
          <w:tcPr>
            <w:tcW w:w="1624" w:type="pct"/>
          </w:tcPr>
          <w:p w14:paraId="7F48625B" w14:textId="77777777" w:rsidR="00EB4471" w:rsidRDefault="00F7080A" w:rsidP="003A43F4">
            <w:pPr>
              <w:spacing w:before="60" w:after="60"/>
            </w:pPr>
            <w:r>
              <w:t xml:space="preserve">Appendix </w:t>
            </w:r>
            <w:r w:rsidR="00026633">
              <w:t>P</w:t>
            </w:r>
          </w:p>
        </w:tc>
        <w:tc>
          <w:tcPr>
            <w:tcW w:w="1552" w:type="pct"/>
          </w:tcPr>
          <w:p w14:paraId="7F48625C" w14:textId="77777777" w:rsidR="00EB4471" w:rsidRDefault="00F7080A" w:rsidP="00B11951">
            <w:pPr>
              <w:spacing w:before="60" w:after="60"/>
            </w:pPr>
            <w:r>
              <w:t>Updated Calendar of Key Events</w:t>
            </w:r>
          </w:p>
        </w:tc>
        <w:tc>
          <w:tcPr>
            <w:tcW w:w="912" w:type="pct"/>
          </w:tcPr>
          <w:p w14:paraId="7F48625D" w14:textId="77777777" w:rsidR="00EB4471" w:rsidRDefault="000815ED" w:rsidP="00026633">
            <w:pPr>
              <w:spacing w:before="60" w:after="60"/>
            </w:pPr>
            <w:r>
              <w:t>114-115</w:t>
            </w:r>
          </w:p>
        </w:tc>
        <w:tc>
          <w:tcPr>
            <w:tcW w:w="912" w:type="pct"/>
          </w:tcPr>
          <w:p w14:paraId="7F48625E" w14:textId="77777777" w:rsidR="00EB4471" w:rsidRDefault="000815ED" w:rsidP="003A43F4">
            <w:pPr>
              <w:spacing w:before="60" w:after="60"/>
              <w:rPr>
                <w:color w:val="0000FF"/>
              </w:rPr>
            </w:pPr>
            <w:r>
              <w:rPr>
                <w:color w:val="0000FF"/>
              </w:rPr>
              <w:t>112-113</w:t>
            </w:r>
          </w:p>
        </w:tc>
      </w:tr>
    </w:tbl>
    <w:p w14:paraId="7F486260" w14:textId="77777777" w:rsidR="004219BA" w:rsidRDefault="004219BA" w:rsidP="004219BA">
      <w:pPr>
        <w:spacing w:before="0" w:line="240" w:lineRule="auto"/>
        <w:rPr>
          <w:rFonts w:cs="Garamond"/>
          <w:caps/>
          <w:color w:val="165788"/>
          <w:sz w:val="48"/>
          <w:szCs w:val="48"/>
          <w:lang w:val="en-GB"/>
        </w:rPr>
      </w:pPr>
    </w:p>
    <w:p w14:paraId="7F486261" w14:textId="77777777" w:rsidR="004219BA" w:rsidRDefault="004219BA" w:rsidP="004219BA">
      <w:pPr>
        <w:spacing w:before="0" w:line="240" w:lineRule="auto"/>
        <w:rPr>
          <w:rFonts w:cs="Garamond"/>
          <w:caps/>
          <w:color w:val="165788"/>
          <w:sz w:val="48"/>
          <w:szCs w:val="48"/>
          <w:lang w:val="en-GB"/>
        </w:rPr>
      </w:pPr>
      <w:r>
        <w:br w:type="page"/>
      </w:r>
    </w:p>
    <w:p w14:paraId="7F486262" w14:textId="77777777" w:rsidR="0028333D" w:rsidRPr="0031509B" w:rsidRDefault="00026633" w:rsidP="0031509B">
      <w:pPr>
        <w:rPr>
          <w:color w:val="548DD4" w:themeColor="text2" w:themeTint="99"/>
        </w:rPr>
      </w:pPr>
      <w:r w:rsidRPr="0031509B">
        <w:rPr>
          <w:color w:val="548DD4" w:themeColor="text2" w:themeTint="99"/>
          <w:sz w:val="48"/>
          <w:szCs w:val="48"/>
        </w:rPr>
        <w:lastRenderedPageBreak/>
        <w:t>CONTENTS</w:t>
      </w:r>
    </w:p>
    <w:p w14:paraId="7F486263" w14:textId="77777777" w:rsidR="00A0461E" w:rsidRDefault="000945C2">
      <w:pPr>
        <w:pStyle w:val="TOC1"/>
        <w:rPr>
          <w:rFonts w:asciiTheme="minorHAnsi" w:eastAsiaTheme="minorEastAsia" w:hAnsiTheme="minorHAnsi" w:cstheme="minorBidi"/>
          <w:b w:val="0"/>
          <w:bCs w:val="0"/>
          <w:noProof/>
          <w:color w:val="auto"/>
          <w:sz w:val="22"/>
          <w:szCs w:val="22"/>
          <w:lang w:val="en-AU"/>
        </w:rPr>
      </w:pPr>
      <w:r w:rsidRPr="00061D40">
        <w:rPr>
          <w:b w:val="0"/>
          <w:bCs w:val="0"/>
          <w:caps/>
        </w:rPr>
        <w:fldChar w:fldCharType="begin"/>
      </w:r>
      <w:r w:rsidR="00683134" w:rsidRPr="00061D40">
        <w:rPr>
          <w:b w:val="0"/>
          <w:bCs w:val="0"/>
          <w:caps/>
        </w:rPr>
        <w:instrText xml:space="preserve"> TOC \o "2-2" \f \h \z \t "Heading 1,1,Style1,1" </w:instrText>
      </w:r>
      <w:r w:rsidRPr="00061D40">
        <w:rPr>
          <w:b w:val="0"/>
          <w:bCs w:val="0"/>
          <w:caps/>
        </w:rPr>
        <w:fldChar w:fldCharType="separate"/>
      </w:r>
      <w:hyperlink w:anchor="_Toc346205315" w:history="1">
        <w:r w:rsidR="00A0461E" w:rsidRPr="00721B2C">
          <w:rPr>
            <w:rStyle w:val="Hyperlink"/>
            <w:noProof/>
          </w:rPr>
          <w:t>Part 1: Introduction</w:t>
        </w:r>
        <w:r w:rsidR="00A0461E">
          <w:rPr>
            <w:noProof/>
            <w:webHidden/>
          </w:rPr>
          <w:tab/>
        </w:r>
        <w:r w:rsidR="00A0461E">
          <w:rPr>
            <w:noProof/>
            <w:webHidden/>
          </w:rPr>
          <w:fldChar w:fldCharType="begin"/>
        </w:r>
        <w:r w:rsidR="00A0461E">
          <w:rPr>
            <w:noProof/>
            <w:webHidden/>
          </w:rPr>
          <w:instrText xml:space="preserve"> PAGEREF _Toc346205315 \h </w:instrText>
        </w:r>
        <w:r w:rsidR="00A0461E">
          <w:rPr>
            <w:noProof/>
            <w:webHidden/>
          </w:rPr>
        </w:r>
        <w:r w:rsidR="00A0461E">
          <w:rPr>
            <w:noProof/>
            <w:webHidden/>
          </w:rPr>
          <w:fldChar w:fldCharType="separate"/>
        </w:r>
        <w:r w:rsidR="000609B4">
          <w:rPr>
            <w:noProof/>
            <w:webHidden/>
          </w:rPr>
          <w:t>1</w:t>
        </w:r>
        <w:r w:rsidR="00A0461E">
          <w:rPr>
            <w:noProof/>
            <w:webHidden/>
          </w:rPr>
          <w:fldChar w:fldCharType="end"/>
        </w:r>
      </w:hyperlink>
    </w:p>
    <w:p w14:paraId="7F486264" w14:textId="77777777" w:rsidR="00A0461E" w:rsidRDefault="00C73D8D">
      <w:pPr>
        <w:pStyle w:val="TOC1"/>
        <w:rPr>
          <w:rFonts w:asciiTheme="minorHAnsi" w:eastAsiaTheme="minorEastAsia" w:hAnsiTheme="minorHAnsi" w:cstheme="minorBidi"/>
          <w:b w:val="0"/>
          <w:bCs w:val="0"/>
          <w:noProof/>
          <w:color w:val="auto"/>
          <w:sz w:val="22"/>
          <w:szCs w:val="22"/>
          <w:lang w:val="en-AU"/>
        </w:rPr>
      </w:pPr>
      <w:hyperlink w:anchor="_Toc346205316" w:history="1">
        <w:r w:rsidR="00A0461E" w:rsidRPr="00721B2C">
          <w:rPr>
            <w:rStyle w:val="Hyperlink"/>
            <w:noProof/>
          </w:rPr>
          <w:t>Part 2: Grants for Recurrent Expenditure</w:t>
        </w:r>
        <w:r w:rsidR="00A0461E">
          <w:rPr>
            <w:noProof/>
            <w:webHidden/>
          </w:rPr>
          <w:tab/>
        </w:r>
        <w:r w:rsidR="00A0461E">
          <w:rPr>
            <w:noProof/>
            <w:webHidden/>
          </w:rPr>
          <w:fldChar w:fldCharType="begin"/>
        </w:r>
        <w:r w:rsidR="00A0461E">
          <w:rPr>
            <w:noProof/>
            <w:webHidden/>
          </w:rPr>
          <w:instrText xml:space="preserve"> PAGEREF _Toc346205316 \h </w:instrText>
        </w:r>
        <w:r w:rsidR="00A0461E">
          <w:rPr>
            <w:noProof/>
            <w:webHidden/>
          </w:rPr>
        </w:r>
        <w:r w:rsidR="00A0461E">
          <w:rPr>
            <w:noProof/>
            <w:webHidden/>
          </w:rPr>
          <w:fldChar w:fldCharType="separate"/>
        </w:r>
        <w:r w:rsidR="000609B4">
          <w:rPr>
            <w:noProof/>
            <w:webHidden/>
          </w:rPr>
          <w:t>11</w:t>
        </w:r>
        <w:r w:rsidR="00A0461E">
          <w:rPr>
            <w:noProof/>
            <w:webHidden/>
          </w:rPr>
          <w:fldChar w:fldCharType="end"/>
        </w:r>
      </w:hyperlink>
    </w:p>
    <w:p w14:paraId="7F486265" w14:textId="77777777" w:rsidR="00A0461E" w:rsidRDefault="00C73D8D">
      <w:pPr>
        <w:pStyle w:val="TOC2"/>
        <w:rPr>
          <w:rFonts w:asciiTheme="minorHAnsi" w:eastAsiaTheme="minorEastAsia" w:hAnsiTheme="minorHAnsi" w:cstheme="minorBidi"/>
          <w:noProof/>
          <w:sz w:val="22"/>
          <w:szCs w:val="22"/>
        </w:rPr>
      </w:pPr>
      <w:hyperlink w:anchor="_Toc346205317" w:history="1">
        <w:r w:rsidR="00A0461E" w:rsidRPr="00721B2C">
          <w:rPr>
            <w:rStyle w:val="Hyperlink"/>
            <w:noProof/>
          </w:rPr>
          <w:t>2.1 Recurrent Grants Program</w:t>
        </w:r>
        <w:r w:rsidR="00A0461E">
          <w:rPr>
            <w:noProof/>
            <w:webHidden/>
          </w:rPr>
          <w:tab/>
        </w:r>
        <w:r w:rsidR="00A0461E">
          <w:rPr>
            <w:noProof/>
            <w:webHidden/>
          </w:rPr>
          <w:fldChar w:fldCharType="begin"/>
        </w:r>
        <w:r w:rsidR="00A0461E">
          <w:rPr>
            <w:noProof/>
            <w:webHidden/>
          </w:rPr>
          <w:instrText xml:space="preserve"> PAGEREF _Toc346205317 \h </w:instrText>
        </w:r>
        <w:r w:rsidR="00A0461E">
          <w:rPr>
            <w:noProof/>
            <w:webHidden/>
          </w:rPr>
        </w:r>
        <w:r w:rsidR="00A0461E">
          <w:rPr>
            <w:noProof/>
            <w:webHidden/>
          </w:rPr>
          <w:fldChar w:fldCharType="separate"/>
        </w:r>
        <w:r w:rsidR="000609B4">
          <w:rPr>
            <w:noProof/>
            <w:webHidden/>
          </w:rPr>
          <w:t>11</w:t>
        </w:r>
        <w:r w:rsidR="00A0461E">
          <w:rPr>
            <w:noProof/>
            <w:webHidden/>
          </w:rPr>
          <w:fldChar w:fldCharType="end"/>
        </w:r>
      </w:hyperlink>
    </w:p>
    <w:p w14:paraId="7F486266" w14:textId="77777777" w:rsidR="00A0461E" w:rsidRDefault="00C73D8D">
      <w:pPr>
        <w:pStyle w:val="TOC2"/>
        <w:rPr>
          <w:rFonts w:asciiTheme="minorHAnsi" w:eastAsiaTheme="minorEastAsia" w:hAnsiTheme="minorHAnsi" w:cstheme="minorBidi"/>
          <w:noProof/>
          <w:sz w:val="22"/>
          <w:szCs w:val="22"/>
        </w:rPr>
      </w:pPr>
      <w:hyperlink w:anchor="_Toc346205318" w:history="1">
        <w:r w:rsidR="00A0461E" w:rsidRPr="00721B2C">
          <w:rPr>
            <w:rStyle w:val="Hyperlink"/>
            <w:noProof/>
          </w:rPr>
          <w:t>2.2 Indigenous Supplementary Assistance</w:t>
        </w:r>
        <w:r w:rsidR="00A0461E">
          <w:rPr>
            <w:noProof/>
            <w:webHidden/>
          </w:rPr>
          <w:tab/>
        </w:r>
        <w:r w:rsidR="00A0461E">
          <w:rPr>
            <w:noProof/>
            <w:webHidden/>
          </w:rPr>
          <w:fldChar w:fldCharType="begin"/>
        </w:r>
        <w:r w:rsidR="00A0461E">
          <w:rPr>
            <w:noProof/>
            <w:webHidden/>
          </w:rPr>
          <w:instrText xml:space="preserve"> PAGEREF _Toc346205318 \h </w:instrText>
        </w:r>
        <w:r w:rsidR="00A0461E">
          <w:rPr>
            <w:noProof/>
            <w:webHidden/>
          </w:rPr>
        </w:r>
        <w:r w:rsidR="00A0461E">
          <w:rPr>
            <w:noProof/>
            <w:webHidden/>
          </w:rPr>
          <w:fldChar w:fldCharType="separate"/>
        </w:r>
        <w:r w:rsidR="000609B4">
          <w:rPr>
            <w:noProof/>
            <w:webHidden/>
          </w:rPr>
          <w:t>20</w:t>
        </w:r>
        <w:r w:rsidR="00A0461E">
          <w:rPr>
            <w:noProof/>
            <w:webHidden/>
          </w:rPr>
          <w:fldChar w:fldCharType="end"/>
        </w:r>
      </w:hyperlink>
    </w:p>
    <w:p w14:paraId="7F486267" w14:textId="77777777" w:rsidR="00A0461E" w:rsidRDefault="00C73D8D">
      <w:pPr>
        <w:pStyle w:val="TOC2"/>
        <w:rPr>
          <w:rFonts w:asciiTheme="minorHAnsi" w:eastAsiaTheme="minorEastAsia" w:hAnsiTheme="minorHAnsi" w:cstheme="minorBidi"/>
          <w:noProof/>
          <w:sz w:val="22"/>
          <w:szCs w:val="22"/>
        </w:rPr>
      </w:pPr>
      <w:hyperlink w:anchor="_Toc346205319" w:history="1">
        <w:r w:rsidR="00A0461E" w:rsidRPr="00721B2C">
          <w:rPr>
            <w:rStyle w:val="Hyperlink"/>
            <w:noProof/>
          </w:rPr>
          <w:t>2.3 Indigenous Funding Guarantee</w:t>
        </w:r>
        <w:r w:rsidR="00A0461E">
          <w:rPr>
            <w:noProof/>
            <w:webHidden/>
          </w:rPr>
          <w:tab/>
        </w:r>
        <w:r w:rsidR="00A0461E">
          <w:rPr>
            <w:noProof/>
            <w:webHidden/>
          </w:rPr>
          <w:fldChar w:fldCharType="begin"/>
        </w:r>
        <w:r w:rsidR="00A0461E">
          <w:rPr>
            <w:noProof/>
            <w:webHidden/>
          </w:rPr>
          <w:instrText xml:space="preserve"> PAGEREF _Toc346205319 \h </w:instrText>
        </w:r>
        <w:r w:rsidR="00A0461E">
          <w:rPr>
            <w:noProof/>
            <w:webHidden/>
          </w:rPr>
        </w:r>
        <w:r w:rsidR="00A0461E">
          <w:rPr>
            <w:noProof/>
            <w:webHidden/>
          </w:rPr>
          <w:fldChar w:fldCharType="separate"/>
        </w:r>
        <w:r w:rsidR="000609B4">
          <w:rPr>
            <w:noProof/>
            <w:webHidden/>
          </w:rPr>
          <w:t>22</w:t>
        </w:r>
        <w:r w:rsidR="00A0461E">
          <w:rPr>
            <w:noProof/>
            <w:webHidden/>
          </w:rPr>
          <w:fldChar w:fldCharType="end"/>
        </w:r>
      </w:hyperlink>
    </w:p>
    <w:p w14:paraId="7F486268" w14:textId="77777777" w:rsidR="00A0461E" w:rsidRDefault="00C73D8D">
      <w:pPr>
        <w:pStyle w:val="TOC2"/>
        <w:rPr>
          <w:rFonts w:asciiTheme="minorHAnsi" w:eastAsiaTheme="minorEastAsia" w:hAnsiTheme="minorHAnsi" w:cstheme="minorBidi"/>
          <w:noProof/>
          <w:sz w:val="22"/>
          <w:szCs w:val="22"/>
        </w:rPr>
      </w:pPr>
      <w:hyperlink w:anchor="_Toc346205320" w:history="1">
        <w:r w:rsidR="00A0461E" w:rsidRPr="00721B2C">
          <w:rPr>
            <w:rStyle w:val="Hyperlink"/>
            <w:noProof/>
          </w:rPr>
          <w:t>2.4 Program Management and Accountability</w:t>
        </w:r>
        <w:r w:rsidR="00A0461E">
          <w:rPr>
            <w:noProof/>
            <w:webHidden/>
          </w:rPr>
          <w:tab/>
        </w:r>
        <w:r w:rsidR="00A0461E">
          <w:rPr>
            <w:noProof/>
            <w:webHidden/>
          </w:rPr>
          <w:fldChar w:fldCharType="begin"/>
        </w:r>
        <w:r w:rsidR="00A0461E">
          <w:rPr>
            <w:noProof/>
            <w:webHidden/>
          </w:rPr>
          <w:instrText xml:space="preserve"> PAGEREF _Toc346205320 \h </w:instrText>
        </w:r>
        <w:r w:rsidR="00A0461E">
          <w:rPr>
            <w:noProof/>
            <w:webHidden/>
          </w:rPr>
        </w:r>
        <w:r w:rsidR="00A0461E">
          <w:rPr>
            <w:noProof/>
            <w:webHidden/>
          </w:rPr>
          <w:fldChar w:fldCharType="separate"/>
        </w:r>
        <w:r w:rsidR="000609B4">
          <w:rPr>
            <w:noProof/>
            <w:webHidden/>
          </w:rPr>
          <w:t>24</w:t>
        </w:r>
        <w:r w:rsidR="00A0461E">
          <w:rPr>
            <w:noProof/>
            <w:webHidden/>
          </w:rPr>
          <w:fldChar w:fldCharType="end"/>
        </w:r>
      </w:hyperlink>
    </w:p>
    <w:p w14:paraId="7F486269" w14:textId="77777777" w:rsidR="00A0461E" w:rsidRDefault="00C73D8D">
      <w:pPr>
        <w:pStyle w:val="TOC1"/>
        <w:rPr>
          <w:rFonts w:asciiTheme="minorHAnsi" w:eastAsiaTheme="minorEastAsia" w:hAnsiTheme="minorHAnsi" w:cstheme="minorBidi"/>
          <w:b w:val="0"/>
          <w:bCs w:val="0"/>
          <w:noProof/>
          <w:color w:val="auto"/>
          <w:sz w:val="22"/>
          <w:szCs w:val="22"/>
          <w:lang w:val="en-AU"/>
        </w:rPr>
      </w:pPr>
      <w:hyperlink w:anchor="_Toc346205321" w:history="1">
        <w:r w:rsidR="00A0461E" w:rsidRPr="00721B2C">
          <w:rPr>
            <w:rStyle w:val="Hyperlink"/>
            <w:noProof/>
          </w:rPr>
          <w:t>Part 3: Grants For Capital Expenditure</w:t>
        </w:r>
        <w:r w:rsidR="00A0461E">
          <w:rPr>
            <w:noProof/>
            <w:webHidden/>
          </w:rPr>
          <w:tab/>
        </w:r>
        <w:r w:rsidR="00A0461E">
          <w:rPr>
            <w:noProof/>
            <w:webHidden/>
          </w:rPr>
          <w:fldChar w:fldCharType="begin"/>
        </w:r>
        <w:r w:rsidR="00A0461E">
          <w:rPr>
            <w:noProof/>
            <w:webHidden/>
          </w:rPr>
          <w:instrText xml:space="preserve"> PAGEREF _Toc346205321 \h </w:instrText>
        </w:r>
        <w:r w:rsidR="00A0461E">
          <w:rPr>
            <w:noProof/>
            <w:webHidden/>
          </w:rPr>
        </w:r>
        <w:r w:rsidR="00A0461E">
          <w:rPr>
            <w:noProof/>
            <w:webHidden/>
          </w:rPr>
          <w:fldChar w:fldCharType="separate"/>
        </w:r>
        <w:r w:rsidR="000609B4">
          <w:rPr>
            <w:noProof/>
            <w:webHidden/>
          </w:rPr>
          <w:t>29</w:t>
        </w:r>
        <w:r w:rsidR="00A0461E">
          <w:rPr>
            <w:noProof/>
            <w:webHidden/>
          </w:rPr>
          <w:fldChar w:fldCharType="end"/>
        </w:r>
      </w:hyperlink>
    </w:p>
    <w:p w14:paraId="7F48626A" w14:textId="77777777" w:rsidR="00A0461E" w:rsidRDefault="00C73D8D">
      <w:pPr>
        <w:pStyle w:val="TOC1"/>
        <w:rPr>
          <w:rFonts w:asciiTheme="minorHAnsi" w:eastAsiaTheme="minorEastAsia" w:hAnsiTheme="minorHAnsi" w:cstheme="minorBidi"/>
          <w:b w:val="0"/>
          <w:bCs w:val="0"/>
          <w:noProof/>
          <w:color w:val="auto"/>
          <w:sz w:val="22"/>
          <w:szCs w:val="22"/>
          <w:lang w:val="en-AU"/>
        </w:rPr>
      </w:pPr>
      <w:hyperlink w:anchor="_Toc346205322" w:history="1">
        <w:r w:rsidR="00A0461E" w:rsidRPr="00721B2C">
          <w:rPr>
            <w:rStyle w:val="Hyperlink"/>
            <w:noProof/>
          </w:rPr>
          <w:t>Part 4: Grants For Targeted Expenditure</w:t>
        </w:r>
        <w:r w:rsidR="00A0461E">
          <w:rPr>
            <w:noProof/>
            <w:webHidden/>
          </w:rPr>
          <w:tab/>
        </w:r>
        <w:r w:rsidR="00A0461E">
          <w:rPr>
            <w:noProof/>
            <w:webHidden/>
          </w:rPr>
          <w:fldChar w:fldCharType="begin"/>
        </w:r>
        <w:r w:rsidR="00A0461E">
          <w:rPr>
            <w:noProof/>
            <w:webHidden/>
          </w:rPr>
          <w:instrText xml:space="preserve"> PAGEREF _Toc346205322 \h </w:instrText>
        </w:r>
        <w:r w:rsidR="00A0461E">
          <w:rPr>
            <w:noProof/>
            <w:webHidden/>
          </w:rPr>
        </w:r>
        <w:r w:rsidR="00A0461E">
          <w:rPr>
            <w:noProof/>
            <w:webHidden/>
          </w:rPr>
          <w:fldChar w:fldCharType="separate"/>
        </w:r>
        <w:r w:rsidR="000609B4">
          <w:rPr>
            <w:noProof/>
            <w:webHidden/>
          </w:rPr>
          <w:t>41</w:t>
        </w:r>
        <w:r w:rsidR="00A0461E">
          <w:rPr>
            <w:noProof/>
            <w:webHidden/>
          </w:rPr>
          <w:fldChar w:fldCharType="end"/>
        </w:r>
      </w:hyperlink>
    </w:p>
    <w:p w14:paraId="7F48626B" w14:textId="77777777" w:rsidR="00A0461E" w:rsidRDefault="00C73D8D">
      <w:pPr>
        <w:pStyle w:val="TOC2"/>
        <w:rPr>
          <w:rFonts w:asciiTheme="minorHAnsi" w:eastAsiaTheme="minorEastAsia" w:hAnsiTheme="minorHAnsi" w:cstheme="minorBidi"/>
          <w:noProof/>
          <w:sz w:val="22"/>
          <w:szCs w:val="22"/>
        </w:rPr>
      </w:pPr>
      <w:hyperlink w:anchor="_Toc346205323" w:history="1">
        <w:r w:rsidR="00A0461E" w:rsidRPr="00721B2C">
          <w:rPr>
            <w:rStyle w:val="Hyperlink"/>
            <w:noProof/>
          </w:rPr>
          <w:t>4.1 Short Term Emergency Assistance</w:t>
        </w:r>
        <w:r w:rsidR="00A0461E">
          <w:rPr>
            <w:noProof/>
            <w:webHidden/>
          </w:rPr>
          <w:tab/>
        </w:r>
        <w:r w:rsidR="00A0461E">
          <w:rPr>
            <w:noProof/>
            <w:webHidden/>
          </w:rPr>
          <w:fldChar w:fldCharType="begin"/>
        </w:r>
        <w:r w:rsidR="00A0461E">
          <w:rPr>
            <w:noProof/>
            <w:webHidden/>
          </w:rPr>
          <w:instrText xml:space="preserve"> PAGEREF _Toc346205323 \h </w:instrText>
        </w:r>
        <w:r w:rsidR="00A0461E">
          <w:rPr>
            <w:noProof/>
            <w:webHidden/>
          </w:rPr>
        </w:r>
        <w:r w:rsidR="00A0461E">
          <w:rPr>
            <w:noProof/>
            <w:webHidden/>
          </w:rPr>
          <w:fldChar w:fldCharType="separate"/>
        </w:r>
        <w:r w:rsidR="000609B4">
          <w:rPr>
            <w:noProof/>
            <w:webHidden/>
          </w:rPr>
          <w:t>41</w:t>
        </w:r>
        <w:r w:rsidR="00A0461E">
          <w:rPr>
            <w:noProof/>
            <w:webHidden/>
          </w:rPr>
          <w:fldChar w:fldCharType="end"/>
        </w:r>
      </w:hyperlink>
    </w:p>
    <w:p w14:paraId="7F48626C" w14:textId="77777777" w:rsidR="00A0461E" w:rsidRDefault="00C73D8D">
      <w:pPr>
        <w:pStyle w:val="TOC2"/>
        <w:rPr>
          <w:rFonts w:asciiTheme="minorHAnsi" w:eastAsiaTheme="minorEastAsia" w:hAnsiTheme="minorHAnsi" w:cstheme="minorBidi"/>
          <w:noProof/>
          <w:sz w:val="22"/>
          <w:szCs w:val="22"/>
        </w:rPr>
      </w:pPr>
      <w:hyperlink w:anchor="_Toc346205324" w:history="1">
        <w:r w:rsidR="00A0461E" w:rsidRPr="00721B2C">
          <w:rPr>
            <w:rStyle w:val="Hyperlink"/>
            <w:noProof/>
          </w:rPr>
          <w:t>4.2 Country Areas Program</w:t>
        </w:r>
        <w:r w:rsidR="00A0461E">
          <w:rPr>
            <w:noProof/>
            <w:webHidden/>
          </w:rPr>
          <w:tab/>
        </w:r>
        <w:r w:rsidR="00A0461E">
          <w:rPr>
            <w:noProof/>
            <w:webHidden/>
          </w:rPr>
          <w:fldChar w:fldCharType="begin"/>
        </w:r>
        <w:r w:rsidR="00A0461E">
          <w:rPr>
            <w:noProof/>
            <w:webHidden/>
          </w:rPr>
          <w:instrText xml:space="preserve"> PAGEREF _Toc346205324 \h </w:instrText>
        </w:r>
        <w:r w:rsidR="00A0461E">
          <w:rPr>
            <w:noProof/>
            <w:webHidden/>
          </w:rPr>
        </w:r>
        <w:r w:rsidR="00A0461E">
          <w:rPr>
            <w:noProof/>
            <w:webHidden/>
          </w:rPr>
          <w:fldChar w:fldCharType="separate"/>
        </w:r>
        <w:r w:rsidR="000609B4">
          <w:rPr>
            <w:noProof/>
            <w:webHidden/>
          </w:rPr>
          <w:t>50</w:t>
        </w:r>
        <w:r w:rsidR="00A0461E">
          <w:rPr>
            <w:noProof/>
            <w:webHidden/>
          </w:rPr>
          <w:fldChar w:fldCharType="end"/>
        </w:r>
      </w:hyperlink>
    </w:p>
    <w:p w14:paraId="7F48626D" w14:textId="77777777" w:rsidR="00A0461E" w:rsidRDefault="00C73D8D">
      <w:pPr>
        <w:pStyle w:val="TOC2"/>
        <w:rPr>
          <w:rFonts w:asciiTheme="minorHAnsi" w:eastAsiaTheme="minorEastAsia" w:hAnsiTheme="minorHAnsi" w:cstheme="minorBidi"/>
          <w:noProof/>
          <w:sz w:val="22"/>
          <w:szCs w:val="22"/>
        </w:rPr>
      </w:pPr>
      <w:hyperlink w:anchor="_Toc346205325" w:history="1">
        <w:r w:rsidR="00A0461E" w:rsidRPr="00721B2C">
          <w:rPr>
            <w:rStyle w:val="Hyperlink"/>
            <w:noProof/>
          </w:rPr>
          <w:t>4.3 School Languages Program</w:t>
        </w:r>
        <w:r w:rsidR="00A0461E">
          <w:rPr>
            <w:noProof/>
            <w:webHidden/>
          </w:rPr>
          <w:tab/>
        </w:r>
        <w:r w:rsidR="00A0461E">
          <w:rPr>
            <w:noProof/>
            <w:webHidden/>
          </w:rPr>
          <w:fldChar w:fldCharType="begin"/>
        </w:r>
        <w:r w:rsidR="00A0461E">
          <w:rPr>
            <w:noProof/>
            <w:webHidden/>
          </w:rPr>
          <w:instrText xml:space="preserve"> PAGEREF _Toc346205325 \h </w:instrText>
        </w:r>
        <w:r w:rsidR="00A0461E">
          <w:rPr>
            <w:noProof/>
            <w:webHidden/>
          </w:rPr>
        </w:r>
        <w:r w:rsidR="00A0461E">
          <w:rPr>
            <w:noProof/>
            <w:webHidden/>
          </w:rPr>
          <w:fldChar w:fldCharType="separate"/>
        </w:r>
        <w:r w:rsidR="000609B4">
          <w:rPr>
            <w:noProof/>
            <w:webHidden/>
          </w:rPr>
          <w:t>55</w:t>
        </w:r>
        <w:r w:rsidR="00A0461E">
          <w:rPr>
            <w:noProof/>
            <w:webHidden/>
          </w:rPr>
          <w:fldChar w:fldCharType="end"/>
        </w:r>
      </w:hyperlink>
    </w:p>
    <w:p w14:paraId="7F48626E" w14:textId="77777777" w:rsidR="00A0461E" w:rsidRDefault="00C73D8D">
      <w:pPr>
        <w:pStyle w:val="TOC2"/>
        <w:rPr>
          <w:rFonts w:asciiTheme="minorHAnsi" w:eastAsiaTheme="minorEastAsia" w:hAnsiTheme="minorHAnsi" w:cstheme="minorBidi"/>
          <w:noProof/>
          <w:sz w:val="22"/>
          <w:szCs w:val="22"/>
        </w:rPr>
      </w:pPr>
      <w:hyperlink w:anchor="_Toc346205326" w:history="1">
        <w:r w:rsidR="00A0461E" w:rsidRPr="00721B2C">
          <w:rPr>
            <w:rStyle w:val="Hyperlink"/>
            <w:noProof/>
          </w:rPr>
          <w:t>4.4 English as a Second Language – New Arrivals Program</w:t>
        </w:r>
        <w:r w:rsidR="00A0461E">
          <w:rPr>
            <w:noProof/>
            <w:webHidden/>
          </w:rPr>
          <w:tab/>
        </w:r>
        <w:r w:rsidR="00A0461E">
          <w:rPr>
            <w:noProof/>
            <w:webHidden/>
          </w:rPr>
          <w:fldChar w:fldCharType="begin"/>
        </w:r>
        <w:r w:rsidR="00A0461E">
          <w:rPr>
            <w:noProof/>
            <w:webHidden/>
          </w:rPr>
          <w:instrText xml:space="preserve"> PAGEREF _Toc346205326 \h </w:instrText>
        </w:r>
        <w:r w:rsidR="00A0461E">
          <w:rPr>
            <w:noProof/>
            <w:webHidden/>
          </w:rPr>
        </w:r>
        <w:r w:rsidR="00A0461E">
          <w:rPr>
            <w:noProof/>
            <w:webHidden/>
          </w:rPr>
          <w:fldChar w:fldCharType="separate"/>
        </w:r>
        <w:r w:rsidR="000609B4">
          <w:rPr>
            <w:noProof/>
            <w:webHidden/>
          </w:rPr>
          <w:t>62</w:t>
        </w:r>
        <w:r w:rsidR="00A0461E">
          <w:rPr>
            <w:noProof/>
            <w:webHidden/>
          </w:rPr>
          <w:fldChar w:fldCharType="end"/>
        </w:r>
      </w:hyperlink>
    </w:p>
    <w:p w14:paraId="7F48626F" w14:textId="77777777" w:rsidR="00A0461E" w:rsidRDefault="00C73D8D">
      <w:pPr>
        <w:pStyle w:val="TOC2"/>
        <w:rPr>
          <w:rFonts w:asciiTheme="minorHAnsi" w:eastAsiaTheme="minorEastAsia" w:hAnsiTheme="minorHAnsi" w:cstheme="minorBidi"/>
          <w:noProof/>
          <w:sz w:val="22"/>
          <w:szCs w:val="22"/>
        </w:rPr>
      </w:pPr>
      <w:hyperlink w:anchor="_Toc346205327" w:history="1">
        <w:r w:rsidR="00A0461E" w:rsidRPr="00721B2C">
          <w:rPr>
            <w:rStyle w:val="Hyperlink"/>
            <w:noProof/>
          </w:rPr>
          <w:t>4.5 Literacy, Numeracy and Special Learning Needs Program</w:t>
        </w:r>
        <w:r w:rsidR="00A0461E">
          <w:rPr>
            <w:noProof/>
            <w:webHidden/>
          </w:rPr>
          <w:tab/>
        </w:r>
        <w:r w:rsidR="00A0461E">
          <w:rPr>
            <w:noProof/>
            <w:webHidden/>
          </w:rPr>
          <w:fldChar w:fldCharType="begin"/>
        </w:r>
        <w:r w:rsidR="00A0461E">
          <w:rPr>
            <w:noProof/>
            <w:webHidden/>
          </w:rPr>
          <w:instrText xml:space="preserve"> PAGEREF _Toc346205327 \h </w:instrText>
        </w:r>
        <w:r w:rsidR="00A0461E">
          <w:rPr>
            <w:noProof/>
            <w:webHidden/>
          </w:rPr>
        </w:r>
        <w:r w:rsidR="00A0461E">
          <w:rPr>
            <w:noProof/>
            <w:webHidden/>
          </w:rPr>
          <w:fldChar w:fldCharType="separate"/>
        </w:r>
        <w:r w:rsidR="000609B4">
          <w:rPr>
            <w:noProof/>
            <w:webHidden/>
          </w:rPr>
          <w:t>67</w:t>
        </w:r>
        <w:r w:rsidR="00A0461E">
          <w:rPr>
            <w:noProof/>
            <w:webHidden/>
          </w:rPr>
          <w:fldChar w:fldCharType="end"/>
        </w:r>
      </w:hyperlink>
    </w:p>
    <w:p w14:paraId="7F486270" w14:textId="77777777" w:rsidR="00A0461E" w:rsidRDefault="00C73D8D">
      <w:pPr>
        <w:pStyle w:val="TOC1"/>
        <w:rPr>
          <w:rFonts w:asciiTheme="minorHAnsi" w:eastAsiaTheme="minorEastAsia" w:hAnsiTheme="minorHAnsi" w:cstheme="minorBidi"/>
          <w:b w:val="0"/>
          <w:bCs w:val="0"/>
          <w:noProof/>
          <w:color w:val="auto"/>
          <w:sz w:val="22"/>
          <w:szCs w:val="22"/>
          <w:lang w:val="en-AU"/>
        </w:rPr>
      </w:pPr>
      <w:hyperlink w:anchor="_Toc346205328" w:history="1">
        <w:r w:rsidR="00A0461E" w:rsidRPr="00721B2C">
          <w:rPr>
            <w:rStyle w:val="Hyperlink"/>
            <w:noProof/>
          </w:rPr>
          <w:t>Part 5: References</w:t>
        </w:r>
        <w:r w:rsidR="00A0461E">
          <w:rPr>
            <w:noProof/>
            <w:webHidden/>
          </w:rPr>
          <w:tab/>
        </w:r>
        <w:r w:rsidR="00A0461E">
          <w:rPr>
            <w:noProof/>
            <w:webHidden/>
          </w:rPr>
          <w:fldChar w:fldCharType="begin"/>
        </w:r>
        <w:r w:rsidR="00A0461E">
          <w:rPr>
            <w:noProof/>
            <w:webHidden/>
          </w:rPr>
          <w:instrText xml:space="preserve"> PAGEREF _Toc346205328 \h </w:instrText>
        </w:r>
        <w:r w:rsidR="00A0461E">
          <w:rPr>
            <w:noProof/>
            <w:webHidden/>
          </w:rPr>
        </w:r>
        <w:r w:rsidR="00A0461E">
          <w:rPr>
            <w:noProof/>
            <w:webHidden/>
          </w:rPr>
          <w:fldChar w:fldCharType="separate"/>
        </w:r>
        <w:r w:rsidR="000609B4">
          <w:rPr>
            <w:noProof/>
            <w:webHidden/>
          </w:rPr>
          <w:t>73</w:t>
        </w:r>
        <w:r w:rsidR="00A0461E">
          <w:rPr>
            <w:noProof/>
            <w:webHidden/>
          </w:rPr>
          <w:fldChar w:fldCharType="end"/>
        </w:r>
      </w:hyperlink>
    </w:p>
    <w:p w14:paraId="7F486271" w14:textId="77777777" w:rsidR="00A0461E" w:rsidRDefault="00C73D8D">
      <w:pPr>
        <w:pStyle w:val="TOC2"/>
        <w:rPr>
          <w:rFonts w:asciiTheme="minorHAnsi" w:eastAsiaTheme="minorEastAsia" w:hAnsiTheme="minorHAnsi" w:cstheme="minorBidi"/>
          <w:noProof/>
          <w:sz w:val="22"/>
          <w:szCs w:val="22"/>
        </w:rPr>
      </w:pPr>
      <w:hyperlink w:anchor="_Toc346205329" w:history="1">
        <w:r w:rsidR="00A0461E" w:rsidRPr="00721B2C">
          <w:rPr>
            <w:rStyle w:val="Hyperlink"/>
            <w:noProof/>
          </w:rPr>
          <w:t>5.1 Acronyms</w:t>
        </w:r>
        <w:r w:rsidR="00A0461E">
          <w:rPr>
            <w:noProof/>
            <w:webHidden/>
          </w:rPr>
          <w:tab/>
        </w:r>
        <w:r w:rsidR="00A0461E">
          <w:rPr>
            <w:noProof/>
            <w:webHidden/>
          </w:rPr>
          <w:fldChar w:fldCharType="begin"/>
        </w:r>
        <w:r w:rsidR="00A0461E">
          <w:rPr>
            <w:noProof/>
            <w:webHidden/>
          </w:rPr>
          <w:instrText xml:space="preserve"> PAGEREF _Toc346205329 \h </w:instrText>
        </w:r>
        <w:r w:rsidR="00A0461E">
          <w:rPr>
            <w:noProof/>
            <w:webHidden/>
          </w:rPr>
        </w:r>
        <w:r w:rsidR="00A0461E">
          <w:rPr>
            <w:noProof/>
            <w:webHidden/>
          </w:rPr>
          <w:fldChar w:fldCharType="separate"/>
        </w:r>
        <w:r w:rsidR="000609B4">
          <w:rPr>
            <w:noProof/>
            <w:webHidden/>
          </w:rPr>
          <w:t>73</w:t>
        </w:r>
        <w:r w:rsidR="00A0461E">
          <w:rPr>
            <w:noProof/>
            <w:webHidden/>
          </w:rPr>
          <w:fldChar w:fldCharType="end"/>
        </w:r>
      </w:hyperlink>
    </w:p>
    <w:p w14:paraId="7F486272" w14:textId="77777777" w:rsidR="00A0461E" w:rsidRDefault="00C73D8D">
      <w:pPr>
        <w:pStyle w:val="TOC2"/>
        <w:rPr>
          <w:rFonts w:asciiTheme="minorHAnsi" w:eastAsiaTheme="minorEastAsia" w:hAnsiTheme="minorHAnsi" w:cstheme="minorBidi"/>
          <w:noProof/>
          <w:sz w:val="22"/>
          <w:szCs w:val="22"/>
        </w:rPr>
      </w:pPr>
      <w:hyperlink w:anchor="_Toc346205330" w:history="1">
        <w:r w:rsidR="00A0461E" w:rsidRPr="00721B2C">
          <w:rPr>
            <w:rStyle w:val="Hyperlink"/>
            <w:noProof/>
          </w:rPr>
          <w:t>5.2 Additional Information</w:t>
        </w:r>
        <w:r w:rsidR="00A0461E">
          <w:rPr>
            <w:noProof/>
            <w:webHidden/>
          </w:rPr>
          <w:tab/>
        </w:r>
        <w:r w:rsidR="00A0461E">
          <w:rPr>
            <w:noProof/>
            <w:webHidden/>
          </w:rPr>
          <w:fldChar w:fldCharType="begin"/>
        </w:r>
        <w:r w:rsidR="00A0461E">
          <w:rPr>
            <w:noProof/>
            <w:webHidden/>
          </w:rPr>
          <w:instrText xml:space="preserve"> PAGEREF _Toc346205330 \h </w:instrText>
        </w:r>
        <w:r w:rsidR="00A0461E">
          <w:rPr>
            <w:noProof/>
            <w:webHidden/>
          </w:rPr>
        </w:r>
        <w:r w:rsidR="00A0461E">
          <w:rPr>
            <w:noProof/>
            <w:webHidden/>
          </w:rPr>
          <w:fldChar w:fldCharType="separate"/>
        </w:r>
        <w:r w:rsidR="000609B4">
          <w:rPr>
            <w:noProof/>
            <w:webHidden/>
          </w:rPr>
          <w:t>75</w:t>
        </w:r>
        <w:r w:rsidR="00A0461E">
          <w:rPr>
            <w:noProof/>
            <w:webHidden/>
          </w:rPr>
          <w:fldChar w:fldCharType="end"/>
        </w:r>
      </w:hyperlink>
    </w:p>
    <w:p w14:paraId="7F486273" w14:textId="77777777" w:rsidR="00A0461E" w:rsidRDefault="00C73D8D">
      <w:pPr>
        <w:pStyle w:val="TOC1"/>
        <w:rPr>
          <w:rFonts w:asciiTheme="minorHAnsi" w:eastAsiaTheme="minorEastAsia" w:hAnsiTheme="minorHAnsi" w:cstheme="minorBidi"/>
          <w:b w:val="0"/>
          <w:bCs w:val="0"/>
          <w:noProof/>
          <w:color w:val="auto"/>
          <w:sz w:val="22"/>
          <w:szCs w:val="22"/>
          <w:lang w:val="en-AU"/>
        </w:rPr>
      </w:pPr>
      <w:hyperlink w:anchor="_Toc346205331" w:history="1">
        <w:r w:rsidR="00A0461E" w:rsidRPr="00721B2C">
          <w:rPr>
            <w:rStyle w:val="Hyperlink"/>
            <w:noProof/>
          </w:rPr>
          <w:t>Part 6: Appendices</w:t>
        </w:r>
        <w:r w:rsidR="00A0461E">
          <w:rPr>
            <w:noProof/>
            <w:webHidden/>
          </w:rPr>
          <w:tab/>
        </w:r>
        <w:r w:rsidR="00A0461E">
          <w:rPr>
            <w:noProof/>
            <w:webHidden/>
          </w:rPr>
          <w:fldChar w:fldCharType="begin"/>
        </w:r>
        <w:r w:rsidR="00A0461E">
          <w:rPr>
            <w:noProof/>
            <w:webHidden/>
          </w:rPr>
          <w:instrText xml:space="preserve"> PAGEREF _Toc346205331 \h </w:instrText>
        </w:r>
        <w:r w:rsidR="00A0461E">
          <w:rPr>
            <w:noProof/>
            <w:webHidden/>
          </w:rPr>
        </w:r>
        <w:r w:rsidR="00A0461E">
          <w:rPr>
            <w:noProof/>
            <w:webHidden/>
          </w:rPr>
          <w:fldChar w:fldCharType="separate"/>
        </w:r>
        <w:r w:rsidR="000609B4">
          <w:rPr>
            <w:noProof/>
            <w:webHidden/>
          </w:rPr>
          <w:t>77</w:t>
        </w:r>
        <w:r w:rsidR="00A0461E">
          <w:rPr>
            <w:noProof/>
            <w:webHidden/>
          </w:rPr>
          <w:fldChar w:fldCharType="end"/>
        </w:r>
      </w:hyperlink>
    </w:p>
    <w:p w14:paraId="7F486274" w14:textId="77777777" w:rsidR="00A0461E" w:rsidRDefault="00C73D8D">
      <w:pPr>
        <w:pStyle w:val="TOC2"/>
        <w:rPr>
          <w:rFonts w:asciiTheme="minorHAnsi" w:eastAsiaTheme="minorEastAsia" w:hAnsiTheme="minorHAnsi" w:cstheme="minorBidi"/>
          <w:noProof/>
          <w:sz w:val="22"/>
          <w:szCs w:val="22"/>
        </w:rPr>
      </w:pPr>
      <w:hyperlink w:anchor="_Toc346205332" w:history="1">
        <w:r w:rsidR="00A0461E" w:rsidRPr="00721B2C">
          <w:rPr>
            <w:rStyle w:val="Hyperlink"/>
            <w:noProof/>
          </w:rPr>
          <w:t>Appendix A: Guidelines for Calculating an SES Score</w:t>
        </w:r>
        <w:r w:rsidR="00A0461E">
          <w:rPr>
            <w:noProof/>
            <w:webHidden/>
          </w:rPr>
          <w:tab/>
        </w:r>
        <w:r w:rsidR="00A0461E">
          <w:rPr>
            <w:noProof/>
            <w:webHidden/>
          </w:rPr>
          <w:fldChar w:fldCharType="begin"/>
        </w:r>
        <w:r w:rsidR="00A0461E">
          <w:rPr>
            <w:noProof/>
            <w:webHidden/>
          </w:rPr>
          <w:instrText xml:space="preserve"> PAGEREF _Toc346205332 \h </w:instrText>
        </w:r>
        <w:r w:rsidR="00A0461E">
          <w:rPr>
            <w:noProof/>
            <w:webHidden/>
          </w:rPr>
        </w:r>
        <w:r w:rsidR="00A0461E">
          <w:rPr>
            <w:noProof/>
            <w:webHidden/>
          </w:rPr>
          <w:fldChar w:fldCharType="separate"/>
        </w:r>
        <w:r w:rsidR="000609B4">
          <w:rPr>
            <w:noProof/>
            <w:webHidden/>
          </w:rPr>
          <w:t>77</w:t>
        </w:r>
        <w:r w:rsidR="00A0461E">
          <w:rPr>
            <w:noProof/>
            <w:webHidden/>
          </w:rPr>
          <w:fldChar w:fldCharType="end"/>
        </w:r>
      </w:hyperlink>
    </w:p>
    <w:p w14:paraId="7F486275" w14:textId="77777777" w:rsidR="00A0461E" w:rsidRDefault="00C73D8D">
      <w:pPr>
        <w:pStyle w:val="TOC2"/>
        <w:rPr>
          <w:rFonts w:asciiTheme="minorHAnsi" w:eastAsiaTheme="minorEastAsia" w:hAnsiTheme="minorHAnsi" w:cstheme="minorBidi"/>
          <w:noProof/>
          <w:sz w:val="22"/>
          <w:szCs w:val="22"/>
        </w:rPr>
      </w:pPr>
      <w:hyperlink w:anchor="_Toc346205333" w:history="1">
        <w:r w:rsidR="00A0461E" w:rsidRPr="00721B2C">
          <w:rPr>
            <w:rStyle w:val="Hyperlink"/>
            <w:noProof/>
          </w:rPr>
          <w:t>Appendix B: Review of Non-government Schools’ SES Scores</w:t>
        </w:r>
        <w:r w:rsidR="00A0461E">
          <w:rPr>
            <w:noProof/>
            <w:webHidden/>
          </w:rPr>
          <w:tab/>
        </w:r>
        <w:r w:rsidR="00A0461E">
          <w:rPr>
            <w:noProof/>
            <w:webHidden/>
          </w:rPr>
          <w:fldChar w:fldCharType="begin"/>
        </w:r>
        <w:r w:rsidR="00A0461E">
          <w:rPr>
            <w:noProof/>
            <w:webHidden/>
          </w:rPr>
          <w:instrText xml:space="preserve"> PAGEREF _Toc346205333 \h </w:instrText>
        </w:r>
        <w:r w:rsidR="00A0461E">
          <w:rPr>
            <w:noProof/>
            <w:webHidden/>
          </w:rPr>
        </w:r>
        <w:r w:rsidR="00A0461E">
          <w:rPr>
            <w:noProof/>
            <w:webHidden/>
          </w:rPr>
          <w:fldChar w:fldCharType="separate"/>
        </w:r>
        <w:r w:rsidR="000609B4">
          <w:rPr>
            <w:noProof/>
            <w:webHidden/>
          </w:rPr>
          <w:t>81</w:t>
        </w:r>
        <w:r w:rsidR="00A0461E">
          <w:rPr>
            <w:noProof/>
            <w:webHidden/>
          </w:rPr>
          <w:fldChar w:fldCharType="end"/>
        </w:r>
      </w:hyperlink>
    </w:p>
    <w:p w14:paraId="7F486276" w14:textId="77777777" w:rsidR="00A0461E" w:rsidRDefault="00C73D8D">
      <w:pPr>
        <w:pStyle w:val="TOC2"/>
        <w:rPr>
          <w:rFonts w:asciiTheme="minorHAnsi" w:eastAsiaTheme="minorEastAsia" w:hAnsiTheme="minorHAnsi" w:cstheme="minorBidi"/>
          <w:noProof/>
          <w:sz w:val="22"/>
          <w:szCs w:val="22"/>
        </w:rPr>
      </w:pPr>
      <w:hyperlink w:anchor="_Toc346205334" w:history="1">
        <w:r w:rsidR="00A0461E" w:rsidRPr="00721B2C">
          <w:rPr>
            <w:rStyle w:val="Hyperlink"/>
            <w:noProof/>
          </w:rPr>
          <w:t>Appendix C: Appeal of Non-government Schools’ SES Scores</w:t>
        </w:r>
        <w:r w:rsidR="00A0461E">
          <w:rPr>
            <w:noProof/>
            <w:webHidden/>
          </w:rPr>
          <w:tab/>
        </w:r>
        <w:r w:rsidR="00A0461E">
          <w:rPr>
            <w:noProof/>
            <w:webHidden/>
          </w:rPr>
          <w:fldChar w:fldCharType="begin"/>
        </w:r>
        <w:r w:rsidR="00A0461E">
          <w:rPr>
            <w:noProof/>
            <w:webHidden/>
          </w:rPr>
          <w:instrText xml:space="preserve"> PAGEREF _Toc346205334 \h </w:instrText>
        </w:r>
        <w:r w:rsidR="00A0461E">
          <w:rPr>
            <w:noProof/>
            <w:webHidden/>
          </w:rPr>
        </w:r>
        <w:r w:rsidR="00A0461E">
          <w:rPr>
            <w:noProof/>
            <w:webHidden/>
          </w:rPr>
          <w:fldChar w:fldCharType="separate"/>
        </w:r>
        <w:r w:rsidR="000609B4">
          <w:rPr>
            <w:noProof/>
            <w:webHidden/>
          </w:rPr>
          <w:t>84</w:t>
        </w:r>
        <w:r w:rsidR="00A0461E">
          <w:rPr>
            <w:noProof/>
            <w:webHidden/>
          </w:rPr>
          <w:fldChar w:fldCharType="end"/>
        </w:r>
      </w:hyperlink>
    </w:p>
    <w:p w14:paraId="7F486277" w14:textId="77777777" w:rsidR="00A0461E" w:rsidRDefault="00C73D8D">
      <w:pPr>
        <w:pStyle w:val="TOC2"/>
        <w:rPr>
          <w:rFonts w:asciiTheme="minorHAnsi" w:eastAsiaTheme="minorEastAsia" w:hAnsiTheme="minorHAnsi" w:cstheme="minorBidi"/>
          <w:noProof/>
          <w:sz w:val="22"/>
          <w:szCs w:val="22"/>
        </w:rPr>
      </w:pPr>
      <w:hyperlink w:anchor="_Toc346205335" w:history="1">
        <w:r w:rsidR="00A0461E" w:rsidRPr="00721B2C">
          <w:rPr>
            <w:rStyle w:val="Hyperlink"/>
            <w:noProof/>
          </w:rPr>
          <w:t>Appendix D: Process for Approving New Non-government School Systems</w:t>
        </w:r>
        <w:r w:rsidR="00A0461E">
          <w:rPr>
            <w:noProof/>
            <w:webHidden/>
          </w:rPr>
          <w:tab/>
        </w:r>
        <w:r w:rsidR="00A0461E">
          <w:rPr>
            <w:noProof/>
            <w:webHidden/>
          </w:rPr>
          <w:fldChar w:fldCharType="begin"/>
        </w:r>
        <w:r w:rsidR="00A0461E">
          <w:rPr>
            <w:noProof/>
            <w:webHidden/>
          </w:rPr>
          <w:instrText xml:space="preserve"> PAGEREF _Toc346205335 \h </w:instrText>
        </w:r>
        <w:r w:rsidR="00A0461E">
          <w:rPr>
            <w:noProof/>
            <w:webHidden/>
          </w:rPr>
        </w:r>
        <w:r w:rsidR="00A0461E">
          <w:rPr>
            <w:noProof/>
            <w:webHidden/>
          </w:rPr>
          <w:fldChar w:fldCharType="separate"/>
        </w:r>
        <w:r w:rsidR="000609B4">
          <w:rPr>
            <w:noProof/>
            <w:webHidden/>
          </w:rPr>
          <w:t>88</w:t>
        </w:r>
        <w:r w:rsidR="00A0461E">
          <w:rPr>
            <w:noProof/>
            <w:webHidden/>
          </w:rPr>
          <w:fldChar w:fldCharType="end"/>
        </w:r>
      </w:hyperlink>
    </w:p>
    <w:p w14:paraId="7F486278" w14:textId="77777777" w:rsidR="00A0461E" w:rsidRDefault="00C73D8D">
      <w:pPr>
        <w:pStyle w:val="TOC2"/>
        <w:rPr>
          <w:rFonts w:asciiTheme="minorHAnsi" w:eastAsiaTheme="minorEastAsia" w:hAnsiTheme="minorHAnsi" w:cstheme="minorBidi"/>
          <w:noProof/>
          <w:sz w:val="22"/>
          <w:szCs w:val="22"/>
        </w:rPr>
      </w:pPr>
      <w:hyperlink w:anchor="_Toc346205336" w:history="1">
        <w:r w:rsidR="00A0461E" w:rsidRPr="00721B2C">
          <w:rPr>
            <w:rStyle w:val="Hyperlink"/>
            <w:noProof/>
          </w:rPr>
          <w:t>Appendix E: Operational Requirements for Approved School Systems</w:t>
        </w:r>
        <w:r w:rsidR="00A0461E">
          <w:rPr>
            <w:noProof/>
            <w:webHidden/>
          </w:rPr>
          <w:tab/>
        </w:r>
        <w:r w:rsidR="00A0461E">
          <w:rPr>
            <w:noProof/>
            <w:webHidden/>
          </w:rPr>
          <w:fldChar w:fldCharType="begin"/>
        </w:r>
        <w:r w:rsidR="00A0461E">
          <w:rPr>
            <w:noProof/>
            <w:webHidden/>
          </w:rPr>
          <w:instrText xml:space="preserve"> PAGEREF _Toc346205336 \h </w:instrText>
        </w:r>
        <w:r w:rsidR="00A0461E">
          <w:rPr>
            <w:noProof/>
            <w:webHidden/>
          </w:rPr>
        </w:r>
        <w:r w:rsidR="00A0461E">
          <w:rPr>
            <w:noProof/>
            <w:webHidden/>
          </w:rPr>
          <w:fldChar w:fldCharType="separate"/>
        </w:r>
        <w:r w:rsidR="000609B4">
          <w:rPr>
            <w:noProof/>
            <w:webHidden/>
          </w:rPr>
          <w:t>91</w:t>
        </w:r>
        <w:r w:rsidR="00A0461E">
          <w:rPr>
            <w:noProof/>
            <w:webHidden/>
          </w:rPr>
          <w:fldChar w:fldCharType="end"/>
        </w:r>
      </w:hyperlink>
    </w:p>
    <w:p w14:paraId="7F486279" w14:textId="77777777" w:rsidR="00A0461E" w:rsidRDefault="00C73D8D">
      <w:pPr>
        <w:pStyle w:val="TOC2"/>
        <w:rPr>
          <w:rFonts w:asciiTheme="minorHAnsi" w:eastAsiaTheme="minorEastAsia" w:hAnsiTheme="minorHAnsi" w:cstheme="minorBidi"/>
          <w:noProof/>
          <w:sz w:val="22"/>
          <w:szCs w:val="22"/>
        </w:rPr>
      </w:pPr>
      <w:hyperlink w:anchor="_Toc346205337" w:history="1">
        <w:r w:rsidR="00A0461E" w:rsidRPr="00721B2C">
          <w:rPr>
            <w:rStyle w:val="Hyperlink"/>
            <w:noProof/>
          </w:rPr>
          <w:t>Appendix F: Grants for Recurrent Expenditure - Contact Details of State/Territory School Registration Boards</w:t>
        </w:r>
        <w:r w:rsidR="00A0461E">
          <w:rPr>
            <w:noProof/>
            <w:webHidden/>
          </w:rPr>
          <w:tab/>
        </w:r>
        <w:r w:rsidR="00A0461E">
          <w:rPr>
            <w:noProof/>
            <w:webHidden/>
          </w:rPr>
          <w:fldChar w:fldCharType="begin"/>
        </w:r>
        <w:r w:rsidR="00A0461E">
          <w:rPr>
            <w:noProof/>
            <w:webHidden/>
          </w:rPr>
          <w:instrText xml:space="preserve"> PAGEREF _Toc346205337 \h </w:instrText>
        </w:r>
        <w:r w:rsidR="00A0461E">
          <w:rPr>
            <w:noProof/>
            <w:webHidden/>
          </w:rPr>
        </w:r>
        <w:r w:rsidR="00A0461E">
          <w:rPr>
            <w:noProof/>
            <w:webHidden/>
          </w:rPr>
          <w:fldChar w:fldCharType="separate"/>
        </w:r>
        <w:r w:rsidR="000609B4">
          <w:rPr>
            <w:noProof/>
            <w:webHidden/>
          </w:rPr>
          <w:t>92</w:t>
        </w:r>
        <w:r w:rsidR="00A0461E">
          <w:rPr>
            <w:noProof/>
            <w:webHidden/>
          </w:rPr>
          <w:fldChar w:fldCharType="end"/>
        </w:r>
      </w:hyperlink>
    </w:p>
    <w:p w14:paraId="7F48627A" w14:textId="77777777" w:rsidR="00A0461E" w:rsidRDefault="00C73D8D">
      <w:pPr>
        <w:pStyle w:val="TOC2"/>
        <w:rPr>
          <w:rFonts w:asciiTheme="minorHAnsi" w:eastAsiaTheme="minorEastAsia" w:hAnsiTheme="minorHAnsi" w:cstheme="minorBidi"/>
          <w:noProof/>
          <w:sz w:val="22"/>
          <w:szCs w:val="22"/>
        </w:rPr>
      </w:pPr>
      <w:hyperlink w:anchor="_Toc346205338" w:history="1">
        <w:r w:rsidR="00A0461E" w:rsidRPr="00721B2C">
          <w:rPr>
            <w:rStyle w:val="Hyperlink"/>
            <w:noProof/>
          </w:rPr>
          <w:t>Appendix G: Non-government Schools Data Collections</w:t>
        </w:r>
        <w:r w:rsidR="00A0461E">
          <w:rPr>
            <w:noProof/>
            <w:webHidden/>
          </w:rPr>
          <w:tab/>
        </w:r>
        <w:r w:rsidR="00A0461E">
          <w:rPr>
            <w:noProof/>
            <w:webHidden/>
          </w:rPr>
          <w:fldChar w:fldCharType="begin"/>
        </w:r>
        <w:r w:rsidR="00A0461E">
          <w:rPr>
            <w:noProof/>
            <w:webHidden/>
          </w:rPr>
          <w:instrText xml:space="preserve"> PAGEREF _Toc346205338 \h </w:instrText>
        </w:r>
        <w:r w:rsidR="00A0461E">
          <w:rPr>
            <w:noProof/>
            <w:webHidden/>
          </w:rPr>
        </w:r>
        <w:r w:rsidR="00A0461E">
          <w:rPr>
            <w:noProof/>
            <w:webHidden/>
          </w:rPr>
          <w:fldChar w:fldCharType="separate"/>
        </w:r>
        <w:r w:rsidR="000609B4">
          <w:rPr>
            <w:noProof/>
            <w:webHidden/>
          </w:rPr>
          <w:t>94</w:t>
        </w:r>
        <w:r w:rsidR="00A0461E">
          <w:rPr>
            <w:noProof/>
            <w:webHidden/>
          </w:rPr>
          <w:fldChar w:fldCharType="end"/>
        </w:r>
      </w:hyperlink>
    </w:p>
    <w:p w14:paraId="7F48627B" w14:textId="77777777" w:rsidR="00A0461E" w:rsidRDefault="00C73D8D">
      <w:pPr>
        <w:pStyle w:val="TOC2"/>
        <w:rPr>
          <w:rFonts w:asciiTheme="minorHAnsi" w:eastAsiaTheme="minorEastAsia" w:hAnsiTheme="minorHAnsi" w:cstheme="minorBidi"/>
          <w:noProof/>
          <w:sz w:val="22"/>
          <w:szCs w:val="22"/>
        </w:rPr>
      </w:pPr>
      <w:hyperlink w:anchor="_Toc346205339" w:history="1">
        <w:r w:rsidR="00A0461E" w:rsidRPr="00721B2C">
          <w:rPr>
            <w:rStyle w:val="Hyperlink"/>
            <w:noProof/>
          </w:rPr>
          <w:t>Appendix H: Funding Tables and Payment Procedures</w:t>
        </w:r>
        <w:r w:rsidR="00A0461E">
          <w:rPr>
            <w:noProof/>
            <w:webHidden/>
          </w:rPr>
          <w:tab/>
        </w:r>
        <w:r w:rsidR="00A0461E">
          <w:rPr>
            <w:noProof/>
            <w:webHidden/>
          </w:rPr>
          <w:fldChar w:fldCharType="begin"/>
        </w:r>
        <w:r w:rsidR="00A0461E">
          <w:rPr>
            <w:noProof/>
            <w:webHidden/>
          </w:rPr>
          <w:instrText xml:space="preserve"> PAGEREF _Toc346205339 \h </w:instrText>
        </w:r>
        <w:r w:rsidR="00A0461E">
          <w:rPr>
            <w:noProof/>
            <w:webHidden/>
          </w:rPr>
        </w:r>
        <w:r w:rsidR="00A0461E">
          <w:rPr>
            <w:noProof/>
            <w:webHidden/>
          </w:rPr>
          <w:fldChar w:fldCharType="separate"/>
        </w:r>
        <w:r w:rsidR="000609B4">
          <w:rPr>
            <w:noProof/>
            <w:webHidden/>
          </w:rPr>
          <w:t>96</w:t>
        </w:r>
        <w:r w:rsidR="00A0461E">
          <w:rPr>
            <w:noProof/>
            <w:webHidden/>
          </w:rPr>
          <w:fldChar w:fldCharType="end"/>
        </w:r>
      </w:hyperlink>
    </w:p>
    <w:p w14:paraId="7F48627C" w14:textId="77777777" w:rsidR="00A0461E" w:rsidRDefault="00C73D8D">
      <w:pPr>
        <w:pStyle w:val="TOC2"/>
        <w:rPr>
          <w:rFonts w:asciiTheme="minorHAnsi" w:eastAsiaTheme="minorEastAsia" w:hAnsiTheme="minorHAnsi" w:cstheme="minorBidi"/>
          <w:noProof/>
          <w:sz w:val="22"/>
          <w:szCs w:val="22"/>
        </w:rPr>
      </w:pPr>
      <w:hyperlink w:anchor="_Toc346205340" w:history="1">
        <w:r w:rsidR="00A0461E" w:rsidRPr="00721B2C">
          <w:rPr>
            <w:rStyle w:val="Hyperlink"/>
            <w:noProof/>
          </w:rPr>
          <w:t>Appendix I: Summary Table of Funding for 2013</w:t>
        </w:r>
        <w:r w:rsidR="00A0461E">
          <w:rPr>
            <w:noProof/>
            <w:webHidden/>
          </w:rPr>
          <w:tab/>
        </w:r>
        <w:r w:rsidR="00A0461E">
          <w:rPr>
            <w:noProof/>
            <w:webHidden/>
          </w:rPr>
          <w:fldChar w:fldCharType="begin"/>
        </w:r>
        <w:r w:rsidR="00A0461E">
          <w:rPr>
            <w:noProof/>
            <w:webHidden/>
          </w:rPr>
          <w:instrText xml:space="preserve"> PAGEREF _Toc346205340 \h </w:instrText>
        </w:r>
        <w:r w:rsidR="00A0461E">
          <w:rPr>
            <w:noProof/>
            <w:webHidden/>
          </w:rPr>
        </w:r>
        <w:r w:rsidR="00A0461E">
          <w:rPr>
            <w:noProof/>
            <w:webHidden/>
          </w:rPr>
          <w:fldChar w:fldCharType="separate"/>
        </w:r>
        <w:r w:rsidR="000609B4">
          <w:rPr>
            <w:noProof/>
            <w:webHidden/>
          </w:rPr>
          <w:t>98</w:t>
        </w:r>
        <w:r w:rsidR="00A0461E">
          <w:rPr>
            <w:noProof/>
            <w:webHidden/>
          </w:rPr>
          <w:fldChar w:fldCharType="end"/>
        </w:r>
      </w:hyperlink>
    </w:p>
    <w:p w14:paraId="7F48627D" w14:textId="77777777" w:rsidR="00A0461E" w:rsidRDefault="00C73D8D">
      <w:pPr>
        <w:pStyle w:val="TOC2"/>
        <w:rPr>
          <w:rFonts w:asciiTheme="minorHAnsi" w:eastAsiaTheme="minorEastAsia" w:hAnsiTheme="minorHAnsi" w:cstheme="minorBidi"/>
          <w:noProof/>
          <w:sz w:val="22"/>
          <w:szCs w:val="22"/>
        </w:rPr>
      </w:pPr>
      <w:hyperlink w:anchor="_Toc346205341" w:history="1">
        <w:r w:rsidR="00A0461E" w:rsidRPr="00721B2C">
          <w:rPr>
            <w:rStyle w:val="Hyperlink"/>
            <w:noProof/>
          </w:rPr>
          <w:t>Appendix J: Accountability Requirements</w:t>
        </w:r>
        <w:r w:rsidR="00A0461E">
          <w:rPr>
            <w:noProof/>
            <w:webHidden/>
          </w:rPr>
          <w:tab/>
        </w:r>
        <w:r w:rsidR="00A0461E">
          <w:rPr>
            <w:noProof/>
            <w:webHidden/>
          </w:rPr>
          <w:fldChar w:fldCharType="begin"/>
        </w:r>
        <w:r w:rsidR="00A0461E">
          <w:rPr>
            <w:noProof/>
            <w:webHidden/>
          </w:rPr>
          <w:instrText xml:space="preserve"> PAGEREF _Toc346205341 \h </w:instrText>
        </w:r>
        <w:r w:rsidR="00A0461E">
          <w:rPr>
            <w:noProof/>
            <w:webHidden/>
          </w:rPr>
        </w:r>
        <w:r w:rsidR="00A0461E">
          <w:rPr>
            <w:noProof/>
            <w:webHidden/>
          </w:rPr>
          <w:fldChar w:fldCharType="separate"/>
        </w:r>
        <w:r w:rsidR="000609B4">
          <w:rPr>
            <w:noProof/>
            <w:webHidden/>
          </w:rPr>
          <w:t>99</w:t>
        </w:r>
        <w:r w:rsidR="00A0461E">
          <w:rPr>
            <w:noProof/>
            <w:webHidden/>
          </w:rPr>
          <w:fldChar w:fldCharType="end"/>
        </w:r>
      </w:hyperlink>
    </w:p>
    <w:p w14:paraId="7F48627E" w14:textId="77777777" w:rsidR="00A0461E" w:rsidRDefault="00C73D8D">
      <w:pPr>
        <w:pStyle w:val="TOC2"/>
        <w:rPr>
          <w:rFonts w:asciiTheme="minorHAnsi" w:eastAsiaTheme="minorEastAsia" w:hAnsiTheme="minorHAnsi" w:cstheme="minorBidi"/>
          <w:noProof/>
          <w:sz w:val="22"/>
          <w:szCs w:val="22"/>
        </w:rPr>
      </w:pPr>
      <w:hyperlink w:anchor="_Toc346205342" w:history="1">
        <w:r w:rsidR="00A0461E" w:rsidRPr="00721B2C">
          <w:rPr>
            <w:rStyle w:val="Hyperlink"/>
            <w:noProof/>
          </w:rPr>
          <w:t>Appendix K: Supplementation Arrangements</w:t>
        </w:r>
        <w:r w:rsidR="00A0461E">
          <w:rPr>
            <w:noProof/>
            <w:webHidden/>
          </w:rPr>
          <w:tab/>
        </w:r>
        <w:r w:rsidR="00A0461E">
          <w:rPr>
            <w:noProof/>
            <w:webHidden/>
          </w:rPr>
          <w:fldChar w:fldCharType="begin"/>
        </w:r>
        <w:r w:rsidR="00A0461E">
          <w:rPr>
            <w:noProof/>
            <w:webHidden/>
          </w:rPr>
          <w:instrText xml:space="preserve"> PAGEREF _Toc346205342 \h </w:instrText>
        </w:r>
        <w:r w:rsidR="00A0461E">
          <w:rPr>
            <w:noProof/>
            <w:webHidden/>
          </w:rPr>
        </w:r>
        <w:r w:rsidR="00A0461E">
          <w:rPr>
            <w:noProof/>
            <w:webHidden/>
          </w:rPr>
          <w:fldChar w:fldCharType="separate"/>
        </w:r>
        <w:r w:rsidR="000609B4">
          <w:rPr>
            <w:noProof/>
            <w:webHidden/>
          </w:rPr>
          <w:t>101</w:t>
        </w:r>
        <w:r w:rsidR="00A0461E">
          <w:rPr>
            <w:noProof/>
            <w:webHidden/>
          </w:rPr>
          <w:fldChar w:fldCharType="end"/>
        </w:r>
      </w:hyperlink>
    </w:p>
    <w:p w14:paraId="7F48627F" w14:textId="77777777" w:rsidR="00A0461E" w:rsidRDefault="00C73D8D">
      <w:pPr>
        <w:pStyle w:val="TOC2"/>
        <w:rPr>
          <w:rFonts w:asciiTheme="minorHAnsi" w:eastAsiaTheme="minorEastAsia" w:hAnsiTheme="minorHAnsi" w:cstheme="minorBidi"/>
          <w:noProof/>
          <w:sz w:val="22"/>
          <w:szCs w:val="22"/>
        </w:rPr>
      </w:pPr>
      <w:hyperlink w:anchor="_Toc346205343" w:history="1">
        <w:r w:rsidR="00A0461E" w:rsidRPr="00721B2C">
          <w:rPr>
            <w:rStyle w:val="Hyperlink"/>
            <w:noProof/>
          </w:rPr>
          <w:t>Appendix L: Schools not conducted for profit</w:t>
        </w:r>
        <w:r w:rsidR="00A0461E">
          <w:rPr>
            <w:noProof/>
            <w:webHidden/>
          </w:rPr>
          <w:tab/>
        </w:r>
        <w:r w:rsidR="00A0461E">
          <w:rPr>
            <w:noProof/>
            <w:webHidden/>
          </w:rPr>
          <w:fldChar w:fldCharType="begin"/>
        </w:r>
        <w:r w:rsidR="00A0461E">
          <w:rPr>
            <w:noProof/>
            <w:webHidden/>
          </w:rPr>
          <w:instrText xml:space="preserve"> PAGEREF _Toc346205343 \h </w:instrText>
        </w:r>
        <w:r w:rsidR="00A0461E">
          <w:rPr>
            <w:noProof/>
            <w:webHidden/>
          </w:rPr>
        </w:r>
        <w:r w:rsidR="00A0461E">
          <w:rPr>
            <w:noProof/>
            <w:webHidden/>
          </w:rPr>
          <w:fldChar w:fldCharType="separate"/>
        </w:r>
        <w:r w:rsidR="000609B4">
          <w:rPr>
            <w:noProof/>
            <w:webHidden/>
          </w:rPr>
          <w:t>103</w:t>
        </w:r>
        <w:r w:rsidR="00A0461E">
          <w:rPr>
            <w:noProof/>
            <w:webHidden/>
          </w:rPr>
          <w:fldChar w:fldCharType="end"/>
        </w:r>
      </w:hyperlink>
    </w:p>
    <w:p w14:paraId="7F486280" w14:textId="77777777" w:rsidR="00A0461E" w:rsidRDefault="00C73D8D">
      <w:pPr>
        <w:pStyle w:val="TOC2"/>
        <w:rPr>
          <w:rFonts w:asciiTheme="minorHAnsi" w:eastAsiaTheme="minorEastAsia" w:hAnsiTheme="minorHAnsi" w:cstheme="minorBidi"/>
          <w:noProof/>
          <w:sz w:val="22"/>
          <w:szCs w:val="22"/>
        </w:rPr>
      </w:pPr>
      <w:hyperlink w:anchor="_Toc346205344" w:history="1">
        <w:r w:rsidR="00A0461E" w:rsidRPr="00721B2C">
          <w:rPr>
            <w:rStyle w:val="Hyperlink"/>
            <w:noProof/>
          </w:rPr>
          <w:t>Appendix M: Information about requirements for funding</w:t>
        </w:r>
        <w:r w:rsidR="00A0461E">
          <w:rPr>
            <w:noProof/>
            <w:webHidden/>
          </w:rPr>
          <w:tab/>
        </w:r>
        <w:r w:rsidR="00A0461E">
          <w:rPr>
            <w:noProof/>
            <w:webHidden/>
          </w:rPr>
          <w:fldChar w:fldCharType="begin"/>
        </w:r>
        <w:r w:rsidR="00A0461E">
          <w:rPr>
            <w:noProof/>
            <w:webHidden/>
          </w:rPr>
          <w:instrText xml:space="preserve"> PAGEREF _Toc346205344 \h </w:instrText>
        </w:r>
        <w:r w:rsidR="00A0461E">
          <w:rPr>
            <w:noProof/>
            <w:webHidden/>
          </w:rPr>
        </w:r>
        <w:r w:rsidR="00A0461E">
          <w:rPr>
            <w:noProof/>
            <w:webHidden/>
          </w:rPr>
          <w:fldChar w:fldCharType="separate"/>
        </w:r>
        <w:r w:rsidR="000609B4">
          <w:rPr>
            <w:noProof/>
            <w:webHidden/>
          </w:rPr>
          <w:t>103</w:t>
        </w:r>
        <w:r w:rsidR="00A0461E">
          <w:rPr>
            <w:noProof/>
            <w:webHidden/>
          </w:rPr>
          <w:fldChar w:fldCharType="end"/>
        </w:r>
      </w:hyperlink>
    </w:p>
    <w:p w14:paraId="7F486281" w14:textId="77777777" w:rsidR="00A0461E" w:rsidRDefault="00C73D8D">
      <w:pPr>
        <w:pStyle w:val="TOC2"/>
        <w:rPr>
          <w:rFonts w:asciiTheme="minorHAnsi" w:eastAsiaTheme="minorEastAsia" w:hAnsiTheme="minorHAnsi" w:cstheme="minorBidi"/>
          <w:noProof/>
          <w:sz w:val="22"/>
          <w:szCs w:val="22"/>
        </w:rPr>
      </w:pPr>
      <w:hyperlink w:anchor="_Toc346205345" w:history="1">
        <w:r w:rsidR="00A0461E" w:rsidRPr="00721B2C">
          <w:rPr>
            <w:rStyle w:val="Hyperlink"/>
            <w:noProof/>
          </w:rPr>
          <w:t>Appendix N: Funding for schools enrolling students on visas</w:t>
        </w:r>
        <w:r w:rsidR="00A0461E">
          <w:rPr>
            <w:noProof/>
            <w:webHidden/>
          </w:rPr>
          <w:tab/>
        </w:r>
        <w:r w:rsidR="00A0461E">
          <w:rPr>
            <w:noProof/>
            <w:webHidden/>
          </w:rPr>
          <w:fldChar w:fldCharType="begin"/>
        </w:r>
        <w:r w:rsidR="00A0461E">
          <w:rPr>
            <w:noProof/>
            <w:webHidden/>
          </w:rPr>
          <w:instrText xml:space="preserve"> PAGEREF _Toc346205345 \h </w:instrText>
        </w:r>
        <w:r w:rsidR="00A0461E">
          <w:rPr>
            <w:noProof/>
            <w:webHidden/>
          </w:rPr>
        </w:r>
        <w:r w:rsidR="00A0461E">
          <w:rPr>
            <w:noProof/>
            <w:webHidden/>
          </w:rPr>
          <w:fldChar w:fldCharType="separate"/>
        </w:r>
        <w:r w:rsidR="000609B4">
          <w:rPr>
            <w:noProof/>
            <w:webHidden/>
          </w:rPr>
          <w:t>107</w:t>
        </w:r>
        <w:r w:rsidR="00A0461E">
          <w:rPr>
            <w:noProof/>
            <w:webHidden/>
          </w:rPr>
          <w:fldChar w:fldCharType="end"/>
        </w:r>
      </w:hyperlink>
    </w:p>
    <w:p w14:paraId="7F486282" w14:textId="77777777" w:rsidR="00A0461E" w:rsidRDefault="00C73D8D">
      <w:pPr>
        <w:pStyle w:val="TOC2"/>
        <w:rPr>
          <w:rFonts w:asciiTheme="minorHAnsi" w:eastAsiaTheme="minorEastAsia" w:hAnsiTheme="minorHAnsi" w:cstheme="minorBidi"/>
          <w:noProof/>
          <w:sz w:val="22"/>
          <w:szCs w:val="22"/>
        </w:rPr>
      </w:pPr>
      <w:hyperlink w:anchor="_Toc346205346" w:history="1">
        <w:r w:rsidR="00A0461E" w:rsidRPr="00721B2C">
          <w:rPr>
            <w:rStyle w:val="Hyperlink"/>
            <w:noProof/>
          </w:rPr>
          <w:t>Appendix O: Individual school information</w:t>
        </w:r>
        <w:r w:rsidR="00A0461E">
          <w:rPr>
            <w:noProof/>
            <w:webHidden/>
          </w:rPr>
          <w:tab/>
        </w:r>
        <w:r w:rsidR="00A0461E">
          <w:rPr>
            <w:noProof/>
            <w:webHidden/>
          </w:rPr>
          <w:fldChar w:fldCharType="begin"/>
        </w:r>
        <w:r w:rsidR="00A0461E">
          <w:rPr>
            <w:noProof/>
            <w:webHidden/>
          </w:rPr>
          <w:instrText xml:space="preserve"> PAGEREF _Toc346205346 \h </w:instrText>
        </w:r>
        <w:r w:rsidR="00A0461E">
          <w:rPr>
            <w:noProof/>
            <w:webHidden/>
          </w:rPr>
        </w:r>
        <w:r w:rsidR="00A0461E">
          <w:rPr>
            <w:noProof/>
            <w:webHidden/>
          </w:rPr>
          <w:fldChar w:fldCharType="separate"/>
        </w:r>
        <w:r w:rsidR="000609B4">
          <w:rPr>
            <w:noProof/>
            <w:webHidden/>
          </w:rPr>
          <w:t>108</w:t>
        </w:r>
        <w:r w:rsidR="00A0461E">
          <w:rPr>
            <w:noProof/>
            <w:webHidden/>
          </w:rPr>
          <w:fldChar w:fldCharType="end"/>
        </w:r>
      </w:hyperlink>
    </w:p>
    <w:p w14:paraId="7F486283" w14:textId="77777777" w:rsidR="00A0461E" w:rsidRDefault="00C73D8D">
      <w:pPr>
        <w:pStyle w:val="TOC2"/>
        <w:rPr>
          <w:rFonts w:asciiTheme="minorHAnsi" w:eastAsiaTheme="minorEastAsia" w:hAnsiTheme="minorHAnsi" w:cstheme="minorBidi"/>
          <w:noProof/>
          <w:sz w:val="22"/>
          <w:szCs w:val="22"/>
        </w:rPr>
      </w:pPr>
      <w:hyperlink w:anchor="_Toc346205347" w:history="1">
        <w:r w:rsidR="00A0461E" w:rsidRPr="00721B2C">
          <w:rPr>
            <w:rStyle w:val="Hyperlink"/>
            <w:noProof/>
          </w:rPr>
          <w:t>Appendix P: Calendar of Key Dates</w:t>
        </w:r>
        <w:r w:rsidR="00A0461E">
          <w:rPr>
            <w:noProof/>
            <w:webHidden/>
          </w:rPr>
          <w:tab/>
        </w:r>
        <w:r w:rsidR="00A0461E">
          <w:rPr>
            <w:noProof/>
            <w:webHidden/>
          </w:rPr>
          <w:fldChar w:fldCharType="begin"/>
        </w:r>
        <w:r w:rsidR="00A0461E">
          <w:rPr>
            <w:noProof/>
            <w:webHidden/>
          </w:rPr>
          <w:instrText xml:space="preserve"> PAGEREF _Toc346205347 \h </w:instrText>
        </w:r>
        <w:r w:rsidR="00A0461E">
          <w:rPr>
            <w:noProof/>
            <w:webHidden/>
          </w:rPr>
        </w:r>
        <w:r w:rsidR="00A0461E">
          <w:rPr>
            <w:noProof/>
            <w:webHidden/>
          </w:rPr>
          <w:fldChar w:fldCharType="separate"/>
        </w:r>
        <w:r w:rsidR="000609B4">
          <w:rPr>
            <w:noProof/>
            <w:webHidden/>
          </w:rPr>
          <w:t>114</w:t>
        </w:r>
        <w:r w:rsidR="00A0461E">
          <w:rPr>
            <w:noProof/>
            <w:webHidden/>
          </w:rPr>
          <w:fldChar w:fldCharType="end"/>
        </w:r>
      </w:hyperlink>
    </w:p>
    <w:p w14:paraId="7F486284" w14:textId="77777777" w:rsidR="00963340" w:rsidRPr="00061D40" w:rsidRDefault="000945C2" w:rsidP="00B77818">
      <w:pPr>
        <w:pStyle w:val="Heading1"/>
        <w:sectPr w:rsidR="00963340" w:rsidRPr="00061D40" w:rsidSect="008E14E7">
          <w:footerReference w:type="even" r:id="rId15"/>
          <w:type w:val="continuous"/>
          <w:pgSz w:w="11906" w:h="16838" w:code="9"/>
          <w:pgMar w:top="1418" w:right="1418" w:bottom="1134" w:left="1418" w:header="567" w:footer="567" w:gutter="0"/>
          <w:pgNumType w:start="2"/>
          <w:cols w:space="720"/>
          <w:docGrid w:linePitch="326"/>
        </w:sectPr>
      </w:pPr>
      <w:r w:rsidRPr="00061D40">
        <w:fldChar w:fldCharType="end"/>
      </w:r>
    </w:p>
    <w:p w14:paraId="7F486285" w14:textId="77777777" w:rsidR="008F7EBD" w:rsidRPr="00061D40" w:rsidRDefault="009B74E6" w:rsidP="00B77818">
      <w:pPr>
        <w:pStyle w:val="Heading1"/>
      </w:pPr>
      <w:bookmarkStart w:id="3" w:name="_Toc246483029"/>
      <w:bookmarkStart w:id="4" w:name="_Toc246493718"/>
      <w:bookmarkStart w:id="5" w:name="_Toc346205315"/>
      <w:r w:rsidRPr="00061D40">
        <w:lastRenderedPageBreak/>
        <w:t>Part 1:</w:t>
      </w:r>
      <w:r w:rsidR="008E5ABB" w:rsidRPr="00061D40">
        <w:t xml:space="preserve"> </w:t>
      </w:r>
      <w:r w:rsidR="0066752C" w:rsidRPr="00061D40">
        <w:t>I</w:t>
      </w:r>
      <w:r w:rsidR="008F7EBD" w:rsidRPr="00061D40">
        <w:t>ntroduction</w:t>
      </w:r>
      <w:bookmarkEnd w:id="3"/>
      <w:bookmarkEnd w:id="4"/>
      <w:bookmarkEnd w:id="5"/>
    </w:p>
    <w:p w14:paraId="7F486286" w14:textId="77777777" w:rsidR="00376108" w:rsidRPr="00061D40" w:rsidRDefault="00F67278" w:rsidP="0059078F">
      <w:pPr>
        <w:pStyle w:val="bodytextoutlinednumber"/>
      </w:pPr>
      <w:bookmarkStart w:id="6" w:name="_Ref222113536"/>
      <w:r w:rsidRPr="00061D40">
        <w:t xml:space="preserve">The </w:t>
      </w:r>
      <w:r w:rsidRPr="00061D40">
        <w:rPr>
          <w:i/>
        </w:rPr>
        <w:t>Administrative</w:t>
      </w:r>
      <w:r w:rsidR="00D22AE6" w:rsidRPr="00061D40">
        <w:rPr>
          <w:i/>
        </w:rPr>
        <w:t xml:space="preserve"> Guidelines</w:t>
      </w:r>
      <w:r w:rsidRPr="00061D40">
        <w:rPr>
          <w:i/>
        </w:rPr>
        <w:t xml:space="preserve"> for Commonwealth Programs for Non-</w:t>
      </w:r>
      <w:r w:rsidR="007D3971" w:rsidRPr="00061D40">
        <w:rPr>
          <w:i/>
        </w:rPr>
        <w:t xml:space="preserve">government </w:t>
      </w:r>
      <w:r w:rsidRPr="00061D40">
        <w:rPr>
          <w:i/>
        </w:rPr>
        <w:t>Schools</w:t>
      </w:r>
      <w:r w:rsidRPr="00061D40">
        <w:t xml:space="preserve"> (the Guidelines)</w:t>
      </w:r>
      <w:r w:rsidR="0077208D" w:rsidRPr="00061D40">
        <w:t xml:space="preserve"> </w:t>
      </w:r>
      <w:r w:rsidR="00DE4A0A" w:rsidRPr="00061D40">
        <w:t>provide an overview of the funding arrangements for non-government schools</w:t>
      </w:r>
      <w:r w:rsidRPr="00061D40">
        <w:t xml:space="preserve"> for 2009-201</w:t>
      </w:r>
      <w:r w:rsidR="00B65F66">
        <w:t>3/</w:t>
      </w:r>
      <w:r w:rsidR="000815ED">
        <w:t>20</w:t>
      </w:r>
      <w:r w:rsidR="00B65F66">
        <w:t>14</w:t>
      </w:r>
      <w:r w:rsidR="00DE4A0A" w:rsidRPr="00061D40">
        <w:t xml:space="preserve"> and details about key aspects of the performance and accountability framework.</w:t>
      </w:r>
      <w:bookmarkEnd w:id="6"/>
      <w:r w:rsidR="008E5ABB" w:rsidRPr="00061D40">
        <w:t xml:space="preserve"> </w:t>
      </w:r>
    </w:p>
    <w:p w14:paraId="7F486287" w14:textId="77777777" w:rsidR="0077208D" w:rsidRDefault="00DE4A0A" w:rsidP="0059078F">
      <w:pPr>
        <w:pStyle w:val="bodytextoutlinednumber"/>
      </w:pPr>
      <w:r w:rsidRPr="00061D40">
        <w:t xml:space="preserve">Each major category of funding provided for under the </w:t>
      </w:r>
      <w:r w:rsidRPr="00061D40">
        <w:rPr>
          <w:i/>
        </w:rPr>
        <w:t>Schools Assistance Act 2008</w:t>
      </w:r>
      <w:r w:rsidRPr="00061D40">
        <w:t xml:space="preserve"> </w:t>
      </w:r>
      <w:r w:rsidR="00475DCA" w:rsidRPr="00061D40">
        <w:t xml:space="preserve">(the Act) </w:t>
      </w:r>
      <w:r w:rsidRPr="00061D40">
        <w:t xml:space="preserve">is discussed in a separate section of the </w:t>
      </w:r>
      <w:r w:rsidR="00393F6A" w:rsidRPr="00061D40">
        <w:t>Guidelines</w:t>
      </w:r>
      <w:r w:rsidRPr="00061D40">
        <w:t xml:space="preserve"> to provide interested parties with </w:t>
      </w:r>
      <w:r w:rsidR="00376108" w:rsidRPr="00061D40">
        <w:t xml:space="preserve">the required </w:t>
      </w:r>
      <w:r w:rsidRPr="00061D40">
        <w:t>information to understand and apply the processes governing funding support.</w:t>
      </w:r>
      <w:r w:rsidR="008E5ABB" w:rsidRPr="00061D40">
        <w:t xml:space="preserve"> </w:t>
      </w:r>
      <w:r w:rsidRPr="00061D40">
        <w:t xml:space="preserve">Funding that is not provided under the </w:t>
      </w:r>
      <w:r w:rsidR="00475DCA" w:rsidRPr="00061D40">
        <w:t xml:space="preserve">Act </w:t>
      </w:r>
      <w:r w:rsidRPr="00061D40">
        <w:t xml:space="preserve">is not discussed in these </w:t>
      </w:r>
      <w:r w:rsidR="00C73641" w:rsidRPr="00061D40">
        <w:t>G</w:t>
      </w:r>
      <w:r w:rsidRPr="00061D40">
        <w:t>uidelines</w:t>
      </w:r>
      <w:r w:rsidR="00E9251D" w:rsidRPr="00061D40">
        <w:t>.</w:t>
      </w:r>
      <w:r w:rsidRPr="00061D40">
        <w:t xml:space="preserve"> </w:t>
      </w:r>
    </w:p>
    <w:p w14:paraId="7F486288" w14:textId="77777777" w:rsidR="000224EF" w:rsidRPr="00061D40" w:rsidRDefault="000224EF" w:rsidP="0059078F">
      <w:pPr>
        <w:pStyle w:val="bodytextoutlinednumber"/>
      </w:pPr>
      <w:r>
        <w:t xml:space="preserve">The Act has been amended to extend the </w:t>
      </w:r>
      <w:r w:rsidR="00510D2F">
        <w:t xml:space="preserve">existing </w:t>
      </w:r>
      <w:r>
        <w:t>funding arrangements</w:t>
      </w:r>
      <w:r w:rsidR="00043062">
        <w:t>, including indexation arrangements,</w:t>
      </w:r>
      <w:r w:rsidRPr="000224EF">
        <w:t xml:space="preserve"> </w:t>
      </w:r>
      <w:r>
        <w:t>for grants for recurrent and targeted expenditure until the end of 2013, and for grants for capital expenditure until the end of 2014.</w:t>
      </w:r>
    </w:p>
    <w:p w14:paraId="7F486289" w14:textId="77777777" w:rsidR="00D32016" w:rsidRDefault="00E36CF5">
      <w:pPr>
        <w:pStyle w:val="Heading3"/>
      </w:pPr>
      <w:bookmarkStart w:id="7" w:name="_Toc246483030"/>
      <w:r w:rsidRPr="00061D40">
        <w:t>Education Revolution</w:t>
      </w:r>
      <w:bookmarkEnd w:id="7"/>
      <w:r w:rsidRPr="00061D40">
        <w:t xml:space="preserve"> </w:t>
      </w:r>
    </w:p>
    <w:p w14:paraId="7F48628A" w14:textId="77777777" w:rsidR="00312926" w:rsidRPr="00061D40" w:rsidRDefault="00312926" w:rsidP="0059078F">
      <w:pPr>
        <w:pStyle w:val="bodytextoutlinednumber"/>
      </w:pPr>
      <w:r w:rsidRPr="00061D40">
        <w:t xml:space="preserve">The Australian Government’s Education Revolution involves greater collaboration and sharper focus on improving outcomes as students move through school. Reform involves collaboration across the government and non-government sectors and a genuine partnership involving parents, children, students, employers and all levels of government. </w:t>
      </w:r>
    </w:p>
    <w:p w14:paraId="7F48628B" w14:textId="77777777" w:rsidR="00312926" w:rsidRPr="00061D40" w:rsidRDefault="00312926" w:rsidP="0059078F">
      <w:pPr>
        <w:pStyle w:val="bodytextoutlinednumber"/>
      </w:pPr>
      <w:r w:rsidRPr="00061D40">
        <w:t>The Government’s commitment to delivering its Education Revolution is underpinned by a funding framework for schools which came into effect on 1 January 2009. The framework comprises:</w:t>
      </w:r>
    </w:p>
    <w:p w14:paraId="7F48628C" w14:textId="77777777" w:rsidR="00312926" w:rsidRPr="006067EC" w:rsidRDefault="00312926" w:rsidP="006067EC">
      <w:pPr>
        <w:pStyle w:val="StyleStyledotpointAfter75ptLinespacingsingle"/>
      </w:pPr>
      <w:r w:rsidRPr="006067EC">
        <w:t>the National Education Agreement (NEA) between the Commonwealth and state and territory governments that defines Commonwealth and state and territory roles and responsibilities, objectives, outcomes, performance benchmarks and indicators</w:t>
      </w:r>
    </w:p>
    <w:p w14:paraId="7F48628D" w14:textId="77777777" w:rsidR="00312926" w:rsidRPr="006067EC" w:rsidRDefault="00312926" w:rsidP="006067EC">
      <w:pPr>
        <w:pStyle w:val="StyleStyledotpointAfter75ptLinespacingsingle"/>
      </w:pPr>
      <w:r w:rsidRPr="006067EC">
        <w:t xml:space="preserve">the </w:t>
      </w:r>
      <w:r w:rsidR="008730C5" w:rsidRPr="008730C5">
        <w:rPr>
          <w:i/>
        </w:rPr>
        <w:t>Schools Assistance Act 2008</w:t>
      </w:r>
      <w:r w:rsidRPr="006067EC">
        <w:t xml:space="preserve"> that confirms the government’s financial support for the non-government school sector for the </w:t>
      </w:r>
      <w:r w:rsidR="002E1981">
        <w:t xml:space="preserve">2009 to 2013/14 program years </w:t>
      </w:r>
      <w:r w:rsidRPr="006067EC">
        <w:t xml:space="preserve">and </w:t>
      </w:r>
      <w:r w:rsidR="00E36CF5" w:rsidRPr="006067EC">
        <w:t>sets out</w:t>
      </w:r>
      <w:r w:rsidRPr="006067EC">
        <w:t xml:space="preserve"> the transparency and accountability requirements </w:t>
      </w:r>
      <w:r w:rsidR="00E36CF5" w:rsidRPr="006067EC">
        <w:t>for non-government primary and secondary education</w:t>
      </w:r>
      <w:r w:rsidRPr="006067EC">
        <w:t>.</w:t>
      </w:r>
    </w:p>
    <w:p w14:paraId="7F48628E" w14:textId="77777777" w:rsidR="007C027C" w:rsidRPr="00061D40" w:rsidRDefault="007C027C" w:rsidP="0059078F">
      <w:pPr>
        <w:pStyle w:val="bodytextoutlinednumber"/>
      </w:pPr>
      <w:r w:rsidRPr="00061D40">
        <w:t xml:space="preserve">Commonwealth funding for the states and territories for government schools </w:t>
      </w:r>
      <w:r w:rsidR="00E61EBE">
        <w:t xml:space="preserve">from </w:t>
      </w:r>
      <w:r w:rsidRPr="00061D40">
        <w:t xml:space="preserve">2009 is appropriated separately as part of the Commonwealth-State financial arrangements for Specific Purpose Payments (including schools funding) through the </w:t>
      </w:r>
      <w:r w:rsidRPr="00061D40">
        <w:rPr>
          <w:i/>
        </w:rPr>
        <w:t>Federal Financial Relations Act 2009</w:t>
      </w:r>
      <w:r w:rsidRPr="00061D40">
        <w:t>.</w:t>
      </w:r>
      <w:r w:rsidR="00562478" w:rsidRPr="00061D40">
        <w:t xml:space="preserve"> </w:t>
      </w:r>
      <w:r w:rsidRPr="00061D40">
        <w:t>The Commonwealth Department of the Treasury administers these arrangements.</w:t>
      </w:r>
    </w:p>
    <w:p w14:paraId="7F48628F" w14:textId="77777777" w:rsidR="008F7EBD" w:rsidRPr="00061D40" w:rsidRDefault="008F7EBD" w:rsidP="0059078F">
      <w:pPr>
        <w:pStyle w:val="bodytextoutlinednumber"/>
      </w:pPr>
      <w:r w:rsidRPr="00061D40">
        <w:t xml:space="preserve">The </w:t>
      </w:r>
      <w:r w:rsidR="00594C83" w:rsidRPr="008730C5">
        <w:rPr>
          <w:i/>
        </w:rPr>
        <w:t>Schools Assistance Act 2008</w:t>
      </w:r>
      <w:r w:rsidR="00594C83" w:rsidRPr="006067EC">
        <w:t xml:space="preserve"> </w:t>
      </w:r>
      <w:r w:rsidRPr="00061D40">
        <w:t>appropriates funding for non-government schools over 2009 to 201</w:t>
      </w:r>
      <w:r w:rsidR="00307140">
        <w:t>3</w:t>
      </w:r>
      <w:r w:rsidR="00770906">
        <w:t>/2014</w:t>
      </w:r>
      <w:r w:rsidRPr="00061D40">
        <w:t xml:space="preserve"> in a way that will give funding certainty, focus on quality and apply transparency and accountability requirements that are consistent with </w:t>
      </w:r>
      <w:r w:rsidR="006A787C" w:rsidRPr="00061D40">
        <w:t xml:space="preserve">those for </w:t>
      </w:r>
      <w:r w:rsidRPr="00061D40">
        <w:t>government schools</w:t>
      </w:r>
      <w:r w:rsidR="00F67278" w:rsidRPr="00061D40">
        <w:t xml:space="preserve"> under the NEA</w:t>
      </w:r>
      <w:r w:rsidRPr="00061D40">
        <w:t>.</w:t>
      </w:r>
      <w:r w:rsidR="008E5ABB" w:rsidRPr="00061D40">
        <w:t xml:space="preserve"> </w:t>
      </w:r>
      <w:r w:rsidR="00F67278" w:rsidRPr="00061D40">
        <w:t>The</w:t>
      </w:r>
      <w:r w:rsidRPr="00061D40">
        <w:t xml:space="preserve"> </w:t>
      </w:r>
      <w:r w:rsidR="00DD0C80" w:rsidRPr="00061D40">
        <w:t>Act</w:t>
      </w:r>
      <w:r w:rsidRPr="00061D40">
        <w:t xml:space="preserve"> </w:t>
      </w:r>
      <w:r w:rsidR="00F67278" w:rsidRPr="00061D40">
        <w:t xml:space="preserve">also makes </w:t>
      </w:r>
      <w:r w:rsidRPr="00061D40">
        <w:t>important changes to funding for Indigenous students in non-government schools.</w:t>
      </w:r>
      <w:r w:rsidR="008E5ABB" w:rsidRPr="00061D40">
        <w:t xml:space="preserve"> </w:t>
      </w:r>
    </w:p>
    <w:p w14:paraId="7F486290" w14:textId="77777777" w:rsidR="00AC7968" w:rsidRPr="00061D40" w:rsidRDefault="005C35EB" w:rsidP="0059078F">
      <w:pPr>
        <w:pStyle w:val="bodytextoutlinednumber"/>
      </w:pPr>
      <w:r w:rsidRPr="00061D40">
        <w:lastRenderedPageBreak/>
        <w:t xml:space="preserve">The educational outcomes of all schools, regardless of sector, will be monitored through </w:t>
      </w:r>
      <w:r w:rsidR="001F173E" w:rsidRPr="00061D40">
        <w:t>the</w:t>
      </w:r>
      <w:r w:rsidR="009D4E1F" w:rsidRPr="00061D40">
        <w:t xml:space="preserve"> Ministerial Council</w:t>
      </w:r>
      <w:r w:rsidR="004C7C89">
        <w:rPr>
          <w:rStyle w:val="FootnoteReference"/>
        </w:rPr>
        <w:footnoteReference w:id="1"/>
      </w:r>
      <w:r w:rsidR="009D4E1F" w:rsidRPr="00061D40">
        <w:t xml:space="preserve"> </w:t>
      </w:r>
      <w:r w:rsidR="00376108" w:rsidRPr="00061D40">
        <w:t xml:space="preserve">which will report to the </w:t>
      </w:r>
      <w:r w:rsidR="002239AD" w:rsidRPr="00061D40">
        <w:t>Council of Australian Governments</w:t>
      </w:r>
      <w:r w:rsidR="00DC1A94">
        <w:t>’</w:t>
      </w:r>
      <w:r w:rsidR="002239AD" w:rsidRPr="00061D40">
        <w:t xml:space="preserve"> </w:t>
      </w:r>
      <w:r w:rsidRPr="00061D40">
        <w:t>Reform Council (CRC).</w:t>
      </w:r>
      <w:r w:rsidR="008E5ABB" w:rsidRPr="00061D40">
        <w:t xml:space="preserve"> </w:t>
      </w:r>
      <w:r w:rsidRPr="00061D40">
        <w:t xml:space="preserve">CRC will </w:t>
      </w:r>
      <w:r w:rsidR="004673F8" w:rsidRPr="00061D40">
        <w:t xml:space="preserve">monitor the pace of activity in progressing </w:t>
      </w:r>
      <w:r w:rsidR="00632888" w:rsidRPr="00061D40">
        <w:t xml:space="preserve">the </w:t>
      </w:r>
      <w:r w:rsidR="002239AD" w:rsidRPr="00061D40">
        <w:t>Council of Australian Governments’ (</w:t>
      </w:r>
      <w:r w:rsidR="004673F8" w:rsidRPr="00061D40">
        <w:t>COAG</w:t>
      </w:r>
      <w:r w:rsidR="002239AD" w:rsidRPr="00061D40">
        <w:t>)</w:t>
      </w:r>
      <w:r w:rsidR="004673F8" w:rsidRPr="00061D40">
        <w:t xml:space="preserve"> agreed reform agenda.</w:t>
      </w:r>
    </w:p>
    <w:p w14:paraId="7F486291" w14:textId="77777777" w:rsidR="007A5D7D" w:rsidRDefault="006037E7" w:rsidP="006037E7">
      <w:pPr>
        <w:pStyle w:val="bodytextoutlinednumber"/>
      </w:pPr>
      <w:r>
        <w:t>On 28 November 2012, the Prime Minister, the Hon Julia Gillard MP, introduced into the Parliament the Australian Education Bill 2012. This Bill</w:t>
      </w:r>
      <w:r w:rsidR="007A5D7D">
        <w:t>:</w:t>
      </w:r>
      <w:r>
        <w:t xml:space="preserve"> </w:t>
      </w:r>
    </w:p>
    <w:p w14:paraId="7F486292" w14:textId="77777777" w:rsidR="007A5D7D" w:rsidRDefault="006037E7" w:rsidP="00904283">
      <w:pPr>
        <w:pStyle w:val="bodytextoutlinednumber"/>
        <w:numPr>
          <w:ilvl w:val="1"/>
          <w:numId w:val="10"/>
        </w:numPr>
      </w:pPr>
      <w:r>
        <w:t xml:space="preserve">establishes a national vision for schooling reform, based on the </w:t>
      </w:r>
      <w:r>
        <w:rPr>
          <w:i/>
          <w:iCs/>
        </w:rPr>
        <w:t>National Plan for School Improvement</w:t>
      </w:r>
    </w:p>
    <w:p w14:paraId="7F486293" w14:textId="77777777" w:rsidR="007A5D7D" w:rsidRPr="00904283" w:rsidRDefault="006037E7" w:rsidP="00904283">
      <w:pPr>
        <w:pStyle w:val="bodytextoutlinednumber"/>
        <w:numPr>
          <w:ilvl w:val="1"/>
          <w:numId w:val="10"/>
        </w:numPr>
        <w:rPr>
          <w:lang w:val="en-AU"/>
        </w:rPr>
      </w:pPr>
      <w:r>
        <w:t>outlines the following core reform directions: quality teaching; quality learning; empowered school leadership; transparency and accountability; meeting student need and a fairer school funding model</w:t>
      </w:r>
    </w:p>
    <w:p w14:paraId="7F486294" w14:textId="77777777" w:rsidR="007A5D7D" w:rsidRDefault="006037E7" w:rsidP="00904283">
      <w:pPr>
        <w:pStyle w:val="bodytextoutlinednumber"/>
        <w:numPr>
          <w:ilvl w:val="1"/>
          <w:numId w:val="10"/>
        </w:numPr>
      </w:pPr>
      <w:r>
        <w:t>commits the Commonwealth to work collaboratively with the states and territories and the non-government schools sector to achieve these goals, and over the coming months the Government will discuss the details of the Plan and future school funding arrangements w</w:t>
      </w:r>
      <w:r w:rsidR="004E2100">
        <w:t>ith these education authorities</w:t>
      </w:r>
    </w:p>
    <w:p w14:paraId="7F486295" w14:textId="77777777" w:rsidR="006037E7" w:rsidRDefault="006037E7" w:rsidP="00904283">
      <w:pPr>
        <w:pStyle w:val="bodytextoutlinednumber"/>
        <w:numPr>
          <w:ilvl w:val="1"/>
          <w:numId w:val="10"/>
        </w:numPr>
      </w:pPr>
      <w:r>
        <w:t xml:space="preserve">if passed, will come into effect on 1 </w:t>
      </w:r>
      <w:r w:rsidR="007A5D7D">
        <w:t>January 2014, with a transition</w:t>
      </w:r>
      <w:r>
        <w:t xml:space="preserve"> period to give all schools time to prepare and adjust</w:t>
      </w:r>
      <w:r w:rsidR="00BB0FB6">
        <w:t xml:space="preserve"> to the new arrangements.</w:t>
      </w:r>
    </w:p>
    <w:p w14:paraId="7F486296" w14:textId="77777777" w:rsidR="006037E7" w:rsidRDefault="006037E7" w:rsidP="006037E7">
      <w:pPr>
        <w:pStyle w:val="bodytextoutlinednumber"/>
        <w:numPr>
          <w:ilvl w:val="0"/>
          <w:numId w:val="0"/>
        </w:numPr>
      </w:pPr>
      <w:r>
        <w:t xml:space="preserve">The Australian Government will work collaboratively with all parties through 2013 to implement the new schools funding arrangements. Further information about the Australian Government’s Plan is available on the </w:t>
      </w:r>
      <w:r>
        <w:rPr>
          <w:i/>
          <w:iCs/>
        </w:rPr>
        <w:t>Better Schools</w:t>
      </w:r>
      <w:r>
        <w:t xml:space="preserve"> website at </w:t>
      </w:r>
      <w:hyperlink r:id="rId16" w:history="1">
        <w:r>
          <w:rPr>
            <w:rStyle w:val="Hyperlink"/>
            <w:color w:val="376092"/>
          </w:rPr>
          <w:t>www.betterschools.gov.au</w:t>
        </w:r>
      </w:hyperlink>
      <w:r>
        <w:t>.</w:t>
      </w:r>
    </w:p>
    <w:p w14:paraId="7F486297" w14:textId="77777777" w:rsidR="00D32016" w:rsidRDefault="00312926">
      <w:pPr>
        <w:pStyle w:val="Heading3"/>
      </w:pPr>
      <w:bookmarkStart w:id="8" w:name="_Toc246483031"/>
      <w:r w:rsidRPr="00061D40">
        <w:t>F</w:t>
      </w:r>
      <w:r w:rsidR="008F7EBD" w:rsidRPr="00061D40">
        <w:t>unding for non-government schools</w:t>
      </w:r>
      <w:bookmarkEnd w:id="8"/>
      <w:r w:rsidR="008F7EBD" w:rsidRPr="00061D40">
        <w:t xml:space="preserve"> </w:t>
      </w:r>
    </w:p>
    <w:p w14:paraId="7F486298" w14:textId="77777777" w:rsidR="008A068C" w:rsidRPr="00061D40" w:rsidRDefault="005D100E" w:rsidP="0059078F">
      <w:pPr>
        <w:pStyle w:val="bodytextoutlinednumber"/>
      </w:pPr>
      <w:r w:rsidRPr="00061D40">
        <w:t xml:space="preserve">The </w:t>
      </w:r>
      <w:r w:rsidR="00F1566A" w:rsidRPr="00061D40">
        <w:t>Act</w:t>
      </w:r>
      <w:r w:rsidR="00EB7048" w:rsidRPr="00061D40">
        <w:t xml:space="preserve"> </w:t>
      </w:r>
      <w:r w:rsidRPr="00061D40">
        <w:t>provides the legislative framework for Commonwealth financial assistance for non-government primary and secondary education for 2009 to 201</w:t>
      </w:r>
      <w:r w:rsidR="001D09D3">
        <w:t>3/14</w:t>
      </w:r>
      <w:r w:rsidR="00721B9D" w:rsidRPr="00061D40">
        <w:t>, including</w:t>
      </w:r>
      <w:r w:rsidR="008A068C" w:rsidRPr="00061D40">
        <w:t>:</w:t>
      </w:r>
    </w:p>
    <w:p w14:paraId="7F486299" w14:textId="77777777" w:rsidR="008A068C" w:rsidRPr="00061D40" w:rsidRDefault="008A068C" w:rsidP="00313AE7">
      <w:pPr>
        <w:pStyle w:val="bodytextoutlinednumber"/>
        <w:numPr>
          <w:ilvl w:val="1"/>
          <w:numId w:val="10"/>
        </w:numPr>
      </w:pPr>
      <w:r w:rsidRPr="00061D40">
        <w:t>recurrent and capital funding for non-government schools</w:t>
      </w:r>
    </w:p>
    <w:p w14:paraId="7F48629A" w14:textId="77777777" w:rsidR="008A068C" w:rsidRPr="00061D40" w:rsidRDefault="008A068C" w:rsidP="00313AE7">
      <w:pPr>
        <w:pStyle w:val="bodytextoutlinednumber"/>
        <w:numPr>
          <w:ilvl w:val="1"/>
          <w:numId w:val="10"/>
        </w:numPr>
      </w:pPr>
      <w:r w:rsidRPr="00061D40">
        <w:t xml:space="preserve">continuation of current indexation arrangements, with indexation of recurrent and targeted funding based on </w:t>
      </w:r>
      <w:bookmarkStart w:id="9" w:name="OLE_LINK71"/>
      <w:bookmarkStart w:id="10" w:name="OLE_LINK72"/>
      <w:r w:rsidRPr="00061D40">
        <w:t>Average Government School Recurrent Costs (AGSRC)</w:t>
      </w:r>
      <w:bookmarkEnd w:id="9"/>
      <w:bookmarkEnd w:id="10"/>
      <w:r w:rsidRPr="00061D40">
        <w:t xml:space="preserve">, and </w:t>
      </w:r>
      <w:r w:rsidR="00312926" w:rsidRPr="00061D40">
        <w:t xml:space="preserve">indexation of </w:t>
      </w:r>
      <w:r w:rsidRPr="00061D40">
        <w:t xml:space="preserve">capital </w:t>
      </w:r>
      <w:r w:rsidR="00312926" w:rsidRPr="00061D40">
        <w:t xml:space="preserve">funding based on </w:t>
      </w:r>
      <w:r w:rsidR="00A648DE" w:rsidRPr="00061D40">
        <w:t>an index of building prices and</w:t>
      </w:r>
      <w:r w:rsidR="00440BE5">
        <w:t xml:space="preserve"> </w:t>
      </w:r>
      <w:r w:rsidR="00A648DE" w:rsidRPr="00061D40">
        <w:t>wage costs</w:t>
      </w:r>
    </w:p>
    <w:p w14:paraId="7F48629B" w14:textId="77777777" w:rsidR="008A068C" w:rsidRPr="00061D40" w:rsidRDefault="008A068C" w:rsidP="00313AE7">
      <w:pPr>
        <w:pStyle w:val="bodytextoutlinednumber"/>
        <w:numPr>
          <w:ilvl w:val="1"/>
          <w:numId w:val="10"/>
        </w:numPr>
      </w:pPr>
      <w:r w:rsidRPr="00061D40">
        <w:t xml:space="preserve">maximum recurrent funding for non-government schools with </w:t>
      </w:r>
      <w:r w:rsidR="00A07857" w:rsidRPr="00061D40">
        <w:t xml:space="preserve">significant proportions </w:t>
      </w:r>
      <w:r w:rsidRPr="00061D40">
        <w:t xml:space="preserve">of Indigenous </w:t>
      </w:r>
      <w:r w:rsidR="00AF03BD" w:rsidRPr="00061D40">
        <w:t>students</w:t>
      </w:r>
    </w:p>
    <w:p w14:paraId="7F48629C" w14:textId="77777777" w:rsidR="008A068C" w:rsidRPr="00061D40" w:rsidRDefault="008A068C" w:rsidP="00313AE7">
      <w:pPr>
        <w:pStyle w:val="bodytextoutlinednumber"/>
        <w:numPr>
          <w:ilvl w:val="1"/>
          <w:numId w:val="10"/>
        </w:numPr>
      </w:pPr>
      <w:r w:rsidRPr="00061D40">
        <w:t xml:space="preserve">Indigenous Supplementary Assistance (ISA) </w:t>
      </w:r>
      <w:r w:rsidR="004F5C82" w:rsidRPr="00061D40">
        <w:t xml:space="preserve">and Indigenous Funding Guarantee </w:t>
      </w:r>
      <w:r w:rsidR="00AD1175" w:rsidRPr="00061D40">
        <w:t xml:space="preserve">(IFG) </w:t>
      </w:r>
      <w:r w:rsidRPr="00061D40">
        <w:t>for Indigenous students</w:t>
      </w:r>
    </w:p>
    <w:p w14:paraId="7F48629D" w14:textId="77777777" w:rsidR="005F6339" w:rsidRPr="00061D40" w:rsidRDefault="005F6339" w:rsidP="00313AE7">
      <w:pPr>
        <w:pStyle w:val="bodytextoutlinednumber"/>
        <w:numPr>
          <w:ilvl w:val="1"/>
          <w:numId w:val="10"/>
        </w:numPr>
      </w:pPr>
      <w:bookmarkStart w:id="11" w:name="OLE_LINK59"/>
      <w:bookmarkStart w:id="12" w:name="OLE_LINK60"/>
      <w:r w:rsidRPr="00061D40">
        <w:lastRenderedPageBreak/>
        <w:t>Targeted programs:</w:t>
      </w:r>
    </w:p>
    <w:bookmarkEnd w:id="11"/>
    <w:bookmarkEnd w:id="12"/>
    <w:p w14:paraId="7F48629E" w14:textId="77777777" w:rsidR="00A44293" w:rsidRDefault="00A44293" w:rsidP="00A44293">
      <w:pPr>
        <w:pStyle w:val="bodytextoutlinednumber"/>
        <w:numPr>
          <w:ilvl w:val="2"/>
          <w:numId w:val="10"/>
        </w:numPr>
      </w:pPr>
      <w:r w:rsidRPr="00061D40">
        <w:t>Short Term Emergency Assistance to support the operation of schools that have been affected by unforeseen, emergency circumstances</w:t>
      </w:r>
    </w:p>
    <w:p w14:paraId="7F48629F" w14:textId="77777777" w:rsidR="00DE52F5" w:rsidRPr="00061D40" w:rsidRDefault="00DE52F5" w:rsidP="00DE52F5">
      <w:pPr>
        <w:pStyle w:val="bodytextoutlinednumber"/>
        <w:numPr>
          <w:ilvl w:val="2"/>
          <w:numId w:val="10"/>
        </w:numPr>
      </w:pPr>
      <w:r w:rsidRPr="00061D40">
        <w:t>Country Areas Program which assists geographically isolated children</w:t>
      </w:r>
    </w:p>
    <w:p w14:paraId="7F4862A0" w14:textId="77777777" w:rsidR="00DE52F5" w:rsidRPr="00061D40" w:rsidRDefault="00DE52F5" w:rsidP="00DE52F5">
      <w:pPr>
        <w:pStyle w:val="bodytextoutlinednumber"/>
        <w:numPr>
          <w:ilvl w:val="2"/>
          <w:numId w:val="10"/>
        </w:numPr>
      </w:pPr>
      <w:r w:rsidRPr="00061D40">
        <w:t>School Languages Program to improve learning outcomes of students learning languages other than English</w:t>
      </w:r>
    </w:p>
    <w:p w14:paraId="7F4862A1" w14:textId="77777777" w:rsidR="00DE52F5" w:rsidRPr="00061D40" w:rsidRDefault="00DE52F5" w:rsidP="00DE52F5">
      <w:pPr>
        <w:pStyle w:val="bodytextoutlinednumber"/>
        <w:numPr>
          <w:ilvl w:val="2"/>
          <w:numId w:val="10"/>
        </w:numPr>
      </w:pPr>
      <w:r w:rsidRPr="00061D40">
        <w:t xml:space="preserve">English as a Second Language – New Arrivals (ESL-NA) Program to assist newly arrived students of </w:t>
      </w:r>
      <w:r w:rsidR="00FF6317" w:rsidRPr="00061D40">
        <w:t>non-English</w:t>
      </w:r>
      <w:r w:rsidRPr="00061D40">
        <w:t xml:space="preserve"> speaking backgrounds</w:t>
      </w:r>
    </w:p>
    <w:p w14:paraId="7F4862A2" w14:textId="77777777" w:rsidR="004135D5" w:rsidRDefault="005F6339">
      <w:pPr>
        <w:pStyle w:val="bodytextoutlinednumber"/>
        <w:numPr>
          <w:ilvl w:val="2"/>
          <w:numId w:val="10"/>
        </w:numPr>
      </w:pPr>
      <w:r w:rsidRPr="00061D40">
        <w:t xml:space="preserve">Literacy, Numeracy and Special Learning Needs </w:t>
      </w:r>
      <w:r w:rsidR="00DD025B" w:rsidRPr="00061D40">
        <w:t xml:space="preserve">(LNSLN) </w:t>
      </w:r>
      <w:r w:rsidRPr="00061D40">
        <w:t>Program which assists the most disadvantaged students including students with disabilities</w:t>
      </w:r>
      <w:r w:rsidR="00DE52F5">
        <w:t>.</w:t>
      </w:r>
    </w:p>
    <w:p w14:paraId="7F4862A3" w14:textId="77777777" w:rsidR="00A1520E" w:rsidRDefault="001F173E" w:rsidP="00DD4911">
      <w:pPr>
        <w:pStyle w:val="bodytextoutlinednumber"/>
      </w:pPr>
      <w:r w:rsidRPr="00061D40">
        <w:t xml:space="preserve">The </w:t>
      </w:r>
      <w:r w:rsidR="00F1566A" w:rsidRPr="00061D40">
        <w:t>Act</w:t>
      </w:r>
      <w:r w:rsidRPr="00061D40">
        <w:t xml:space="preserve"> can be accessed at: </w:t>
      </w:r>
      <w:r w:rsidR="00DD4911" w:rsidRPr="00DD4911">
        <w:t>http://www.comlaw.gov.au/Details/C2008A00153</w:t>
      </w:r>
      <w:r w:rsidR="007D3971" w:rsidRPr="00061D40">
        <w:t>.</w:t>
      </w:r>
    </w:p>
    <w:p w14:paraId="7F4862A4" w14:textId="77777777" w:rsidR="00D32016" w:rsidRDefault="00D90C98">
      <w:pPr>
        <w:pStyle w:val="Heading4"/>
      </w:pPr>
      <w:bookmarkStart w:id="13" w:name="_Toc88531952"/>
      <w:r w:rsidRPr="00061D40">
        <w:t>Funding conditions</w:t>
      </w:r>
      <w:bookmarkEnd w:id="13"/>
      <w:r w:rsidRPr="00061D40">
        <w:rPr>
          <w:i/>
        </w:rPr>
        <w:t xml:space="preserve"> </w:t>
      </w:r>
    </w:p>
    <w:p w14:paraId="7F4862A5" w14:textId="77777777" w:rsidR="00D90C98" w:rsidRPr="00061D40" w:rsidRDefault="00D90C98" w:rsidP="0059078F">
      <w:pPr>
        <w:pStyle w:val="bodytextoutlinednumber"/>
      </w:pPr>
      <w:r w:rsidRPr="00061D40">
        <w:t xml:space="preserve">The </w:t>
      </w:r>
      <w:r w:rsidR="00F1566A" w:rsidRPr="00061D40">
        <w:t xml:space="preserve">Act </w:t>
      </w:r>
      <w:r w:rsidRPr="00061D40">
        <w:t>prescribes the general conditions on which financial assistance is to be paid in respect of non-government schools.</w:t>
      </w:r>
      <w:r w:rsidR="008E5ABB" w:rsidRPr="00061D40">
        <w:t xml:space="preserve"> </w:t>
      </w:r>
      <w:r w:rsidRPr="00061D40">
        <w:t xml:space="preserve">Under the Act, payments to </w:t>
      </w:r>
      <w:r w:rsidR="003A3B02" w:rsidRPr="00061D40">
        <w:t xml:space="preserve">authorities </w:t>
      </w:r>
      <w:r w:rsidRPr="00061D40">
        <w:t xml:space="preserve">for non-government school systems, non-government schools and non-government bodies cannot be </w:t>
      </w:r>
      <w:r w:rsidR="003A3B02" w:rsidRPr="00061D40">
        <w:t xml:space="preserve">made </w:t>
      </w:r>
      <w:r w:rsidRPr="00061D40">
        <w:t xml:space="preserve">until </w:t>
      </w:r>
      <w:r w:rsidR="00283CA6" w:rsidRPr="00061D40">
        <w:t xml:space="preserve">those </w:t>
      </w:r>
      <w:r w:rsidR="003A3B02" w:rsidRPr="00061D40">
        <w:t xml:space="preserve">authorities </w:t>
      </w:r>
      <w:r w:rsidRPr="00061D40">
        <w:t xml:space="preserve">have </w:t>
      </w:r>
      <w:r w:rsidR="003A3B02" w:rsidRPr="00061D40">
        <w:t xml:space="preserve">each </w:t>
      </w:r>
      <w:r w:rsidRPr="00061D40">
        <w:t xml:space="preserve">signed a </w:t>
      </w:r>
      <w:r w:rsidR="00283CA6" w:rsidRPr="00061D40">
        <w:t>funding a</w:t>
      </w:r>
      <w:r w:rsidRPr="00061D40">
        <w:t>greement with the Commonwealth.</w:t>
      </w:r>
      <w:r w:rsidR="008E5ABB" w:rsidRPr="00061D40">
        <w:t xml:space="preserve"> </w:t>
      </w:r>
      <w:r w:rsidR="00283CA6" w:rsidRPr="00061D40">
        <w:t>Funding a</w:t>
      </w:r>
      <w:r w:rsidRPr="00061D40">
        <w:t>greement</w:t>
      </w:r>
      <w:r w:rsidR="00283CA6" w:rsidRPr="00061D40">
        <w:t>s</w:t>
      </w:r>
      <w:r w:rsidRPr="00061D40">
        <w:t xml:space="preserve"> list the conditions with which authorit</w:t>
      </w:r>
      <w:r w:rsidR="00CE49A3" w:rsidRPr="00061D40">
        <w:t>ies</w:t>
      </w:r>
      <w:r w:rsidRPr="00061D40">
        <w:t xml:space="preserve"> must comply in order to receive funding.</w:t>
      </w:r>
      <w:r w:rsidR="008E5ABB" w:rsidRPr="00061D40">
        <w:t xml:space="preserve"> </w:t>
      </w:r>
      <w:r w:rsidRPr="00061D40">
        <w:t>In brief, these conditions include:</w:t>
      </w:r>
    </w:p>
    <w:p w14:paraId="7F4862A6" w14:textId="77777777" w:rsidR="00D90C98" w:rsidRPr="00061D40" w:rsidRDefault="00E36CF5" w:rsidP="00313AE7">
      <w:pPr>
        <w:pStyle w:val="bodytextoutlinednumber"/>
        <w:numPr>
          <w:ilvl w:val="1"/>
          <w:numId w:val="10"/>
        </w:numPr>
      </w:pPr>
      <w:r w:rsidRPr="00061D40">
        <w:t>n</w:t>
      </w:r>
      <w:r w:rsidR="00D90C98" w:rsidRPr="00061D40">
        <w:t xml:space="preserve">ational </w:t>
      </w:r>
      <w:r w:rsidRPr="00061D40">
        <w:t>s</w:t>
      </w:r>
      <w:r w:rsidR="00D90C98" w:rsidRPr="00061D40">
        <w:t xml:space="preserve">chool </w:t>
      </w:r>
      <w:r w:rsidRPr="00061D40">
        <w:t>p</w:t>
      </w:r>
      <w:r w:rsidR="00D90C98" w:rsidRPr="00061D40">
        <w:t xml:space="preserve">erformance and </w:t>
      </w:r>
      <w:r w:rsidRPr="00061D40">
        <w:t>t</w:t>
      </w:r>
      <w:r w:rsidR="00D90C98" w:rsidRPr="00061D40">
        <w:t>ransparency requirements</w:t>
      </w:r>
    </w:p>
    <w:p w14:paraId="7F4862A7" w14:textId="77777777" w:rsidR="00D90C98" w:rsidRPr="00061D40" w:rsidRDefault="00E36CF5" w:rsidP="00313AE7">
      <w:pPr>
        <w:pStyle w:val="bodytextoutlinednumber"/>
        <w:numPr>
          <w:ilvl w:val="1"/>
          <w:numId w:val="10"/>
        </w:numPr>
      </w:pPr>
      <w:r w:rsidRPr="00061D40">
        <w:t>g</w:t>
      </w:r>
      <w:r w:rsidR="00CE49A3" w:rsidRPr="00061D40">
        <w:t>rant acquittal and reporting requirements</w:t>
      </w:r>
    </w:p>
    <w:p w14:paraId="7F4862A8" w14:textId="77777777" w:rsidR="00D90C98" w:rsidRPr="00061D40" w:rsidRDefault="00E36CF5" w:rsidP="00313AE7">
      <w:pPr>
        <w:pStyle w:val="bodytextoutlinednumber"/>
        <w:numPr>
          <w:ilvl w:val="1"/>
          <w:numId w:val="10"/>
        </w:numPr>
      </w:pPr>
      <w:r w:rsidRPr="00061D40">
        <w:t>m</w:t>
      </w:r>
      <w:r w:rsidR="00D90C98" w:rsidRPr="00061D40">
        <w:t>onitoring</w:t>
      </w:r>
      <w:r w:rsidR="00CE49A3" w:rsidRPr="00061D40">
        <w:t>, evaluation and compliance</w:t>
      </w:r>
    </w:p>
    <w:p w14:paraId="7F4862A9" w14:textId="77777777" w:rsidR="00D90C98" w:rsidRPr="00061D40" w:rsidRDefault="00E36CF5" w:rsidP="00313AE7">
      <w:pPr>
        <w:pStyle w:val="bodytextoutlinednumber"/>
        <w:numPr>
          <w:ilvl w:val="1"/>
          <w:numId w:val="10"/>
        </w:numPr>
      </w:pPr>
      <w:r w:rsidRPr="00061D40">
        <w:t>other provisions.</w:t>
      </w:r>
    </w:p>
    <w:p w14:paraId="7F4862AA" w14:textId="77777777" w:rsidR="00D90C98" w:rsidRPr="00061D40" w:rsidRDefault="0037518E" w:rsidP="0059078F">
      <w:pPr>
        <w:pStyle w:val="bodytextoutlinednumber"/>
      </w:pPr>
      <w:r w:rsidRPr="00061D40">
        <w:t>I</w:t>
      </w:r>
      <w:r w:rsidR="00D90C98" w:rsidRPr="00061D40">
        <w:t>f an authority does not fulfil a condition, the Minister may seek repayment of an amount or reduce other amounts payable to the authority or delay making any further payment to the authority.</w:t>
      </w:r>
    </w:p>
    <w:p w14:paraId="7F4862AB" w14:textId="77777777" w:rsidR="00D32016" w:rsidRDefault="00D90C98" w:rsidP="00D32016">
      <w:pPr>
        <w:pStyle w:val="bodytextoutlinednumber"/>
      </w:pPr>
      <w:r w:rsidRPr="00061D40">
        <w:t>If an authority has been paid an amount that was not properly payable, the Minister may seek repayment from the authority or reduce another amount payable to the authority.</w:t>
      </w:r>
    </w:p>
    <w:p w14:paraId="7F4862AC" w14:textId="77777777" w:rsidR="00D32016" w:rsidRDefault="008F7EBD">
      <w:pPr>
        <w:pStyle w:val="Heading3"/>
      </w:pPr>
      <w:bookmarkStart w:id="14" w:name="_Toc246483032"/>
      <w:bookmarkStart w:id="15" w:name="OLE_LINK57"/>
      <w:r w:rsidRPr="00061D40">
        <w:t>Transparency: Performance Information and Reporting Framework</w:t>
      </w:r>
      <w:bookmarkEnd w:id="14"/>
      <w:bookmarkEnd w:id="15"/>
    </w:p>
    <w:p w14:paraId="7F4862AD" w14:textId="77777777" w:rsidR="00D32016" w:rsidRDefault="001C4CF3" w:rsidP="00D32016">
      <w:pPr>
        <w:pStyle w:val="bodytextoutlinednumber"/>
      </w:pPr>
      <w:r>
        <w:t>Commonwealth financial assistance to both government and non-government schools includes a set of reporting requirements which focus on ensuring transparent reporting to government, parents and the community.</w:t>
      </w:r>
    </w:p>
    <w:p w14:paraId="7F4862AE" w14:textId="77777777" w:rsidR="001C4CF3" w:rsidRPr="00D32016" w:rsidRDefault="001C4CF3" w:rsidP="00D32016">
      <w:pPr>
        <w:pStyle w:val="bodytextoutlinednumber"/>
      </w:pPr>
      <w:r w:rsidRPr="00061D40">
        <w:t xml:space="preserve">The </w:t>
      </w:r>
      <w:r w:rsidRPr="003C697A">
        <w:t>Act</w:t>
      </w:r>
      <w:r w:rsidRPr="00D32016">
        <w:t xml:space="preserve"> </w:t>
      </w:r>
      <w:r w:rsidRPr="00067BD5">
        <w:t>and</w:t>
      </w:r>
      <w:r w:rsidRPr="00D32016">
        <w:t xml:space="preserve"> </w:t>
      </w:r>
      <w:r w:rsidR="00D156F2" w:rsidRPr="00D156F2">
        <w:t xml:space="preserve">the </w:t>
      </w:r>
      <w:r w:rsidRPr="00EE050C">
        <w:rPr>
          <w:i/>
        </w:rPr>
        <w:t>Schools Assistance Regulations 2009</w:t>
      </w:r>
      <w:r w:rsidRPr="00061D40">
        <w:t xml:space="preserve"> (the Regulations) </w:t>
      </w:r>
      <w:r w:rsidRPr="00D32016">
        <w:t xml:space="preserve">set out the reporting requirements for non-government schools and school systems and are consistent with those </w:t>
      </w:r>
      <w:r w:rsidRPr="00067BD5">
        <w:t>required of government schools under the National Education Agreement (NEA).</w:t>
      </w:r>
    </w:p>
    <w:p w14:paraId="7F4862AF" w14:textId="77777777" w:rsidR="001C4CF3" w:rsidRPr="00D32016" w:rsidRDefault="001C4CF3" w:rsidP="00D32016">
      <w:pPr>
        <w:pStyle w:val="bodytextoutlinednumber"/>
      </w:pPr>
      <w:r w:rsidRPr="00D32016">
        <w:t xml:space="preserve">As outlined in the relevant sections of the Act, the national school performance and transparency requirements encompass the following elements: </w:t>
      </w:r>
    </w:p>
    <w:p w14:paraId="7F4862B0" w14:textId="77777777" w:rsidR="001C4CF3" w:rsidRPr="00061D40" w:rsidRDefault="001C4CF3" w:rsidP="001C4CF3">
      <w:pPr>
        <w:pStyle w:val="bodytextoutlinednumber"/>
        <w:numPr>
          <w:ilvl w:val="1"/>
          <w:numId w:val="10"/>
        </w:numPr>
      </w:pPr>
      <w:r>
        <w:lastRenderedPageBreak/>
        <w:t xml:space="preserve">participation in </w:t>
      </w:r>
      <w:r w:rsidRPr="00061D40">
        <w:t>national testing</w:t>
      </w:r>
      <w:r>
        <w:t>;</w:t>
      </w:r>
    </w:p>
    <w:p w14:paraId="7F4862B1" w14:textId="77777777" w:rsidR="001C4CF3" w:rsidRPr="00061D40" w:rsidRDefault="001C4CF3" w:rsidP="001C4CF3">
      <w:pPr>
        <w:pStyle w:val="bodytextoutlinednumber"/>
        <w:numPr>
          <w:ilvl w:val="1"/>
          <w:numId w:val="10"/>
        </w:numPr>
      </w:pPr>
      <w:r>
        <w:t xml:space="preserve">participation in </w:t>
      </w:r>
      <w:r w:rsidRPr="00061D40">
        <w:t>national reports on the outcomes of schooling</w:t>
      </w:r>
      <w:r>
        <w:t>;</w:t>
      </w:r>
    </w:p>
    <w:p w14:paraId="7F4862B2" w14:textId="77777777" w:rsidR="001C4CF3" w:rsidRPr="00061D40" w:rsidRDefault="001C4CF3" w:rsidP="001C4CF3">
      <w:pPr>
        <w:pStyle w:val="bodytextoutlinednumber"/>
        <w:numPr>
          <w:ilvl w:val="1"/>
          <w:numId w:val="10"/>
        </w:numPr>
      </w:pPr>
      <w:r w:rsidRPr="00061D40">
        <w:t>provision of individual school information</w:t>
      </w:r>
      <w:r>
        <w:t>;</w:t>
      </w:r>
    </w:p>
    <w:p w14:paraId="7F4862B3" w14:textId="77777777" w:rsidR="001C4CF3" w:rsidRPr="00061D40" w:rsidRDefault="001C4CF3" w:rsidP="001C4CF3">
      <w:pPr>
        <w:pStyle w:val="bodytextoutlinednumber"/>
        <w:numPr>
          <w:ilvl w:val="1"/>
          <w:numId w:val="10"/>
        </w:numPr>
      </w:pPr>
      <w:r>
        <w:t xml:space="preserve">provision of </w:t>
      </w:r>
      <w:r w:rsidRPr="00061D40">
        <w:t>plain language student reports to parents</w:t>
      </w:r>
      <w:r>
        <w:t>; and</w:t>
      </w:r>
    </w:p>
    <w:p w14:paraId="7F4862B4" w14:textId="77777777" w:rsidR="001C4CF3" w:rsidRPr="00061D40" w:rsidRDefault="001C4CF3" w:rsidP="001C4CF3">
      <w:pPr>
        <w:pStyle w:val="bodytextoutlinednumber"/>
        <w:numPr>
          <w:ilvl w:val="1"/>
          <w:numId w:val="10"/>
        </w:numPr>
      </w:pPr>
      <w:r w:rsidRPr="00061D40">
        <w:t>annual reporting to the community by schools.</w:t>
      </w:r>
    </w:p>
    <w:p w14:paraId="7F4862B5" w14:textId="77777777" w:rsidR="001C4CF3" w:rsidRPr="00D32016" w:rsidRDefault="001C4CF3" w:rsidP="00D32016">
      <w:pPr>
        <w:pStyle w:val="bodytextoutlinednumber"/>
      </w:pPr>
      <w:r w:rsidRPr="00D32016">
        <w:t xml:space="preserve">The Australian Curriculum, Assessment and Reporting Authority (ACARA) was established in 2008 and plays a key role in delivering the Government’s transparency agenda. ACARA is </w:t>
      </w:r>
      <w:r w:rsidR="0086042C">
        <w:t>the</w:t>
      </w:r>
      <w:r w:rsidRPr="00D32016">
        <w:t xml:space="preserve"> statutory authority responsible for the national assessment program and the collection, management, analysis and publication of school data, including the implementation and maintenance of the My School website. </w:t>
      </w:r>
      <w:r w:rsidR="0086042C">
        <w:t xml:space="preserve">ACARA developed and published a new version of the framework titled the Measurement Framework for Schooling in Australia (2010). The framework defines the national key performance measures, specifies the data sources for these measures and outlines the reporting cycle for 2010 to 2015. </w:t>
      </w:r>
      <w:r>
        <w:t>T</w:t>
      </w:r>
      <w:r w:rsidRPr="00A11083">
        <w:t xml:space="preserve">he direction and </w:t>
      </w:r>
      <w:r>
        <w:t xml:space="preserve">forward </w:t>
      </w:r>
      <w:r w:rsidRPr="00A11083">
        <w:t xml:space="preserve">work program </w:t>
      </w:r>
      <w:r>
        <w:t xml:space="preserve">expected of ACARA is set by the </w:t>
      </w:r>
      <w:r w:rsidR="004C7C89">
        <w:t xml:space="preserve">Ministerial Council </w:t>
      </w:r>
      <w:r>
        <w:t>through the ACARA Charter.</w:t>
      </w:r>
    </w:p>
    <w:p w14:paraId="7F4862B6" w14:textId="77777777" w:rsidR="00C36C6C" w:rsidRPr="00D32016" w:rsidRDefault="001C4CF3" w:rsidP="00D32016">
      <w:pPr>
        <w:pStyle w:val="bodytextoutlinednumber"/>
      </w:pPr>
      <w:r w:rsidRPr="00D32016">
        <w:t xml:space="preserve">Details in relation to the five reporting requirements are summarised below. </w:t>
      </w:r>
    </w:p>
    <w:p w14:paraId="7F4862B7" w14:textId="77777777" w:rsidR="00C36C6C" w:rsidRDefault="00C36C6C" w:rsidP="00C36C6C">
      <w:pPr>
        <w:pStyle w:val="Heading4"/>
      </w:pPr>
      <w:r w:rsidRPr="00061D40">
        <w:t>Participation in national testing</w:t>
      </w:r>
    </w:p>
    <w:p w14:paraId="7F4862B8" w14:textId="77777777" w:rsidR="00D32016" w:rsidRDefault="00F02ED7" w:rsidP="00D32016">
      <w:pPr>
        <w:pStyle w:val="bodytextoutlinednumber"/>
      </w:pPr>
      <w:r w:rsidRPr="00D32016">
        <w:t>All schools and school system authorities must ensure that the national student assessments specified in the Regulations are carried out for each school or, in the case of sample assessments, for each school selected in the sample. Regulations prescribe the assessments already agreed to by Education</w:t>
      </w:r>
      <w:r w:rsidR="00861747" w:rsidRPr="00061D40">
        <w:t xml:space="preserve"> Ministers </w:t>
      </w:r>
      <w:r w:rsidR="00985AE0" w:rsidRPr="00061D40">
        <w:t xml:space="preserve">and published in the Measurement Framework for </w:t>
      </w:r>
      <w:r w:rsidR="001C4CF3">
        <w:t>Schooling in Australia 2010</w:t>
      </w:r>
      <w:r w:rsidR="00F90E4D" w:rsidRPr="00061D40">
        <w:t xml:space="preserve">, </w:t>
      </w:r>
      <w:r w:rsidR="009B286C" w:rsidRPr="00061D40">
        <w:t>which include</w:t>
      </w:r>
      <w:r w:rsidR="00F90E4D" w:rsidRPr="00061D40">
        <w:t>:</w:t>
      </w:r>
    </w:p>
    <w:p w14:paraId="7F4862B9" w14:textId="77777777" w:rsidR="00985AE0" w:rsidRPr="006067EC" w:rsidRDefault="00985AE0" w:rsidP="006067EC">
      <w:pPr>
        <w:pStyle w:val="StyleStyledotpointAfter75ptLinespacingsingle"/>
      </w:pPr>
      <w:r w:rsidRPr="006067EC">
        <w:t xml:space="preserve">National Assessment Program </w:t>
      </w:r>
      <w:r w:rsidR="002A3E4A" w:rsidRPr="006067EC">
        <w:t xml:space="preserve">– </w:t>
      </w:r>
      <w:r w:rsidRPr="006067EC">
        <w:t xml:space="preserve">Literacy and Numeracy (NAPLAN) assessments in reading, writing, language conventions </w:t>
      </w:r>
      <w:r w:rsidR="0086042C">
        <w:t xml:space="preserve">(spelling, grammar and punctuation) </w:t>
      </w:r>
      <w:r w:rsidRPr="006067EC">
        <w:t>and numeracy, to be carried out each year (2009-201</w:t>
      </w:r>
      <w:r w:rsidR="001E0C67">
        <w:t>3</w:t>
      </w:r>
      <w:r w:rsidRPr="006067EC">
        <w:t>) by all schools, for all students in Years 3, 5, 7 and 9</w:t>
      </w:r>
    </w:p>
    <w:p w14:paraId="7F4862BA" w14:textId="77777777" w:rsidR="00985AE0" w:rsidRPr="006067EC" w:rsidRDefault="00985AE0" w:rsidP="006067EC">
      <w:pPr>
        <w:pStyle w:val="StyleStyledotpointAfter75ptLinespacingsingle"/>
      </w:pPr>
      <w:r w:rsidRPr="006067EC">
        <w:t>National Assessment Program (NAP) sample assessments, on a 3-yearly rolling cycle, at selected schools, for selected students in Years 6 and 10.</w:t>
      </w:r>
      <w:r w:rsidR="008E5ABB" w:rsidRPr="006067EC">
        <w:t xml:space="preserve"> </w:t>
      </w:r>
      <w:r w:rsidRPr="006067EC">
        <w:t xml:space="preserve">These cover Year 6 </w:t>
      </w:r>
      <w:r w:rsidR="0086042C">
        <w:t>S</w:t>
      </w:r>
      <w:r w:rsidR="0086042C" w:rsidRPr="006067EC">
        <w:t xml:space="preserve">cience </w:t>
      </w:r>
      <w:r w:rsidR="0086042C">
        <w:t xml:space="preserve">Literacy </w:t>
      </w:r>
      <w:r w:rsidRPr="006067EC">
        <w:t>(in 2009 and 2012), Year 6</w:t>
      </w:r>
      <w:r w:rsidR="0086042C">
        <w:t>s</w:t>
      </w:r>
      <w:r w:rsidRPr="006067EC">
        <w:t xml:space="preserve"> and 10 </w:t>
      </w:r>
      <w:r w:rsidR="0086042C">
        <w:t>C</w:t>
      </w:r>
      <w:r w:rsidRPr="006067EC">
        <w:t xml:space="preserve">ivics </w:t>
      </w:r>
      <w:r w:rsidR="0086042C">
        <w:t xml:space="preserve">and Citizenship </w:t>
      </w:r>
      <w:r w:rsidRPr="006067EC">
        <w:t>(in 2010</w:t>
      </w:r>
      <w:r w:rsidR="0086042C">
        <w:t xml:space="preserve"> and 2013</w:t>
      </w:r>
      <w:r w:rsidRPr="006067EC">
        <w:t>), and Year 6</w:t>
      </w:r>
      <w:r w:rsidR="0086042C">
        <w:t>s</w:t>
      </w:r>
      <w:r w:rsidRPr="006067EC">
        <w:t xml:space="preserve"> and 10 </w:t>
      </w:r>
      <w:r w:rsidR="00C56EF6" w:rsidRPr="006067EC">
        <w:t>Information and Communication Technolog</w:t>
      </w:r>
      <w:r w:rsidR="0086042C">
        <w:t>ies</w:t>
      </w:r>
      <w:r w:rsidR="00C56EF6" w:rsidRPr="006067EC">
        <w:t xml:space="preserve"> (</w:t>
      </w:r>
      <w:r w:rsidRPr="006067EC">
        <w:t>ICT</w:t>
      </w:r>
      <w:r w:rsidR="00C56EF6" w:rsidRPr="006067EC">
        <w:t>)</w:t>
      </w:r>
      <w:r w:rsidRPr="006067EC">
        <w:t xml:space="preserve"> </w:t>
      </w:r>
      <w:r w:rsidR="0086042C">
        <w:t>L</w:t>
      </w:r>
      <w:r w:rsidRPr="006067EC">
        <w:t>iteracy (in 2011)</w:t>
      </w:r>
    </w:p>
    <w:p w14:paraId="7F4862BB" w14:textId="77777777" w:rsidR="00985AE0" w:rsidRPr="00061D40" w:rsidRDefault="00E16FF2" w:rsidP="006067EC">
      <w:pPr>
        <w:pStyle w:val="StyleStyledotpointAfter75ptLinespacingsingle"/>
      </w:pPr>
      <w:r>
        <w:t>four</w:t>
      </w:r>
      <w:r w:rsidRPr="006067EC">
        <w:t xml:space="preserve"> </w:t>
      </w:r>
      <w:r w:rsidR="00985AE0" w:rsidRPr="006067EC">
        <w:t xml:space="preserve">international assessments - the </w:t>
      </w:r>
      <w:r w:rsidR="000342A8" w:rsidRPr="006067EC">
        <w:t>Organisation for Economic Co</w:t>
      </w:r>
      <w:r w:rsidR="004121A5" w:rsidRPr="006067EC">
        <w:t>-</w:t>
      </w:r>
      <w:r w:rsidR="000342A8" w:rsidRPr="006067EC">
        <w:t>operation and Development (</w:t>
      </w:r>
      <w:r w:rsidR="00985AE0" w:rsidRPr="006067EC">
        <w:t>OECD</w:t>
      </w:r>
      <w:r w:rsidR="000342A8" w:rsidRPr="006067EC">
        <w:t>)</w:t>
      </w:r>
      <w:r w:rsidR="00985AE0" w:rsidRPr="006067EC">
        <w:t xml:space="preserve"> Programme for International Student Assessment (PISA) in reading, mathematical and scientific literacy for 15 year olds</w:t>
      </w:r>
      <w:r w:rsidR="00861747" w:rsidRPr="006067EC">
        <w:t xml:space="preserve"> </w:t>
      </w:r>
      <w:r w:rsidR="00985AE0" w:rsidRPr="006067EC">
        <w:t>in 2009 and 2012</w:t>
      </w:r>
      <w:r w:rsidR="00861747" w:rsidRPr="006067EC">
        <w:t>,</w:t>
      </w:r>
      <w:r w:rsidR="00985AE0" w:rsidRPr="006067EC">
        <w:t xml:space="preserve"> the Trends in International Mathematics and Science Study (TIMSS) at </w:t>
      </w:r>
      <w:r>
        <w:t>Y</w:t>
      </w:r>
      <w:r w:rsidR="00985AE0" w:rsidRPr="006067EC">
        <w:t>ears 4 and 8 in 2010</w:t>
      </w:r>
      <w:r>
        <w:t>,</w:t>
      </w:r>
      <w:r w:rsidR="00861747" w:rsidRPr="006067EC">
        <w:t xml:space="preserve"> Progress in International Reading Literacy Study (PIRLS) at </w:t>
      </w:r>
      <w:r>
        <w:t>Y</w:t>
      </w:r>
      <w:r w:rsidR="00861747" w:rsidRPr="006067EC">
        <w:t>ear</w:t>
      </w:r>
      <w:r w:rsidR="00861747" w:rsidRPr="00061D40">
        <w:t xml:space="preserve"> 4 in 2010</w:t>
      </w:r>
      <w:r>
        <w:t xml:space="preserve"> and the International Computer and Information Literacy Study (ICILS) at Year 8 in 2013</w:t>
      </w:r>
      <w:r w:rsidR="00985AE0" w:rsidRPr="00061D40">
        <w:t>.</w:t>
      </w:r>
    </w:p>
    <w:p w14:paraId="7F4862BC" w14:textId="77777777" w:rsidR="00D32016" w:rsidRPr="00D32016" w:rsidRDefault="00F02ED7" w:rsidP="00D32016">
      <w:pPr>
        <w:pStyle w:val="bodytextoutlinednumber"/>
      </w:pPr>
      <w:r w:rsidRPr="00D32016">
        <w:t>A school cannot obtain exemption from this requirement. Individual parents may, however, wish to withdraw their child from assessments that they feel are inappropriate for their child. This is a matter for consideration by individual parents and must be requested in writing to the school. Schools must keep a copy of the request on file.</w:t>
      </w:r>
    </w:p>
    <w:p w14:paraId="7F4862BD" w14:textId="77777777" w:rsidR="0072435F" w:rsidRDefault="00F02ED7" w:rsidP="0072435F">
      <w:pPr>
        <w:pStyle w:val="bodytextoutlinednumber"/>
      </w:pPr>
      <w:r w:rsidRPr="00D32016">
        <w:lastRenderedPageBreak/>
        <w:t xml:space="preserve">The Measurement Framework for Schooling in Australia 2010 is available on the ACARA website at </w:t>
      </w:r>
      <w:hyperlink r:id="rId17" w:history="1">
        <w:r w:rsidR="0072435F" w:rsidRPr="00964CF2">
          <w:rPr>
            <w:rStyle w:val="Hyperlink"/>
            <w:rFonts w:cs="Garamond"/>
          </w:rPr>
          <w:t>http://www.acara.edu.au/default.asp</w:t>
        </w:r>
      </w:hyperlink>
      <w:r w:rsidR="0072435F">
        <w:t>.</w:t>
      </w:r>
      <w:r w:rsidRPr="00D32016">
        <w:t xml:space="preserve"> Information on the schedule of national student assessments is available at</w:t>
      </w:r>
      <w:r w:rsidRPr="00D32016">
        <w:br/>
      </w:r>
      <w:hyperlink r:id="rId18" w:history="1">
        <w:r w:rsidR="0072435F" w:rsidRPr="00964CF2">
          <w:rPr>
            <w:rStyle w:val="Hyperlink"/>
            <w:rFonts w:cs="Garamond"/>
          </w:rPr>
          <w:t>http://www.nap.edu.au/Information/Key_Dates/index.html</w:t>
        </w:r>
      </w:hyperlink>
      <w:r w:rsidR="001E3F51">
        <w:t>.</w:t>
      </w:r>
    </w:p>
    <w:p w14:paraId="7F4862BE" w14:textId="77777777" w:rsidR="00FF6317" w:rsidRDefault="00F75DFC" w:rsidP="00F75DFC">
      <w:pPr>
        <w:pStyle w:val="bodytextoutlinednumber"/>
      </w:pPr>
      <w:r>
        <w:t xml:space="preserve">NAPLAN assessments managed by ACARA will be conducted in accordance with the </w:t>
      </w:r>
      <w:r w:rsidRPr="00D32016">
        <w:t>National Protocols for Test Administration</w:t>
      </w:r>
      <w:r>
        <w:t xml:space="preserve">, which are available at </w:t>
      </w:r>
      <w:hyperlink r:id="rId19" w:history="1">
        <w:r w:rsidR="00FF6317" w:rsidRPr="00964CF2">
          <w:rPr>
            <w:rStyle w:val="Hyperlink"/>
            <w:rFonts w:cs="Garamond"/>
          </w:rPr>
          <w:t>http://www.nap.edu.au/NAPLAN/School_support/National_protocols/index.html</w:t>
        </w:r>
      </w:hyperlink>
      <w:r w:rsidR="001E3F51">
        <w:t>.</w:t>
      </w:r>
    </w:p>
    <w:p w14:paraId="7F4862BF" w14:textId="77777777" w:rsidR="00D32016" w:rsidRDefault="00F75DFC" w:rsidP="00DD4911">
      <w:pPr>
        <w:pStyle w:val="bodytextoutlinednumber"/>
      </w:pPr>
      <w:r>
        <w:t xml:space="preserve">Breaches of the </w:t>
      </w:r>
      <w:hyperlink r:id="rId20" w:tooltip="2011 National Protocols for Test Administration NA" w:history="1">
        <w:r w:rsidR="00F02ED7">
          <w:rPr>
            <w:rStyle w:val="Emphasis"/>
            <w:color w:val="0000FF"/>
            <w:u w:val="single"/>
          </w:rPr>
          <w:t>National Protocols for Test Administration</w:t>
        </w:r>
        <w:r>
          <w:rPr>
            <w:rStyle w:val="Hyperlink"/>
          </w:rPr>
          <w:t xml:space="preserve"> </w:t>
        </w:r>
      </w:hyperlink>
      <w:r>
        <w:t>and allegations of cheating or improper behaviour will be investigated, managed and reported in accordance with the processes</w:t>
      </w:r>
      <w:r w:rsidRPr="00E67533">
        <w:t xml:space="preserve"> in the Guidelines for Managing Test Incidents in Schools, ava</w:t>
      </w:r>
      <w:r>
        <w:t>il</w:t>
      </w:r>
      <w:r w:rsidR="00F02ED7" w:rsidRPr="00F02ED7">
        <w:rPr>
          <w:bCs/>
        </w:rPr>
        <w:t>a</w:t>
      </w:r>
      <w:r>
        <w:t xml:space="preserve">ble at </w:t>
      </w:r>
      <w:r w:rsidR="00DD4911" w:rsidRPr="00DD4911">
        <w:t>http://www.nap.edu.au/verve/_resources/Guidelines_for_Managing_Test_Incidents_in_Schools.pdf</w:t>
      </w:r>
      <w:r w:rsidR="001E3F51">
        <w:t>.</w:t>
      </w:r>
    </w:p>
    <w:p w14:paraId="7F4862C0" w14:textId="77777777" w:rsidR="00151EE2" w:rsidRPr="00061D40" w:rsidRDefault="00861747" w:rsidP="0059078F">
      <w:pPr>
        <w:pStyle w:val="bodytextoutlinednumber"/>
        <w:rPr>
          <w:bCs/>
        </w:rPr>
      </w:pPr>
      <w:r w:rsidRPr="00061D40">
        <w:t>Test administration authorities</w:t>
      </w:r>
      <w:r w:rsidR="0077623A">
        <w:t xml:space="preserve"> </w:t>
      </w:r>
      <w:r w:rsidRPr="00061D40">
        <w:t>in each jurisdiction are responsible</w:t>
      </w:r>
      <w:r w:rsidR="00D156F2">
        <w:t xml:space="preserve"> </w:t>
      </w:r>
      <w:r w:rsidRPr="00061D40">
        <w:t>for the implementation of the NAPLAN tests.</w:t>
      </w:r>
      <w:r w:rsidR="00562478" w:rsidRPr="00061D40">
        <w:t xml:space="preserve"> </w:t>
      </w:r>
      <w:r w:rsidRPr="00061D40">
        <w:rPr>
          <w:bCs/>
        </w:rPr>
        <w:t>Contacts for test administration authorities</w:t>
      </w:r>
      <w:r w:rsidR="007D3971" w:rsidRPr="00061D40">
        <w:rPr>
          <w:bCs/>
        </w:rPr>
        <w:t xml:space="preserve"> are as f</w:t>
      </w:r>
      <w:r w:rsidRPr="00061D40">
        <w:rPr>
          <w:bCs/>
        </w:rPr>
        <w:t>ollows:</w:t>
      </w:r>
    </w:p>
    <w:p w14:paraId="7F4862C1" w14:textId="77777777" w:rsidR="00415F0D" w:rsidRPr="00177F24" w:rsidRDefault="00415F0D" w:rsidP="0059078F">
      <w:pPr>
        <w:pStyle w:val="StyleHeading4Linespacingsingl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621"/>
        <w:gridCol w:w="2629"/>
        <w:gridCol w:w="2642"/>
      </w:tblGrid>
      <w:tr w:rsidR="00ED1719" w:rsidRPr="00061D40" w14:paraId="7F4862C6" w14:textId="77777777" w:rsidTr="00ED1719">
        <w:trPr>
          <w:tblHeader/>
        </w:trPr>
        <w:tc>
          <w:tcPr>
            <w:tcW w:w="1394" w:type="dxa"/>
            <w:shd w:val="clear" w:color="auto" w:fill="999999"/>
            <w:vAlign w:val="center"/>
          </w:tcPr>
          <w:p w14:paraId="7F4862C2" w14:textId="77777777" w:rsidR="00ED1719" w:rsidRPr="00061D40" w:rsidRDefault="00ED1719" w:rsidP="00ED1719">
            <w:pPr>
              <w:pStyle w:val="TableHeading2"/>
              <w:keepNext/>
              <w:keepLines/>
              <w:spacing w:line="240" w:lineRule="auto"/>
              <w:rPr>
                <w:sz w:val="21"/>
                <w:szCs w:val="21"/>
              </w:rPr>
            </w:pPr>
            <w:r w:rsidRPr="00061D40">
              <w:rPr>
                <w:sz w:val="21"/>
                <w:szCs w:val="21"/>
              </w:rPr>
              <w:t>Jurisdiction</w:t>
            </w:r>
          </w:p>
        </w:tc>
        <w:tc>
          <w:tcPr>
            <w:tcW w:w="2621" w:type="dxa"/>
            <w:shd w:val="clear" w:color="auto" w:fill="999999"/>
            <w:vAlign w:val="center"/>
          </w:tcPr>
          <w:p w14:paraId="7F4862C3" w14:textId="77777777" w:rsidR="00ED1719" w:rsidRPr="00061D40" w:rsidRDefault="00ED1719" w:rsidP="00ED1719">
            <w:pPr>
              <w:pStyle w:val="TableHeading2"/>
              <w:keepNext/>
              <w:keepLines/>
              <w:spacing w:line="240" w:lineRule="auto"/>
              <w:rPr>
                <w:sz w:val="21"/>
                <w:szCs w:val="21"/>
              </w:rPr>
            </w:pPr>
            <w:r w:rsidRPr="00061D40">
              <w:rPr>
                <w:sz w:val="21"/>
                <w:szCs w:val="21"/>
              </w:rPr>
              <w:t>Website Link</w:t>
            </w:r>
          </w:p>
        </w:tc>
        <w:tc>
          <w:tcPr>
            <w:tcW w:w="2629" w:type="dxa"/>
            <w:shd w:val="clear" w:color="auto" w:fill="999999"/>
            <w:vAlign w:val="center"/>
          </w:tcPr>
          <w:p w14:paraId="7F4862C4" w14:textId="77777777" w:rsidR="00ED1719" w:rsidRPr="00061D40" w:rsidRDefault="00ED1719" w:rsidP="00ED1719">
            <w:pPr>
              <w:pStyle w:val="TableHeading2"/>
              <w:keepNext/>
              <w:keepLines/>
              <w:spacing w:line="240" w:lineRule="auto"/>
              <w:rPr>
                <w:sz w:val="21"/>
                <w:szCs w:val="21"/>
              </w:rPr>
            </w:pPr>
            <w:r w:rsidRPr="00061D40">
              <w:rPr>
                <w:sz w:val="21"/>
                <w:szCs w:val="21"/>
              </w:rPr>
              <w:t>Organisation</w:t>
            </w:r>
          </w:p>
        </w:tc>
        <w:tc>
          <w:tcPr>
            <w:tcW w:w="2642" w:type="dxa"/>
            <w:shd w:val="clear" w:color="auto" w:fill="999999"/>
            <w:vAlign w:val="center"/>
          </w:tcPr>
          <w:p w14:paraId="7F4862C5" w14:textId="77777777" w:rsidR="00ED1719" w:rsidRPr="00061D40" w:rsidRDefault="00ED1719" w:rsidP="00ED1719">
            <w:pPr>
              <w:pStyle w:val="TableHeading2"/>
              <w:keepNext/>
              <w:keepLines/>
              <w:spacing w:line="240" w:lineRule="auto"/>
              <w:rPr>
                <w:sz w:val="21"/>
                <w:szCs w:val="21"/>
              </w:rPr>
            </w:pPr>
            <w:r w:rsidRPr="00061D40">
              <w:rPr>
                <w:sz w:val="21"/>
                <w:szCs w:val="21"/>
              </w:rPr>
              <w:t>Contact</w:t>
            </w:r>
          </w:p>
        </w:tc>
      </w:tr>
      <w:tr w:rsidR="00ED1719" w:rsidRPr="00061D40" w14:paraId="7F4862CB" w14:textId="77777777" w:rsidTr="00ED1719">
        <w:tc>
          <w:tcPr>
            <w:tcW w:w="1394" w:type="dxa"/>
          </w:tcPr>
          <w:p w14:paraId="7F4862C7" w14:textId="77777777" w:rsidR="00ED1719" w:rsidRPr="00061D40" w:rsidRDefault="00ED1719" w:rsidP="00ED1719">
            <w:pPr>
              <w:pStyle w:val="StyleTableText105ptLinespacingsingle"/>
              <w:keepNext/>
              <w:keepLines/>
            </w:pPr>
            <w:r w:rsidRPr="00061D40">
              <w:t>NSW</w:t>
            </w:r>
          </w:p>
        </w:tc>
        <w:tc>
          <w:tcPr>
            <w:tcW w:w="2621" w:type="dxa"/>
          </w:tcPr>
          <w:p w14:paraId="7F4862C8" w14:textId="77777777" w:rsidR="00ED1719" w:rsidRPr="00061D40" w:rsidRDefault="00C73D8D" w:rsidP="00FF32D6">
            <w:pPr>
              <w:pStyle w:val="Tablehyperlink"/>
              <w:keepNext/>
              <w:keepLines/>
            </w:pPr>
            <w:hyperlink r:id="rId21" w:tgtFrame="_blank" w:history="1">
              <w:r w:rsidR="00FF32D6">
                <w:t>Board of Studies NSW</w:t>
              </w:r>
            </w:hyperlink>
          </w:p>
        </w:tc>
        <w:tc>
          <w:tcPr>
            <w:tcW w:w="2629" w:type="dxa"/>
          </w:tcPr>
          <w:p w14:paraId="7F4862C9" w14:textId="77777777" w:rsidR="00ED1719" w:rsidRPr="00061D40" w:rsidRDefault="00FF32D6" w:rsidP="00FF32D6">
            <w:pPr>
              <w:pStyle w:val="StyleTableText105ptLinespacingsingle"/>
              <w:keepNext/>
              <w:keepLines/>
            </w:pPr>
            <w:r>
              <w:t xml:space="preserve">Board of Studies </w:t>
            </w:r>
            <w:r w:rsidR="00ED1719" w:rsidRPr="00061D40">
              <w:t>NSW</w:t>
            </w:r>
          </w:p>
        </w:tc>
        <w:tc>
          <w:tcPr>
            <w:tcW w:w="2642" w:type="dxa"/>
          </w:tcPr>
          <w:p w14:paraId="7F4862CA" w14:textId="77777777" w:rsidR="00ED1719" w:rsidRPr="00061D40" w:rsidRDefault="00ED1719" w:rsidP="00904283">
            <w:pPr>
              <w:pStyle w:val="StyleTableText105ptLinespacingsingle"/>
              <w:keepNext/>
              <w:keepLines/>
            </w:pPr>
            <w:r>
              <w:t xml:space="preserve">Ms </w:t>
            </w:r>
            <w:r w:rsidRPr="00061D40">
              <w:t>Robyn Roberts</w:t>
            </w:r>
            <w:r w:rsidRPr="00061D40">
              <w:br/>
              <w:t xml:space="preserve">(02) </w:t>
            </w:r>
            <w:r w:rsidR="00904283">
              <w:t>9367</w:t>
            </w:r>
            <w:r w:rsidR="00904283" w:rsidRPr="00061D40">
              <w:t xml:space="preserve"> </w:t>
            </w:r>
            <w:r w:rsidR="00904283">
              <w:t>8131</w:t>
            </w:r>
          </w:p>
        </w:tc>
      </w:tr>
      <w:tr w:rsidR="00ED1719" w:rsidRPr="00061D40" w14:paraId="7F4862D0" w14:textId="77777777" w:rsidTr="00ED1719">
        <w:tc>
          <w:tcPr>
            <w:tcW w:w="1394" w:type="dxa"/>
          </w:tcPr>
          <w:p w14:paraId="7F4862CC" w14:textId="77777777" w:rsidR="00ED1719" w:rsidRPr="00061D40" w:rsidRDefault="00ED1719" w:rsidP="00ED1719">
            <w:pPr>
              <w:pStyle w:val="StyleTableText105ptLinespacingsingle"/>
            </w:pPr>
            <w:r w:rsidRPr="00061D40">
              <w:t>VIC</w:t>
            </w:r>
          </w:p>
        </w:tc>
        <w:tc>
          <w:tcPr>
            <w:tcW w:w="2621" w:type="dxa"/>
          </w:tcPr>
          <w:p w14:paraId="7F4862CD" w14:textId="77777777" w:rsidR="00ED1719" w:rsidRPr="00061D40" w:rsidRDefault="00C73D8D" w:rsidP="00ED1719">
            <w:pPr>
              <w:pStyle w:val="Tablehyperlink"/>
              <w:keepNext/>
              <w:keepLines/>
            </w:pPr>
            <w:hyperlink r:id="rId22" w:tgtFrame="_blank" w:history="1">
              <w:r w:rsidR="00ED1719" w:rsidRPr="00061D40">
                <w:t>Victorian Curriculum and Assessment Authority</w:t>
              </w:r>
            </w:hyperlink>
          </w:p>
        </w:tc>
        <w:tc>
          <w:tcPr>
            <w:tcW w:w="2629" w:type="dxa"/>
          </w:tcPr>
          <w:p w14:paraId="7F4862CE" w14:textId="77777777" w:rsidR="00ED1719" w:rsidRPr="00061D40" w:rsidRDefault="00ED1719" w:rsidP="00ED1719">
            <w:pPr>
              <w:pStyle w:val="StyleTableText105ptLinespacingsingle"/>
            </w:pPr>
            <w:r w:rsidRPr="00061D40">
              <w:t>Victorian Curriculum and Assessment Authority</w:t>
            </w:r>
          </w:p>
        </w:tc>
        <w:tc>
          <w:tcPr>
            <w:tcW w:w="2642" w:type="dxa"/>
          </w:tcPr>
          <w:p w14:paraId="7F4862CF" w14:textId="77777777" w:rsidR="00ED1719" w:rsidRPr="00061D40" w:rsidRDefault="00ED1719" w:rsidP="00ED1719">
            <w:pPr>
              <w:pStyle w:val="StyleTableText105ptLinespacingsingle"/>
            </w:pPr>
            <w:r>
              <w:t>Ms Cathy Boldiston</w:t>
            </w:r>
            <w:r w:rsidRPr="00061D40">
              <w:br/>
              <w:t>1800 648 637</w:t>
            </w:r>
          </w:p>
        </w:tc>
      </w:tr>
      <w:tr w:rsidR="00ED1719" w:rsidRPr="00061D40" w14:paraId="7F4862D5" w14:textId="77777777" w:rsidTr="00ED1719">
        <w:tc>
          <w:tcPr>
            <w:tcW w:w="1394" w:type="dxa"/>
          </w:tcPr>
          <w:p w14:paraId="7F4862D1" w14:textId="77777777" w:rsidR="00ED1719" w:rsidRPr="00061D40" w:rsidRDefault="00ED1719" w:rsidP="00ED1719">
            <w:pPr>
              <w:pStyle w:val="StyleTableText105ptLinespacingsingle"/>
            </w:pPr>
            <w:r w:rsidRPr="00061D40">
              <w:t>QLD</w:t>
            </w:r>
          </w:p>
        </w:tc>
        <w:tc>
          <w:tcPr>
            <w:tcW w:w="2621" w:type="dxa"/>
          </w:tcPr>
          <w:p w14:paraId="7F4862D2" w14:textId="77777777" w:rsidR="00ED1719" w:rsidRPr="00061D40" w:rsidRDefault="00C73D8D" w:rsidP="00ED1719">
            <w:pPr>
              <w:pStyle w:val="Tablehyperlink"/>
              <w:keepNext/>
              <w:keepLines/>
            </w:pPr>
            <w:hyperlink r:id="rId23" w:tgtFrame="_blank" w:history="1">
              <w:r w:rsidR="00ED1719" w:rsidRPr="00061D40">
                <w:t>Queensland Studies Authority</w:t>
              </w:r>
            </w:hyperlink>
          </w:p>
        </w:tc>
        <w:tc>
          <w:tcPr>
            <w:tcW w:w="2629" w:type="dxa"/>
          </w:tcPr>
          <w:p w14:paraId="7F4862D3" w14:textId="77777777" w:rsidR="00ED1719" w:rsidRPr="00061D40" w:rsidRDefault="00ED1719" w:rsidP="00ED1719">
            <w:pPr>
              <w:pStyle w:val="StyleTableText105ptLinespacingsingle"/>
            </w:pPr>
            <w:r w:rsidRPr="00061D40">
              <w:t>Queensland Studies Authority</w:t>
            </w:r>
          </w:p>
        </w:tc>
        <w:tc>
          <w:tcPr>
            <w:tcW w:w="2642" w:type="dxa"/>
          </w:tcPr>
          <w:p w14:paraId="7F4862D4" w14:textId="77777777" w:rsidR="00ED1719" w:rsidRPr="00061D40" w:rsidRDefault="00ED1719" w:rsidP="00904283">
            <w:pPr>
              <w:pStyle w:val="StyleTableText105ptLinespacingsingle"/>
            </w:pPr>
            <w:r>
              <w:t>Ms Lee Willett</w:t>
            </w:r>
            <w:r w:rsidRPr="00061D40">
              <w:br/>
              <w:t xml:space="preserve">(07) 3864 </w:t>
            </w:r>
            <w:r>
              <w:t>0</w:t>
            </w:r>
            <w:r w:rsidR="00904283">
              <w:t>481</w:t>
            </w:r>
          </w:p>
        </w:tc>
      </w:tr>
      <w:tr w:rsidR="00ED1719" w:rsidRPr="00061D40" w14:paraId="7F4862DA" w14:textId="77777777" w:rsidTr="00ED1719">
        <w:tc>
          <w:tcPr>
            <w:tcW w:w="1394" w:type="dxa"/>
          </w:tcPr>
          <w:p w14:paraId="7F4862D6" w14:textId="77777777" w:rsidR="00ED1719" w:rsidRPr="00061D40" w:rsidRDefault="00ED1719" w:rsidP="00ED1719">
            <w:pPr>
              <w:pStyle w:val="StyleTableText105ptLinespacingsingle"/>
            </w:pPr>
            <w:r w:rsidRPr="00061D40">
              <w:t>WA</w:t>
            </w:r>
          </w:p>
        </w:tc>
        <w:tc>
          <w:tcPr>
            <w:tcW w:w="2621" w:type="dxa"/>
          </w:tcPr>
          <w:p w14:paraId="7F4862D7" w14:textId="77777777" w:rsidR="00ED1719" w:rsidRPr="00061D40" w:rsidRDefault="00C73D8D" w:rsidP="00ED1719">
            <w:pPr>
              <w:pStyle w:val="Tablehyperlink"/>
              <w:keepNext/>
              <w:keepLines/>
            </w:pPr>
            <w:hyperlink r:id="rId24" w:tgtFrame="_blank" w:history="1">
              <w:r w:rsidR="00ED1719" w:rsidRPr="00061D40">
                <w:t>Department of Education</w:t>
              </w:r>
            </w:hyperlink>
          </w:p>
        </w:tc>
        <w:tc>
          <w:tcPr>
            <w:tcW w:w="2629" w:type="dxa"/>
          </w:tcPr>
          <w:p w14:paraId="7F4862D8" w14:textId="77777777" w:rsidR="00ED1719" w:rsidRPr="00061D40" w:rsidRDefault="00ED1719" w:rsidP="00ED1719">
            <w:pPr>
              <w:pStyle w:val="StyleTableText105ptLinespacingsingle"/>
            </w:pPr>
            <w:r w:rsidRPr="00061D40">
              <w:t>Department of Education, WA</w:t>
            </w:r>
          </w:p>
        </w:tc>
        <w:tc>
          <w:tcPr>
            <w:tcW w:w="2642" w:type="dxa"/>
          </w:tcPr>
          <w:p w14:paraId="7F4862D9" w14:textId="77777777" w:rsidR="00ED1719" w:rsidRPr="00061D40" w:rsidRDefault="00ED1719" w:rsidP="00904283">
            <w:pPr>
              <w:pStyle w:val="StyleTableText105ptLinespacingsingle"/>
            </w:pPr>
            <w:r w:rsidRPr="00061D40">
              <w:t>Ms Marilyn McKee</w:t>
            </w:r>
            <w:r w:rsidRPr="00061D40">
              <w:br/>
              <w:t xml:space="preserve">(08) </w:t>
            </w:r>
            <w:r w:rsidR="00904283">
              <w:t>9442</w:t>
            </w:r>
            <w:r w:rsidRPr="00061D40">
              <w:t xml:space="preserve"> </w:t>
            </w:r>
            <w:r w:rsidR="00904283">
              <w:t>9460</w:t>
            </w:r>
          </w:p>
        </w:tc>
      </w:tr>
      <w:tr w:rsidR="00ED1719" w:rsidRPr="00061D40" w14:paraId="7F4862DF" w14:textId="77777777" w:rsidTr="00ED1719">
        <w:tc>
          <w:tcPr>
            <w:tcW w:w="1394" w:type="dxa"/>
          </w:tcPr>
          <w:p w14:paraId="7F4862DB" w14:textId="77777777" w:rsidR="00ED1719" w:rsidRPr="00061D40" w:rsidRDefault="00ED1719" w:rsidP="00ED1719">
            <w:pPr>
              <w:pStyle w:val="StyleTableText105ptLinespacingsingle"/>
            </w:pPr>
            <w:r w:rsidRPr="00061D40">
              <w:t>SA</w:t>
            </w:r>
          </w:p>
        </w:tc>
        <w:tc>
          <w:tcPr>
            <w:tcW w:w="2621" w:type="dxa"/>
          </w:tcPr>
          <w:p w14:paraId="7F4862DC" w14:textId="77777777" w:rsidR="00ED1719" w:rsidRPr="00061D40" w:rsidRDefault="00C73D8D" w:rsidP="00904283">
            <w:pPr>
              <w:pStyle w:val="Tablehyperlink"/>
              <w:keepNext/>
              <w:keepLines/>
            </w:pPr>
            <w:hyperlink r:id="rId25" w:tgtFrame="_blank" w:history="1">
              <w:r w:rsidR="00ED1719" w:rsidRPr="00061D40">
                <w:t>Department of Education and Child</w:t>
              </w:r>
              <w:r w:rsidR="00904283">
                <w:t xml:space="preserve"> Development</w:t>
              </w:r>
            </w:hyperlink>
          </w:p>
        </w:tc>
        <w:tc>
          <w:tcPr>
            <w:tcW w:w="2629" w:type="dxa"/>
          </w:tcPr>
          <w:p w14:paraId="7F4862DD" w14:textId="77777777" w:rsidR="00ED1719" w:rsidRPr="00061D40" w:rsidRDefault="00ED1719" w:rsidP="00904283">
            <w:pPr>
              <w:pStyle w:val="StyleTableText105ptLinespacingsingle"/>
            </w:pPr>
            <w:r w:rsidRPr="00061D40">
              <w:t>Department of Education and Child</w:t>
            </w:r>
            <w:r w:rsidR="00904283">
              <w:t xml:space="preserve"> Development</w:t>
            </w:r>
            <w:r w:rsidRPr="00061D40">
              <w:t>, SA</w:t>
            </w:r>
          </w:p>
        </w:tc>
        <w:tc>
          <w:tcPr>
            <w:tcW w:w="2642" w:type="dxa"/>
          </w:tcPr>
          <w:p w14:paraId="7F4862DE" w14:textId="77777777" w:rsidR="00ED1719" w:rsidRPr="00061D40" w:rsidRDefault="00ED1719" w:rsidP="00ED1719">
            <w:pPr>
              <w:pStyle w:val="StyleTableText105ptLinespacingsingle"/>
            </w:pPr>
            <w:r>
              <w:t>Mr Kym Linke</w:t>
            </w:r>
            <w:r w:rsidRPr="00061D40">
              <w:br/>
              <w:t xml:space="preserve">(08) 8226 </w:t>
            </w:r>
            <w:r>
              <w:t>1340</w:t>
            </w:r>
          </w:p>
        </w:tc>
      </w:tr>
      <w:tr w:rsidR="00ED1719" w:rsidRPr="00061D40" w14:paraId="7F4862E4" w14:textId="77777777" w:rsidTr="00ED1719">
        <w:tc>
          <w:tcPr>
            <w:tcW w:w="1394" w:type="dxa"/>
          </w:tcPr>
          <w:p w14:paraId="7F4862E0" w14:textId="77777777" w:rsidR="00ED1719" w:rsidRPr="00061D40" w:rsidRDefault="00ED1719" w:rsidP="00ED1719">
            <w:pPr>
              <w:pStyle w:val="StyleTableText105ptLinespacingsingle"/>
            </w:pPr>
            <w:r w:rsidRPr="00061D40">
              <w:t>TAS</w:t>
            </w:r>
          </w:p>
        </w:tc>
        <w:tc>
          <w:tcPr>
            <w:tcW w:w="2621" w:type="dxa"/>
          </w:tcPr>
          <w:p w14:paraId="7F4862E1" w14:textId="77777777" w:rsidR="00ED1719" w:rsidRPr="00061D40" w:rsidRDefault="00C73D8D" w:rsidP="00ED1719">
            <w:pPr>
              <w:pStyle w:val="Tablehyperlink"/>
              <w:keepNext/>
              <w:keepLines/>
            </w:pPr>
            <w:hyperlink r:id="rId26" w:tgtFrame="_blank" w:history="1">
              <w:r w:rsidR="00ED1719" w:rsidRPr="00061D40">
                <w:t>Department of Education</w:t>
              </w:r>
            </w:hyperlink>
          </w:p>
        </w:tc>
        <w:tc>
          <w:tcPr>
            <w:tcW w:w="2629" w:type="dxa"/>
          </w:tcPr>
          <w:p w14:paraId="7F4862E2" w14:textId="77777777" w:rsidR="00ED1719" w:rsidRPr="00061D40" w:rsidRDefault="00ED1719" w:rsidP="00ED1719">
            <w:pPr>
              <w:pStyle w:val="StyleTableText105ptLinespacingsingle"/>
            </w:pPr>
            <w:r w:rsidRPr="00061D40">
              <w:t>Department of Education, Tasmania</w:t>
            </w:r>
          </w:p>
        </w:tc>
        <w:tc>
          <w:tcPr>
            <w:tcW w:w="2642" w:type="dxa"/>
          </w:tcPr>
          <w:p w14:paraId="7F4862E3" w14:textId="77777777" w:rsidR="00ED1719" w:rsidRPr="00061D40" w:rsidRDefault="00ED1719" w:rsidP="00ED1719">
            <w:pPr>
              <w:pStyle w:val="StyleTableText105ptLinespacingsingle"/>
            </w:pPr>
            <w:r>
              <w:t xml:space="preserve">Mr </w:t>
            </w:r>
            <w:r w:rsidRPr="00061D40">
              <w:t xml:space="preserve">Paul Becker </w:t>
            </w:r>
            <w:r w:rsidRPr="00061D40">
              <w:br/>
              <w:t xml:space="preserve">(03) 6233 </w:t>
            </w:r>
            <w:r>
              <w:t>6957</w:t>
            </w:r>
          </w:p>
        </w:tc>
      </w:tr>
      <w:tr w:rsidR="00ED1719" w:rsidRPr="00061D40" w14:paraId="7F4862E9" w14:textId="77777777" w:rsidTr="00ED1719">
        <w:tc>
          <w:tcPr>
            <w:tcW w:w="1394" w:type="dxa"/>
          </w:tcPr>
          <w:p w14:paraId="7F4862E5" w14:textId="77777777" w:rsidR="00ED1719" w:rsidRPr="00061D40" w:rsidRDefault="00ED1719" w:rsidP="00ED1719">
            <w:pPr>
              <w:pStyle w:val="StyleTableText105ptLinespacingsingle"/>
            </w:pPr>
            <w:r w:rsidRPr="00061D40">
              <w:t>NT</w:t>
            </w:r>
          </w:p>
        </w:tc>
        <w:tc>
          <w:tcPr>
            <w:tcW w:w="2621" w:type="dxa"/>
          </w:tcPr>
          <w:p w14:paraId="7F4862E6" w14:textId="77777777" w:rsidR="00ED1719" w:rsidRPr="00061D40" w:rsidRDefault="00C73D8D" w:rsidP="00904283">
            <w:pPr>
              <w:pStyle w:val="Tablehyperlink"/>
              <w:keepNext/>
              <w:keepLines/>
            </w:pPr>
            <w:hyperlink r:id="rId27" w:tgtFrame="_blank" w:history="1">
              <w:r w:rsidR="00ED1719" w:rsidRPr="00061D40">
                <w:t xml:space="preserve">Department of Education and </w:t>
              </w:r>
              <w:r w:rsidR="00904283">
                <w:t>Children’s</w:t>
              </w:r>
            </w:hyperlink>
            <w:r w:rsidR="00904283">
              <w:t xml:space="preserve"> Services</w:t>
            </w:r>
          </w:p>
        </w:tc>
        <w:tc>
          <w:tcPr>
            <w:tcW w:w="2629" w:type="dxa"/>
          </w:tcPr>
          <w:p w14:paraId="7F4862E7" w14:textId="77777777" w:rsidR="00ED1719" w:rsidRPr="00061D40" w:rsidRDefault="00ED1719" w:rsidP="00ED1719">
            <w:pPr>
              <w:pStyle w:val="StyleTableText105ptLinespacingsingle"/>
            </w:pPr>
            <w:r w:rsidRPr="00061D40">
              <w:t>Curriculum, Teaching and Phases of Learning, NT</w:t>
            </w:r>
          </w:p>
        </w:tc>
        <w:tc>
          <w:tcPr>
            <w:tcW w:w="2642" w:type="dxa"/>
          </w:tcPr>
          <w:p w14:paraId="7F4862E8" w14:textId="77777777" w:rsidR="00ED1719" w:rsidRPr="00061D40" w:rsidRDefault="006C73BF" w:rsidP="00EF34D9">
            <w:pPr>
              <w:pStyle w:val="StyleTableText105ptLinespacingsingle"/>
            </w:pPr>
            <w:r w:rsidRPr="00EF34D9">
              <w:t xml:space="preserve">Ms </w:t>
            </w:r>
            <w:r w:rsidR="00EF34D9">
              <w:t>Natalie Ede</w:t>
            </w:r>
            <w:r w:rsidR="00ED1719" w:rsidRPr="00061D40">
              <w:br/>
              <w:t xml:space="preserve">(08) </w:t>
            </w:r>
            <w:r w:rsidRPr="00EF34D9">
              <w:t>89</w:t>
            </w:r>
            <w:r w:rsidR="00EF34D9">
              <w:t>44 9245</w:t>
            </w:r>
          </w:p>
        </w:tc>
      </w:tr>
      <w:tr w:rsidR="00ED1719" w:rsidRPr="00061D40" w14:paraId="7F4862EE" w14:textId="77777777" w:rsidTr="00ED1719">
        <w:tc>
          <w:tcPr>
            <w:tcW w:w="1394" w:type="dxa"/>
          </w:tcPr>
          <w:p w14:paraId="7F4862EA" w14:textId="77777777" w:rsidR="00ED1719" w:rsidRPr="00061D40" w:rsidRDefault="00ED1719" w:rsidP="00ED1719">
            <w:pPr>
              <w:pStyle w:val="StyleTableText105ptLinespacingsingle"/>
            </w:pPr>
            <w:r w:rsidRPr="00061D40">
              <w:t>ACT</w:t>
            </w:r>
          </w:p>
        </w:tc>
        <w:tc>
          <w:tcPr>
            <w:tcW w:w="2621" w:type="dxa"/>
          </w:tcPr>
          <w:p w14:paraId="7F4862EB" w14:textId="77777777" w:rsidR="00ED1719" w:rsidRPr="00061D40" w:rsidRDefault="00C73D8D" w:rsidP="00ED1719">
            <w:pPr>
              <w:pStyle w:val="Tablehyperlink"/>
              <w:keepNext/>
              <w:keepLines/>
            </w:pPr>
            <w:hyperlink r:id="rId28" w:tgtFrame="_blank" w:history="1">
              <w:r w:rsidR="00ED1719" w:rsidRPr="00061D40">
                <w:t>Department of Education and Training</w:t>
              </w:r>
            </w:hyperlink>
          </w:p>
        </w:tc>
        <w:tc>
          <w:tcPr>
            <w:tcW w:w="2629" w:type="dxa"/>
          </w:tcPr>
          <w:p w14:paraId="7F4862EC" w14:textId="77777777" w:rsidR="00ED1719" w:rsidRPr="00061D40" w:rsidRDefault="00ED1719" w:rsidP="00ED1719">
            <w:pPr>
              <w:pStyle w:val="StyleTableText105ptLinespacingsingle"/>
            </w:pPr>
            <w:r w:rsidRPr="00061D40">
              <w:t>ACT Department of Education and Training</w:t>
            </w:r>
          </w:p>
        </w:tc>
        <w:tc>
          <w:tcPr>
            <w:tcW w:w="2642" w:type="dxa"/>
          </w:tcPr>
          <w:p w14:paraId="7F4862ED" w14:textId="77777777" w:rsidR="00ED1719" w:rsidRPr="00061D40" w:rsidRDefault="00ED1719" w:rsidP="00ED1719">
            <w:pPr>
              <w:pStyle w:val="StyleTableText105ptLinespacingsingle"/>
            </w:pPr>
            <w:r w:rsidRPr="00061D40">
              <w:t xml:space="preserve">Mr </w:t>
            </w:r>
            <w:r>
              <w:t>Simon Tiller</w:t>
            </w:r>
            <w:r w:rsidRPr="00061D40">
              <w:br/>
              <w:t xml:space="preserve">(02) 6205 </w:t>
            </w:r>
            <w:r>
              <w:t>9317</w:t>
            </w:r>
          </w:p>
        </w:tc>
      </w:tr>
    </w:tbl>
    <w:p w14:paraId="7F4862EF" w14:textId="77777777" w:rsidR="008A15A2" w:rsidRPr="00A5354A" w:rsidRDefault="00481F3E" w:rsidP="008A15A2">
      <w:pPr>
        <w:pStyle w:val="bodytextoutlinednumber"/>
        <w:numPr>
          <w:ilvl w:val="0"/>
          <w:numId w:val="0"/>
        </w:numPr>
        <w:rPr>
          <w:rFonts w:asciiTheme="minorHAnsi" w:hAnsiTheme="minorHAnsi" w:cstheme="minorHAnsi"/>
        </w:rPr>
      </w:pPr>
      <w:r>
        <w:t xml:space="preserve">Updates to contacts for test administration authorities are available at </w:t>
      </w:r>
      <w:hyperlink r:id="rId29" w:history="1">
        <w:r w:rsidR="00A5354A" w:rsidRPr="00CB55AB">
          <w:rPr>
            <w:rStyle w:val="Hyperlink"/>
            <w:rFonts w:asciiTheme="minorHAnsi" w:hAnsiTheme="minorHAnsi" w:cstheme="minorHAnsi"/>
          </w:rPr>
          <w:t>http://www.nap.edu.au/contacts/contact-test-administration-authorities.html</w:t>
        </w:r>
      </w:hyperlink>
      <w:r w:rsidR="00A5354A">
        <w:rPr>
          <w:rFonts w:asciiTheme="minorHAnsi" w:hAnsiTheme="minorHAnsi" w:cstheme="minorHAnsi"/>
          <w:color w:val="165788"/>
          <w:u w:val="single"/>
        </w:rPr>
        <w:t>.</w:t>
      </w:r>
    </w:p>
    <w:p w14:paraId="7F4862F0" w14:textId="77777777" w:rsidR="00D32016" w:rsidRDefault="00985AE0">
      <w:pPr>
        <w:pStyle w:val="Heading4"/>
      </w:pPr>
      <w:r w:rsidRPr="00061D40">
        <w:t>Participation in national reports on the outcomes of schooling</w:t>
      </w:r>
    </w:p>
    <w:p w14:paraId="7F4862F1" w14:textId="77777777" w:rsidR="00332F57" w:rsidRDefault="00332F57" w:rsidP="00332F57">
      <w:pPr>
        <w:pStyle w:val="bodytextoutlinednumber"/>
      </w:pPr>
      <w:r w:rsidRPr="00061D40">
        <w:t xml:space="preserve">Under section 18 of the Act, non-government schools and school systems are required to participate in preparing national reports on the outcomes of schooling. In addition to meeting the performance reporting requirements in the Regulations, non-government school authorities are expected to meet any other reporting requirements in the NEA relating to participation in national reports - that is, the annual national report on the </w:t>
      </w:r>
      <w:r w:rsidRPr="00061D40">
        <w:lastRenderedPageBreak/>
        <w:t xml:space="preserve">outcomes of schooling in Australia and COAG reports including the report </w:t>
      </w:r>
      <w:r w:rsidRPr="00061D40">
        <w:rPr>
          <w:i/>
        </w:rPr>
        <w:t>Overcoming Indigenous Disadvantage</w:t>
      </w:r>
      <w:r w:rsidRPr="00061D40">
        <w:t xml:space="preserve">. </w:t>
      </w:r>
    </w:p>
    <w:p w14:paraId="7F4862F2" w14:textId="77777777" w:rsidR="00985AE0" w:rsidRPr="00061D40" w:rsidRDefault="00985AE0" w:rsidP="0059078F">
      <w:pPr>
        <w:pStyle w:val="bodytextoutlinednumber"/>
      </w:pPr>
      <w:r w:rsidRPr="00061D40">
        <w:t xml:space="preserve">The performance measures </w:t>
      </w:r>
      <w:r w:rsidR="009D1B5C" w:rsidRPr="00061D40">
        <w:t xml:space="preserve">specified in the Regulations </w:t>
      </w:r>
      <w:r w:rsidRPr="00061D40">
        <w:t xml:space="preserve">are those agreed by </w:t>
      </w:r>
      <w:r w:rsidR="00861747" w:rsidRPr="00061D40">
        <w:t xml:space="preserve">Education Ministers </w:t>
      </w:r>
      <w:r w:rsidRPr="00061D40">
        <w:t>and published in the Measurement Framework.</w:t>
      </w:r>
      <w:r w:rsidR="008E5ABB" w:rsidRPr="00061D40">
        <w:t xml:space="preserve"> </w:t>
      </w:r>
      <w:r w:rsidRPr="00061D40">
        <w:t>The</w:t>
      </w:r>
      <w:r w:rsidR="00332F57">
        <w:t>y</w:t>
      </w:r>
      <w:r w:rsidRPr="00061D40">
        <w:t xml:space="preserve"> cover:</w:t>
      </w:r>
    </w:p>
    <w:p w14:paraId="7F4862F3" w14:textId="77777777" w:rsidR="00985AE0" w:rsidRPr="00061D40" w:rsidRDefault="00985AE0" w:rsidP="006067EC">
      <w:pPr>
        <w:pStyle w:val="StyleStyledotpointAfter75ptLinespacingsingle"/>
      </w:pPr>
      <w:r w:rsidRPr="00061D40">
        <w:t>NAPLAN literacy and numeracy assessments at Years 3, 5, 7 and 9</w:t>
      </w:r>
    </w:p>
    <w:p w14:paraId="7F4862F4" w14:textId="77777777" w:rsidR="00985AE0" w:rsidRPr="00061D40" w:rsidRDefault="00EF5C99" w:rsidP="006067EC">
      <w:pPr>
        <w:pStyle w:val="StyleStyledotpointAfter75ptLinespacingsingle"/>
      </w:pPr>
      <w:r w:rsidRPr="00061D40">
        <w:t xml:space="preserve">other </w:t>
      </w:r>
      <w:r w:rsidR="00985AE0" w:rsidRPr="00061D40">
        <w:t>learning area assessments (NAP</w:t>
      </w:r>
      <w:r w:rsidR="00332F57">
        <w:t xml:space="preserve"> sample assessments</w:t>
      </w:r>
      <w:r w:rsidR="00985AE0" w:rsidRPr="00061D40">
        <w:t xml:space="preserve">, PISA and TIMSS) </w:t>
      </w:r>
      <w:r w:rsidRPr="00061D40">
        <w:t>v</w:t>
      </w:r>
      <w:r w:rsidR="00985AE0" w:rsidRPr="00061D40">
        <w:t xml:space="preserve">ocational education and training in schools </w:t>
      </w:r>
    </w:p>
    <w:p w14:paraId="7F4862F5" w14:textId="77777777" w:rsidR="00985AE0" w:rsidRPr="00061D40" w:rsidRDefault="00EF5C99" w:rsidP="006067EC">
      <w:pPr>
        <w:pStyle w:val="StyleStyledotpointAfter75ptLinespacingsingle"/>
      </w:pPr>
      <w:r w:rsidRPr="00061D40">
        <w:t>s</w:t>
      </w:r>
      <w:r w:rsidR="00985AE0" w:rsidRPr="00061D40">
        <w:t xml:space="preserve">tudent </w:t>
      </w:r>
      <w:r w:rsidR="009911C9">
        <w:t>participation</w:t>
      </w:r>
      <w:r w:rsidR="00985AE0" w:rsidRPr="00061D40">
        <w:t>.</w:t>
      </w:r>
    </w:p>
    <w:p w14:paraId="7F4862F6" w14:textId="77777777" w:rsidR="003467C5" w:rsidRPr="00846B71" w:rsidRDefault="00332F57" w:rsidP="003467C5">
      <w:pPr>
        <w:pStyle w:val="bodytextoutlinednumber"/>
      </w:pPr>
      <w:r>
        <w:t>Data</w:t>
      </w:r>
      <w:r w:rsidRPr="00061D40">
        <w:t xml:space="preserve"> from NAPLAN assessments at Years 3, 5, 7 and 9</w:t>
      </w:r>
      <w:r>
        <w:t>, along with parent background information</w:t>
      </w:r>
      <w:r w:rsidR="00E328FC">
        <w:t>,</w:t>
      </w:r>
      <w:r w:rsidRPr="00061D40">
        <w:t xml:space="preserve"> will be provided </w:t>
      </w:r>
      <w:r>
        <w:t xml:space="preserve">to ACARA </w:t>
      </w:r>
      <w:r w:rsidRPr="00061D40">
        <w:t>by the relevant test administration authority on behalf of schools and education authorities for national reporting purposes</w:t>
      </w:r>
      <w:r w:rsidRPr="00846B71">
        <w:t xml:space="preserve">. This information can be used for general </w:t>
      </w:r>
      <w:r>
        <w:t xml:space="preserve">performance </w:t>
      </w:r>
      <w:r w:rsidRPr="00846B71">
        <w:t>analysis</w:t>
      </w:r>
      <w:r>
        <w:t xml:space="preserve">, as well as </w:t>
      </w:r>
      <w:r w:rsidRPr="00846B71">
        <w:t xml:space="preserve">for calculating the Index for Community Socio-Educational Advantage (ICSEA). </w:t>
      </w:r>
      <w:r>
        <w:t xml:space="preserve">ACARA may seek additional parent background information from schools </w:t>
      </w:r>
      <w:r w:rsidR="003467C5">
        <w:t xml:space="preserve">or systems </w:t>
      </w:r>
      <w:r>
        <w:t xml:space="preserve">for any given year. This information may relate to students </w:t>
      </w:r>
      <w:r w:rsidR="00A5354A">
        <w:t>who</w:t>
      </w:r>
      <w:r>
        <w:t xml:space="preserve"> were or were not assessed in NAPLAN in that year. Such information is required to calculate a </w:t>
      </w:r>
      <w:r w:rsidRPr="00846B71">
        <w:t xml:space="preserve">school’s ICSEA score where </w:t>
      </w:r>
      <w:r>
        <w:t>existing</w:t>
      </w:r>
      <w:r w:rsidRPr="00846B71">
        <w:t xml:space="preserve"> records are insufficient for this purpose.</w:t>
      </w:r>
      <w:r w:rsidR="003467C5">
        <w:t xml:space="preserve"> Supply of</w:t>
      </w:r>
      <w:r w:rsidR="0003395C">
        <w:t xml:space="preserve"> additional parental background</w:t>
      </w:r>
      <w:r w:rsidR="003467C5">
        <w:t xml:space="preserve"> information </w:t>
      </w:r>
      <w:r w:rsidR="005B7B2A">
        <w:t xml:space="preserve">is </w:t>
      </w:r>
      <w:r w:rsidR="003467C5">
        <w:t>not required under the Act is</w:t>
      </w:r>
      <w:r w:rsidR="00A5354A">
        <w:t xml:space="preserve"> therefore</w:t>
      </w:r>
      <w:r w:rsidR="003467C5">
        <w:t xml:space="preserve"> voluntary.</w:t>
      </w:r>
    </w:p>
    <w:p w14:paraId="7F4862F7" w14:textId="77777777" w:rsidR="00985AE0" w:rsidRPr="00061D40" w:rsidRDefault="00985AE0" w:rsidP="0059078F">
      <w:pPr>
        <w:pStyle w:val="bodytextoutlinednumber"/>
      </w:pPr>
      <w:r w:rsidRPr="00061D40">
        <w:t>Student background characteristics</w:t>
      </w:r>
      <w:r w:rsidR="009D1B5C" w:rsidRPr="00061D40">
        <w:t xml:space="preserve"> are </w:t>
      </w:r>
      <w:r w:rsidR="0012631D" w:rsidRPr="00061D40">
        <w:t>also</w:t>
      </w:r>
      <w:r w:rsidR="009D1B5C" w:rsidRPr="00061D40">
        <w:t xml:space="preserve"> specified in the </w:t>
      </w:r>
      <w:r w:rsidR="001F7CAD" w:rsidRPr="00061D40">
        <w:t>Regulation</w:t>
      </w:r>
      <w:r w:rsidR="009D1B5C" w:rsidRPr="00061D40">
        <w:t>s.</w:t>
      </w:r>
      <w:r w:rsidR="008E5ABB" w:rsidRPr="00061D40">
        <w:t xml:space="preserve"> </w:t>
      </w:r>
      <w:r w:rsidR="009D1B5C" w:rsidRPr="00061D40">
        <w:t>R</w:t>
      </w:r>
      <w:r w:rsidRPr="00061D40">
        <w:t xml:space="preserve">eporting of performance measures disaggregated according to student background characteristics is critical to monitoring the equity aspects of student </w:t>
      </w:r>
      <w:r w:rsidR="00332F57">
        <w:t>outcomes</w:t>
      </w:r>
      <w:r w:rsidRPr="00061D40">
        <w:t>.</w:t>
      </w:r>
      <w:r w:rsidR="008E5ABB" w:rsidRPr="00061D40">
        <w:t xml:space="preserve"> </w:t>
      </w:r>
    </w:p>
    <w:p w14:paraId="7F4862F8" w14:textId="77777777" w:rsidR="00846B71" w:rsidRPr="00846B71" w:rsidRDefault="00985AE0" w:rsidP="0059078F">
      <w:pPr>
        <w:pStyle w:val="bodytextoutlinednumber"/>
      </w:pPr>
      <w:r w:rsidRPr="00061D40">
        <w:t xml:space="preserve">The reporting of performance measures for NAPLAN and </w:t>
      </w:r>
      <w:r w:rsidR="0077623A">
        <w:t xml:space="preserve">other </w:t>
      </w:r>
      <w:r w:rsidRPr="00061D40">
        <w:t xml:space="preserve">NAP assessments </w:t>
      </w:r>
      <w:r w:rsidR="0012631D" w:rsidRPr="00061D40">
        <w:t>is</w:t>
      </w:r>
      <w:r w:rsidRPr="00061D40">
        <w:t xml:space="preserve"> required by the following characteristics of students: sex, Indigenous status, socioeconomic background, language background, geographic location and disability</w:t>
      </w:r>
      <w:r w:rsidR="0003395C">
        <w:t xml:space="preserve"> (see paragraph 32)</w:t>
      </w:r>
      <w:r w:rsidRPr="00061D40">
        <w:t>.</w:t>
      </w:r>
      <w:r w:rsidR="008E5ABB" w:rsidRPr="00061D40">
        <w:t xml:space="preserve"> </w:t>
      </w:r>
      <w:r w:rsidRPr="00061D40">
        <w:t xml:space="preserve">Reporting on student attendance </w:t>
      </w:r>
      <w:r w:rsidR="0012631D" w:rsidRPr="00061D40">
        <w:t>is</w:t>
      </w:r>
      <w:r w:rsidRPr="00061D40">
        <w:t xml:space="preserve"> by school sector, school grade, sex and Indigenous status</w:t>
      </w:r>
      <w:r w:rsidRPr="00846B71">
        <w:t>.</w:t>
      </w:r>
      <w:r w:rsidR="00846B71" w:rsidRPr="00846B71">
        <w:t xml:space="preserve"> </w:t>
      </w:r>
    </w:p>
    <w:p w14:paraId="7F4862F9" w14:textId="77777777" w:rsidR="00E328FC" w:rsidRDefault="00985AE0" w:rsidP="0059078F">
      <w:pPr>
        <w:pStyle w:val="bodytextoutlinednumber"/>
      </w:pPr>
      <w:r w:rsidRPr="00061D40">
        <w:t xml:space="preserve">The relevant definitions for reporting </w:t>
      </w:r>
      <w:r w:rsidR="0012631D" w:rsidRPr="00061D40">
        <w:t>are</w:t>
      </w:r>
      <w:r w:rsidRPr="00061D40">
        <w:t xml:space="preserve"> those agreed by </w:t>
      </w:r>
      <w:r w:rsidR="0012631D" w:rsidRPr="00061D40">
        <w:t xml:space="preserve">Education Ministers </w:t>
      </w:r>
      <w:r w:rsidRPr="00061D40">
        <w:t xml:space="preserve">and published in the </w:t>
      </w:r>
      <w:r w:rsidR="00E328FC">
        <w:t>2010</w:t>
      </w:r>
      <w:r w:rsidR="00E328FC" w:rsidRPr="00061D40">
        <w:t xml:space="preserve"> </w:t>
      </w:r>
      <w:r w:rsidRPr="00061D40">
        <w:t>Data Standards Manual</w:t>
      </w:r>
      <w:r w:rsidR="00E328FC">
        <w:t xml:space="preserve">, which is available at </w:t>
      </w:r>
      <w:hyperlink r:id="rId30" w:history="1">
        <w:r w:rsidR="00992843" w:rsidRPr="00264948">
          <w:rPr>
            <w:rStyle w:val="Hyperlink"/>
            <w:rFonts w:cs="Garamond"/>
          </w:rPr>
          <w:t>http://www.mceecdya.edu.au/mceecdya/data_standards_manual_2010,30011.html</w:t>
        </w:r>
      </w:hyperlink>
      <w:r w:rsidR="001E3F51">
        <w:t>.</w:t>
      </w:r>
    </w:p>
    <w:p w14:paraId="7F4862FA" w14:textId="77777777" w:rsidR="00985AE0" w:rsidRDefault="00985AE0" w:rsidP="0059078F">
      <w:pPr>
        <w:pStyle w:val="bodytextoutlinednumber"/>
      </w:pPr>
      <w:r w:rsidRPr="00061D40">
        <w:t xml:space="preserve">Reporting against the characteristic of disability </w:t>
      </w:r>
      <w:r w:rsidR="0012631D" w:rsidRPr="00061D40">
        <w:t>is</w:t>
      </w:r>
      <w:r w:rsidRPr="00061D40">
        <w:t xml:space="preserve"> a new requirement</w:t>
      </w:r>
      <w:r w:rsidR="00765C78" w:rsidRPr="00061D40">
        <w:t>.</w:t>
      </w:r>
      <w:r w:rsidRPr="00061D40">
        <w:t xml:space="preserve"> </w:t>
      </w:r>
      <w:r w:rsidR="00765C78" w:rsidRPr="00061D40">
        <w:t>T</w:t>
      </w:r>
      <w:r w:rsidRPr="00061D40">
        <w:t>he relevant process and definitions for reporting have yet to be agreed</w:t>
      </w:r>
      <w:r w:rsidR="00765C78" w:rsidRPr="00061D40">
        <w:t>, but o</w:t>
      </w:r>
      <w:r w:rsidRPr="00061D40">
        <w:t xml:space="preserve">nce these details have been agreed, reporting against the characteristic of disability </w:t>
      </w:r>
      <w:r w:rsidR="00765C78" w:rsidRPr="00061D40">
        <w:t xml:space="preserve">will </w:t>
      </w:r>
      <w:r w:rsidRPr="00061D40">
        <w:t>be required</w:t>
      </w:r>
      <w:r w:rsidR="009D1B5C" w:rsidRPr="00061D40">
        <w:t xml:space="preserve"> and will be prescribed in the </w:t>
      </w:r>
      <w:r w:rsidR="002A3E4A" w:rsidRPr="00061D40">
        <w:t>R</w:t>
      </w:r>
      <w:r w:rsidR="001F7CAD" w:rsidRPr="00061D40">
        <w:t>egulation</w:t>
      </w:r>
      <w:r w:rsidR="009D1B5C" w:rsidRPr="00061D40">
        <w:t>s</w:t>
      </w:r>
      <w:r w:rsidRPr="00061D40">
        <w:t>.</w:t>
      </w:r>
    </w:p>
    <w:p w14:paraId="7F4862FB" w14:textId="77777777" w:rsidR="00217F1E" w:rsidRPr="00061D40" w:rsidRDefault="00217F1E" w:rsidP="0059078F">
      <w:pPr>
        <w:pStyle w:val="bodytextoutlinednumber"/>
      </w:pPr>
      <w:r w:rsidRPr="00061D40">
        <w:t xml:space="preserve">Requirements in the NEA which are not specified in the </w:t>
      </w:r>
      <w:r w:rsidR="001F7CAD" w:rsidRPr="00061D40">
        <w:t>Regulation</w:t>
      </w:r>
      <w:r w:rsidRPr="00061D40">
        <w:t xml:space="preserve">s include reporting on Year 10 completion by Indigenous students, and reporting the numbers of students with a disability and students from non-English speaking backgrounds (including newly-arrived migrants and refugees) </w:t>
      </w:r>
      <w:r w:rsidR="00F20467">
        <w:t xml:space="preserve">who are </w:t>
      </w:r>
      <w:r w:rsidRPr="00061D40">
        <w:t xml:space="preserve">provided with additional support. Definitional and other work needs to be agreed through </w:t>
      </w:r>
      <w:r w:rsidR="009911C9">
        <w:t>the Ministerial Council</w:t>
      </w:r>
      <w:r w:rsidR="009911C9" w:rsidRPr="00061D40">
        <w:t xml:space="preserve"> </w:t>
      </w:r>
      <w:r w:rsidRPr="00061D40">
        <w:t xml:space="preserve">before these collections can commence; in the meantime, non-government schools provide some of this data. Non-government school authorities are also expected to continue to provide information on Indigenous employment in schools and professional development by Indigenous education </w:t>
      </w:r>
      <w:r w:rsidRPr="00061D40">
        <w:lastRenderedPageBreak/>
        <w:t xml:space="preserve">workers currently required for the biennial COAG </w:t>
      </w:r>
      <w:r w:rsidR="0005135F" w:rsidRPr="00061D40">
        <w:t>r</w:t>
      </w:r>
      <w:r w:rsidRPr="00061D40">
        <w:t xml:space="preserve">eport </w:t>
      </w:r>
      <w:r w:rsidRPr="00061D40">
        <w:rPr>
          <w:i/>
        </w:rPr>
        <w:t>Overcoming Indigenous Disadvantage</w:t>
      </w:r>
      <w:r w:rsidRPr="00061D40">
        <w:t xml:space="preserve">. </w:t>
      </w:r>
    </w:p>
    <w:p w14:paraId="7F4862FC" w14:textId="77777777" w:rsidR="00217F1E" w:rsidRPr="00061D40" w:rsidRDefault="00217F1E" w:rsidP="0059078F">
      <w:pPr>
        <w:pStyle w:val="bodytextoutlinednumber"/>
      </w:pPr>
      <w:r w:rsidRPr="00061D40">
        <w:t xml:space="preserve">Where appropriate, regulations will be </w:t>
      </w:r>
      <w:r w:rsidR="00A257B0">
        <w:t>amended</w:t>
      </w:r>
      <w:r w:rsidR="00F20467">
        <w:t xml:space="preserve"> to reflect decisions made by </w:t>
      </w:r>
      <w:r w:rsidR="009911C9">
        <w:t xml:space="preserve">the Ministerial Council </w:t>
      </w:r>
      <w:r w:rsidR="00F20467">
        <w:t>regarding the collection and publication of school data.</w:t>
      </w:r>
    </w:p>
    <w:p w14:paraId="7F4862FD" w14:textId="77777777" w:rsidR="00D32016" w:rsidRDefault="00E9262E">
      <w:pPr>
        <w:pStyle w:val="Heading4"/>
      </w:pPr>
      <w:r w:rsidRPr="00061D40">
        <w:t>Provision of individual school information</w:t>
      </w:r>
    </w:p>
    <w:p w14:paraId="7F4862FE" w14:textId="77777777" w:rsidR="0012631D" w:rsidRPr="00061D40" w:rsidRDefault="00FB5C9E" w:rsidP="0072435F">
      <w:pPr>
        <w:pStyle w:val="bodytextoutlinednumber"/>
      </w:pPr>
      <w:bookmarkStart w:id="16" w:name="OLE_LINK41"/>
      <w:bookmarkStart w:id="17" w:name="OLE_LINK42"/>
      <w:r w:rsidRPr="00061D40">
        <w:t xml:space="preserve">All schools and system authorities must provide to the Minister, or to a person or body determined by the Minister, the individual school information for each school as specified in </w:t>
      </w:r>
      <w:r w:rsidR="0012631D" w:rsidRPr="00061D40">
        <w:t>R</w:t>
      </w:r>
      <w:r w:rsidRPr="00061D40">
        <w:t>egulation</w:t>
      </w:r>
      <w:r w:rsidR="0077623A">
        <w:t xml:space="preserve"> </w:t>
      </w:r>
      <w:r w:rsidR="0012631D" w:rsidRPr="00061D40">
        <w:t>4</w:t>
      </w:r>
      <w:r w:rsidRPr="00061D40">
        <w:t xml:space="preserve">. The Minister </w:t>
      </w:r>
      <w:r w:rsidR="0012631D" w:rsidRPr="00061D40">
        <w:t xml:space="preserve">has </w:t>
      </w:r>
      <w:r w:rsidRPr="00061D40">
        <w:t>determine</w:t>
      </w:r>
      <w:r w:rsidR="0012631D" w:rsidRPr="00061D40">
        <w:t>d</w:t>
      </w:r>
      <w:r w:rsidRPr="00061D40">
        <w:t xml:space="preserve"> that th</w:t>
      </w:r>
      <w:r w:rsidR="0012631D" w:rsidRPr="00061D40">
        <w:t>e</w:t>
      </w:r>
      <w:r w:rsidRPr="00061D40">
        <w:t xml:space="preserve"> information will be provided to </w:t>
      </w:r>
      <w:r w:rsidR="0012631D" w:rsidRPr="00061D40">
        <w:t>ACARA</w:t>
      </w:r>
      <w:r w:rsidRPr="00061D40">
        <w:t>.</w:t>
      </w:r>
      <w:r w:rsidR="0012631D" w:rsidRPr="00061D40">
        <w:t xml:space="preserve"> Some of this individual school information will be published on ACARA’s </w:t>
      </w:r>
      <w:r w:rsidR="0012631D" w:rsidRPr="00061D40">
        <w:rPr>
          <w:i/>
        </w:rPr>
        <w:t>My School</w:t>
      </w:r>
      <w:r w:rsidR="0012631D" w:rsidRPr="00061D40">
        <w:t xml:space="preserve"> website at </w:t>
      </w:r>
      <w:hyperlink r:id="rId31" w:history="1">
        <w:r w:rsidR="0072435F" w:rsidRPr="00964CF2">
          <w:rPr>
            <w:rStyle w:val="Hyperlink"/>
            <w:rFonts w:cs="Garamond"/>
          </w:rPr>
          <w:t>http://www.myschool.edu.au/</w:t>
        </w:r>
      </w:hyperlink>
      <w:r w:rsidR="0012631D" w:rsidRPr="00061D40">
        <w:t>. The requirement to provide individual school information applies to all schools, both government and non</w:t>
      </w:r>
      <w:r w:rsidR="0012631D" w:rsidRPr="00061D40">
        <w:noBreakHyphen/>
        <w:t>government.</w:t>
      </w:r>
    </w:p>
    <w:p w14:paraId="7F4862FF" w14:textId="77777777" w:rsidR="0012631D" w:rsidRPr="00061D40" w:rsidRDefault="0012631D" w:rsidP="0059078F">
      <w:pPr>
        <w:pStyle w:val="bodytextoutlinednumber"/>
      </w:pPr>
      <w:r w:rsidRPr="00061D40">
        <w:t>The information to be provided covers three classes of indicators identified by Ministers:</w:t>
      </w:r>
    </w:p>
    <w:p w14:paraId="7F486300" w14:textId="77777777" w:rsidR="0012631D" w:rsidRPr="00061D40" w:rsidRDefault="0012631D" w:rsidP="00313AE7">
      <w:pPr>
        <w:pStyle w:val="bodytextoutlinednumber"/>
        <w:numPr>
          <w:ilvl w:val="1"/>
          <w:numId w:val="10"/>
        </w:numPr>
      </w:pPr>
      <w:r w:rsidRPr="00061D40">
        <w:t xml:space="preserve">contextual - factors that contextualise student outcomes, e.g. a school’s student intake (population), spread of student </w:t>
      </w:r>
      <w:r w:rsidR="00F1536B" w:rsidRPr="00061D40">
        <w:t>socioeconomic status (</w:t>
      </w:r>
      <w:r w:rsidRPr="00061D40">
        <w:t>SES</w:t>
      </w:r>
      <w:r w:rsidR="00F1536B" w:rsidRPr="00061D40">
        <w:t>)</w:t>
      </w:r>
      <w:r w:rsidRPr="00061D40">
        <w:t>, pr</w:t>
      </w:r>
      <w:r w:rsidR="00151EE2" w:rsidRPr="00061D40">
        <w:t>oportion of Indigenous students</w:t>
      </w:r>
    </w:p>
    <w:p w14:paraId="7F486301" w14:textId="77777777" w:rsidR="0012631D" w:rsidRPr="00061D40" w:rsidRDefault="0012631D" w:rsidP="00313AE7">
      <w:pPr>
        <w:pStyle w:val="bodytextoutlinednumber"/>
        <w:numPr>
          <w:ilvl w:val="1"/>
          <w:numId w:val="10"/>
        </w:numPr>
      </w:pPr>
      <w:r w:rsidRPr="00061D40">
        <w:t>capacity - a school’s capability, e.g. s</w:t>
      </w:r>
      <w:r w:rsidR="00151EE2" w:rsidRPr="00061D40">
        <w:t xml:space="preserve">chool </w:t>
      </w:r>
      <w:r w:rsidR="00F20467">
        <w:t>finance information</w:t>
      </w:r>
      <w:r w:rsidR="00151EE2" w:rsidRPr="00061D40">
        <w:t>, teacher workforce</w:t>
      </w:r>
    </w:p>
    <w:p w14:paraId="7F486302" w14:textId="77777777" w:rsidR="0012631D" w:rsidRPr="00061D40" w:rsidRDefault="0012631D" w:rsidP="00313AE7">
      <w:pPr>
        <w:pStyle w:val="bodytextoutlinednumber"/>
        <w:numPr>
          <w:ilvl w:val="1"/>
          <w:numId w:val="10"/>
        </w:numPr>
      </w:pPr>
      <w:r w:rsidRPr="00061D40">
        <w:t>outcomes -</w:t>
      </w:r>
      <w:r w:rsidR="005B25E6" w:rsidRPr="00061D40">
        <w:t xml:space="preserve"> </w:t>
      </w:r>
      <w:r w:rsidRPr="00061D40">
        <w:t>a school’s outcomes, e.g. literacy and numeracy test results, Year 12 attainment</w:t>
      </w:r>
      <w:r w:rsidR="00F20467">
        <w:t>, school opinion survey results</w:t>
      </w:r>
      <w:r w:rsidRPr="00061D40">
        <w:t>.</w:t>
      </w:r>
    </w:p>
    <w:p w14:paraId="7F486303" w14:textId="77777777" w:rsidR="0012631D" w:rsidRPr="00061D40" w:rsidRDefault="0012631D" w:rsidP="0059078F">
      <w:pPr>
        <w:pStyle w:val="bodytextoutlinednumber"/>
      </w:pPr>
      <w:r w:rsidRPr="00061D40">
        <w:t xml:space="preserve">Full details of the individual school information requirements are provided at </w:t>
      </w:r>
      <w:hyperlink w:anchor="AppendixN" w:history="1">
        <w:r w:rsidR="005B25E6" w:rsidRPr="00061D40">
          <w:rPr>
            <w:rStyle w:val="Hyperlink"/>
            <w:rFonts w:cs="Garamond"/>
          </w:rPr>
          <w:t>Appendix N</w:t>
        </w:r>
      </w:hyperlink>
      <w:r w:rsidRPr="00061D40">
        <w:t>. These requirements are the result of advice provided to Ministers by the</w:t>
      </w:r>
      <w:r w:rsidR="002C4D9F" w:rsidRPr="00061D40">
        <w:t xml:space="preserve"> then</w:t>
      </w:r>
      <w:r w:rsidRPr="00061D40">
        <w:t xml:space="preserve"> School Reporting Working Group, an advisory group </w:t>
      </w:r>
      <w:r w:rsidR="002C4D9F" w:rsidRPr="00061D40">
        <w:t xml:space="preserve">that </w:t>
      </w:r>
      <w:r w:rsidRPr="00061D40">
        <w:t xml:space="preserve">included representatives from the Commonwealth, States and Territories, the National Catholic Education Commission (NCEC) and the Independent Schools Council of Australia (ISCA). </w:t>
      </w:r>
    </w:p>
    <w:p w14:paraId="7F486304" w14:textId="77777777" w:rsidR="0012631D" w:rsidRPr="00061D40" w:rsidRDefault="0012631D" w:rsidP="0059078F">
      <w:pPr>
        <w:pStyle w:val="bodytextoutlinednumber"/>
      </w:pPr>
      <w:r w:rsidRPr="00061D40">
        <w:t xml:space="preserve">Much of the information listed in the Regulations </w:t>
      </w:r>
      <w:r w:rsidR="00F20467">
        <w:t xml:space="preserve">that schools are required to provide </w:t>
      </w:r>
      <w:r w:rsidRPr="00061D40">
        <w:t>is available through existing data collections.</w:t>
      </w:r>
      <w:r w:rsidR="00562478" w:rsidRPr="00061D40">
        <w:t xml:space="preserve"> </w:t>
      </w:r>
      <w:r w:rsidRPr="00061D40">
        <w:t xml:space="preserve">To limit </w:t>
      </w:r>
      <w:r w:rsidR="00181197">
        <w:t xml:space="preserve">the </w:t>
      </w:r>
      <w:r w:rsidRPr="00061D40">
        <w:t xml:space="preserve">reporting </w:t>
      </w:r>
      <w:r w:rsidR="00181197">
        <w:t>burden on</w:t>
      </w:r>
      <w:r w:rsidRPr="00061D40">
        <w:t xml:space="preserve"> schools</w:t>
      </w:r>
      <w:r w:rsidR="00EB4F84" w:rsidRPr="00061D40">
        <w:t>,</w:t>
      </w:r>
      <w:r w:rsidRPr="00061D40">
        <w:t xml:space="preserve"> informat</w:t>
      </w:r>
      <w:r w:rsidR="00343632" w:rsidRPr="00061D40">
        <w:t>ion will be collected</w:t>
      </w:r>
      <w:r w:rsidRPr="00061D40">
        <w:t xml:space="preserve"> from existing collections</w:t>
      </w:r>
      <w:r w:rsidR="00343632" w:rsidRPr="00061D40">
        <w:t>, where</w:t>
      </w:r>
      <w:r w:rsidR="00181197">
        <w:t>ver</w:t>
      </w:r>
      <w:r w:rsidR="00343632" w:rsidRPr="00061D40">
        <w:t xml:space="preserve"> possible</w:t>
      </w:r>
      <w:r w:rsidRPr="00061D40">
        <w:t>.</w:t>
      </w:r>
      <w:r w:rsidR="00562478" w:rsidRPr="00061D40">
        <w:t xml:space="preserve"> </w:t>
      </w:r>
    </w:p>
    <w:p w14:paraId="7F486305" w14:textId="77777777" w:rsidR="008A15A2" w:rsidRDefault="0012631D" w:rsidP="0059078F">
      <w:pPr>
        <w:pStyle w:val="bodytextoutlinednumber"/>
      </w:pPr>
      <w:r w:rsidRPr="00061D40">
        <w:t xml:space="preserve">Collection and reporting of individual school information will be </w:t>
      </w:r>
      <w:r w:rsidR="00494902" w:rsidRPr="00061D40">
        <w:t xml:space="preserve">in accordance with </w:t>
      </w:r>
      <w:r w:rsidRPr="00061D40">
        <w:t xml:space="preserve">the </w:t>
      </w:r>
      <w:r w:rsidR="008730C5" w:rsidRPr="008730C5">
        <w:t>Principles and Protocols for Reporting on Schooling in Australia</w:t>
      </w:r>
      <w:r w:rsidRPr="00061D40">
        <w:t>, agreed by Education Ministers in June 2009 and available at</w:t>
      </w:r>
      <w:r w:rsidR="00494902" w:rsidRPr="00061D40">
        <w:t>:</w:t>
      </w:r>
      <w:r w:rsidRPr="00061D40">
        <w:t xml:space="preserve"> </w:t>
      </w:r>
      <w:hyperlink r:id="rId32" w:history="1">
        <w:r w:rsidR="008A15A2" w:rsidRPr="00964CF2">
          <w:rPr>
            <w:rStyle w:val="Hyperlink"/>
            <w:rFonts w:cs="Garamond"/>
          </w:rPr>
          <w:t>http://www.mceecdya.edu.au/verve/_resources/Principles_and_Protocols_2009.pdf</w:t>
        </w:r>
      </w:hyperlink>
      <w:r w:rsidR="008A15A2">
        <w:t>.</w:t>
      </w:r>
    </w:p>
    <w:bookmarkEnd w:id="16"/>
    <w:bookmarkEnd w:id="17"/>
    <w:p w14:paraId="7F486306" w14:textId="77777777" w:rsidR="00E9262E" w:rsidRPr="00061D40" w:rsidRDefault="00E9262E" w:rsidP="00494902">
      <w:pPr>
        <w:pStyle w:val="Heading4"/>
      </w:pPr>
      <w:r w:rsidRPr="00061D40">
        <w:t>Provision of</w:t>
      </w:r>
      <w:r w:rsidR="00983FE8" w:rsidRPr="00061D40">
        <w:t xml:space="preserve"> plain language student</w:t>
      </w:r>
      <w:r w:rsidRPr="00061D40">
        <w:t xml:space="preserve"> reports to parents</w:t>
      </w:r>
    </w:p>
    <w:p w14:paraId="7F486307" w14:textId="77777777" w:rsidR="00E9262E" w:rsidRPr="00061D40" w:rsidRDefault="00E9262E" w:rsidP="0059078F">
      <w:pPr>
        <w:pStyle w:val="bodytextoutlinednumber"/>
      </w:pPr>
      <w:r w:rsidRPr="00061D40">
        <w:t xml:space="preserve">As required by the Act and the </w:t>
      </w:r>
      <w:r w:rsidR="001F7CAD" w:rsidRPr="00061D40">
        <w:t>Regulation</w:t>
      </w:r>
      <w:r w:rsidRPr="00061D40">
        <w:t xml:space="preserve">s, all school and system authorities must provide plain language student reports to the parents or carers of each child </w:t>
      </w:r>
      <w:r w:rsidR="00846B71">
        <w:t>from Years</w:t>
      </w:r>
      <w:r w:rsidR="00D447E5">
        <w:t xml:space="preserve"> </w:t>
      </w:r>
      <w:r w:rsidR="00846B71">
        <w:t xml:space="preserve">1-10 inclusive </w:t>
      </w:r>
      <w:r w:rsidR="002C4D9F" w:rsidRPr="00061D40">
        <w:t xml:space="preserve">at least </w:t>
      </w:r>
      <w:r w:rsidRPr="00061D40">
        <w:t>twice a year that:</w:t>
      </w:r>
    </w:p>
    <w:p w14:paraId="7F486308" w14:textId="77777777" w:rsidR="00E9262E" w:rsidRPr="00061D40" w:rsidRDefault="00E9262E" w:rsidP="006067EC">
      <w:pPr>
        <w:pStyle w:val="StyleStyledotpointAfter75ptLinespacingsingle"/>
      </w:pPr>
      <w:r w:rsidRPr="00061D40">
        <w:t>are readily understandable to those responsible for the student and give an accurate and objective assessment of the student’s progress and achievement</w:t>
      </w:r>
    </w:p>
    <w:p w14:paraId="7F486309" w14:textId="77777777" w:rsidR="00E9262E" w:rsidRPr="00061D40" w:rsidRDefault="00E9262E" w:rsidP="006067EC">
      <w:pPr>
        <w:pStyle w:val="StyleStyledotpointAfter75ptLinespacingsingle"/>
      </w:pPr>
      <w:r w:rsidRPr="00061D40">
        <w:t>include an assessment of the student’s achievement against any available national standards</w:t>
      </w:r>
    </w:p>
    <w:p w14:paraId="7F48630A" w14:textId="77777777" w:rsidR="00E9262E" w:rsidRPr="00061D40" w:rsidRDefault="00E9262E" w:rsidP="006067EC">
      <w:pPr>
        <w:pStyle w:val="StyleStyledotpointAfter75ptLinespacingsingle"/>
      </w:pPr>
      <w:r w:rsidRPr="00061D40">
        <w:lastRenderedPageBreak/>
        <w:t xml:space="preserve">include, for subjects studied, an assessment of the student’s achievement </w:t>
      </w:r>
    </w:p>
    <w:p w14:paraId="7F48630B" w14:textId="77777777" w:rsidR="00E9262E" w:rsidRPr="00061D40" w:rsidRDefault="00E9262E" w:rsidP="006455DC">
      <w:pPr>
        <w:pStyle w:val="dotpoint2"/>
        <w:spacing w:line="240" w:lineRule="auto"/>
      </w:pPr>
      <w:r w:rsidRPr="00061D40">
        <w:t xml:space="preserve">reported as A, B, C, D and E (or an equivalent five-point scale), clearly defined against specific learning standards </w:t>
      </w:r>
    </w:p>
    <w:p w14:paraId="7F48630C" w14:textId="77777777" w:rsidR="00E9262E" w:rsidRPr="00061D40" w:rsidRDefault="00E9262E" w:rsidP="006455DC">
      <w:pPr>
        <w:pStyle w:val="dotpoint2"/>
        <w:spacing w:line="240" w:lineRule="auto"/>
      </w:pPr>
      <w:r w:rsidRPr="00061D40">
        <w:t>relative to the performance of the student’s peer group at the school.</w:t>
      </w:r>
    </w:p>
    <w:p w14:paraId="7F48630D" w14:textId="77777777" w:rsidR="00A257B0" w:rsidRDefault="00A257B0">
      <w:pPr>
        <w:pStyle w:val="bodytextoutlinednumber"/>
      </w:pPr>
      <w:r w:rsidRPr="00061D40">
        <w:t xml:space="preserve">The intention of </w:t>
      </w:r>
      <w:r w:rsidR="00130065">
        <w:t xml:space="preserve">comparative performance reporting </w:t>
      </w:r>
      <w:r w:rsidRPr="00061D40">
        <w:t xml:space="preserve">is to provide parents with an indication of the achievement of their child </w:t>
      </w:r>
      <w:r w:rsidR="00130065">
        <w:t>relative to other students in the cohort. There is no requirement to provide the comparison, either by quartiles, or on a “bell curve”. For example, all students in a cohort could be given the same grade if they all meet the appropriate assessment requirements.</w:t>
      </w:r>
      <w:r w:rsidR="00130065" w:rsidDel="00130065">
        <w:t xml:space="preserve"> </w:t>
      </w:r>
    </w:p>
    <w:p w14:paraId="7F48630E" w14:textId="77777777" w:rsidR="00130065" w:rsidRDefault="00130065">
      <w:pPr>
        <w:pStyle w:val="bodytextoutlinednumber"/>
      </w:pPr>
      <w:r w:rsidRPr="00061D40">
        <w:t>A school cannot obtain exemption from this</w:t>
      </w:r>
      <w:r w:rsidRPr="00130065">
        <w:t xml:space="preserve"> </w:t>
      </w:r>
      <w:r>
        <w:t xml:space="preserve">A-E reporting </w:t>
      </w:r>
      <w:r w:rsidRPr="00061D40">
        <w:t>requirement</w:t>
      </w:r>
      <w:r>
        <w:t>.</w:t>
      </w:r>
      <w:r w:rsidRPr="00130065">
        <w:t xml:space="preserve"> </w:t>
      </w:r>
      <w:r w:rsidRPr="00061D40">
        <w:t>Individual parents may</w:t>
      </w:r>
      <w:r w:rsidR="00965F2C">
        <w:t xml:space="preserve"> elect not to receive A-E reporting for their child via a written request to the school. Schools must retain a copy of all such written requests on file</w:t>
      </w:r>
      <w:r>
        <w:t>.</w:t>
      </w:r>
    </w:p>
    <w:p w14:paraId="7F48630F" w14:textId="77777777" w:rsidR="002E1981" w:rsidRDefault="00E9262E">
      <w:pPr>
        <w:pStyle w:val="Heading4"/>
      </w:pPr>
      <w:r w:rsidRPr="00061D40">
        <w:t>Publication of school</w:t>
      </w:r>
      <w:r w:rsidR="00983FE8" w:rsidRPr="00061D40">
        <w:t xml:space="preserve"> annual reports</w:t>
      </w:r>
    </w:p>
    <w:p w14:paraId="7F486310" w14:textId="77777777" w:rsidR="00E9262E" w:rsidRPr="00061D40" w:rsidRDefault="00E9262E" w:rsidP="0059078F">
      <w:pPr>
        <w:pStyle w:val="bodytextoutlinednumber"/>
      </w:pPr>
      <w:bookmarkStart w:id="18" w:name="OLE_LINK43"/>
      <w:bookmarkStart w:id="19" w:name="OLE_LINK44"/>
      <w:r w:rsidRPr="00061D40">
        <w:t xml:space="preserve">All schools and system authorities must make publicly available, within six months of the end of each program year, a </w:t>
      </w:r>
      <w:r w:rsidR="00983FE8" w:rsidRPr="00061D40">
        <w:t xml:space="preserve">school annual </w:t>
      </w:r>
      <w:r w:rsidRPr="00061D40">
        <w:t xml:space="preserve">report that includes information </w:t>
      </w:r>
      <w:r w:rsidR="00983FE8" w:rsidRPr="00061D40">
        <w:t xml:space="preserve">on a set of indicators </w:t>
      </w:r>
      <w:r w:rsidRPr="00061D40">
        <w:t>about the school</w:t>
      </w:r>
      <w:r w:rsidR="00562478" w:rsidRPr="00061D40">
        <w:t xml:space="preserve">. </w:t>
      </w:r>
      <w:r w:rsidRPr="00061D40">
        <w:t xml:space="preserve">Aimed at parents and the community, this report will include the following information, specified in the </w:t>
      </w:r>
      <w:r w:rsidR="001F7CAD" w:rsidRPr="00061D40">
        <w:t>Regulation</w:t>
      </w:r>
      <w:r w:rsidRPr="00061D40">
        <w:t xml:space="preserve">s: </w:t>
      </w:r>
    </w:p>
    <w:p w14:paraId="7F486311" w14:textId="77777777" w:rsidR="00F500DF" w:rsidRPr="00061D40" w:rsidRDefault="00430258" w:rsidP="006067EC">
      <w:pPr>
        <w:pStyle w:val="StyleStyledotpointAfter75ptLinespacingsingle"/>
      </w:pPr>
      <w:r w:rsidRPr="00061D40">
        <w:t>c</w:t>
      </w:r>
      <w:r w:rsidR="00F500DF" w:rsidRPr="00061D40">
        <w:t>ontextual information about the school, including the characteristics of the student body</w:t>
      </w:r>
    </w:p>
    <w:p w14:paraId="7F486312" w14:textId="77777777" w:rsidR="00F500DF" w:rsidRPr="00061D40" w:rsidRDefault="00430258" w:rsidP="006067EC">
      <w:pPr>
        <w:pStyle w:val="StyleStyledotpointAfter75ptLinespacingsingle"/>
      </w:pPr>
      <w:r w:rsidRPr="00061D40">
        <w:t>t</w:t>
      </w:r>
      <w:r w:rsidR="00F500DF" w:rsidRPr="00061D40">
        <w:t>eacher standards and qualifications as mandated in the relevant jurisdiction</w:t>
      </w:r>
    </w:p>
    <w:p w14:paraId="7F486313" w14:textId="77777777" w:rsidR="00F500DF" w:rsidRPr="00061D40" w:rsidRDefault="00430258" w:rsidP="006067EC">
      <w:pPr>
        <w:pStyle w:val="StyleStyledotpointAfter75ptLinespacingsingle"/>
      </w:pPr>
      <w:r w:rsidRPr="00061D40">
        <w:t>w</w:t>
      </w:r>
      <w:r w:rsidR="00F500DF" w:rsidRPr="00061D40">
        <w:t>orkforce composition, including Indigenous composition</w:t>
      </w:r>
    </w:p>
    <w:p w14:paraId="7F486314" w14:textId="77777777" w:rsidR="00F500DF" w:rsidRPr="00061D40" w:rsidRDefault="00430258" w:rsidP="006067EC">
      <w:pPr>
        <w:pStyle w:val="StyleStyledotpointAfter75ptLinespacingsingle"/>
      </w:pPr>
      <w:r w:rsidRPr="00061D40">
        <w:t>s</w:t>
      </w:r>
      <w:r w:rsidR="00F500DF" w:rsidRPr="00061D40">
        <w:t>tudent attendance at school, including:</w:t>
      </w:r>
    </w:p>
    <w:p w14:paraId="7F486315" w14:textId="77777777" w:rsidR="00F500DF" w:rsidRPr="00061D40" w:rsidRDefault="00903769" w:rsidP="006455DC">
      <w:pPr>
        <w:pStyle w:val="dotpoint2"/>
        <w:spacing w:line="240" w:lineRule="auto"/>
      </w:pPr>
      <w:r w:rsidRPr="00061D40">
        <w:t>r</w:t>
      </w:r>
      <w:r w:rsidR="00F500DF" w:rsidRPr="00061D40">
        <w:t xml:space="preserve">ates of attendance for the whole school and for each year level </w:t>
      </w:r>
    </w:p>
    <w:p w14:paraId="7F486316" w14:textId="77777777" w:rsidR="00F500DF" w:rsidRPr="00061D40" w:rsidRDefault="00903769" w:rsidP="006455DC">
      <w:pPr>
        <w:pStyle w:val="dotpoint2"/>
        <w:spacing w:line="240" w:lineRule="auto"/>
      </w:pPr>
      <w:r w:rsidRPr="00061D40">
        <w:t>a</w:t>
      </w:r>
      <w:r w:rsidR="00F500DF" w:rsidRPr="00061D40">
        <w:t xml:space="preserve"> description of how non-attendance is managed by </w:t>
      </w:r>
      <w:r w:rsidRPr="00061D40">
        <w:t xml:space="preserve">the </w:t>
      </w:r>
      <w:r w:rsidR="00F500DF" w:rsidRPr="00061D40">
        <w:t>school</w:t>
      </w:r>
    </w:p>
    <w:p w14:paraId="7F486317" w14:textId="77777777" w:rsidR="00F500DF" w:rsidRPr="00061D40" w:rsidRDefault="00430258" w:rsidP="006067EC">
      <w:pPr>
        <w:pStyle w:val="StyleStyledotpointAfter75ptLinespacingsingle"/>
      </w:pPr>
      <w:r w:rsidRPr="00061D40">
        <w:t>s</w:t>
      </w:r>
      <w:r w:rsidR="00F500DF" w:rsidRPr="00061D40">
        <w:t>enior secondary outcomes, including the percentage of year 12 students:</w:t>
      </w:r>
    </w:p>
    <w:p w14:paraId="7F486318" w14:textId="77777777" w:rsidR="00F500DF" w:rsidRPr="00061D40" w:rsidRDefault="00903769" w:rsidP="006455DC">
      <w:pPr>
        <w:pStyle w:val="dotpoint2"/>
        <w:spacing w:line="240" w:lineRule="auto"/>
      </w:pPr>
      <w:r w:rsidRPr="00061D40">
        <w:t>u</w:t>
      </w:r>
      <w:r w:rsidR="00F500DF" w:rsidRPr="00061D40">
        <w:t>ndertaking vocational or trade training</w:t>
      </w:r>
    </w:p>
    <w:p w14:paraId="7F486319" w14:textId="77777777" w:rsidR="00F500DF" w:rsidRPr="00061D40" w:rsidRDefault="00903769" w:rsidP="006455DC">
      <w:pPr>
        <w:pStyle w:val="dotpoint2"/>
        <w:spacing w:line="240" w:lineRule="auto"/>
      </w:pPr>
      <w:r w:rsidRPr="00061D40">
        <w:t>a</w:t>
      </w:r>
      <w:r w:rsidR="00F500DF" w:rsidRPr="00061D40">
        <w:t>ttaining a Year 12 certificate or equivalent vocational education and training (VET) qualification</w:t>
      </w:r>
    </w:p>
    <w:p w14:paraId="7F48631A" w14:textId="77777777" w:rsidR="00F500DF" w:rsidRPr="00061D40" w:rsidRDefault="00430258" w:rsidP="006067EC">
      <w:pPr>
        <w:pStyle w:val="StyleStyledotpointAfter75ptLinespacingsingle"/>
      </w:pPr>
      <w:r w:rsidRPr="00061D40">
        <w:t>s</w:t>
      </w:r>
      <w:r w:rsidR="00F500DF" w:rsidRPr="00061D40">
        <w:t>tudent outcomes in standardised national literacy and numeracy testing</w:t>
      </w:r>
    </w:p>
    <w:p w14:paraId="7F48631B" w14:textId="77777777" w:rsidR="00F500DF" w:rsidRPr="00061D40" w:rsidRDefault="00430258" w:rsidP="006067EC">
      <w:pPr>
        <w:pStyle w:val="StyleStyledotpointAfter75ptLinespacingsingle"/>
      </w:pPr>
      <w:r w:rsidRPr="00061D40">
        <w:t>p</w:t>
      </w:r>
      <w:r w:rsidR="00F500DF" w:rsidRPr="00061D40">
        <w:t>arent, student and teacher satisfaction with the school</w:t>
      </w:r>
    </w:p>
    <w:p w14:paraId="7F48631C" w14:textId="77777777" w:rsidR="00F500DF" w:rsidRPr="00061D40" w:rsidRDefault="00430258" w:rsidP="006067EC">
      <w:pPr>
        <w:pStyle w:val="StyleStyledotpointAfter75ptLinespacingsingle"/>
      </w:pPr>
      <w:r w:rsidRPr="00061D40">
        <w:t>p</w:t>
      </w:r>
      <w:r w:rsidR="00F500DF" w:rsidRPr="00061D40">
        <w:t xml:space="preserve">ost-school destinations </w:t>
      </w:r>
    </w:p>
    <w:p w14:paraId="7F48631D" w14:textId="77777777" w:rsidR="00F500DF" w:rsidRPr="00061D40" w:rsidRDefault="00430258" w:rsidP="006067EC">
      <w:pPr>
        <w:pStyle w:val="StyleStyledotpointAfter75ptLinespacingsingle"/>
      </w:pPr>
      <w:r w:rsidRPr="00061D40">
        <w:t>s</w:t>
      </w:r>
      <w:r w:rsidR="0054627C" w:rsidRPr="00061D40">
        <w:t>chool i</w:t>
      </w:r>
      <w:r w:rsidR="00F500DF" w:rsidRPr="00061D40">
        <w:t>ncome broken down by funding source</w:t>
      </w:r>
      <w:r w:rsidR="00903769" w:rsidRPr="00061D40">
        <w:t>.</w:t>
      </w:r>
    </w:p>
    <w:bookmarkEnd w:id="18"/>
    <w:bookmarkEnd w:id="19"/>
    <w:p w14:paraId="7F48631E" w14:textId="77777777" w:rsidR="00E9262E" w:rsidRPr="00061D40" w:rsidRDefault="00E9262E" w:rsidP="0059078F">
      <w:pPr>
        <w:pStyle w:val="bodytextoutlinednumber"/>
      </w:pPr>
      <w:r w:rsidRPr="00061D40">
        <w:t xml:space="preserve">The </w:t>
      </w:r>
      <w:r w:rsidR="001F7CAD" w:rsidRPr="00061D40">
        <w:t>Regulation</w:t>
      </w:r>
      <w:r w:rsidRPr="00061D40">
        <w:t>s require that this information must be made publicly available on the Internet</w:t>
      </w:r>
      <w:r w:rsidR="00AE124B">
        <w:t xml:space="preserve"> with provisions for parents without internet a</w:t>
      </w:r>
      <w:r w:rsidR="00D447E5">
        <w:t>c</w:t>
      </w:r>
      <w:r w:rsidR="00AE124B">
        <w:t>cess.</w:t>
      </w:r>
      <w:r w:rsidR="002A111A" w:rsidRPr="00061D40">
        <w:t xml:space="preserve"> These requirements </w:t>
      </w:r>
      <w:r w:rsidR="00983FE8" w:rsidRPr="00061D40">
        <w:t>are</w:t>
      </w:r>
      <w:r w:rsidR="002A111A" w:rsidRPr="00061D40">
        <w:t xml:space="preserve"> </w:t>
      </w:r>
      <w:r w:rsidR="00DE1790" w:rsidRPr="00061D40">
        <w:t>comparable to</w:t>
      </w:r>
      <w:r w:rsidR="002A111A" w:rsidRPr="00061D40">
        <w:t xml:space="preserve"> those required for state government schools under the </w:t>
      </w:r>
      <w:r w:rsidR="00305E5F" w:rsidRPr="00061D40">
        <w:t>NEA</w:t>
      </w:r>
      <w:r w:rsidRPr="00061D40">
        <w:t>.</w:t>
      </w:r>
    </w:p>
    <w:p w14:paraId="7F48631F" w14:textId="77777777" w:rsidR="00164E4E" w:rsidRPr="00061D40" w:rsidRDefault="00164E4E" w:rsidP="0059078F">
      <w:pPr>
        <w:pStyle w:val="bodytextoutlinednumber"/>
      </w:pPr>
      <w:r w:rsidRPr="00061D40">
        <w:t xml:space="preserve">Note: The </w:t>
      </w:r>
      <w:r w:rsidR="005157FE">
        <w:t xml:space="preserve">Annual Report </w:t>
      </w:r>
      <w:r w:rsidRPr="00061D40">
        <w:t xml:space="preserve">publication </w:t>
      </w:r>
      <w:r w:rsidR="005157FE">
        <w:t>described in this section</w:t>
      </w:r>
      <w:r w:rsidRPr="00061D40">
        <w:t xml:space="preserve"> is a separate requirement to the </w:t>
      </w:r>
      <w:r w:rsidR="005157FE">
        <w:t xml:space="preserve">provision of data to ACARA for </w:t>
      </w:r>
      <w:r w:rsidRPr="00061D40">
        <w:t>publication</w:t>
      </w:r>
      <w:r w:rsidR="005157FE">
        <w:t xml:space="preserve"> on the </w:t>
      </w:r>
      <w:r w:rsidR="008730C5" w:rsidRPr="008730C5">
        <w:rPr>
          <w:i/>
        </w:rPr>
        <w:t>My School</w:t>
      </w:r>
      <w:r w:rsidR="005157FE">
        <w:t xml:space="preserve"> website.</w:t>
      </w:r>
      <w:r w:rsidRPr="00061D40">
        <w:t xml:space="preserve"> </w:t>
      </w:r>
    </w:p>
    <w:p w14:paraId="7F486320" w14:textId="77777777" w:rsidR="00B748A7" w:rsidRDefault="00164E4E">
      <w:pPr>
        <w:pStyle w:val="Heading3"/>
      </w:pPr>
      <w:bookmarkStart w:id="20" w:name="OLE_LINK17"/>
      <w:bookmarkStart w:id="21" w:name="OLE_LINK19"/>
      <w:r w:rsidRPr="00061D40">
        <w:lastRenderedPageBreak/>
        <w:t xml:space="preserve">Australian </w:t>
      </w:r>
      <w:r w:rsidR="00D90C98" w:rsidRPr="00061D40">
        <w:t>Curriculum</w:t>
      </w:r>
    </w:p>
    <w:p w14:paraId="7F486321" w14:textId="77777777" w:rsidR="00175A86" w:rsidRDefault="00164E4E" w:rsidP="00175A86">
      <w:pPr>
        <w:pStyle w:val="bodytextoutlinednumber"/>
      </w:pPr>
      <w:bookmarkStart w:id="22" w:name="OLE_LINK66"/>
      <w:bookmarkStart w:id="23" w:name="OLE_LINK67"/>
      <w:r w:rsidRPr="00061D40">
        <w:t xml:space="preserve">The Government is committed to the development of a rigorous and world‐class Australian Curriculum from </w:t>
      </w:r>
      <w:r w:rsidR="00E8498A">
        <w:t>Foundation</w:t>
      </w:r>
      <w:r w:rsidR="00AD2718">
        <w:t>*</w:t>
      </w:r>
      <w:r w:rsidR="00E8498A">
        <w:t xml:space="preserve"> </w:t>
      </w:r>
      <w:r w:rsidRPr="00061D40">
        <w:t xml:space="preserve">to Year 12, starting with the learning areas of English, mathematics, science and history. </w:t>
      </w:r>
      <w:r w:rsidR="00175A86">
        <w:t xml:space="preserve">An Australian Curriculum is also being developed for the learning areas of geography, languages, the arts, health and physical education, civics and citizenship, technologies, and economics and business. </w:t>
      </w:r>
    </w:p>
    <w:p w14:paraId="7F486322" w14:textId="77777777" w:rsidR="00175A86" w:rsidRDefault="00175A86" w:rsidP="00175A86">
      <w:pPr>
        <w:pStyle w:val="bodytextoutlinednumber"/>
      </w:pPr>
      <w:r>
        <w:t xml:space="preserve">ACARA is overseeing the development of the Australian Curriculum. </w:t>
      </w:r>
      <w:r w:rsidRPr="00061D40">
        <w:t xml:space="preserve">ACARA </w:t>
      </w:r>
      <w:r>
        <w:t>was established</w:t>
      </w:r>
      <w:r w:rsidRPr="00061D40">
        <w:t xml:space="preserve"> in </w:t>
      </w:r>
      <w:r>
        <w:t>2008 and is</w:t>
      </w:r>
      <w:r w:rsidRPr="00061D40">
        <w:t xml:space="preserve"> responsible for curriculum, assessment and reporting at a national level. The membership of the ACARA Board includes representatives from the non-government sector.</w:t>
      </w:r>
    </w:p>
    <w:p w14:paraId="7F486323" w14:textId="77777777" w:rsidR="00164E4E" w:rsidRPr="00061D40" w:rsidRDefault="00164E4E" w:rsidP="0059078F">
      <w:pPr>
        <w:pStyle w:val="bodytextoutlinednumber"/>
      </w:pPr>
      <w:r w:rsidRPr="00061D40">
        <w:t>The new Australian Curriculum provide</w:t>
      </w:r>
      <w:r w:rsidR="00E8498A">
        <w:t>s</w:t>
      </w:r>
      <w:r w:rsidRPr="00061D40">
        <w:t xml:space="preserve"> agreement on the curriculum content that all young Australians should be taught. </w:t>
      </w:r>
      <w:r w:rsidRPr="00061D40">
        <w:rPr>
          <w:iCs/>
        </w:rPr>
        <w:t>It also provide</w:t>
      </w:r>
      <w:r w:rsidR="00E8498A">
        <w:rPr>
          <w:iCs/>
        </w:rPr>
        <w:t>s</w:t>
      </w:r>
      <w:r w:rsidRPr="00061D40">
        <w:rPr>
          <w:iCs/>
        </w:rPr>
        <w:t xml:space="preserve"> explicit advice on the achievement standards that all Australian students should be meeting</w:t>
      </w:r>
      <w:r w:rsidRPr="00061D40">
        <w:t>. Beyond the core requirements, there continue</w:t>
      </w:r>
      <w:r w:rsidR="00E8498A">
        <w:t>s</w:t>
      </w:r>
      <w:r w:rsidRPr="00061D40">
        <w:t xml:space="preserve"> to be flexibility for innovation and creativity that allows schools and teachers to deliver the Australian Curriculum in appropriate ways at the local school level. </w:t>
      </w:r>
      <w:r w:rsidR="00AD2718">
        <w:t xml:space="preserve">In December 2010, </w:t>
      </w:r>
      <w:r w:rsidR="00E8498A">
        <w:t xml:space="preserve">Education </w:t>
      </w:r>
      <w:r w:rsidR="00BB6F94" w:rsidRPr="00061D40">
        <w:t>Ministers</w:t>
      </w:r>
      <w:r w:rsidR="00AD2718">
        <w:t>,</w:t>
      </w:r>
      <w:r w:rsidR="00E8498A">
        <w:t xml:space="preserve"> through the </w:t>
      </w:r>
      <w:r w:rsidR="00F26FF0" w:rsidRPr="00175A86">
        <w:t>M</w:t>
      </w:r>
      <w:r w:rsidR="00F26FF0">
        <w:t>inisterial Council</w:t>
      </w:r>
      <w:r w:rsidR="00AD2718">
        <w:t>,</w:t>
      </w:r>
      <w:r w:rsidR="00BB6F94" w:rsidRPr="00061D40">
        <w:t xml:space="preserve"> agreed that the Australian Curriculum in</w:t>
      </w:r>
      <w:r w:rsidRPr="00061D40">
        <w:t xml:space="preserve"> English, mathematics, science and history </w:t>
      </w:r>
      <w:r w:rsidR="00BB6F94" w:rsidRPr="00061D40">
        <w:t xml:space="preserve">for </w:t>
      </w:r>
      <w:r w:rsidR="00E8498A">
        <w:t>F</w:t>
      </w:r>
      <w:r w:rsidR="00BB6F94" w:rsidRPr="00061D40">
        <w:t xml:space="preserve">-10 </w:t>
      </w:r>
      <w:r w:rsidR="00175A86" w:rsidRPr="00061D40">
        <w:t>w</w:t>
      </w:r>
      <w:r w:rsidR="00175A86">
        <w:t>ould</w:t>
      </w:r>
      <w:r w:rsidR="00175A86" w:rsidRPr="00061D40">
        <w:t xml:space="preserve"> </w:t>
      </w:r>
      <w:r w:rsidR="00BB6F94" w:rsidRPr="00061D40">
        <w:t xml:space="preserve">be implemented by states and territories </w:t>
      </w:r>
      <w:r w:rsidRPr="00061D40">
        <w:t>from 2011</w:t>
      </w:r>
      <w:r w:rsidR="00E8498A">
        <w:t>, with</w:t>
      </w:r>
      <w:r w:rsidRPr="00061D40">
        <w:t xml:space="preserve"> </w:t>
      </w:r>
      <w:r w:rsidR="00E8498A">
        <w:t>s</w:t>
      </w:r>
      <w:r w:rsidRPr="00061D40">
        <w:t xml:space="preserve">ubstantial implementation </w:t>
      </w:r>
      <w:r w:rsidR="00E8498A">
        <w:t>to</w:t>
      </w:r>
      <w:r w:rsidR="00BB6F94" w:rsidRPr="00061D40">
        <w:t xml:space="preserve"> be </w:t>
      </w:r>
      <w:r w:rsidRPr="00061D40">
        <w:t xml:space="preserve">completed by </w:t>
      </w:r>
      <w:r w:rsidR="00BB6F94" w:rsidRPr="00061D40">
        <w:t xml:space="preserve">the end of </w:t>
      </w:r>
      <w:r w:rsidRPr="00061D40">
        <w:t>2013.</w:t>
      </w:r>
    </w:p>
    <w:bookmarkEnd w:id="22"/>
    <w:bookmarkEnd w:id="23"/>
    <w:p w14:paraId="7F486324" w14:textId="77777777" w:rsidR="00280E4F" w:rsidRDefault="00164E4E" w:rsidP="00280E4F">
      <w:pPr>
        <w:pStyle w:val="bodytextoutlinednumber"/>
      </w:pPr>
      <w:r w:rsidRPr="00061D40">
        <w:t xml:space="preserve">In collaboration with state and territory curriculum authorities, ACARA </w:t>
      </w:r>
      <w:r w:rsidR="00F70589">
        <w:t>has developed</w:t>
      </w:r>
      <w:r w:rsidRPr="00061D40">
        <w:t xml:space="preserve"> a national recognition process for well‐established alternative frameworks, such as the International Baccalaureate, Montessori and Steiner.</w:t>
      </w:r>
      <w:r w:rsidR="00F26FF0" w:rsidRPr="00F26FF0">
        <w:t xml:space="preserve"> </w:t>
      </w:r>
      <w:r w:rsidR="00F26FF0">
        <w:t>The outcomes for</w:t>
      </w:r>
      <w:r w:rsidR="00F26FF0" w:rsidRPr="00EA3A23">
        <w:t xml:space="preserve"> organisations that </w:t>
      </w:r>
      <w:r w:rsidR="00F26FF0">
        <w:t>submit</w:t>
      </w:r>
      <w:r w:rsidR="00F26FF0" w:rsidRPr="00EA3A23">
        <w:t xml:space="preserve"> alternative frameworks</w:t>
      </w:r>
      <w:r w:rsidR="00F26FF0">
        <w:t xml:space="preserve"> to ACARA </w:t>
      </w:r>
      <w:r w:rsidR="00F26FF0" w:rsidRPr="00EA3A23">
        <w:t>for assessment are published on the ACARA Recognition Register at</w:t>
      </w:r>
      <w:r w:rsidR="00F26FF0">
        <w:t xml:space="preserve"> </w:t>
      </w:r>
      <w:hyperlink r:id="rId33" w:history="1">
        <w:r w:rsidR="00F26FF0" w:rsidRPr="009C744B">
          <w:rPr>
            <w:rStyle w:val="Hyperlink"/>
            <w:rFonts w:cs="Garamond"/>
          </w:rPr>
          <w:t>www.acara.edu.au</w:t>
        </w:r>
      </w:hyperlink>
      <w:r w:rsidR="00F26FF0">
        <w:t>. ACARA’s recognition process does not replace state and territory school registration processes, which continue to apply.</w:t>
      </w:r>
    </w:p>
    <w:p w14:paraId="7F486325" w14:textId="77777777" w:rsidR="004F7611" w:rsidRPr="00061D40" w:rsidRDefault="00280E4F" w:rsidP="00280E4F">
      <w:pPr>
        <w:pStyle w:val="bodytextoutlinednumber"/>
      </w:pPr>
      <w:r>
        <w:t xml:space="preserve">Section 6A.1 of the </w:t>
      </w:r>
      <w:r w:rsidRPr="00184516">
        <w:rPr>
          <w:i/>
        </w:rPr>
        <w:t>Schools Assistance Regulations 2009</w:t>
      </w:r>
      <w:r>
        <w:t xml:space="preserve"> prescribes the national curriculum for implementation in non-government schools, being either the Australian Curriculum or a curriculum recognised by ACARA</w:t>
      </w:r>
      <w:r w:rsidR="001D2CB1" w:rsidRPr="001D2CB1">
        <w:t>, and that the curriculum must be implemented by the later of the date it is implemented in government schools in the same jurisdiction or the date authorised by the Ministerial Council</w:t>
      </w:r>
      <w:r w:rsidR="001D2CB1">
        <w:t>.</w:t>
      </w:r>
    </w:p>
    <w:p w14:paraId="7F486326" w14:textId="77777777" w:rsidR="00AD2718" w:rsidRPr="00061D40" w:rsidRDefault="00AD2718" w:rsidP="00AD2718">
      <w:pPr>
        <w:pStyle w:val="bodytextoutlinednumber"/>
        <w:numPr>
          <w:ilvl w:val="0"/>
          <w:numId w:val="0"/>
        </w:numPr>
      </w:pPr>
      <w:r>
        <w:t>*Note: The term Foundation Year has been used as a nationally consistent term for the year of schooling prior to Year 1 for the purpose of the Australian Curriculum. It does not replace the equivalent terms used in states and territories – Kindergarten (NSW/ACT), Prep</w:t>
      </w:r>
      <w:r w:rsidR="000116DA">
        <w:t>aratory</w:t>
      </w:r>
      <w:r>
        <w:t xml:space="preserve"> (QLD/VIC/TAS), Pre-primary (WA), Reception (SA) and Transition (NT).</w:t>
      </w:r>
    </w:p>
    <w:p w14:paraId="7F486327" w14:textId="77777777" w:rsidR="00D32016" w:rsidRDefault="007762AC">
      <w:pPr>
        <w:pStyle w:val="Heading3"/>
      </w:pPr>
      <w:bookmarkStart w:id="24" w:name="_Toc212612064"/>
      <w:bookmarkStart w:id="25" w:name="_Toc246483033"/>
      <w:bookmarkEnd w:id="20"/>
      <w:bookmarkEnd w:id="21"/>
      <w:r w:rsidRPr="00061D40">
        <w:t>Financial Viability</w:t>
      </w:r>
      <w:bookmarkEnd w:id="24"/>
      <w:bookmarkEnd w:id="25"/>
      <w:r w:rsidRPr="00061D40">
        <w:t xml:space="preserve"> </w:t>
      </w:r>
    </w:p>
    <w:p w14:paraId="7F486328" w14:textId="77777777" w:rsidR="007762AC" w:rsidRPr="00061D40" w:rsidRDefault="007762AC" w:rsidP="0059078F">
      <w:pPr>
        <w:pStyle w:val="bodytextoutlinednumber"/>
      </w:pPr>
      <w:r w:rsidRPr="00061D40">
        <w:t xml:space="preserve">The </w:t>
      </w:r>
      <w:r w:rsidR="00B74A0B" w:rsidRPr="00061D40">
        <w:t>Act</w:t>
      </w:r>
      <w:r w:rsidR="00B74A0B" w:rsidRPr="00061D40">
        <w:rPr>
          <w:i/>
        </w:rPr>
        <w:t xml:space="preserve"> </w:t>
      </w:r>
      <w:r w:rsidRPr="00061D40">
        <w:t xml:space="preserve">requires a school or </w:t>
      </w:r>
      <w:r w:rsidR="00E16CF5" w:rsidRPr="00061D40">
        <w:t>school system authority</w:t>
      </w:r>
      <w:r w:rsidRPr="00061D40">
        <w:t xml:space="preserve"> to be financially viable as a condition </w:t>
      </w:r>
      <w:r w:rsidR="0041166C" w:rsidRPr="00061D40">
        <w:t>of</w:t>
      </w:r>
      <w:r w:rsidRPr="00061D40">
        <w:t xml:space="preserve"> the grant of financial assistance to a State for a non-government school or another non-government body.</w:t>
      </w:r>
    </w:p>
    <w:p w14:paraId="7F486329" w14:textId="77777777" w:rsidR="00483BB6" w:rsidRPr="00061D40" w:rsidRDefault="00483BB6" w:rsidP="0059078F">
      <w:pPr>
        <w:pStyle w:val="bodytextoutlinednumber"/>
      </w:pPr>
      <w:r w:rsidRPr="00061D40">
        <w:t>Section 15 of t</w:t>
      </w:r>
      <w:r w:rsidR="007762AC" w:rsidRPr="00061D40">
        <w:t xml:space="preserve">he </w:t>
      </w:r>
      <w:r w:rsidR="0011052A" w:rsidRPr="00061D40">
        <w:t>Act</w:t>
      </w:r>
      <w:r w:rsidR="007762AC" w:rsidRPr="00061D40">
        <w:t xml:space="preserve"> enables the Minister to refuse to authorise, or to delay, a payment to a State for a non-government body (including a non-government school) or the relevant </w:t>
      </w:r>
      <w:r w:rsidR="00E16CF5" w:rsidRPr="00061D40">
        <w:t xml:space="preserve">school system </w:t>
      </w:r>
      <w:r w:rsidR="007762AC" w:rsidRPr="00061D40">
        <w:t>authority of such a body, if the Minister considers</w:t>
      </w:r>
      <w:r w:rsidRPr="00061D40">
        <w:t>:</w:t>
      </w:r>
    </w:p>
    <w:p w14:paraId="7F48632A" w14:textId="77777777" w:rsidR="00911208" w:rsidRPr="00061D40" w:rsidRDefault="007762AC" w:rsidP="00313AE7">
      <w:pPr>
        <w:pStyle w:val="bodytextoutlinednumber"/>
        <w:numPr>
          <w:ilvl w:val="1"/>
          <w:numId w:val="10"/>
        </w:numPr>
      </w:pPr>
      <w:r w:rsidRPr="00061D40">
        <w:lastRenderedPageBreak/>
        <w:t>that the liabilities of the body or authority are greater than its assets</w:t>
      </w:r>
      <w:r w:rsidR="00483BB6" w:rsidRPr="00061D40">
        <w:t xml:space="preserve"> (subparagraph 15(1)(b)(i)</w:t>
      </w:r>
      <w:r w:rsidR="00E642BC" w:rsidRPr="00061D40">
        <w:t>)</w:t>
      </w:r>
    </w:p>
    <w:p w14:paraId="7F48632B" w14:textId="77777777" w:rsidR="00483BB6" w:rsidRPr="00061D40" w:rsidRDefault="00483BB6" w:rsidP="00AA2BE3">
      <w:pPr>
        <w:spacing w:before="100"/>
        <w:ind w:left="851"/>
      </w:pPr>
      <w:r w:rsidRPr="00061D40">
        <w:t>or</w:t>
      </w:r>
    </w:p>
    <w:p w14:paraId="7F48632C" w14:textId="77777777" w:rsidR="007762AC" w:rsidRPr="00061D40" w:rsidRDefault="007762AC" w:rsidP="00313AE7">
      <w:pPr>
        <w:pStyle w:val="bodytextoutlinednumber"/>
        <w:numPr>
          <w:ilvl w:val="1"/>
          <w:numId w:val="10"/>
        </w:numPr>
      </w:pPr>
      <w:r w:rsidRPr="00061D40">
        <w:t>the body or authority is</w:t>
      </w:r>
      <w:r w:rsidR="00831759" w:rsidRPr="00061D40">
        <w:t xml:space="preserve"> (and is</w:t>
      </w:r>
      <w:r w:rsidRPr="00061D40">
        <w:t xml:space="preserve"> likely to continue for a substantial period to be</w:t>
      </w:r>
      <w:r w:rsidR="00831759" w:rsidRPr="00061D40">
        <w:t>)</w:t>
      </w:r>
      <w:r w:rsidRPr="00061D40">
        <w:t xml:space="preserve"> unable to pay its debts as and when they fall due</w:t>
      </w:r>
      <w:r w:rsidR="00831759" w:rsidRPr="00061D40">
        <w:t xml:space="preserve"> for payment</w:t>
      </w:r>
      <w:r w:rsidR="00483BB6" w:rsidRPr="00061D40">
        <w:t xml:space="preserve"> (subparagraph 15(1)(b)(ii)</w:t>
      </w:r>
      <w:r w:rsidR="00E642BC" w:rsidRPr="00061D40">
        <w:t>)</w:t>
      </w:r>
      <w:r w:rsidRPr="00061D40">
        <w:t>.</w:t>
      </w:r>
      <w:r w:rsidR="008E5ABB" w:rsidRPr="00061D40">
        <w:t xml:space="preserve"> </w:t>
      </w:r>
    </w:p>
    <w:p w14:paraId="7F48632D" w14:textId="77777777" w:rsidR="009C338D" w:rsidRPr="00061D40" w:rsidRDefault="002A3AC4" w:rsidP="0059078F">
      <w:pPr>
        <w:pStyle w:val="bodytextoutlinednumber"/>
      </w:pPr>
      <w:r w:rsidRPr="00061D40">
        <w:t xml:space="preserve">Section </w:t>
      </w:r>
      <w:r w:rsidR="009C338D" w:rsidRPr="00061D40">
        <w:t xml:space="preserve">15 of the </w:t>
      </w:r>
      <w:r w:rsidR="00483BB6" w:rsidRPr="00061D40">
        <w:t>Act</w:t>
      </w:r>
      <w:r w:rsidR="00483BB6" w:rsidRPr="00061D40">
        <w:rPr>
          <w:i/>
        </w:rPr>
        <w:t xml:space="preserve"> </w:t>
      </w:r>
      <w:r w:rsidR="00483BB6" w:rsidRPr="00061D40">
        <w:t xml:space="preserve">allows </w:t>
      </w:r>
      <w:r w:rsidR="009C338D" w:rsidRPr="00061D40">
        <w:t xml:space="preserve">the Minister </w:t>
      </w:r>
      <w:r w:rsidR="00483BB6" w:rsidRPr="00061D40">
        <w:t xml:space="preserve">to </w:t>
      </w:r>
      <w:r w:rsidR="009C338D" w:rsidRPr="00061D40">
        <w:t>refuse or delay a payment where the audit opinion:</w:t>
      </w:r>
    </w:p>
    <w:p w14:paraId="7F48632E" w14:textId="77777777" w:rsidR="00911208" w:rsidRPr="00061D40" w:rsidRDefault="00483BB6" w:rsidP="00313AE7">
      <w:pPr>
        <w:pStyle w:val="bodytextoutlinednumber"/>
        <w:numPr>
          <w:ilvl w:val="1"/>
          <w:numId w:val="10"/>
        </w:numPr>
      </w:pPr>
      <w:r w:rsidRPr="00061D40">
        <w:t xml:space="preserve">is </w:t>
      </w:r>
      <w:r w:rsidR="009C338D" w:rsidRPr="00061D40">
        <w:t>expressed to be qualified (</w:t>
      </w:r>
      <w:r w:rsidRPr="00061D40">
        <w:t xml:space="preserve">subparagraph </w:t>
      </w:r>
      <w:r w:rsidR="009C338D" w:rsidRPr="00061D40">
        <w:t>15</w:t>
      </w:r>
      <w:r w:rsidRPr="00061D40">
        <w:t>(1)</w:t>
      </w:r>
      <w:r w:rsidR="009C338D" w:rsidRPr="00061D40">
        <w:t>(c)(i))</w:t>
      </w:r>
    </w:p>
    <w:p w14:paraId="7F48632F" w14:textId="77777777" w:rsidR="009C338D" w:rsidRPr="00061D40" w:rsidRDefault="009C338D" w:rsidP="00AA2BE3">
      <w:pPr>
        <w:spacing w:before="100"/>
        <w:ind w:left="851"/>
      </w:pPr>
      <w:r w:rsidRPr="00061D40">
        <w:t>or</w:t>
      </w:r>
    </w:p>
    <w:p w14:paraId="7F486330" w14:textId="77777777" w:rsidR="009C338D" w:rsidRPr="00061D40" w:rsidRDefault="009C338D" w:rsidP="00313AE7">
      <w:pPr>
        <w:pStyle w:val="bodytextoutlinednumber"/>
        <w:numPr>
          <w:ilvl w:val="1"/>
          <w:numId w:val="10"/>
        </w:numPr>
      </w:pPr>
      <w:r w:rsidRPr="00061D40">
        <w:t>expresses concern about the financial viability of the body or authority (</w:t>
      </w:r>
      <w:r w:rsidR="00483BB6" w:rsidRPr="00061D40">
        <w:t xml:space="preserve">subparagraph </w:t>
      </w:r>
      <w:r w:rsidRPr="00061D40">
        <w:t>15</w:t>
      </w:r>
      <w:r w:rsidR="00483BB6" w:rsidRPr="00061D40">
        <w:t>(1)</w:t>
      </w:r>
      <w:r w:rsidRPr="00061D40">
        <w:t xml:space="preserve">(c)(ii)). </w:t>
      </w:r>
    </w:p>
    <w:p w14:paraId="7F486331" w14:textId="77777777" w:rsidR="009C338D" w:rsidRPr="00061D40" w:rsidRDefault="009C338D" w:rsidP="0059078F">
      <w:pPr>
        <w:pStyle w:val="bodytextoutlinednumber"/>
      </w:pPr>
      <w:r w:rsidRPr="00061D40">
        <w:t xml:space="preserve">The Commonwealth has an obligation to ensure that advice from </w:t>
      </w:r>
      <w:r w:rsidR="00EA7ABD" w:rsidRPr="00061D40">
        <w:t xml:space="preserve">auditors </w:t>
      </w:r>
      <w:r w:rsidRPr="00061D40">
        <w:t>is acted upon</w:t>
      </w:r>
      <w:r w:rsidR="00562478" w:rsidRPr="00061D40">
        <w:t xml:space="preserve">. </w:t>
      </w:r>
      <w:r w:rsidRPr="00061D40">
        <w:t>A qualified audit certificate alert</w:t>
      </w:r>
      <w:r w:rsidR="00726DEC" w:rsidRPr="00061D40">
        <w:t>s</w:t>
      </w:r>
      <w:r w:rsidRPr="00061D40">
        <w:t xml:space="preserve"> the Department </w:t>
      </w:r>
      <w:r w:rsidR="00EA7ABD" w:rsidRPr="00061D40">
        <w:t xml:space="preserve">that there are </w:t>
      </w:r>
      <w:r w:rsidRPr="00061D40">
        <w:t>issues in the school which may require attention.</w:t>
      </w:r>
      <w:r w:rsidR="008E5ABB" w:rsidRPr="00061D40">
        <w:t xml:space="preserve"> </w:t>
      </w:r>
      <w:r w:rsidRPr="00061D40">
        <w:t>Delaying payments to a school will only occur where there are substantial concerns about the way in which the school is operating</w:t>
      </w:r>
      <w:r w:rsidR="00562478" w:rsidRPr="00061D40">
        <w:t xml:space="preserve">. </w:t>
      </w:r>
      <w:r w:rsidR="00EF6079" w:rsidRPr="00061D40">
        <w:t>T</w:t>
      </w:r>
      <w:r w:rsidRPr="00061D40">
        <w:t xml:space="preserve">his </w:t>
      </w:r>
      <w:r w:rsidR="00EA7ABD" w:rsidRPr="00061D40">
        <w:t xml:space="preserve">section </w:t>
      </w:r>
      <w:r w:rsidRPr="00061D40">
        <w:t>in the legislation informs the funding recipient and the public in an open and transparent way of the arrangements for monitoring a school’s financial health.</w:t>
      </w:r>
      <w:r w:rsidR="002A3AC4" w:rsidRPr="00061D40">
        <w:t xml:space="preserve"> Section 15 of the Act includes a provision to ensure that w</w:t>
      </w:r>
      <w:r w:rsidR="003546A2" w:rsidRPr="00061D40">
        <w:t xml:space="preserve">here the Minister elects to refuse or delay a payment because of the audit </w:t>
      </w:r>
      <w:r w:rsidR="0079317B" w:rsidRPr="00061D40">
        <w:t>report</w:t>
      </w:r>
      <w:r w:rsidR="003546A2" w:rsidRPr="00061D40">
        <w:t xml:space="preserve">, the Minister’s determination will be a disallowable instrument for the purposes of section 46B of the </w:t>
      </w:r>
      <w:r w:rsidR="003546A2" w:rsidRPr="00061D40">
        <w:rPr>
          <w:i/>
        </w:rPr>
        <w:t>Acts Interpretation Act 1901</w:t>
      </w:r>
      <w:r w:rsidR="003546A2" w:rsidRPr="00061D40">
        <w:t>.</w:t>
      </w:r>
    </w:p>
    <w:p w14:paraId="7F486332" w14:textId="77777777" w:rsidR="0079317B" w:rsidRPr="00061D40" w:rsidRDefault="0079317B" w:rsidP="0079317B">
      <w:pPr>
        <w:pStyle w:val="bodytextoutlinednumber"/>
      </w:pPr>
      <w:r w:rsidRPr="00061D40">
        <w:t>Schools or school system authorities are required to provide:</w:t>
      </w:r>
    </w:p>
    <w:p w14:paraId="7F486333" w14:textId="77777777" w:rsidR="0079317B" w:rsidRPr="00061D40" w:rsidRDefault="0079317B" w:rsidP="006067EC">
      <w:pPr>
        <w:pStyle w:val="StyleStyledotpointAfter75ptLinespacingsingle"/>
      </w:pPr>
      <w:r w:rsidRPr="00061D40">
        <w:t xml:space="preserve">data by submitting an annual Financial Questionnaire and </w:t>
      </w:r>
      <w:r w:rsidR="005F6447">
        <w:t xml:space="preserve">a </w:t>
      </w:r>
      <w:r w:rsidRPr="00061D40">
        <w:t xml:space="preserve">Census return, in accordance with the requirements of the </w:t>
      </w:r>
      <w:r w:rsidR="005F6447">
        <w:t>funding agreement for recurrent assistance</w:t>
      </w:r>
    </w:p>
    <w:p w14:paraId="7F486334" w14:textId="77777777" w:rsidR="0079317B" w:rsidRPr="00061D40" w:rsidRDefault="0079317B" w:rsidP="006067EC">
      <w:pPr>
        <w:pStyle w:val="StyleStyledotpointAfter75ptLinespacingsingle"/>
      </w:pPr>
      <w:r w:rsidRPr="00061D40">
        <w:t xml:space="preserve">financial reports, including documents and information as requested, under Clause 12.1 of the Funding Agreement. </w:t>
      </w:r>
    </w:p>
    <w:p w14:paraId="7F486335" w14:textId="77777777" w:rsidR="0079317B" w:rsidRPr="00061D40" w:rsidRDefault="0079317B" w:rsidP="0059078F">
      <w:pPr>
        <w:pStyle w:val="bodytextoutlinednumber"/>
      </w:pPr>
      <w:r w:rsidRPr="00061D40">
        <w:t>To ensure appropriate use of public funding</w:t>
      </w:r>
      <w:r w:rsidR="00864AAC">
        <w:t>,</w:t>
      </w:r>
      <w:r w:rsidRPr="00061D40">
        <w:t xml:space="preserve"> it is important for the Government to be satisfied of the financial standing of schools. To meet this objective</w:t>
      </w:r>
      <w:r w:rsidR="0079095A">
        <w:t>,</w:t>
      </w:r>
      <w:r w:rsidRPr="00061D40">
        <w:t xml:space="preserve"> an approach to</w:t>
      </w:r>
      <w:r w:rsidR="00864AAC">
        <w:t xml:space="preserve"> monitor</w:t>
      </w:r>
      <w:r w:rsidRPr="00061D40">
        <w:t xml:space="preserve"> </w:t>
      </w:r>
      <w:r w:rsidR="00A618FE">
        <w:t xml:space="preserve">the financial </w:t>
      </w:r>
      <w:r w:rsidR="00864AAC">
        <w:t>standing</w:t>
      </w:r>
      <w:r w:rsidR="00A618FE">
        <w:t xml:space="preserve"> of schools</w:t>
      </w:r>
      <w:r w:rsidR="00864AAC">
        <w:t xml:space="preserve"> that supplements current ap</w:t>
      </w:r>
      <w:r w:rsidR="004538BC">
        <w:t>proaches is being considered by the Commonwe</w:t>
      </w:r>
      <w:r w:rsidR="00864AAC">
        <w:t>a</w:t>
      </w:r>
      <w:r w:rsidR="004538BC">
        <w:t>l</w:t>
      </w:r>
      <w:r w:rsidR="00864AAC">
        <w:t>th and may be introduced following consultation with the non-government schools sector.</w:t>
      </w:r>
    </w:p>
    <w:p w14:paraId="7F486336" w14:textId="77777777" w:rsidR="00AC30F9" w:rsidRPr="00061D40" w:rsidRDefault="0079317B" w:rsidP="00DD6833">
      <w:pPr>
        <w:pStyle w:val="bodytextoutlinednumber"/>
      </w:pPr>
      <w:r w:rsidRPr="00061D40">
        <w:t xml:space="preserve">School and system authorities are required to comply with the </w:t>
      </w:r>
      <w:r w:rsidR="00E61EBE">
        <w:t>Department</w:t>
      </w:r>
      <w:r w:rsidRPr="00061D40">
        <w:t>’s processes for managing financial risk.</w:t>
      </w:r>
    </w:p>
    <w:p w14:paraId="7F486337" w14:textId="77777777" w:rsidR="00966E1D" w:rsidRPr="00061D40" w:rsidRDefault="00966E1D" w:rsidP="006455DC">
      <w:pPr>
        <w:spacing w:line="240" w:lineRule="auto"/>
        <w:sectPr w:rsidR="00966E1D" w:rsidRPr="00061D40" w:rsidSect="007A79E0">
          <w:headerReference w:type="even" r:id="rId34"/>
          <w:headerReference w:type="default" r:id="rId35"/>
          <w:footerReference w:type="even" r:id="rId36"/>
          <w:footerReference w:type="default" r:id="rId37"/>
          <w:headerReference w:type="first" r:id="rId38"/>
          <w:footerReference w:type="first" r:id="rId39"/>
          <w:pgSz w:w="11906" w:h="16838" w:code="9"/>
          <w:pgMar w:top="1418" w:right="1418" w:bottom="1134" w:left="1418" w:header="567" w:footer="567" w:gutter="0"/>
          <w:pgNumType w:start="1"/>
          <w:cols w:space="720"/>
          <w:docGrid w:linePitch="272"/>
        </w:sectPr>
      </w:pPr>
    </w:p>
    <w:p w14:paraId="7F486338" w14:textId="77777777" w:rsidR="008F7EBD" w:rsidRPr="00061D40" w:rsidRDefault="00033086" w:rsidP="00B77818">
      <w:pPr>
        <w:pStyle w:val="Heading1"/>
      </w:pPr>
      <w:bookmarkStart w:id="26" w:name="_Toc246483034"/>
      <w:bookmarkStart w:id="27" w:name="_Toc246493719"/>
      <w:bookmarkStart w:id="28" w:name="_Toc346205316"/>
      <w:bookmarkStart w:id="29" w:name="OLE_LINK18"/>
      <w:bookmarkStart w:id="30" w:name="OLE_LINK27"/>
      <w:r w:rsidRPr="00061D40">
        <w:lastRenderedPageBreak/>
        <w:t>Part 2:</w:t>
      </w:r>
      <w:r w:rsidR="008E5ABB" w:rsidRPr="00061D40">
        <w:t xml:space="preserve"> Grants for </w:t>
      </w:r>
      <w:r w:rsidR="00597AC3" w:rsidRPr="00061D40">
        <w:t>Recurrent</w:t>
      </w:r>
      <w:r w:rsidRPr="00061D40">
        <w:t xml:space="preserve"> </w:t>
      </w:r>
      <w:r w:rsidR="008E5ABB" w:rsidRPr="00061D40">
        <w:t>Expenditure</w:t>
      </w:r>
      <w:bookmarkEnd w:id="26"/>
      <w:bookmarkEnd w:id="27"/>
      <w:bookmarkEnd w:id="28"/>
      <w:r w:rsidRPr="00061D40">
        <w:t xml:space="preserve"> </w:t>
      </w:r>
      <w:bookmarkEnd w:id="29"/>
      <w:bookmarkEnd w:id="30"/>
    </w:p>
    <w:p w14:paraId="7F486339" w14:textId="77777777" w:rsidR="00872DFF" w:rsidRPr="00061D40" w:rsidRDefault="00DE4A0A" w:rsidP="0059078F">
      <w:pPr>
        <w:pStyle w:val="Heading2"/>
      </w:pPr>
      <w:bookmarkStart w:id="31" w:name="_Toc246483035"/>
      <w:bookmarkStart w:id="32" w:name="_Toc246493720"/>
      <w:bookmarkStart w:id="33" w:name="_Toc346205317"/>
      <w:r w:rsidRPr="00061D40">
        <w:t xml:space="preserve">2.1 </w:t>
      </w:r>
      <w:bookmarkStart w:id="34" w:name="OLE_LINK73"/>
      <w:bookmarkStart w:id="35" w:name="OLE_LINK74"/>
      <w:r w:rsidR="005828E9" w:rsidRPr="00061D40">
        <w:t xml:space="preserve">Recurrent </w:t>
      </w:r>
      <w:r w:rsidR="000579F2" w:rsidRPr="00061D40">
        <w:t>Grants Program</w:t>
      </w:r>
      <w:bookmarkEnd w:id="31"/>
      <w:bookmarkEnd w:id="32"/>
      <w:bookmarkEnd w:id="33"/>
      <w:r w:rsidR="00872DFF" w:rsidRPr="00061D40">
        <w:t xml:space="preserve"> </w:t>
      </w:r>
      <w:bookmarkEnd w:id="34"/>
      <w:bookmarkEnd w:id="35"/>
    </w:p>
    <w:p w14:paraId="7F48633A" w14:textId="77777777" w:rsidR="00D3295A" w:rsidRPr="00061D40" w:rsidRDefault="00D3295A" w:rsidP="00903769">
      <w:pPr>
        <w:pStyle w:val="Paragraphstyle0"/>
        <w:tabs>
          <w:tab w:val="clear" w:pos="567"/>
        </w:tabs>
        <w:spacing w:after="0" w:line="240" w:lineRule="auto"/>
        <w:ind w:left="0" w:firstLine="0"/>
      </w:pPr>
      <w:r w:rsidRPr="00061D40">
        <w:t>Note:</w:t>
      </w:r>
      <w:r w:rsidR="008E5ABB" w:rsidRPr="00061D40">
        <w:t xml:space="preserve"> </w:t>
      </w:r>
      <w:r w:rsidR="005828E9" w:rsidRPr="00061D40">
        <w:t xml:space="preserve">Recurrent </w:t>
      </w:r>
      <w:r w:rsidR="000579F2" w:rsidRPr="00061D40">
        <w:t xml:space="preserve">Grants </w:t>
      </w:r>
      <w:r w:rsidR="008E5ABB" w:rsidRPr="00061D40">
        <w:t xml:space="preserve">(RG) </w:t>
      </w:r>
      <w:r w:rsidR="000579F2" w:rsidRPr="00061D40">
        <w:t>Program</w:t>
      </w:r>
      <w:r w:rsidRPr="00061D40">
        <w:t xml:space="preserve"> include</w:t>
      </w:r>
      <w:r w:rsidR="000579F2" w:rsidRPr="00061D40">
        <w:t>s</w:t>
      </w:r>
      <w:r w:rsidRPr="00061D40">
        <w:t xml:space="preserve"> </w:t>
      </w:r>
      <w:r w:rsidR="00765C78" w:rsidRPr="00061D40">
        <w:t>Distance Education and Remoteness Loading</w:t>
      </w:r>
      <w:r w:rsidRPr="00061D40">
        <w:t>.</w:t>
      </w:r>
    </w:p>
    <w:p w14:paraId="7F48633B" w14:textId="77777777" w:rsidR="00E46B85" w:rsidRPr="00061D40" w:rsidRDefault="00D3295A" w:rsidP="0059078F">
      <w:pPr>
        <w:pStyle w:val="bodytextoutlinednumber"/>
      </w:pPr>
      <w:r w:rsidRPr="00061D40">
        <w:t xml:space="preserve">The </w:t>
      </w:r>
      <w:r w:rsidR="008E5ABB" w:rsidRPr="00061D40">
        <w:t>RG</w:t>
      </w:r>
      <w:r w:rsidR="000F5959" w:rsidRPr="00061D40">
        <w:t xml:space="preserve"> Program </w:t>
      </w:r>
      <w:r w:rsidRPr="00061D40">
        <w:t>assist</w:t>
      </w:r>
      <w:r w:rsidR="000F5959" w:rsidRPr="00061D40">
        <w:t>s</w:t>
      </w:r>
      <w:r w:rsidRPr="00061D40">
        <w:t xml:space="preserve"> non-government schools with the recurrent costs of providing school education</w:t>
      </w:r>
      <w:r w:rsidR="000F5959" w:rsidRPr="00061D40">
        <w:t>.</w:t>
      </w:r>
      <w:r w:rsidR="008E5ABB" w:rsidRPr="00061D40">
        <w:t xml:space="preserve"> </w:t>
      </w:r>
      <w:r w:rsidR="000F5959" w:rsidRPr="00061D40">
        <w:t>These guidelines are provided to assist relevant authorities for non-government schools and approved school systems in determining the level of funding support that may be available from the Commonwealth and the criteria used in assessing applications.</w:t>
      </w:r>
    </w:p>
    <w:p w14:paraId="7F48633C" w14:textId="77777777" w:rsidR="00E46B85" w:rsidRPr="00061D40" w:rsidRDefault="00E46B85" w:rsidP="0059078F">
      <w:pPr>
        <w:pStyle w:val="bodytextoutlinednumber"/>
      </w:pPr>
      <w:bookmarkStart w:id="36" w:name="OLE_LINK10"/>
      <w:bookmarkStart w:id="37" w:name="OLE_LINK13"/>
      <w:r w:rsidRPr="00061D40">
        <w:t>Funding is calculated on a school by school per student basis.</w:t>
      </w:r>
      <w:r w:rsidR="008E5ABB" w:rsidRPr="00061D40">
        <w:t xml:space="preserve"> </w:t>
      </w:r>
      <w:r w:rsidRPr="00061D40">
        <w:t>The primary and secondary percentages for each SES fundi</w:t>
      </w:r>
      <w:r w:rsidR="00497525" w:rsidRPr="00061D40">
        <w:t xml:space="preserve">ng level </w:t>
      </w:r>
      <w:r w:rsidRPr="00061D40">
        <w:t xml:space="preserve">are set out in </w:t>
      </w:r>
      <w:hyperlink w:anchor="_Appendix_H:_Funding" w:history="1">
        <w:r w:rsidR="00903769" w:rsidRPr="00061D40">
          <w:rPr>
            <w:rStyle w:val="Hyperlink"/>
            <w:rFonts w:cs="Garamond"/>
          </w:rPr>
          <w:t>Appendix H</w:t>
        </w:r>
      </w:hyperlink>
      <w:r w:rsidRPr="00061D40">
        <w:t>.</w:t>
      </w:r>
      <w:r w:rsidR="008E5ABB" w:rsidRPr="00061D40">
        <w:t xml:space="preserve"> </w:t>
      </w:r>
      <w:r w:rsidRPr="00061D40">
        <w:t xml:space="preserve">The rates applicable to these percentages (except for guaranteed year 2008 funding) are adjusted annually to reflect movements in </w:t>
      </w:r>
      <w:r w:rsidR="00F35785" w:rsidRPr="00061D40">
        <w:t>Average Government School Recurrent Costs (</w:t>
      </w:r>
      <w:r w:rsidRPr="00061D40">
        <w:t>AGSRC</w:t>
      </w:r>
      <w:r w:rsidR="00F35785" w:rsidRPr="00061D40">
        <w:t>)</w:t>
      </w:r>
      <w:r w:rsidRPr="00061D40">
        <w:t>, as described in</w:t>
      </w:r>
      <w:r w:rsidR="00903769" w:rsidRPr="00061D40">
        <w:t xml:space="preserve"> </w:t>
      </w:r>
      <w:hyperlink w:anchor="_Appendix_K:_Supplementation" w:history="1">
        <w:r w:rsidR="00903769" w:rsidRPr="00061D40">
          <w:rPr>
            <w:rStyle w:val="Hyperlink"/>
            <w:rFonts w:cs="Garamond"/>
          </w:rPr>
          <w:t>Appendix K</w:t>
        </w:r>
      </w:hyperlink>
      <w:r w:rsidRPr="00061D40">
        <w:t>.</w:t>
      </w:r>
      <w:r w:rsidR="008E5ABB" w:rsidRPr="00061D40">
        <w:t xml:space="preserve"> </w:t>
      </w:r>
      <w:r w:rsidRPr="00061D40">
        <w:t>Estimated R</w:t>
      </w:r>
      <w:r w:rsidR="008E5ABB" w:rsidRPr="00061D40">
        <w:t xml:space="preserve">G </w:t>
      </w:r>
      <w:r w:rsidRPr="00061D40">
        <w:t>Funding provided for non-government schools for the current year is provided at</w:t>
      </w:r>
      <w:r w:rsidR="00903769" w:rsidRPr="00061D40">
        <w:t xml:space="preserve"> </w:t>
      </w:r>
      <w:hyperlink w:anchor="_Appendix_I:_Summary" w:history="1">
        <w:r w:rsidR="00903769" w:rsidRPr="00061D40">
          <w:rPr>
            <w:rStyle w:val="Hyperlink"/>
            <w:rFonts w:cs="Garamond"/>
          </w:rPr>
          <w:t>Appendix I</w:t>
        </w:r>
      </w:hyperlink>
      <w:r w:rsidRPr="00061D40">
        <w:t>.</w:t>
      </w:r>
    </w:p>
    <w:p w14:paraId="7F48633D" w14:textId="77777777" w:rsidR="00513347" w:rsidRPr="00061D40" w:rsidRDefault="00513347" w:rsidP="00B77818">
      <w:pPr>
        <w:pStyle w:val="Heading3"/>
      </w:pPr>
      <w:bookmarkStart w:id="38" w:name="_Toc246483036"/>
      <w:bookmarkEnd w:id="36"/>
      <w:bookmarkEnd w:id="37"/>
      <w:r w:rsidRPr="00061D40">
        <w:t>Legislative Authority</w:t>
      </w:r>
      <w:bookmarkEnd w:id="38"/>
    </w:p>
    <w:p w14:paraId="7F48633E" w14:textId="77777777" w:rsidR="00513347" w:rsidRPr="00061D40" w:rsidRDefault="00513347" w:rsidP="0059078F">
      <w:pPr>
        <w:pStyle w:val="bodytextoutlinednumber"/>
      </w:pPr>
      <w:r w:rsidRPr="00061D40">
        <w:t>R</w:t>
      </w:r>
      <w:r w:rsidR="008E5ABB" w:rsidRPr="00061D40">
        <w:t>G</w:t>
      </w:r>
      <w:r w:rsidRPr="00061D40">
        <w:t xml:space="preserve"> funding for non-government schools for the 2009-</w:t>
      </w:r>
      <w:r w:rsidR="008067F6">
        <w:t>2013</w:t>
      </w:r>
      <w:r w:rsidRPr="00061D40">
        <w:t xml:space="preserve"> </w:t>
      </w:r>
      <w:r w:rsidR="000055EF" w:rsidRPr="00061D40">
        <w:t>funding period</w:t>
      </w:r>
      <w:r w:rsidRPr="00061D40">
        <w:t xml:space="preserve"> is provided under </w:t>
      </w:r>
      <w:r w:rsidR="00F45FE7" w:rsidRPr="00061D40">
        <w:t>Part </w:t>
      </w:r>
      <w:r w:rsidR="00716E9A" w:rsidRPr="00061D40">
        <w:t xml:space="preserve">4 </w:t>
      </w:r>
      <w:r w:rsidRPr="00061D40">
        <w:t>of the Act.</w:t>
      </w:r>
      <w:r w:rsidR="008E5ABB" w:rsidRPr="00061D40">
        <w:t xml:space="preserve"> </w:t>
      </w:r>
      <w:r w:rsidRPr="00061D40">
        <w:t>Non-government schools and school systems in each state and territory which claim R</w:t>
      </w:r>
      <w:r w:rsidR="008E5ABB" w:rsidRPr="00061D40">
        <w:t xml:space="preserve">G </w:t>
      </w:r>
      <w:r w:rsidRPr="00061D40">
        <w:t>funding must comply with all the requirements of the Act.</w:t>
      </w:r>
    </w:p>
    <w:p w14:paraId="7F48633F" w14:textId="77777777" w:rsidR="00D3295A" w:rsidRPr="00061D40" w:rsidRDefault="00D3295A" w:rsidP="00B77818">
      <w:pPr>
        <w:pStyle w:val="Heading3"/>
      </w:pPr>
      <w:bookmarkStart w:id="39" w:name="_Toc246483037"/>
      <w:r w:rsidRPr="00061D40">
        <w:t>Eligibility</w:t>
      </w:r>
      <w:bookmarkEnd w:id="39"/>
    </w:p>
    <w:p w14:paraId="7F486340" w14:textId="77777777" w:rsidR="00AC1715" w:rsidRPr="00061D40" w:rsidRDefault="00D3295A" w:rsidP="002C6F59">
      <w:pPr>
        <w:pStyle w:val="bodytextoutlinednumber"/>
      </w:pPr>
      <w:bookmarkStart w:id="40" w:name="_Ref214099453"/>
      <w:bookmarkStart w:id="41" w:name="_Ref246839215"/>
      <w:r w:rsidRPr="00061D40">
        <w:t xml:space="preserve">To be eligible for </w:t>
      </w:r>
      <w:r w:rsidR="008E5ABB" w:rsidRPr="00061D40">
        <w:t>grants for recurrent expenditure</w:t>
      </w:r>
      <w:r w:rsidR="00E22FE1" w:rsidRPr="00061D40">
        <w:t>,</w:t>
      </w:r>
      <w:r w:rsidR="000579F2" w:rsidRPr="00061D40">
        <w:t xml:space="preserve"> </w:t>
      </w:r>
      <w:r w:rsidRPr="00061D40">
        <w:t>a school must be approved as a non-government school by the Minister and the approved authority for the school must enter into a funding agreement with the Commonwealth</w:t>
      </w:r>
      <w:r w:rsidR="008E5ABB" w:rsidRPr="00061D40">
        <w:t>. The funding agreement</w:t>
      </w:r>
      <w:r w:rsidRPr="00061D40">
        <w:t xml:space="preserve"> govern</w:t>
      </w:r>
      <w:r w:rsidR="001C12CE" w:rsidRPr="00061D40">
        <w:t>s</w:t>
      </w:r>
      <w:r w:rsidRPr="00061D40">
        <w:t xml:space="preserve"> the relationship, including the use that may be made of the funding by the authority</w:t>
      </w:r>
      <w:r w:rsidR="001C12CE" w:rsidRPr="00061D40">
        <w:t>,</w:t>
      </w:r>
      <w:r w:rsidRPr="00061D40">
        <w:t xml:space="preserve"> </w:t>
      </w:r>
      <w:r w:rsidR="001C12CE" w:rsidRPr="00061D40">
        <w:t xml:space="preserve">between </w:t>
      </w:r>
      <w:r w:rsidRPr="00061D40">
        <w:t>the school</w:t>
      </w:r>
      <w:r w:rsidR="001C12CE" w:rsidRPr="00061D40">
        <w:t xml:space="preserve"> and the Commonwealth</w:t>
      </w:r>
      <w:r w:rsidRPr="00061D40">
        <w:t>.</w:t>
      </w:r>
      <w:r w:rsidR="008E5ABB" w:rsidRPr="00061D40">
        <w:t xml:space="preserve"> </w:t>
      </w:r>
      <w:r w:rsidRPr="00061D40">
        <w:t>A current list of approved non-government schools can be found at:</w:t>
      </w:r>
      <w:bookmarkEnd w:id="40"/>
      <w:r w:rsidR="008E5ABB" w:rsidRPr="00061D40">
        <w:t xml:space="preserve"> </w:t>
      </w:r>
      <w:hyperlink r:id="rId40" w:history="1">
        <w:r w:rsidR="00765CD2" w:rsidRPr="001340E0">
          <w:rPr>
            <w:rStyle w:val="Hyperlink"/>
            <w:rFonts w:cs="Garamond"/>
          </w:rPr>
          <w:t>https://ssp.deewr.gov.au/ssp/help/html/ses/funding_09_12/ses_scores.html</w:t>
        </w:r>
      </w:hyperlink>
      <w:r w:rsidR="00765CD2">
        <w:t xml:space="preserve"> </w:t>
      </w:r>
      <w:bookmarkEnd w:id="41"/>
    </w:p>
    <w:p w14:paraId="7F486341" w14:textId="77777777" w:rsidR="00D3295A" w:rsidRPr="00061D40" w:rsidRDefault="000F5959" w:rsidP="0059078F">
      <w:pPr>
        <w:pStyle w:val="bodytextoutlinednumber"/>
      </w:pPr>
      <w:r w:rsidRPr="00061D40">
        <w:t>Approved</w:t>
      </w:r>
      <w:r w:rsidR="00D3295A" w:rsidRPr="00061D40">
        <w:t xml:space="preserve"> non-government schools must provide one or two levels of education </w:t>
      </w:r>
      <w:r w:rsidR="00303A91" w:rsidRPr="00061D40">
        <w:t>–</w:t>
      </w:r>
      <w:r w:rsidR="00D3295A" w:rsidRPr="00061D40">
        <w:t xml:space="preserve"> </w:t>
      </w:r>
      <w:r w:rsidR="00303A91" w:rsidRPr="00061D40">
        <w:t xml:space="preserve">the </w:t>
      </w:r>
      <w:r w:rsidR="00D3295A" w:rsidRPr="00061D40">
        <w:t xml:space="preserve">primary level of education </w:t>
      </w:r>
      <w:r w:rsidRPr="00061D40">
        <w:t>and/</w:t>
      </w:r>
      <w:r w:rsidR="00D3295A" w:rsidRPr="00061D40">
        <w:t xml:space="preserve">or </w:t>
      </w:r>
      <w:r w:rsidR="00303A91" w:rsidRPr="00061D40">
        <w:t xml:space="preserve">the </w:t>
      </w:r>
      <w:r w:rsidR="00D3295A" w:rsidRPr="00061D40">
        <w:t>secondary level of education.</w:t>
      </w:r>
    </w:p>
    <w:p w14:paraId="7F486342" w14:textId="77777777" w:rsidR="00D3295A" w:rsidRPr="00061D40" w:rsidRDefault="00D3295A" w:rsidP="0059078F">
      <w:pPr>
        <w:pStyle w:val="bodytextoutlinednumber"/>
      </w:pPr>
      <w:r w:rsidRPr="00061D40">
        <w:t xml:space="preserve">All students in approved schools are eligible to attract </w:t>
      </w:r>
      <w:r w:rsidR="008E5ABB" w:rsidRPr="00061D40">
        <w:t>grants for r</w:t>
      </w:r>
      <w:r w:rsidR="000579F2" w:rsidRPr="00061D40">
        <w:t xml:space="preserve">ecurrent </w:t>
      </w:r>
      <w:r w:rsidR="008E5ABB" w:rsidRPr="00061D40">
        <w:t>expenditure</w:t>
      </w:r>
      <w:r w:rsidR="000579F2" w:rsidRPr="00061D40">
        <w:t xml:space="preserve"> </w:t>
      </w:r>
      <w:r w:rsidRPr="00061D40">
        <w:t>for a particular level of education at an approved location other than:</w:t>
      </w:r>
    </w:p>
    <w:p w14:paraId="7F486343" w14:textId="77777777" w:rsidR="00D3295A" w:rsidRPr="00061D40" w:rsidRDefault="00D3295A" w:rsidP="00313AE7">
      <w:pPr>
        <w:pStyle w:val="bodytextoutlinednumber"/>
        <w:numPr>
          <w:ilvl w:val="1"/>
          <w:numId w:val="10"/>
        </w:numPr>
      </w:pPr>
      <w:r w:rsidRPr="00061D40">
        <w:t>Pre-school students (</w:t>
      </w:r>
      <w:r w:rsidR="003E2776" w:rsidRPr="00061D40">
        <w:t xml:space="preserve">in </w:t>
      </w:r>
      <w:r w:rsidRPr="00061D40">
        <w:t>Western Australia, Pre-Year 1 is called Pre-primary.</w:t>
      </w:r>
      <w:r w:rsidR="008E5ABB" w:rsidRPr="00061D40">
        <w:t xml:space="preserve"> </w:t>
      </w:r>
      <w:r w:rsidRPr="00061D40">
        <w:t xml:space="preserve">Students in this year are eligible to attract </w:t>
      </w:r>
      <w:r w:rsidR="00E12BD5" w:rsidRPr="00061D40">
        <w:t>r</w:t>
      </w:r>
      <w:r w:rsidR="005828E9" w:rsidRPr="00061D40">
        <w:t xml:space="preserve">ecurrent </w:t>
      </w:r>
      <w:r w:rsidR="00E12BD5" w:rsidRPr="00061D40">
        <w:t>f</w:t>
      </w:r>
      <w:r w:rsidR="005828E9" w:rsidRPr="00061D40">
        <w:t>unding</w:t>
      </w:r>
      <w:r w:rsidR="00041C1B" w:rsidRPr="00061D40">
        <w:t>)</w:t>
      </w:r>
    </w:p>
    <w:p w14:paraId="7F486344" w14:textId="77777777" w:rsidR="00D3295A" w:rsidRPr="00061D40" w:rsidRDefault="00903769" w:rsidP="00313AE7">
      <w:pPr>
        <w:pStyle w:val="bodytextoutlinednumber"/>
        <w:numPr>
          <w:ilvl w:val="1"/>
          <w:numId w:val="10"/>
        </w:numPr>
      </w:pPr>
      <w:r w:rsidRPr="00061D40">
        <w:t>non</w:t>
      </w:r>
      <w:r w:rsidR="00D3295A" w:rsidRPr="00061D40">
        <w:t>-exempt overseas students and certain classes of temporary residents</w:t>
      </w:r>
    </w:p>
    <w:p w14:paraId="7F486345" w14:textId="77777777" w:rsidR="00D3295A" w:rsidRPr="00061D40" w:rsidRDefault="00903769" w:rsidP="00313AE7">
      <w:pPr>
        <w:pStyle w:val="bodytextoutlinednumber"/>
        <w:numPr>
          <w:ilvl w:val="1"/>
          <w:numId w:val="10"/>
        </w:numPr>
      </w:pPr>
      <w:r w:rsidRPr="00061D40">
        <w:t xml:space="preserve">students </w:t>
      </w:r>
      <w:r w:rsidR="00D3295A" w:rsidRPr="00061D40">
        <w:t>who are enrolled but have a formal arrangement where they will not attend daily.</w:t>
      </w:r>
      <w:r w:rsidR="008E5ABB" w:rsidRPr="00061D40">
        <w:t xml:space="preserve"> </w:t>
      </w:r>
      <w:r w:rsidR="00D3295A" w:rsidRPr="00061D40">
        <w:t xml:space="preserve">For example they may receive home schooling and therefore only </w:t>
      </w:r>
      <w:r w:rsidR="00D3295A" w:rsidRPr="00061D40">
        <w:lastRenderedPageBreak/>
        <w:t>attend once a month.</w:t>
      </w:r>
      <w:r w:rsidR="008E5ABB" w:rsidRPr="00061D40">
        <w:t xml:space="preserve"> </w:t>
      </w:r>
      <w:r w:rsidR="00D3295A" w:rsidRPr="00061D40">
        <w:t>There is discretion to treat students as attending on a daily basis if special circumstances can be shown.</w:t>
      </w:r>
    </w:p>
    <w:p w14:paraId="7F486346" w14:textId="77777777" w:rsidR="00D3295A" w:rsidRPr="00061D40" w:rsidRDefault="00D3295A" w:rsidP="0059078F">
      <w:pPr>
        <w:pStyle w:val="bodytextoutlinednumber"/>
      </w:pPr>
      <w:r w:rsidRPr="00061D40">
        <w:t xml:space="preserve">New schools, existing unfunded schools and approved schools undergoing certain changes in operation need to apply to receive </w:t>
      </w:r>
      <w:r w:rsidR="00A85317" w:rsidRPr="00061D40">
        <w:t>grants for recurrent expenditure</w:t>
      </w:r>
      <w:r w:rsidR="00B77818" w:rsidRPr="00061D40">
        <w:t xml:space="preserve"> or in respect of approved schools, to change grant arrangements</w:t>
      </w:r>
      <w:r w:rsidRPr="00061D40">
        <w:t>.</w:t>
      </w:r>
      <w:r w:rsidR="008E5ABB" w:rsidRPr="00061D40">
        <w:t xml:space="preserve"> </w:t>
      </w:r>
      <w:r w:rsidRPr="00061D40">
        <w:t>Applications should be provided by the approved authority or the responsible body (whichever is applicable) of the school or system.</w:t>
      </w:r>
      <w:r w:rsidR="006949C7" w:rsidRPr="00061D40">
        <w:t xml:space="preserve"> If an approved school </w:t>
      </w:r>
      <w:r w:rsidR="00E5473A">
        <w:t xml:space="preserve">intends on changing its Constitution in a way which affects the school’s ability to comply with the Funding Agreement, the school is required to notify the </w:t>
      </w:r>
      <w:r w:rsidR="00E61EBE">
        <w:t>D</w:t>
      </w:r>
      <w:r w:rsidR="00E5473A">
        <w:t>epartment.</w:t>
      </w:r>
    </w:p>
    <w:p w14:paraId="7F486347" w14:textId="77777777" w:rsidR="00D32016" w:rsidRDefault="001C12CE">
      <w:pPr>
        <w:pStyle w:val="Heading3"/>
      </w:pPr>
      <w:bookmarkStart w:id="42" w:name="_Toc246483038"/>
      <w:r w:rsidRPr="00061D40">
        <w:t>Payment Arrangements</w:t>
      </w:r>
    </w:p>
    <w:p w14:paraId="7F486348" w14:textId="77777777" w:rsidR="001C12CE" w:rsidRPr="00061D40" w:rsidRDefault="001C12CE" w:rsidP="0059078F">
      <w:pPr>
        <w:pStyle w:val="bodytextoutlinednumber"/>
      </w:pPr>
      <w:r w:rsidRPr="00061D40">
        <w:t>RG payments are made in accordance with the payment schedule shown at Table H.1 in</w:t>
      </w:r>
      <w:r w:rsidR="00903769" w:rsidRPr="00061D40">
        <w:t xml:space="preserve"> </w:t>
      </w:r>
      <w:hyperlink w:anchor="_Appendix_H:_Funding" w:history="1">
        <w:r w:rsidR="00903769" w:rsidRPr="00061D40">
          <w:rPr>
            <w:rStyle w:val="Hyperlink"/>
            <w:rFonts w:cs="Garamond"/>
          </w:rPr>
          <w:t>Appendix H</w:t>
        </w:r>
      </w:hyperlink>
      <w:r w:rsidRPr="00061D40">
        <w:t>.</w:t>
      </w:r>
    </w:p>
    <w:p w14:paraId="7F486349" w14:textId="77777777" w:rsidR="00D32016" w:rsidRDefault="00694903">
      <w:pPr>
        <w:pStyle w:val="Heading3"/>
      </w:pPr>
      <w:r w:rsidRPr="00061D40">
        <w:t>Use of Funding</w:t>
      </w:r>
      <w:bookmarkEnd w:id="42"/>
    </w:p>
    <w:p w14:paraId="7F48634A" w14:textId="77777777" w:rsidR="00694903" w:rsidRPr="00061D40" w:rsidRDefault="00A06966" w:rsidP="0059078F">
      <w:pPr>
        <w:pStyle w:val="bodytextoutlinednumber"/>
      </w:pPr>
      <w:r w:rsidRPr="00061D40">
        <w:t xml:space="preserve">Conditions governing the use of funding </w:t>
      </w:r>
      <w:r w:rsidR="002020AA" w:rsidRPr="00061D40">
        <w:t>are</w:t>
      </w:r>
      <w:r w:rsidRPr="00061D40">
        <w:t xml:space="preserve"> set out in the funding agreement between the authority and the Commonwealth.</w:t>
      </w:r>
      <w:r w:rsidR="008E5ABB" w:rsidRPr="00061D40">
        <w:t xml:space="preserve"> </w:t>
      </w:r>
      <w:r w:rsidR="00A85317" w:rsidRPr="00061D40">
        <w:t>RG f</w:t>
      </w:r>
      <w:r w:rsidR="005828E9" w:rsidRPr="00061D40">
        <w:t>und</w:t>
      </w:r>
      <w:r w:rsidR="00A85317" w:rsidRPr="00061D40">
        <w:t>s</w:t>
      </w:r>
      <w:r w:rsidR="00694903" w:rsidRPr="00061D40">
        <w:t xml:space="preserve"> </w:t>
      </w:r>
      <w:r w:rsidR="00A85317" w:rsidRPr="00061D40">
        <w:t>are</w:t>
      </w:r>
      <w:r w:rsidR="00694903" w:rsidRPr="00061D40">
        <w:t xml:space="preserve"> to be used for meeting operating expenditure incurred by approved non-government system and school authorities</w:t>
      </w:r>
      <w:r w:rsidR="002020AA" w:rsidRPr="00061D40">
        <w:t>.</w:t>
      </w:r>
      <w:r w:rsidR="008E5ABB" w:rsidRPr="00061D40">
        <w:t xml:space="preserve"> </w:t>
      </w:r>
      <w:r w:rsidR="005828E9" w:rsidRPr="00061D40">
        <w:t>R</w:t>
      </w:r>
      <w:r w:rsidR="00827BC9" w:rsidRPr="00061D40">
        <w:t>G</w:t>
      </w:r>
      <w:r w:rsidR="00E22FE1" w:rsidRPr="00061D40">
        <w:t xml:space="preserve"> </w:t>
      </w:r>
      <w:r w:rsidR="00827BC9" w:rsidRPr="00061D40">
        <w:t>funds</w:t>
      </w:r>
      <w:r w:rsidR="00694903" w:rsidRPr="00061D40">
        <w:t xml:space="preserve"> can be applied to:</w:t>
      </w:r>
    </w:p>
    <w:p w14:paraId="7F48634B" w14:textId="77777777" w:rsidR="00694903" w:rsidRPr="00061D40" w:rsidRDefault="0059078F" w:rsidP="00313AE7">
      <w:pPr>
        <w:pStyle w:val="bodytextoutlinednumber"/>
        <w:numPr>
          <w:ilvl w:val="1"/>
          <w:numId w:val="10"/>
        </w:numPr>
      </w:pPr>
      <w:r w:rsidRPr="00061D40">
        <w:t>t</w:t>
      </w:r>
      <w:r w:rsidR="00694903" w:rsidRPr="00061D40">
        <w:t>eaching and ancillary staff salaries</w:t>
      </w:r>
    </w:p>
    <w:p w14:paraId="7F48634C" w14:textId="77777777" w:rsidR="00694903" w:rsidRPr="00061D40" w:rsidRDefault="0059078F" w:rsidP="00313AE7">
      <w:pPr>
        <w:pStyle w:val="bodytextoutlinednumber"/>
        <w:numPr>
          <w:ilvl w:val="1"/>
          <w:numId w:val="10"/>
        </w:numPr>
      </w:pPr>
      <w:r w:rsidRPr="00061D40">
        <w:t>p</w:t>
      </w:r>
      <w:r w:rsidR="00694903" w:rsidRPr="00061D40">
        <w:t>rofessional development of teachers</w:t>
      </w:r>
    </w:p>
    <w:p w14:paraId="7F48634D" w14:textId="77777777" w:rsidR="00694903" w:rsidRPr="00061D40" w:rsidRDefault="0059078F" w:rsidP="00313AE7">
      <w:pPr>
        <w:pStyle w:val="bodytextoutlinednumber"/>
        <w:numPr>
          <w:ilvl w:val="1"/>
          <w:numId w:val="10"/>
        </w:numPr>
      </w:pPr>
      <w:r w:rsidRPr="00061D40">
        <w:t>c</w:t>
      </w:r>
      <w:r w:rsidR="00694903" w:rsidRPr="00061D40">
        <w:t>urriculum development</w:t>
      </w:r>
    </w:p>
    <w:p w14:paraId="7F48634E" w14:textId="77777777" w:rsidR="00694903" w:rsidRPr="00061D40" w:rsidRDefault="0059078F" w:rsidP="00313AE7">
      <w:pPr>
        <w:pStyle w:val="bodytextoutlinednumber"/>
        <w:numPr>
          <w:ilvl w:val="1"/>
          <w:numId w:val="10"/>
        </w:numPr>
      </w:pPr>
      <w:r w:rsidRPr="00061D40">
        <w:t>m</w:t>
      </w:r>
      <w:r w:rsidR="00694903" w:rsidRPr="00061D40">
        <w:t>aintenance a</w:t>
      </w:r>
      <w:r w:rsidR="00716E9A" w:rsidRPr="00061D40">
        <w:t>nd general operation provisions</w:t>
      </w:r>
      <w:r w:rsidR="00213855" w:rsidRPr="00061D40">
        <w:t>.</w:t>
      </w:r>
    </w:p>
    <w:p w14:paraId="7F48634F" w14:textId="77777777" w:rsidR="00D32016" w:rsidRDefault="00694903">
      <w:pPr>
        <w:pStyle w:val="Heading3"/>
      </w:pPr>
      <w:bookmarkStart w:id="43" w:name="_Toc246483039"/>
      <w:r w:rsidRPr="00061D40">
        <w:t>How to Make an Application</w:t>
      </w:r>
      <w:bookmarkEnd w:id="43"/>
      <w:r w:rsidRPr="00061D40">
        <w:t xml:space="preserve"> </w:t>
      </w:r>
    </w:p>
    <w:p w14:paraId="7F486350" w14:textId="77777777" w:rsidR="00A16BE5" w:rsidRDefault="00694903" w:rsidP="0059078F">
      <w:pPr>
        <w:pStyle w:val="bodytextoutlinednumber"/>
      </w:pPr>
      <w:r w:rsidRPr="00061D40">
        <w:t>An Approved Authority (or responsible body as the case may be) must complete an application form before the Minister can grant approval.</w:t>
      </w:r>
      <w:r w:rsidR="008E5ABB" w:rsidRPr="00061D40">
        <w:t xml:space="preserve"> </w:t>
      </w:r>
      <w:r w:rsidR="00707DFC" w:rsidRPr="00061D40">
        <w:t>The approved authority</w:t>
      </w:r>
      <w:r w:rsidR="003546A2" w:rsidRPr="00061D40">
        <w:t>’s school</w:t>
      </w:r>
      <w:r w:rsidR="00707DFC" w:rsidRPr="00061D40">
        <w:t xml:space="preserve"> must also be recognised as a school </w:t>
      </w:r>
      <w:r w:rsidR="00827BC9" w:rsidRPr="00061D40">
        <w:t xml:space="preserve">for the level/s of education and the location/s </w:t>
      </w:r>
      <w:r w:rsidR="00707DFC" w:rsidRPr="00061D40">
        <w:t>by the state or territory jurisdiction in which it is located</w:t>
      </w:r>
      <w:r w:rsidR="00562478" w:rsidRPr="00061D40">
        <w:t xml:space="preserve">. </w:t>
      </w:r>
      <w:r w:rsidRPr="00061D40">
        <w:t xml:space="preserve">Application forms are available </w:t>
      </w:r>
      <w:r w:rsidR="00827BC9" w:rsidRPr="00061D40">
        <w:t xml:space="preserve">at: </w:t>
      </w:r>
    </w:p>
    <w:p w14:paraId="7F486351" w14:textId="77777777" w:rsidR="008A15A2" w:rsidRDefault="00C73D8D">
      <w:pPr>
        <w:pStyle w:val="bodytextoutlinednumber"/>
        <w:numPr>
          <w:ilvl w:val="0"/>
          <w:numId w:val="0"/>
        </w:numPr>
      </w:pPr>
      <w:hyperlink r:id="rId41" w:history="1">
        <w:r w:rsidR="008A15A2" w:rsidRPr="00964CF2">
          <w:rPr>
            <w:rStyle w:val="Hyperlink"/>
            <w:rFonts w:cs="Garamond"/>
          </w:rPr>
          <w:t>http://www.deewr.gov.au/Schooling/RecurrentGrants/NonGovSchools/Pages/Forms.aspx</w:t>
        </w:r>
      </w:hyperlink>
      <w:r w:rsidR="008A15A2">
        <w:t>.</w:t>
      </w:r>
    </w:p>
    <w:p w14:paraId="7F486352" w14:textId="77777777" w:rsidR="00694903" w:rsidRPr="00061D40" w:rsidRDefault="00694903" w:rsidP="0059078F">
      <w:pPr>
        <w:pStyle w:val="bodytextoutlinednumber"/>
      </w:pPr>
      <w:r w:rsidRPr="00061D40">
        <w:t>Applications must be in writing and set out details of the new school or the proposed change in operations and the year from which funding is sought.</w:t>
      </w:r>
      <w:r w:rsidR="008E5ABB" w:rsidRPr="00061D40">
        <w:t xml:space="preserve"> </w:t>
      </w:r>
      <w:r w:rsidRPr="00061D40">
        <w:t>Unless the Minister accepts exceptional circumstances, funding will not commence any earlier than the year in which the application is made.</w:t>
      </w:r>
      <w:r w:rsidR="008E5ABB" w:rsidRPr="00061D40">
        <w:t xml:space="preserve"> </w:t>
      </w:r>
      <w:r w:rsidRPr="00061D40">
        <w:t>The Minister has discretion whether or not to approve an application.</w:t>
      </w:r>
    </w:p>
    <w:p w14:paraId="7F486353" w14:textId="77777777" w:rsidR="00D32016" w:rsidRDefault="00C73641">
      <w:pPr>
        <w:pStyle w:val="Heading4"/>
      </w:pPr>
      <w:r w:rsidRPr="00061D40">
        <w:t>New School System Application</w:t>
      </w:r>
    </w:p>
    <w:p w14:paraId="7F486354" w14:textId="77777777" w:rsidR="00C73641" w:rsidRPr="00061D40" w:rsidRDefault="00C73641" w:rsidP="0059078F">
      <w:pPr>
        <w:pStyle w:val="bodytextoutlinednumber"/>
      </w:pPr>
      <w:r w:rsidRPr="00061D40">
        <w:t>School systems play an important role in developing new schools and supporting existing schools. Systemic arrangements ensure the viability and sustainability of schools by sharing financial responsibility, and assist the Commonwealth by providing one point of contact for a number of schools.</w:t>
      </w:r>
    </w:p>
    <w:p w14:paraId="7F486355" w14:textId="77777777" w:rsidR="000327BA" w:rsidRPr="00061D40" w:rsidRDefault="00C73641" w:rsidP="0059078F">
      <w:pPr>
        <w:pStyle w:val="bodytextoutlinednumber"/>
      </w:pPr>
      <w:r w:rsidRPr="00061D40">
        <w:lastRenderedPageBreak/>
        <w:t xml:space="preserve">Under section 129 of the </w:t>
      </w:r>
      <w:r w:rsidR="001E165B" w:rsidRPr="00061D40">
        <w:t>Act</w:t>
      </w:r>
      <w:r w:rsidR="003D6505" w:rsidRPr="00061D40">
        <w:t>,</w:t>
      </w:r>
      <w:r w:rsidR="001E165B" w:rsidRPr="00061D40">
        <w:t xml:space="preserve"> </w:t>
      </w:r>
      <w:r w:rsidRPr="00061D40">
        <w:t>the Minister can approve new school systems. Schools wanting to apply for approval of a new school system must send to the Department an application</w:t>
      </w:r>
      <w:r w:rsidR="000327BA" w:rsidRPr="00061D40">
        <w:t xml:space="preserve"> in writing before 1 July of the year before proposed commencement of the system</w:t>
      </w:r>
      <w:r w:rsidRPr="00061D40">
        <w:t xml:space="preserve">. </w:t>
      </w:r>
    </w:p>
    <w:p w14:paraId="7F486356" w14:textId="77777777" w:rsidR="00C73641" w:rsidRPr="00061D40" w:rsidRDefault="00C73641" w:rsidP="0059078F">
      <w:pPr>
        <w:pStyle w:val="bodytextoutlinednumber"/>
      </w:pPr>
      <w:r w:rsidRPr="00061D40">
        <w:t xml:space="preserve">The application </w:t>
      </w:r>
      <w:r w:rsidR="000327BA" w:rsidRPr="00061D40">
        <w:t xml:space="preserve">requirements for new school systems are set out </w:t>
      </w:r>
      <w:r w:rsidR="00212BF5">
        <w:t>in</w:t>
      </w:r>
      <w:r w:rsidR="000327BA" w:rsidRPr="00061D40">
        <w:t xml:space="preserve"> </w:t>
      </w:r>
      <w:hyperlink w:anchor="_Appendix_D:_Process" w:history="1">
        <w:r w:rsidR="000327BA" w:rsidRPr="00AC1715">
          <w:rPr>
            <w:rStyle w:val="Hyperlink"/>
            <w:rFonts w:cs="Garamond"/>
          </w:rPr>
          <w:t>Appendix D</w:t>
        </w:r>
      </w:hyperlink>
      <w:r w:rsidR="000327BA" w:rsidRPr="00061D40">
        <w:t>.</w:t>
      </w:r>
    </w:p>
    <w:p w14:paraId="7F486357" w14:textId="77777777" w:rsidR="00C73641" w:rsidRPr="00061D40" w:rsidRDefault="00C73641" w:rsidP="0059078F">
      <w:pPr>
        <w:pStyle w:val="bodytextoutlinednumber"/>
      </w:pPr>
      <w:r w:rsidRPr="00061D40">
        <w:t>The operational requirements for approved school systems are set out in</w:t>
      </w:r>
      <w:r w:rsidR="00B77818" w:rsidRPr="00061D40">
        <w:t xml:space="preserve"> </w:t>
      </w:r>
      <w:hyperlink w:anchor="_Appendix_E:_Operational" w:history="1">
        <w:r w:rsidR="00B77818" w:rsidRPr="00061D40">
          <w:rPr>
            <w:rStyle w:val="Hyperlink"/>
            <w:rFonts w:cs="Garamond"/>
          </w:rPr>
          <w:t>Appendix E</w:t>
        </w:r>
      </w:hyperlink>
      <w:r w:rsidRPr="00061D40">
        <w:t>.</w:t>
      </w:r>
    </w:p>
    <w:p w14:paraId="7F486358" w14:textId="77777777" w:rsidR="00D32016" w:rsidRDefault="00694903">
      <w:pPr>
        <w:pStyle w:val="Heading4"/>
      </w:pPr>
      <w:r w:rsidRPr="00061D40">
        <w:t>New School Application (includes Amalgamations and Separations)</w:t>
      </w:r>
    </w:p>
    <w:p w14:paraId="7F486359" w14:textId="77777777" w:rsidR="007006ED" w:rsidRDefault="00694903" w:rsidP="007006ED">
      <w:pPr>
        <w:pStyle w:val="bodytextoutlinednumber"/>
      </w:pPr>
      <w:r w:rsidRPr="00061D40">
        <w:t>An Approved Authority (or responsible body as the case may be) must apply to the Minister for approval of the proposal.</w:t>
      </w:r>
      <w:r w:rsidR="008E5ABB" w:rsidRPr="00061D40">
        <w:t xml:space="preserve"> </w:t>
      </w:r>
      <w:r w:rsidRPr="00061D40">
        <w:t>Applicants should complete the “Application Form for New Schools” available</w:t>
      </w:r>
      <w:r w:rsidR="0059078F" w:rsidRPr="00061D40">
        <w:t xml:space="preserve"> at</w:t>
      </w:r>
      <w:r w:rsidR="003A521F" w:rsidRPr="00061D40">
        <w:t>:</w:t>
      </w:r>
      <w:r w:rsidR="00827BC9" w:rsidRPr="00061D40">
        <w:t xml:space="preserve"> </w:t>
      </w:r>
      <w:hyperlink r:id="rId42" w:history="1">
        <w:r w:rsidR="007006ED" w:rsidRPr="00964CF2">
          <w:rPr>
            <w:rStyle w:val="Hyperlink"/>
            <w:rFonts w:cs="Garamond"/>
          </w:rPr>
          <w:t>http://www.deewr.gov.au/Schooling/RecurrentGrants/NonGovSchools/Pages/Forms.aspx</w:t>
        </w:r>
      </w:hyperlink>
      <w:r w:rsidR="007006ED">
        <w:t>.</w:t>
      </w:r>
    </w:p>
    <w:p w14:paraId="7F48635A" w14:textId="77777777" w:rsidR="00694903" w:rsidRPr="00061D40" w:rsidRDefault="00694903" w:rsidP="0059078F">
      <w:pPr>
        <w:pStyle w:val="bodytextoutlinednumber"/>
      </w:pPr>
      <w:r w:rsidRPr="00061D40">
        <w:t xml:space="preserve">Under the </w:t>
      </w:r>
      <w:r w:rsidR="001E165B" w:rsidRPr="00061D40">
        <w:t>Act</w:t>
      </w:r>
      <w:r w:rsidRPr="00061D40">
        <w:t xml:space="preserve"> the application must:</w:t>
      </w:r>
    </w:p>
    <w:p w14:paraId="7F48635B" w14:textId="77777777" w:rsidR="00694903" w:rsidRPr="00061D40" w:rsidRDefault="00694903" w:rsidP="00313AE7">
      <w:pPr>
        <w:pStyle w:val="bodytextoutlinednumber"/>
        <w:numPr>
          <w:ilvl w:val="1"/>
          <w:numId w:val="10"/>
        </w:numPr>
      </w:pPr>
      <w:r w:rsidRPr="00061D40">
        <w:t>be in writing</w:t>
      </w:r>
    </w:p>
    <w:p w14:paraId="7F48635C" w14:textId="77777777" w:rsidR="00694903" w:rsidRPr="00061D40" w:rsidRDefault="00694903" w:rsidP="00313AE7">
      <w:pPr>
        <w:pStyle w:val="bodytextoutlinednumber"/>
        <w:numPr>
          <w:ilvl w:val="1"/>
          <w:numId w:val="10"/>
        </w:numPr>
      </w:pPr>
      <w:r w:rsidRPr="00061D40">
        <w:t>set out the details of the proposal including:</w:t>
      </w:r>
    </w:p>
    <w:p w14:paraId="7F48635D" w14:textId="77777777" w:rsidR="00694903" w:rsidRPr="00061D40" w:rsidRDefault="00694903" w:rsidP="00313AE7">
      <w:pPr>
        <w:pStyle w:val="bodytextoutlinednumber"/>
        <w:numPr>
          <w:ilvl w:val="2"/>
          <w:numId w:val="10"/>
        </w:numPr>
      </w:pPr>
      <w:r w:rsidRPr="00061D40">
        <w:t>the name of the school</w:t>
      </w:r>
    </w:p>
    <w:p w14:paraId="7F48635E" w14:textId="77777777" w:rsidR="00694903" w:rsidRPr="00061D40" w:rsidRDefault="00694903" w:rsidP="00313AE7">
      <w:pPr>
        <w:pStyle w:val="bodytextoutlinednumber"/>
        <w:numPr>
          <w:ilvl w:val="2"/>
          <w:numId w:val="10"/>
        </w:numPr>
      </w:pPr>
      <w:r w:rsidRPr="00061D40">
        <w:t>each location of the school</w:t>
      </w:r>
    </w:p>
    <w:p w14:paraId="7F48635F" w14:textId="77777777" w:rsidR="00694903" w:rsidRPr="00061D40" w:rsidRDefault="00694903" w:rsidP="00313AE7">
      <w:pPr>
        <w:pStyle w:val="bodytextoutlinednumber"/>
        <w:numPr>
          <w:ilvl w:val="2"/>
          <w:numId w:val="10"/>
        </w:numPr>
      </w:pPr>
      <w:r w:rsidRPr="00061D40">
        <w:t>each level of education at the school</w:t>
      </w:r>
    </w:p>
    <w:p w14:paraId="7F486360" w14:textId="77777777" w:rsidR="00694903" w:rsidRPr="00061D40" w:rsidRDefault="00694903" w:rsidP="00313AE7">
      <w:pPr>
        <w:pStyle w:val="bodytextoutlinednumber"/>
        <w:numPr>
          <w:ilvl w:val="2"/>
          <w:numId w:val="10"/>
        </w:numPr>
      </w:pPr>
      <w:r w:rsidRPr="00061D40">
        <w:t>state if the school is to be a member of an approved school system</w:t>
      </w:r>
    </w:p>
    <w:p w14:paraId="7F486361" w14:textId="77777777" w:rsidR="00694903" w:rsidRPr="00061D40" w:rsidRDefault="00694903" w:rsidP="00313AE7">
      <w:pPr>
        <w:pStyle w:val="bodytextoutlinednumber"/>
        <w:numPr>
          <w:ilvl w:val="1"/>
          <w:numId w:val="10"/>
        </w:numPr>
      </w:pPr>
      <w:r w:rsidRPr="00061D40">
        <w:t xml:space="preserve">state the earliest year in which the proposal is to take effect </w:t>
      </w:r>
      <w:r w:rsidR="00046E63" w:rsidRPr="00061D40">
        <w:t>(</w:t>
      </w:r>
      <w:r w:rsidRPr="00061D40">
        <w:t>that is, the ye</w:t>
      </w:r>
      <w:r w:rsidR="002020AA" w:rsidRPr="00061D40">
        <w:t>ar from which funding is sought</w:t>
      </w:r>
      <w:r w:rsidR="00046E63" w:rsidRPr="00061D40">
        <w:t>)</w:t>
      </w:r>
    </w:p>
    <w:p w14:paraId="7F486362" w14:textId="77777777" w:rsidR="00694903" w:rsidRPr="00061D40" w:rsidRDefault="00694903" w:rsidP="00313AE7">
      <w:pPr>
        <w:pStyle w:val="bodytextoutlinednumber"/>
        <w:numPr>
          <w:ilvl w:val="1"/>
          <w:numId w:val="10"/>
        </w:numPr>
      </w:pPr>
      <w:r w:rsidRPr="00061D40">
        <w:t>state if there are exceptional circumstances that justify the approval applying to the program year preceding the program year in which the application is made.</w:t>
      </w:r>
    </w:p>
    <w:p w14:paraId="7F486363" w14:textId="77777777" w:rsidR="00694903" w:rsidRPr="00061D40" w:rsidRDefault="00694903" w:rsidP="0059078F">
      <w:pPr>
        <w:pStyle w:val="bodytextoutlinednumber"/>
      </w:pPr>
      <w:r w:rsidRPr="00061D40">
        <w:t>While there is no formal requirement to give advance notice where the new school proposal involves a proposed new school or an existing school not already an approved school, it is desirable the school proponents contact the Department in advance to obtain information about the requirements they must meet.</w:t>
      </w:r>
      <w:r w:rsidR="00046E63" w:rsidRPr="00061D40">
        <w:t xml:space="preserve"> All requirements must be met prior to the School’s Census Day of the year in which funding is sought.</w:t>
      </w:r>
    </w:p>
    <w:p w14:paraId="7F486364" w14:textId="77777777" w:rsidR="00D32016" w:rsidRDefault="00046E63">
      <w:pPr>
        <w:pStyle w:val="Heading4"/>
      </w:pPr>
      <w:r w:rsidRPr="00061D40">
        <w:t>Advance Notice</w:t>
      </w:r>
    </w:p>
    <w:p w14:paraId="7F486365" w14:textId="77777777" w:rsidR="00694903" w:rsidRPr="00061D40" w:rsidRDefault="00694903" w:rsidP="0059078F">
      <w:pPr>
        <w:pStyle w:val="bodytextoutlinednumber"/>
      </w:pPr>
      <w:r w:rsidRPr="00061D40">
        <w:t xml:space="preserve">Advance notification is required for changes involving approval of an amalgamation, separation and a change in status where approved schools join or end membership </w:t>
      </w:r>
      <w:r w:rsidR="00277EB8" w:rsidRPr="00061D40">
        <w:t>of</w:t>
      </w:r>
      <w:r w:rsidRPr="00061D40">
        <w:t xml:space="preserve"> approved systems.</w:t>
      </w:r>
      <w:r w:rsidR="008E5ABB" w:rsidRPr="00061D40">
        <w:t xml:space="preserve"> </w:t>
      </w:r>
      <w:r w:rsidRPr="00061D40">
        <w:t>These changes in operation will take effect from the commencement of the following year.</w:t>
      </w:r>
      <w:r w:rsidR="008E5ABB" w:rsidRPr="00061D40">
        <w:t xml:space="preserve"> </w:t>
      </w:r>
      <w:r w:rsidRPr="00061D40">
        <w:t xml:space="preserve">Schools and systems </w:t>
      </w:r>
      <w:r w:rsidR="00046E63" w:rsidRPr="00061D40">
        <w:t>are required to notify</w:t>
      </w:r>
      <w:r w:rsidRPr="00061D40">
        <w:t xml:space="preserve"> the Department </w:t>
      </w:r>
      <w:r w:rsidRPr="00061D40">
        <w:rPr>
          <w:b/>
        </w:rPr>
        <w:t>no later than 1 July</w:t>
      </w:r>
      <w:r w:rsidRPr="00061D40">
        <w:t xml:space="preserve"> of the year </w:t>
      </w:r>
      <w:r w:rsidR="008730C5" w:rsidRPr="008730C5">
        <w:rPr>
          <w:b/>
        </w:rPr>
        <w:t>before</w:t>
      </w:r>
      <w:r w:rsidRPr="00061D40">
        <w:t xml:space="preserve"> the change is to take place.</w:t>
      </w:r>
    </w:p>
    <w:p w14:paraId="7F486366" w14:textId="77777777" w:rsidR="006B2909" w:rsidRDefault="006B2909">
      <w:pPr>
        <w:spacing w:before="0" w:line="240" w:lineRule="auto"/>
        <w:rPr>
          <w:rFonts w:cs="Arial Narrow"/>
          <w:color w:val="165788"/>
          <w:sz w:val="28"/>
          <w:szCs w:val="28"/>
          <w:lang w:val="en-GB"/>
        </w:rPr>
      </w:pPr>
      <w:r>
        <w:br w:type="page"/>
      </w:r>
    </w:p>
    <w:p w14:paraId="7F486367" w14:textId="77777777" w:rsidR="00D32016" w:rsidRDefault="00046E63">
      <w:pPr>
        <w:pStyle w:val="Heading4"/>
      </w:pPr>
      <w:r w:rsidRPr="00061D40">
        <w:lastRenderedPageBreak/>
        <w:t>Change of Systemic Status Application</w:t>
      </w:r>
    </w:p>
    <w:p w14:paraId="7F486368" w14:textId="77777777" w:rsidR="00694903" w:rsidRPr="00061D40" w:rsidRDefault="00694903" w:rsidP="006455DC">
      <w:pPr>
        <w:pStyle w:val="Heading5"/>
        <w:spacing w:line="240" w:lineRule="auto"/>
      </w:pPr>
      <w:r w:rsidRPr="00061D40">
        <w:t>Proposal for a non-systemic school to become a member of an approved school system</w:t>
      </w:r>
    </w:p>
    <w:p w14:paraId="7F486369" w14:textId="77777777" w:rsidR="007006ED" w:rsidRDefault="00694903" w:rsidP="0059078F">
      <w:pPr>
        <w:pStyle w:val="bodytextoutlinednumber"/>
      </w:pPr>
      <w:r w:rsidRPr="00061D40">
        <w:t xml:space="preserve">Either the approved authority of the school or the approved authority of the system must apply to the Minister for approval of </w:t>
      </w:r>
      <w:r w:rsidR="00277EB8" w:rsidRPr="00061D40">
        <w:t>a</w:t>
      </w:r>
      <w:r w:rsidRPr="00061D40">
        <w:t xml:space="preserve"> proposal</w:t>
      </w:r>
      <w:r w:rsidR="00277EB8" w:rsidRPr="00061D40">
        <w:t xml:space="preserve"> to become a member of an approved school system</w:t>
      </w:r>
      <w:r w:rsidRPr="00061D40">
        <w:t>.</w:t>
      </w:r>
      <w:r w:rsidR="008E5ABB" w:rsidRPr="00061D40">
        <w:t xml:space="preserve"> </w:t>
      </w:r>
      <w:r w:rsidRPr="00061D40">
        <w:t>Applicants should complete the “</w:t>
      </w:r>
      <w:r w:rsidR="00FA4808">
        <w:t xml:space="preserve">Application Form for </w:t>
      </w:r>
      <w:r w:rsidRPr="00061D40">
        <w:t xml:space="preserve">Schools </w:t>
      </w:r>
      <w:r w:rsidR="00FA4808">
        <w:t>U</w:t>
      </w:r>
      <w:r w:rsidRPr="00061D40">
        <w:t xml:space="preserve">ndertaking </w:t>
      </w:r>
      <w:r w:rsidR="00FA4808">
        <w:t>C</w:t>
      </w:r>
      <w:r w:rsidRPr="00061D40">
        <w:t>hanges</w:t>
      </w:r>
      <w:r w:rsidR="00FA4808">
        <w:t xml:space="preserve"> in Operation</w:t>
      </w:r>
      <w:r w:rsidRPr="00061D40">
        <w:t xml:space="preserve">” form available </w:t>
      </w:r>
      <w:r w:rsidR="007156E4" w:rsidRPr="00061D40">
        <w:t>at:</w:t>
      </w:r>
      <w:r w:rsidRPr="00061D40">
        <w:t xml:space="preserve"> </w:t>
      </w:r>
      <w:r w:rsidR="001D48F9" w:rsidRPr="00061D40">
        <w:br/>
      </w:r>
      <w:hyperlink r:id="rId43" w:history="1">
        <w:r w:rsidR="007006ED" w:rsidRPr="00964CF2">
          <w:rPr>
            <w:rStyle w:val="Hyperlink"/>
            <w:rFonts w:cs="Garamond"/>
          </w:rPr>
          <w:t>http://www.deewr.gov.au/Schooling/RecurrentGrants/NonGovSchools/Pages/Forms.aspx</w:t>
        </w:r>
      </w:hyperlink>
      <w:r w:rsidR="007006ED">
        <w:t>.</w:t>
      </w:r>
    </w:p>
    <w:p w14:paraId="7F48636A" w14:textId="77777777" w:rsidR="00694903" w:rsidRPr="00061D40" w:rsidRDefault="00694903" w:rsidP="0059078F">
      <w:pPr>
        <w:pStyle w:val="bodytextoutlinednumber"/>
      </w:pPr>
      <w:r w:rsidRPr="00061D40">
        <w:t xml:space="preserve">Under the </w:t>
      </w:r>
      <w:r w:rsidR="008A068C" w:rsidRPr="00061D40">
        <w:t>Act</w:t>
      </w:r>
      <w:r w:rsidRPr="00061D40">
        <w:t>, the application must:</w:t>
      </w:r>
    </w:p>
    <w:p w14:paraId="7F48636B" w14:textId="77777777" w:rsidR="00694903" w:rsidRPr="00061D40" w:rsidRDefault="00694903" w:rsidP="00313AE7">
      <w:pPr>
        <w:pStyle w:val="bodytextoutlinednumber"/>
        <w:numPr>
          <w:ilvl w:val="1"/>
          <w:numId w:val="10"/>
        </w:numPr>
      </w:pPr>
      <w:r w:rsidRPr="00061D40">
        <w:t>be in writing</w:t>
      </w:r>
    </w:p>
    <w:p w14:paraId="7F48636C" w14:textId="77777777" w:rsidR="00694903" w:rsidRPr="00061D40" w:rsidRDefault="00694903" w:rsidP="00313AE7">
      <w:pPr>
        <w:pStyle w:val="bodytextoutlinednumber"/>
        <w:numPr>
          <w:ilvl w:val="1"/>
          <w:numId w:val="10"/>
        </w:numPr>
      </w:pPr>
      <w:r w:rsidRPr="00061D40">
        <w:t>set out particulars of the school and the approved school system</w:t>
      </w:r>
    </w:p>
    <w:p w14:paraId="7F48636D" w14:textId="77777777" w:rsidR="00694903" w:rsidRPr="00061D40" w:rsidRDefault="00694903" w:rsidP="00313AE7">
      <w:pPr>
        <w:pStyle w:val="bodytextoutlinednumber"/>
        <w:numPr>
          <w:ilvl w:val="1"/>
          <w:numId w:val="10"/>
        </w:numPr>
      </w:pPr>
      <w:r w:rsidRPr="00061D40">
        <w:t>provide evidence that the approved authority of the approved school system agrees to the school becoming a member of the system</w:t>
      </w:r>
    </w:p>
    <w:p w14:paraId="7F48636E" w14:textId="77777777" w:rsidR="003B245E" w:rsidRPr="00061D40" w:rsidRDefault="003B245E" w:rsidP="00313AE7">
      <w:pPr>
        <w:pStyle w:val="bodytextoutlinednumber"/>
        <w:numPr>
          <w:ilvl w:val="1"/>
          <w:numId w:val="10"/>
        </w:numPr>
      </w:pPr>
      <w:r w:rsidRPr="00061D40">
        <w:t>state the earliest year in which the proposal is to take effect (that is, the year from which funding is sought)</w:t>
      </w:r>
    </w:p>
    <w:p w14:paraId="7F48636F" w14:textId="77777777" w:rsidR="00694903" w:rsidRPr="00061D40" w:rsidRDefault="00694903" w:rsidP="00313AE7">
      <w:pPr>
        <w:pStyle w:val="bodytextoutlinednumber"/>
        <w:numPr>
          <w:ilvl w:val="1"/>
          <w:numId w:val="10"/>
        </w:numPr>
      </w:pPr>
      <w:bookmarkStart w:id="44" w:name="_Ref214098779"/>
      <w:r w:rsidRPr="00061D40">
        <w:t>if there are any obligations of the approved authority of the school</w:t>
      </w:r>
      <w:r w:rsidR="00A06966" w:rsidRPr="00061D40">
        <w:t xml:space="preserve"> to the Commonwealth</w:t>
      </w:r>
      <w:r w:rsidRPr="00061D40">
        <w:t xml:space="preserve"> under the Act (or the previous Act) that have not been fulfilled, state whether the approved authority of the approved school system agrees to fulfil those obligations (this requirement relates in particular to the agreement the approved authority of the school will have entered into with the Commonwealth).</w:t>
      </w:r>
      <w:bookmarkEnd w:id="44"/>
      <w:r w:rsidRPr="00061D40">
        <w:t xml:space="preserve"> </w:t>
      </w:r>
    </w:p>
    <w:p w14:paraId="7F486370" w14:textId="77777777" w:rsidR="00694903" w:rsidRPr="00061D40" w:rsidRDefault="00A06966" w:rsidP="0059078F">
      <w:pPr>
        <w:pStyle w:val="bodytextoutlinednumber"/>
      </w:pPr>
      <w:r w:rsidRPr="00061D40">
        <w:t xml:space="preserve">The Commonwealth will generally require that </w:t>
      </w:r>
      <w:r w:rsidR="000945C2">
        <w:fldChar w:fldCharType="begin"/>
      </w:r>
      <w:r w:rsidR="00EB2EE2">
        <w:instrText xml:space="preserve"> REF _Ref214098779 \w \h  \* MERGEFORMAT </w:instrText>
      </w:r>
      <w:r w:rsidR="000945C2">
        <w:fldChar w:fldCharType="separate"/>
      </w:r>
      <w:r w:rsidR="000609B4">
        <w:t>78.e</w:t>
      </w:r>
      <w:r w:rsidR="000945C2">
        <w:fldChar w:fldCharType="end"/>
      </w:r>
      <w:r w:rsidR="00694903" w:rsidRPr="00061D40">
        <w:t xml:space="preserve"> </w:t>
      </w:r>
      <w:r w:rsidRPr="00061D40">
        <w:t xml:space="preserve">above </w:t>
      </w:r>
      <w:r w:rsidR="00694903" w:rsidRPr="00061D40">
        <w:t xml:space="preserve">is met by </w:t>
      </w:r>
      <w:r w:rsidRPr="00061D40">
        <w:t xml:space="preserve">entering into </w:t>
      </w:r>
      <w:r w:rsidR="00733F97" w:rsidRPr="00061D40">
        <w:t>a</w:t>
      </w:r>
      <w:r w:rsidR="00694903" w:rsidRPr="00061D40">
        <w:t xml:space="preserve"> Deed of Novation between the approved authority of the school (the existing approved authority), the approved authority of the system (the proposed approved authority) and the Commonwealth.</w:t>
      </w:r>
    </w:p>
    <w:p w14:paraId="7F486371" w14:textId="77777777" w:rsidR="00694903" w:rsidRPr="00061D40" w:rsidRDefault="00694903" w:rsidP="006455DC">
      <w:pPr>
        <w:pStyle w:val="Heading5"/>
        <w:spacing w:line="240" w:lineRule="auto"/>
      </w:pPr>
      <w:r w:rsidRPr="00061D40">
        <w:t>Proposal for a systemic school to end membersh</w:t>
      </w:r>
      <w:r w:rsidR="00161201" w:rsidRPr="00061D40">
        <w:t>ip of an approved school system</w:t>
      </w:r>
    </w:p>
    <w:p w14:paraId="7F486372" w14:textId="77777777" w:rsidR="00694903" w:rsidRPr="00061D40" w:rsidRDefault="00694903" w:rsidP="0059078F">
      <w:pPr>
        <w:pStyle w:val="bodytextoutlinednumber"/>
      </w:pPr>
      <w:r w:rsidRPr="00061D40">
        <w:t xml:space="preserve">Either the responsible body of the school or the approved authority of the system must apply to the Minister for approval of </w:t>
      </w:r>
      <w:r w:rsidR="00B21405" w:rsidRPr="00061D40">
        <w:t xml:space="preserve">a </w:t>
      </w:r>
      <w:r w:rsidRPr="00061D40">
        <w:t>proposal</w:t>
      </w:r>
      <w:r w:rsidR="00B21405" w:rsidRPr="00061D40">
        <w:t xml:space="preserve"> for a systemic school to end membership of an approved school system</w:t>
      </w:r>
      <w:r w:rsidRPr="00061D40">
        <w:t>.</w:t>
      </w:r>
      <w:r w:rsidR="008E5ABB" w:rsidRPr="00061D40">
        <w:t xml:space="preserve"> </w:t>
      </w:r>
      <w:r w:rsidRPr="00061D40">
        <w:t>The responsible body should have the power, control or management of the school.</w:t>
      </w:r>
      <w:r w:rsidR="008E5ABB" w:rsidRPr="00061D40">
        <w:t xml:space="preserve"> </w:t>
      </w:r>
      <w:r w:rsidRPr="00061D40">
        <w:t>This could be satisfied, for example, by evidence showing that the approved authority of the system has transferred ownership of the school to the new body, or if this is not the case, the new body has management or control of the school and has a secure long term right to use the school buildings.</w:t>
      </w:r>
    </w:p>
    <w:p w14:paraId="7F486373" w14:textId="77777777" w:rsidR="007006ED" w:rsidRDefault="00694903" w:rsidP="0059078F">
      <w:pPr>
        <w:pStyle w:val="bodytextoutlinednumber"/>
      </w:pPr>
      <w:bookmarkStart w:id="45" w:name="OLE_LINK1"/>
      <w:bookmarkStart w:id="46" w:name="OLE_LINK2"/>
      <w:r w:rsidRPr="00061D40">
        <w:t>Applicants should complete the “</w:t>
      </w:r>
      <w:r w:rsidR="00FA4808">
        <w:t xml:space="preserve">Application Form for </w:t>
      </w:r>
      <w:r w:rsidR="00FA4808" w:rsidRPr="00061D40">
        <w:t xml:space="preserve">Schools </w:t>
      </w:r>
      <w:r w:rsidR="00FA4808">
        <w:t>U</w:t>
      </w:r>
      <w:r w:rsidR="00FA4808" w:rsidRPr="00061D40">
        <w:t xml:space="preserve">ndertaking </w:t>
      </w:r>
      <w:r w:rsidR="00FA4808">
        <w:t>C</w:t>
      </w:r>
      <w:r w:rsidR="00FA4808" w:rsidRPr="00061D40">
        <w:t>hanges</w:t>
      </w:r>
      <w:r w:rsidR="00FA4808">
        <w:t xml:space="preserve"> in Operation</w:t>
      </w:r>
      <w:r w:rsidRPr="00061D40">
        <w:t>” form available</w:t>
      </w:r>
      <w:r w:rsidR="00C50257" w:rsidRPr="00061D40">
        <w:t xml:space="preserve"> </w:t>
      </w:r>
      <w:r w:rsidR="005A6419" w:rsidRPr="00061D40">
        <w:t>at:</w:t>
      </w:r>
      <w:r w:rsidR="00630805" w:rsidRPr="00061D40">
        <w:t xml:space="preserve"> </w:t>
      </w:r>
      <w:hyperlink r:id="rId44" w:history="1">
        <w:r w:rsidR="007006ED" w:rsidRPr="00964CF2">
          <w:rPr>
            <w:rStyle w:val="Hyperlink"/>
            <w:rFonts w:cs="Garamond"/>
          </w:rPr>
          <w:t>http://www.deewr.gov.au/Schooling/RecurrentGrants/NonGovSchools/Pages/Forms.aspx</w:t>
        </w:r>
      </w:hyperlink>
      <w:r w:rsidR="007006ED">
        <w:t>.</w:t>
      </w:r>
    </w:p>
    <w:p w14:paraId="7F486374" w14:textId="77777777" w:rsidR="00694903" w:rsidRPr="00061D40" w:rsidRDefault="00694903" w:rsidP="0059078F">
      <w:pPr>
        <w:pStyle w:val="bodytextoutlinednumber"/>
      </w:pPr>
      <w:r w:rsidRPr="00061D40">
        <w:t xml:space="preserve">Under the </w:t>
      </w:r>
      <w:r w:rsidR="005A6419" w:rsidRPr="00061D40">
        <w:t>Act</w:t>
      </w:r>
      <w:r w:rsidRPr="00061D40">
        <w:t>, the application must:</w:t>
      </w:r>
      <w:bookmarkEnd w:id="45"/>
      <w:bookmarkEnd w:id="46"/>
    </w:p>
    <w:p w14:paraId="7F486375" w14:textId="77777777" w:rsidR="00694903" w:rsidRPr="00061D40" w:rsidRDefault="00694903" w:rsidP="00313AE7">
      <w:pPr>
        <w:pStyle w:val="bodytextoutlinednumber"/>
        <w:numPr>
          <w:ilvl w:val="1"/>
          <w:numId w:val="10"/>
        </w:numPr>
      </w:pPr>
      <w:r w:rsidRPr="00061D40">
        <w:t>be in writing</w:t>
      </w:r>
    </w:p>
    <w:p w14:paraId="7F486376" w14:textId="77777777" w:rsidR="00694903" w:rsidRPr="00061D40" w:rsidRDefault="00694903" w:rsidP="00313AE7">
      <w:pPr>
        <w:pStyle w:val="bodytextoutlinednumber"/>
        <w:numPr>
          <w:ilvl w:val="1"/>
          <w:numId w:val="10"/>
        </w:numPr>
      </w:pPr>
      <w:r w:rsidRPr="00061D40">
        <w:t>set out particulars of the school and the responsible body</w:t>
      </w:r>
    </w:p>
    <w:p w14:paraId="7F486377" w14:textId="77777777" w:rsidR="00694903" w:rsidRPr="00061D40" w:rsidRDefault="00694903" w:rsidP="00313AE7">
      <w:pPr>
        <w:pStyle w:val="bodytextoutlinednumber"/>
        <w:numPr>
          <w:ilvl w:val="1"/>
          <w:numId w:val="10"/>
        </w:numPr>
      </w:pPr>
      <w:r w:rsidRPr="00061D40">
        <w:t>provide evidence the approved authority of the approved school system agrees to the school ending membership of the system</w:t>
      </w:r>
    </w:p>
    <w:p w14:paraId="7F486378" w14:textId="77777777" w:rsidR="00694903" w:rsidRPr="00061D40" w:rsidRDefault="00694903" w:rsidP="00313AE7">
      <w:pPr>
        <w:pStyle w:val="bodytextoutlinednumber"/>
        <w:numPr>
          <w:ilvl w:val="1"/>
          <w:numId w:val="10"/>
        </w:numPr>
      </w:pPr>
      <w:r w:rsidRPr="00061D40">
        <w:lastRenderedPageBreak/>
        <w:t>state the earliest year in which the proposal is to take effect (that is, the year from which funding is sought)</w:t>
      </w:r>
    </w:p>
    <w:p w14:paraId="7F486379" w14:textId="77777777" w:rsidR="00694903" w:rsidRPr="00061D40" w:rsidRDefault="00694903" w:rsidP="00313AE7">
      <w:pPr>
        <w:pStyle w:val="bodytextoutlinednumber"/>
        <w:numPr>
          <w:ilvl w:val="1"/>
          <w:numId w:val="10"/>
        </w:numPr>
      </w:pPr>
      <w:bookmarkStart w:id="47" w:name="_Ref214098881"/>
      <w:r w:rsidRPr="00061D40">
        <w:t>if there are any obligations of the approved authority of the approved school system under the Act (or the previous Act) in relation to the school that have not been fulfilled, state whether the new body that is to be principally responsible for the school agrees to fulfil those obligations (this requirement relates in particular to the agreement the approved authority of the system will have entered into with the Commonwealth)</w:t>
      </w:r>
      <w:bookmarkEnd w:id="47"/>
      <w:r w:rsidR="00247E96" w:rsidRPr="00061D40">
        <w:t>.</w:t>
      </w:r>
    </w:p>
    <w:p w14:paraId="7F48637A" w14:textId="77777777" w:rsidR="00694903" w:rsidRPr="00061D40" w:rsidRDefault="00733F97" w:rsidP="0059078F">
      <w:pPr>
        <w:pStyle w:val="bodytextoutlinednumber"/>
      </w:pPr>
      <w:r w:rsidRPr="00061D40">
        <w:t>The Commonwealth will generally require that</w:t>
      </w:r>
      <w:r w:rsidR="00694903" w:rsidRPr="00061D40">
        <w:t xml:space="preserve"> </w:t>
      </w:r>
      <w:r w:rsidR="000945C2">
        <w:fldChar w:fldCharType="begin"/>
      </w:r>
      <w:r w:rsidR="00EB2EE2">
        <w:instrText xml:space="preserve"> REF _Ref214098881 \w \h  \* MERGEFORMAT </w:instrText>
      </w:r>
      <w:r w:rsidR="000945C2">
        <w:fldChar w:fldCharType="separate"/>
      </w:r>
      <w:r w:rsidR="000609B4">
        <w:t>82.e</w:t>
      </w:r>
      <w:r w:rsidR="000945C2">
        <w:fldChar w:fldCharType="end"/>
      </w:r>
      <w:r w:rsidR="00694903" w:rsidRPr="00061D40">
        <w:t xml:space="preserve"> </w:t>
      </w:r>
      <w:r w:rsidRPr="00061D40">
        <w:t xml:space="preserve">above </w:t>
      </w:r>
      <w:r w:rsidR="00694903" w:rsidRPr="00061D40">
        <w:t xml:space="preserve">is met by </w:t>
      </w:r>
      <w:r w:rsidRPr="00061D40">
        <w:t>entering into</w:t>
      </w:r>
      <w:r w:rsidR="00694903" w:rsidRPr="00061D40">
        <w:t xml:space="preserve"> a Deed of Novation between the approved authority of the school (the proposed approved authority), the approved authority of the system (the existing approved authority) and the Commonwealth.</w:t>
      </w:r>
    </w:p>
    <w:p w14:paraId="7F48637B" w14:textId="77777777" w:rsidR="00D32016" w:rsidRDefault="00694903">
      <w:pPr>
        <w:pStyle w:val="Heading4"/>
      </w:pPr>
      <w:r w:rsidRPr="00061D40">
        <w:t>Change of Approved Authority</w:t>
      </w:r>
    </w:p>
    <w:p w14:paraId="7F48637C" w14:textId="77777777" w:rsidR="00694903" w:rsidRPr="00061D40" w:rsidRDefault="00694903" w:rsidP="0059078F">
      <w:pPr>
        <w:pStyle w:val="bodytextoutlinednumber"/>
      </w:pPr>
      <w:r w:rsidRPr="00061D40">
        <w:t xml:space="preserve">Either the responsible body of the school or the approved authority of the system must apply to the Minister for approval of </w:t>
      </w:r>
      <w:r w:rsidR="00C71E82" w:rsidRPr="00061D40">
        <w:t xml:space="preserve">a </w:t>
      </w:r>
      <w:r w:rsidRPr="00061D40">
        <w:t>proposal</w:t>
      </w:r>
      <w:r w:rsidR="00C71E82" w:rsidRPr="00061D40">
        <w:t xml:space="preserve"> for change of approved authority</w:t>
      </w:r>
      <w:r w:rsidRPr="00061D40">
        <w:t>.</w:t>
      </w:r>
      <w:r w:rsidR="008E5ABB" w:rsidRPr="00061D40">
        <w:t xml:space="preserve"> </w:t>
      </w:r>
      <w:r w:rsidRPr="00061D40">
        <w:t>The responsible body should have the power, control or management of the school.</w:t>
      </w:r>
      <w:r w:rsidR="008E5ABB" w:rsidRPr="00061D40">
        <w:t xml:space="preserve"> </w:t>
      </w:r>
      <w:r w:rsidRPr="00061D40">
        <w:t>This could be satisfied, for example, by evidence showing that the approved authority of the system has transferred ownership of the school to the new body, or if this is not the case, the new body has management or control of the school and has a secure long term right to use the school buildings.</w:t>
      </w:r>
    </w:p>
    <w:p w14:paraId="7F48637D" w14:textId="77777777" w:rsidR="00CB68DF" w:rsidRDefault="00694903" w:rsidP="0059078F">
      <w:pPr>
        <w:pStyle w:val="bodytextoutlinednumber"/>
      </w:pPr>
      <w:r w:rsidRPr="00061D40">
        <w:t>Applicants should complete the “</w:t>
      </w:r>
      <w:r w:rsidR="00FA4808">
        <w:t xml:space="preserve">Application Form for </w:t>
      </w:r>
      <w:r w:rsidR="00FA4808" w:rsidRPr="00061D40">
        <w:t xml:space="preserve">Schools </w:t>
      </w:r>
      <w:r w:rsidR="00FA4808">
        <w:t>U</w:t>
      </w:r>
      <w:r w:rsidR="00FA4808" w:rsidRPr="00061D40">
        <w:t xml:space="preserve">ndertaking </w:t>
      </w:r>
      <w:r w:rsidR="00FA4808">
        <w:t>C</w:t>
      </w:r>
      <w:r w:rsidR="00FA4808" w:rsidRPr="00061D40">
        <w:t>hanges</w:t>
      </w:r>
      <w:r w:rsidR="00FA4808">
        <w:t xml:space="preserve"> in Operation</w:t>
      </w:r>
      <w:r w:rsidRPr="00061D40">
        <w:t xml:space="preserve">” form available </w:t>
      </w:r>
      <w:r w:rsidR="00F8136A" w:rsidRPr="00061D40">
        <w:t>at</w:t>
      </w:r>
      <w:r w:rsidR="00C86CF2" w:rsidRPr="00061D40">
        <w:t>:</w:t>
      </w:r>
      <w:r w:rsidRPr="00061D40">
        <w:t xml:space="preserve"> </w:t>
      </w:r>
      <w:hyperlink r:id="rId45" w:history="1">
        <w:r w:rsidR="00CB68DF" w:rsidRPr="00964CF2">
          <w:rPr>
            <w:rStyle w:val="Hyperlink"/>
            <w:rFonts w:cs="Garamond"/>
          </w:rPr>
          <w:t>http://www.deewr.gov.au/Schooling/RecurrentGrants/NonGovSchools/Pages/Forms.aspx</w:t>
        </w:r>
      </w:hyperlink>
      <w:r w:rsidR="00CB68DF">
        <w:t>.</w:t>
      </w:r>
    </w:p>
    <w:p w14:paraId="7F48637E" w14:textId="77777777" w:rsidR="00694903" w:rsidRPr="00061D40" w:rsidRDefault="00694903" w:rsidP="0059078F">
      <w:pPr>
        <w:pStyle w:val="bodytextoutlinednumber"/>
      </w:pPr>
      <w:r w:rsidRPr="00061D40">
        <w:t xml:space="preserve">Under the </w:t>
      </w:r>
      <w:r w:rsidR="001E165B" w:rsidRPr="00061D40">
        <w:t>Act</w:t>
      </w:r>
      <w:r w:rsidRPr="00061D40">
        <w:t>, the application must:</w:t>
      </w:r>
    </w:p>
    <w:p w14:paraId="7F48637F" w14:textId="77777777" w:rsidR="00694903" w:rsidRPr="00061D40" w:rsidRDefault="00694903" w:rsidP="00313AE7">
      <w:pPr>
        <w:pStyle w:val="bodytextoutlinednumber"/>
        <w:numPr>
          <w:ilvl w:val="1"/>
          <w:numId w:val="10"/>
        </w:numPr>
      </w:pPr>
      <w:r w:rsidRPr="00061D40">
        <w:t>be in writing</w:t>
      </w:r>
    </w:p>
    <w:p w14:paraId="7F486380" w14:textId="77777777" w:rsidR="00694903" w:rsidRPr="00061D40" w:rsidRDefault="00694903" w:rsidP="00313AE7">
      <w:pPr>
        <w:pStyle w:val="bodytextoutlinednumber"/>
        <w:numPr>
          <w:ilvl w:val="1"/>
          <w:numId w:val="10"/>
        </w:numPr>
      </w:pPr>
      <w:r w:rsidRPr="00061D40">
        <w:t>set out particulars of the school or system and the proposed body</w:t>
      </w:r>
    </w:p>
    <w:p w14:paraId="7F486381" w14:textId="77777777" w:rsidR="00694903" w:rsidRPr="00061D40" w:rsidRDefault="00694903" w:rsidP="00313AE7">
      <w:pPr>
        <w:pStyle w:val="bodytextoutlinednumber"/>
        <w:numPr>
          <w:ilvl w:val="1"/>
          <w:numId w:val="10"/>
        </w:numPr>
      </w:pPr>
      <w:r w:rsidRPr="00061D40">
        <w:t>state the earliest year in which the proposal is to take effect (that is, the year from which funding is sought)</w:t>
      </w:r>
    </w:p>
    <w:p w14:paraId="7F486382" w14:textId="77777777" w:rsidR="00694903" w:rsidRPr="00061D40" w:rsidRDefault="00694903" w:rsidP="00313AE7">
      <w:pPr>
        <w:pStyle w:val="bodytextoutlinednumber"/>
        <w:numPr>
          <w:ilvl w:val="1"/>
          <w:numId w:val="10"/>
        </w:numPr>
      </w:pPr>
      <w:bookmarkStart w:id="48" w:name="_Ref214098943"/>
      <w:r w:rsidRPr="00061D40">
        <w:t>if there are any obligations of the approved authority of the school under the Act (or the previous Act) that have not been fulfilled, state whether the approved authority of the school agrees to fulfil those obligations (this requirement relates in particular to the agreement the approved authority of the school will have entered into with the Commonwealth).</w:t>
      </w:r>
      <w:bookmarkEnd w:id="48"/>
    </w:p>
    <w:p w14:paraId="7F486383" w14:textId="77777777" w:rsidR="00694903" w:rsidRPr="00061D40" w:rsidRDefault="00733F97" w:rsidP="0059078F">
      <w:pPr>
        <w:pStyle w:val="bodytextoutlinednumber"/>
      </w:pPr>
      <w:r w:rsidRPr="00061D40">
        <w:t xml:space="preserve">The Commonwealth will generally require that </w:t>
      </w:r>
      <w:r w:rsidR="000945C2">
        <w:fldChar w:fldCharType="begin"/>
      </w:r>
      <w:r w:rsidR="00EB2EE2">
        <w:instrText xml:space="preserve"> REF _Ref214098943 \w \h  \* MERGEFORMAT </w:instrText>
      </w:r>
      <w:r w:rsidR="000945C2">
        <w:fldChar w:fldCharType="separate"/>
      </w:r>
      <w:r w:rsidR="000609B4">
        <w:t>86.d</w:t>
      </w:r>
      <w:r w:rsidR="000945C2">
        <w:fldChar w:fldCharType="end"/>
      </w:r>
      <w:r w:rsidRPr="00061D40">
        <w:t xml:space="preserve"> above is met by entering into a Deed of Novation between the approved authority of the school (the proposed approved authority), the approved authority of the system (the existing approved authority) and the Commonwealth.</w:t>
      </w:r>
    </w:p>
    <w:p w14:paraId="7F486384" w14:textId="77777777" w:rsidR="006B2909" w:rsidRDefault="006B2909">
      <w:pPr>
        <w:spacing w:before="0" w:line="240" w:lineRule="auto"/>
        <w:rPr>
          <w:rFonts w:cs="Arial Narrow"/>
          <w:b/>
          <w:bCs/>
          <w:color w:val="165788"/>
          <w:sz w:val="32"/>
          <w:szCs w:val="32"/>
          <w:lang w:val="en-GB"/>
        </w:rPr>
      </w:pPr>
      <w:bookmarkStart w:id="49" w:name="_Toc246483040"/>
      <w:r>
        <w:br w:type="page"/>
      </w:r>
    </w:p>
    <w:p w14:paraId="7F486385" w14:textId="77777777" w:rsidR="00D32016" w:rsidRDefault="00694903">
      <w:pPr>
        <w:pStyle w:val="Heading3"/>
      </w:pPr>
      <w:r w:rsidRPr="00061D40">
        <w:lastRenderedPageBreak/>
        <w:t>Assessment</w:t>
      </w:r>
      <w:bookmarkEnd w:id="49"/>
      <w:r w:rsidRPr="00061D40">
        <w:t xml:space="preserve"> </w:t>
      </w:r>
    </w:p>
    <w:p w14:paraId="7F486386" w14:textId="77777777" w:rsidR="00D32016" w:rsidRDefault="00EA1C15">
      <w:pPr>
        <w:pStyle w:val="Heading4"/>
      </w:pPr>
      <w:r w:rsidRPr="00061D40">
        <w:t xml:space="preserve">SES Funding Levels </w:t>
      </w:r>
    </w:p>
    <w:p w14:paraId="7F486387" w14:textId="77777777" w:rsidR="00EA1C15" w:rsidRPr="00061D40" w:rsidRDefault="00EA1C15" w:rsidP="0059078F">
      <w:pPr>
        <w:pStyle w:val="bodytextoutlinednumber"/>
      </w:pPr>
      <w:r w:rsidRPr="00061D40">
        <w:t xml:space="preserve">Non-government schools’ funding entitlements are assessed according to the </w:t>
      </w:r>
      <w:r w:rsidR="00E306A1" w:rsidRPr="00061D40">
        <w:t>SES</w:t>
      </w:r>
      <w:r w:rsidRPr="00061D40">
        <w:t xml:space="preserve"> of their school community.</w:t>
      </w:r>
      <w:r w:rsidR="008E5ABB" w:rsidRPr="00061D40">
        <w:t xml:space="preserve"> </w:t>
      </w:r>
      <w:r w:rsidRPr="00061D40">
        <w:t xml:space="preserve">A table of SES scores and the applicable current SES funding level as a percentage of the AGSRC amounts is at Table </w:t>
      </w:r>
      <w:r w:rsidR="00247E96" w:rsidRPr="00061D40">
        <w:t>H.</w:t>
      </w:r>
      <w:r w:rsidR="00B30AC7">
        <w:t>5</w:t>
      </w:r>
      <w:r w:rsidR="00247E96" w:rsidRPr="00061D40">
        <w:t xml:space="preserve"> in </w:t>
      </w:r>
      <w:hyperlink w:anchor="_Appendix_H:_Funding" w:history="1">
        <w:r w:rsidR="00247E96" w:rsidRPr="00061D40">
          <w:rPr>
            <w:rStyle w:val="Hyperlink"/>
            <w:rFonts w:cs="Garamond"/>
          </w:rPr>
          <w:t>Appendix H</w:t>
        </w:r>
      </w:hyperlink>
      <w:r w:rsidRPr="00061D40">
        <w:t>.</w:t>
      </w:r>
    </w:p>
    <w:p w14:paraId="7F486388" w14:textId="77777777" w:rsidR="00EA1C15" w:rsidRPr="00061D40" w:rsidRDefault="00EA1C15" w:rsidP="0059078F">
      <w:pPr>
        <w:pStyle w:val="bodytextoutlinednumber"/>
      </w:pPr>
      <w:r w:rsidRPr="00061D40">
        <w:t>The funding of school systems is based on the aggregate entitlement of their constituent member schools.</w:t>
      </w:r>
      <w:r w:rsidR="008E5ABB" w:rsidRPr="00061D40">
        <w:t xml:space="preserve"> </w:t>
      </w:r>
    </w:p>
    <w:p w14:paraId="7F486389" w14:textId="77777777" w:rsidR="00EA1C15" w:rsidRPr="00061D40" w:rsidRDefault="00EA1C15" w:rsidP="0059078F">
      <w:pPr>
        <w:pStyle w:val="bodytextoutlinednumber"/>
      </w:pPr>
      <w:r w:rsidRPr="00061D40">
        <w:t>For 2009-201</w:t>
      </w:r>
      <w:r w:rsidR="003F4F2B">
        <w:t>3</w:t>
      </w:r>
      <w:r w:rsidRPr="00061D40">
        <w:t>, the following arrangements apply:</w:t>
      </w:r>
    </w:p>
    <w:p w14:paraId="7F48638A" w14:textId="77777777" w:rsidR="00EA1C15" w:rsidRPr="00061D40" w:rsidRDefault="00EA2178" w:rsidP="00313AE7">
      <w:pPr>
        <w:pStyle w:val="bodytextoutlinednumber"/>
        <w:numPr>
          <w:ilvl w:val="1"/>
          <w:numId w:val="10"/>
        </w:numPr>
      </w:pPr>
      <w:r w:rsidRPr="00061D40">
        <w:t xml:space="preserve">schools </w:t>
      </w:r>
      <w:r w:rsidR="00EA1C15" w:rsidRPr="00061D40">
        <w:t>with a 2009-201</w:t>
      </w:r>
      <w:r w:rsidR="003F4F2B">
        <w:t>3</w:t>
      </w:r>
      <w:r w:rsidR="00EA1C15" w:rsidRPr="00061D40">
        <w:t xml:space="preserve"> score that is the same as their score for 2005-2008 continue to receive per capita funding entitlements at the same rate of AGSRC</w:t>
      </w:r>
    </w:p>
    <w:p w14:paraId="7F48638B" w14:textId="77777777" w:rsidR="00EA1C15" w:rsidRPr="00061D40" w:rsidRDefault="00EA2178" w:rsidP="00313AE7">
      <w:pPr>
        <w:pStyle w:val="bodytextoutlinednumber"/>
        <w:numPr>
          <w:ilvl w:val="1"/>
          <w:numId w:val="10"/>
        </w:numPr>
      </w:pPr>
      <w:r w:rsidRPr="00061D40">
        <w:t xml:space="preserve">schools </w:t>
      </w:r>
      <w:r w:rsidR="00EA1C15" w:rsidRPr="00061D40">
        <w:t>with a 2009-201</w:t>
      </w:r>
      <w:r w:rsidR="003F4F2B">
        <w:t>3</w:t>
      </w:r>
      <w:r w:rsidR="00EA1C15" w:rsidRPr="00061D40">
        <w:t xml:space="preserve"> SES score that is lower than their 2005-2008 score attract a higher per capita funding rate from 2009 unless the school continues to be funding maintained or is already in receipt of maximum funding</w:t>
      </w:r>
      <w:r w:rsidR="00696121" w:rsidRPr="00061D40">
        <w:t xml:space="preserve"> (Part 4, Division 4 of the Act)</w:t>
      </w:r>
    </w:p>
    <w:p w14:paraId="7F48638C" w14:textId="77777777" w:rsidR="00EA1C15" w:rsidRPr="00061D40" w:rsidRDefault="00EA2178" w:rsidP="00313AE7">
      <w:pPr>
        <w:pStyle w:val="bodytextoutlinednumber"/>
        <w:numPr>
          <w:ilvl w:val="1"/>
          <w:numId w:val="10"/>
        </w:numPr>
      </w:pPr>
      <w:r w:rsidRPr="00061D40">
        <w:t xml:space="preserve">schools </w:t>
      </w:r>
      <w:r w:rsidR="00EA1C15" w:rsidRPr="00061D40">
        <w:t>that were funding maintained for 2005-2008, continue to be funding maintained for 2009-201</w:t>
      </w:r>
      <w:r w:rsidR="003F4F2B">
        <w:t>3</w:t>
      </w:r>
      <w:r w:rsidR="00EA1C15" w:rsidRPr="00061D40">
        <w:t xml:space="preserve"> unless their 2009-201</w:t>
      </w:r>
      <w:r w:rsidR="003F4F2B">
        <w:t>3</w:t>
      </w:r>
      <w:r w:rsidR="00EA1C15" w:rsidRPr="00061D40">
        <w:t xml:space="preserve"> SES score results in increased overall funding for the school</w:t>
      </w:r>
    </w:p>
    <w:p w14:paraId="7F48638D" w14:textId="77777777" w:rsidR="00EA1C15" w:rsidRPr="00061D40" w:rsidRDefault="00EA2178" w:rsidP="00313AE7">
      <w:pPr>
        <w:pStyle w:val="bodytextoutlinednumber"/>
        <w:numPr>
          <w:ilvl w:val="1"/>
          <w:numId w:val="10"/>
        </w:numPr>
      </w:pPr>
      <w:r w:rsidRPr="00061D40">
        <w:t xml:space="preserve">schools </w:t>
      </w:r>
      <w:r w:rsidR="00EA1C15" w:rsidRPr="00061D40">
        <w:t>with a 2009-201</w:t>
      </w:r>
      <w:r w:rsidR="003F4F2B">
        <w:t>3</w:t>
      </w:r>
      <w:r w:rsidR="00EA1C15" w:rsidRPr="00061D40">
        <w:t xml:space="preserve"> SES score that is higher than their 2005-2008 score have </w:t>
      </w:r>
      <w:r w:rsidR="00FC565D" w:rsidRPr="00061D40">
        <w:t xml:space="preserve">had </w:t>
      </w:r>
      <w:r w:rsidR="00EA1C15" w:rsidRPr="00061D40">
        <w:t>their 2008 per capita dollar amounts guaranteed (or frozen) until annual supplementation brings the value of the 2009-201</w:t>
      </w:r>
      <w:r w:rsidR="003F4F2B">
        <w:t>3</w:t>
      </w:r>
      <w:r w:rsidR="00EA1C15" w:rsidRPr="00061D40">
        <w:t xml:space="preserve"> SES score equal to, or greater than, their 2008 per capita entitlements unless the school continues to be funding maintained or is already in receipt of maximum funding.</w:t>
      </w:r>
    </w:p>
    <w:p w14:paraId="7F48638E" w14:textId="77777777" w:rsidR="00D32016" w:rsidRDefault="00EA1C15">
      <w:pPr>
        <w:pStyle w:val="Heading4"/>
      </w:pPr>
      <w:r w:rsidRPr="00061D40">
        <w:t xml:space="preserve">Maximum SES Funding </w:t>
      </w:r>
    </w:p>
    <w:p w14:paraId="7F48638F" w14:textId="77777777" w:rsidR="00EA1C15" w:rsidRPr="00061D40" w:rsidRDefault="00EA1C15" w:rsidP="0059078F">
      <w:pPr>
        <w:pStyle w:val="bodytextoutlinednumber"/>
      </w:pPr>
      <w:r w:rsidRPr="00061D40">
        <w:rPr>
          <w:rStyle w:val="bodytextoutlinednumberCharChar"/>
        </w:rPr>
        <w:t>A non-government school may receive maximum SES funding without regard to an SES score</w:t>
      </w:r>
      <w:r w:rsidRPr="00061D40">
        <w:t xml:space="preserve"> if it is a:</w:t>
      </w:r>
    </w:p>
    <w:p w14:paraId="7F486390" w14:textId="77777777" w:rsidR="00EA1C15" w:rsidRPr="00061D40" w:rsidRDefault="00EA1C15" w:rsidP="00313AE7">
      <w:pPr>
        <w:pStyle w:val="bodytextoutlinednumber"/>
        <w:numPr>
          <w:ilvl w:val="1"/>
          <w:numId w:val="10"/>
        </w:numPr>
      </w:pPr>
      <w:r w:rsidRPr="00061D40">
        <w:t>Special School</w:t>
      </w:r>
    </w:p>
    <w:p w14:paraId="7F486391" w14:textId="77777777" w:rsidR="00EA2178" w:rsidRPr="00061D40" w:rsidRDefault="00EA1C15" w:rsidP="00313AE7">
      <w:pPr>
        <w:pStyle w:val="bodytextoutlinednumber"/>
        <w:numPr>
          <w:ilvl w:val="1"/>
          <w:numId w:val="10"/>
        </w:numPr>
      </w:pPr>
      <w:r w:rsidRPr="00061D40">
        <w:t>Special Assistance School</w:t>
      </w:r>
    </w:p>
    <w:p w14:paraId="7F486392" w14:textId="77777777" w:rsidR="00EA1C15" w:rsidRPr="00061D40" w:rsidRDefault="00EA1C15" w:rsidP="00AA2BE3">
      <w:pPr>
        <w:pStyle w:val="NumberedParagraph"/>
        <w:spacing w:before="100" w:after="0" w:line="240" w:lineRule="auto"/>
        <w:ind w:left="851"/>
      </w:pPr>
      <w:r w:rsidRPr="00061D40">
        <w:t>or</w:t>
      </w:r>
    </w:p>
    <w:p w14:paraId="7F486393" w14:textId="77777777" w:rsidR="00EA1C15" w:rsidRPr="00061D40" w:rsidRDefault="00EA1C15" w:rsidP="00313AE7">
      <w:pPr>
        <w:pStyle w:val="bodytextoutlinednumber"/>
        <w:numPr>
          <w:ilvl w:val="1"/>
          <w:numId w:val="10"/>
        </w:numPr>
      </w:pPr>
      <w:r w:rsidRPr="00061D40">
        <w:t>Majority Indigenous Student School.</w:t>
      </w:r>
    </w:p>
    <w:p w14:paraId="7F486394" w14:textId="77777777" w:rsidR="00D32016" w:rsidRDefault="00EA1C15">
      <w:pPr>
        <w:pStyle w:val="Heading4"/>
      </w:pPr>
      <w:r w:rsidRPr="00061D40">
        <w:t xml:space="preserve">Special School Payments </w:t>
      </w:r>
    </w:p>
    <w:p w14:paraId="7F486395" w14:textId="77777777" w:rsidR="00EA1C15" w:rsidRPr="00061D40" w:rsidRDefault="00EA1C15" w:rsidP="0059078F">
      <w:pPr>
        <w:pStyle w:val="bodytextoutlinednumber"/>
      </w:pPr>
      <w:r w:rsidRPr="00061D40">
        <w:t>Non-government Special Schools have an SES funding level of 70</w:t>
      </w:r>
      <w:r w:rsidR="00327C42" w:rsidRPr="00061D40">
        <w:t xml:space="preserve"> per cent </w:t>
      </w:r>
      <w:r w:rsidRPr="00061D40">
        <w:t xml:space="preserve">of the relevant AGSRC </w:t>
      </w:r>
      <w:r w:rsidR="00593FEE" w:rsidRPr="00061D40">
        <w:t>a</w:t>
      </w:r>
      <w:r w:rsidRPr="00061D40">
        <w:t xml:space="preserve">mount which is the highest funding level (see Table </w:t>
      </w:r>
      <w:r w:rsidR="00AB173B" w:rsidRPr="00061D40">
        <w:t>H.</w:t>
      </w:r>
      <w:r w:rsidR="00B30AC7">
        <w:t>5</w:t>
      </w:r>
      <w:r w:rsidR="00AB173B" w:rsidRPr="00061D40">
        <w:t xml:space="preserve"> in </w:t>
      </w:r>
      <w:hyperlink w:anchor="_Appendix_H:_Funding" w:history="1">
        <w:r w:rsidR="00AB173B" w:rsidRPr="00061D40">
          <w:rPr>
            <w:rStyle w:val="Hyperlink"/>
            <w:rFonts w:cs="Garamond"/>
          </w:rPr>
          <w:t>Appendix H</w:t>
        </w:r>
        <w:r w:rsidRPr="00061D40">
          <w:rPr>
            <w:rStyle w:val="Hyperlink"/>
            <w:rFonts w:cs="Garamond"/>
          </w:rPr>
          <w:t>)</w:t>
        </w:r>
      </w:hyperlink>
      <w:r w:rsidRPr="00061D40">
        <w:t>.</w:t>
      </w:r>
      <w:r w:rsidR="008E5ABB" w:rsidRPr="00061D40">
        <w:t xml:space="preserve"> </w:t>
      </w:r>
      <w:r w:rsidRPr="00061D40">
        <w:t>The following conditions apply:</w:t>
      </w:r>
    </w:p>
    <w:p w14:paraId="7F486396" w14:textId="77777777" w:rsidR="00EA1C15" w:rsidRPr="00061D40" w:rsidRDefault="00EA2178" w:rsidP="00313AE7">
      <w:pPr>
        <w:pStyle w:val="bodytextoutlinednumber"/>
        <w:numPr>
          <w:ilvl w:val="1"/>
          <w:numId w:val="10"/>
        </w:numPr>
        <w:spacing w:after="150"/>
      </w:pPr>
      <w:r w:rsidRPr="00061D40">
        <w:t xml:space="preserve">students </w:t>
      </w:r>
      <w:r w:rsidR="00215C32" w:rsidRPr="00061D40">
        <w:t>aged</w:t>
      </w:r>
      <w:r w:rsidR="00EA1C15" w:rsidRPr="00061D40">
        <w:t xml:space="preserve"> 4-11 on 1 July of the current program year will attract a grant at the primary rate</w:t>
      </w:r>
    </w:p>
    <w:p w14:paraId="7F486397" w14:textId="77777777" w:rsidR="00EA1C15" w:rsidRPr="00061D40" w:rsidRDefault="00EA2178" w:rsidP="00313AE7">
      <w:pPr>
        <w:pStyle w:val="bodytextoutlinednumber"/>
        <w:numPr>
          <w:ilvl w:val="1"/>
          <w:numId w:val="10"/>
        </w:numPr>
      </w:pPr>
      <w:r w:rsidRPr="00061D40">
        <w:t xml:space="preserve">students </w:t>
      </w:r>
      <w:r w:rsidR="00215C32" w:rsidRPr="00061D40">
        <w:t>aged</w:t>
      </w:r>
      <w:r w:rsidR="00EA1C15" w:rsidRPr="00061D40">
        <w:t xml:space="preserve"> 12-21 years on 1 July of the current program year will attract a grant at the secondary rate.</w:t>
      </w:r>
    </w:p>
    <w:p w14:paraId="7F486398" w14:textId="77777777" w:rsidR="00D32016" w:rsidRDefault="00EA1C15">
      <w:pPr>
        <w:pStyle w:val="Heading4"/>
      </w:pPr>
      <w:r w:rsidRPr="00061D40">
        <w:lastRenderedPageBreak/>
        <w:t>Special Assistance School Payments</w:t>
      </w:r>
    </w:p>
    <w:p w14:paraId="7F486399" w14:textId="77777777" w:rsidR="00EA1C15" w:rsidRPr="00061D40" w:rsidRDefault="00EA1C15" w:rsidP="0059078F">
      <w:pPr>
        <w:pStyle w:val="bodytextoutlinednumber"/>
      </w:pPr>
      <w:r w:rsidRPr="00061D40">
        <w:t>Non-government Special Assistance Schools have an SES funding level of 70</w:t>
      </w:r>
      <w:r w:rsidR="00327C42" w:rsidRPr="00061D40">
        <w:t xml:space="preserve"> per cent </w:t>
      </w:r>
      <w:r w:rsidRPr="00061D40">
        <w:t>of the relevant AGSRC amount which is the highest funding level.</w:t>
      </w:r>
    </w:p>
    <w:p w14:paraId="7F48639A" w14:textId="77777777" w:rsidR="00D32016" w:rsidRDefault="00EA1C15">
      <w:pPr>
        <w:pStyle w:val="Heading4"/>
      </w:pPr>
      <w:r w:rsidRPr="00061D40">
        <w:t xml:space="preserve">Majority Indigenous Student School Payments </w:t>
      </w:r>
    </w:p>
    <w:p w14:paraId="7F48639B" w14:textId="77777777" w:rsidR="00EA1C15" w:rsidRPr="00061D40" w:rsidRDefault="00EA1C15" w:rsidP="0059078F">
      <w:pPr>
        <w:pStyle w:val="bodytextoutlinednumber"/>
      </w:pPr>
      <w:r w:rsidRPr="00061D40">
        <w:t>Non-government Majority Indigenous Student Schools have an SES funding level of 70</w:t>
      </w:r>
      <w:r w:rsidR="00327C42" w:rsidRPr="00061D40">
        <w:t xml:space="preserve"> per cent </w:t>
      </w:r>
      <w:r w:rsidRPr="00061D40">
        <w:t>of the relevant AGSRC amounts which is</w:t>
      </w:r>
      <w:r w:rsidR="001047CA" w:rsidRPr="00061D40">
        <w:t xml:space="preserve"> the highest funding level</w:t>
      </w:r>
      <w:r w:rsidRPr="00061D40">
        <w:t>.</w:t>
      </w:r>
    </w:p>
    <w:p w14:paraId="7F48639C" w14:textId="77777777" w:rsidR="00A07857" w:rsidRPr="00061D40" w:rsidRDefault="00A07857" w:rsidP="0059078F">
      <w:pPr>
        <w:pStyle w:val="bodytextoutlinednumber"/>
      </w:pPr>
      <w:r w:rsidRPr="00061D40">
        <w:t>To be considered a Majority Indigenous Student School in any program year, a non-government school must have 80 per cent or more Indigenous enrolments, or be a very remote school with 50 per cent or more Indigenous enrolments.</w:t>
      </w:r>
    </w:p>
    <w:p w14:paraId="7F48639D" w14:textId="77777777" w:rsidR="00EA1C15" w:rsidRPr="00061D40" w:rsidRDefault="00EA2178" w:rsidP="00313AE7">
      <w:pPr>
        <w:pStyle w:val="bodytextoutlinednumber"/>
        <w:numPr>
          <w:ilvl w:val="1"/>
          <w:numId w:val="10"/>
        </w:numPr>
      </w:pPr>
      <w:r w:rsidRPr="00061D40">
        <w:t xml:space="preserve">a </w:t>
      </w:r>
      <w:r w:rsidR="00EA1C15" w:rsidRPr="00061D40">
        <w:t xml:space="preserve">very remote school is a school </w:t>
      </w:r>
      <w:r w:rsidR="00DC3B9E">
        <w:t>whose campus or</w:t>
      </w:r>
      <w:r w:rsidR="0026187B">
        <w:t xml:space="preserve"> campuses are located in a very remote area</w:t>
      </w:r>
      <w:r w:rsidR="00EA1C15" w:rsidRPr="00061D40">
        <w:t>.</w:t>
      </w:r>
      <w:r w:rsidR="008E5ABB" w:rsidRPr="00061D40">
        <w:t xml:space="preserve"> </w:t>
      </w:r>
      <w:r w:rsidR="00EA1C15" w:rsidRPr="00061D40">
        <w:t>The Remoteness Structure is used to classify campuses as per the application of the remoteness loading</w:t>
      </w:r>
      <w:r w:rsidR="003A66D4">
        <w:t>.</w:t>
      </w:r>
    </w:p>
    <w:p w14:paraId="7F48639E" w14:textId="77777777" w:rsidR="00EA1C15" w:rsidRPr="00061D40" w:rsidRDefault="00EA2178" w:rsidP="00313AE7">
      <w:pPr>
        <w:pStyle w:val="bodytextoutlinednumber"/>
        <w:numPr>
          <w:ilvl w:val="1"/>
          <w:numId w:val="10"/>
        </w:numPr>
      </w:pPr>
      <w:r w:rsidRPr="00061D40">
        <w:t xml:space="preserve">the </w:t>
      </w:r>
      <w:r w:rsidR="00EA1C15" w:rsidRPr="00061D40">
        <w:t xml:space="preserve">proportion of Indigenous enrolments for the purpose of the definition is calculated as a proportion of the total number of students receiving primary or secondary education at the school as counted on the schools </w:t>
      </w:r>
      <w:r w:rsidR="0075662F" w:rsidRPr="00061D40">
        <w:t>C</w:t>
      </w:r>
      <w:r w:rsidR="00EA1C15" w:rsidRPr="00061D40">
        <w:t>ensus day of the year before the given program year.</w:t>
      </w:r>
    </w:p>
    <w:p w14:paraId="7F48639F" w14:textId="77777777" w:rsidR="00EA1C15" w:rsidRPr="00061D40" w:rsidRDefault="00EA1C15" w:rsidP="0059078F">
      <w:pPr>
        <w:pStyle w:val="bodytextoutlinednumber"/>
      </w:pPr>
      <w:r w:rsidRPr="00061D40">
        <w:t xml:space="preserve">A school may be considered a </w:t>
      </w:r>
      <w:r w:rsidR="00597AC3" w:rsidRPr="00061D40">
        <w:t>Majority Indigenous Student S</w:t>
      </w:r>
      <w:r w:rsidRPr="00061D40">
        <w:t>chool in one program year of the 2009-201</w:t>
      </w:r>
      <w:r w:rsidR="008067F6">
        <w:t>3</w:t>
      </w:r>
      <w:r w:rsidRPr="00061D40">
        <w:t xml:space="preserve"> funding period but not for others.</w:t>
      </w:r>
      <w:r w:rsidR="008E5ABB" w:rsidRPr="00061D40">
        <w:t xml:space="preserve"> </w:t>
      </w:r>
      <w:r w:rsidRPr="00061D40">
        <w:t xml:space="preserve">A school will return to its funding level (current SES, maintained or guaranteed) applicable under the Act if it is no longer considered to be a </w:t>
      </w:r>
      <w:r w:rsidR="00FC565D" w:rsidRPr="00061D40">
        <w:t>M</w:t>
      </w:r>
      <w:r w:rsidRPr="00061D40">
        <w:t xml:space="preserve">ajority Indigenous </w:t>
      </w:r>
      <w:r w:rsidR="00FC565D" w:rsidRPr="00061D40">
        <w:t>S</w:t>
      </w:r>
      <w:r w:rsidRPr="00061D40">
        <w:t xml:space="preserve">tudent </w:t>
      </w:r>
      <w:r w:rsidR="00FC565D" w:rsidRPr="00061D40">
        <w:t>S</w:t>
      </w:r>
      <w:r w:rsidRPr="00061D40">
        <w:t>chool.</w:t>
      </w:r>
    </w:p>
    <w:p w14:paraId="7F4863A0" w14:textId="77777777" w:rsidR="00D32016" w:rsidRDefault="00EA1C15">
      <w:pPr>
        <w:pStyle w:val="Heading4"/>
      </w:pPr>
      <w:bookmarkStart w:id="50" w:name="OLE_LINK47"/>
      <w:r w:rsidRPr="00061D40">
        <w:t>Remoteness Loading</w:t>
      </w:r>
    </w:p>
    <w:p w14:paraId="7F4863A1" w14:textId="77777777" w:rsidR="00EA1C15" w:rsidRPr="00061D40" w:rsidRDefault="00EA1C15" w:rsidP="0059078F">
      <w:pPr>
        <w:pStyle w:val="bodytextoutlinednumber"/>
      </w:pPr>
      <w:r w:rsidRPr="00061D40">
        <w:t>Non-government schools which have one or more school campuses that are defined for the purposes of the Act as a ‘moderately accessible school campus’, ‘remote school campus’ or ‘very remote school campus’, will receive a remoteness loading for each student receiving a level of primary or secondary education at relevant campuses.</w:t>
      </w:r>
      <w:r w:rsidR="008E5ABB" w:rsidRPr="00061D40">
        <w:t xml:space="preserve"> </w:t>
      </w:r>
      <w:r w:rsidRPr="00061D40">
        <w:t>The loading is 5</w:t>
      </w:r>
      <w:r w:rsidR="00AB173B" w:rsidRPr="00061D40">
        <w:t> </w:t>
      </w:r>
      <w:r w:rsidRPr="00061D40">
        <w:t>per cent, 10 per cent or 20 per cent respectively of a school</w:t>
      </w:r>
      <w:r w:rsidR="00E306A1" w:rsidRPr="00061D40">
        <w:t>’</w:t>
      </w:r>
      <w:r w:rsidRPr="00061D40">
        <w:t>s current SES funding level (regardless of whether a school has a maintained funding level or a guaranteed funding level).</w:t>
      </w:r>
      <w:r w:rsidR="008E5ABB" w:rsidRPr="00061D40">
        <w:t xml:space="preserve"> </w:t>
      </w:r>
      <w:r w:rsidRPr="00061D40">
        <w:t>In a year when a school is a maximum SES funded school, its current SES funding level is 70 per cent of AGSRC</w:t>
      </w:r>
      <w:r w:rsidR="00E70F40" w:rsidRPr="00061D40">
        <w:t xml:space="preserve"> and the remoteness loading will be based on this funding level</w:t>
      </w:r>
      <w:r w:rsidRPr="00061D40">
        <w:t>.</w:t>
      </w:r>
      <w:r w:rsidR="008E5ABB" w:rsidRPr="00061D40">
        <w:t xml:space="preserve"> </w:t>
      </w:r>
      <w:r w:rsidRPr="00061D40">
        <w:t>The loading is not provided for distance education students.</w:t>
      </w:r>
    </w:p>
    <w:bookmarkEnd w:id="50"/>
    <w:p w14:paraId="7F4863A2" w14:textId="77777777" w:rsidR="00EA1C15" w:rsidRPr="00061D40" w:rsidRDefault="00EA1C15" w:rsidP="0059078F">
      <w:pPr>
        <w:pStyle w:val="bodytextoutlinednumber"/>
      </w:pPr>
      <w:r w:rsidRPr="00061D40">
        <w:t xml:space="preserve">School campuses are classified as ‘moderately accessible’, ‘remote’ or ‘very remote’ if the location of the campus (on the school campus </w:t>
      </w:r>
      <w:r w:rsidR="0075662F" w:rsidRPr="00061D40">
        <w:t>C</w:t>
      </w:r>
      <w:r w:rsidRPr="00061D40">
        <w:t>ensus day) is categorised under the Remoteness Structure as ‘Outer Regional Australia’, ‘Remote Australia’ and ‘Very Remote Australia’ respectively.</w:t>
      </w:r>
      <w:r w:rsidR="008E5ABB" w:rsidRPr="00061D40">
        <w:t xml:space="preserve"> </w:t>
      </w:r>
      <w:r w:rsidRPr="00061D40">
        <w:t>The Remoteness Structure for the 2009-201</w:t>
      </w:r>
      <w:r w:rsidR="002D58A5">
        <w:t>3</w:t>
      </w:r>
      <w:r w:rsidRPr="00061D40">
        <w:t xml:space="preserve"> funding period is the</w:t>
      </w:r>
      <w:r w:rsidR="005C5A6A" w:rsidRPr="00061D40">
        <w:t xml:space="preserve"> </w:t>
      </w:r>
      <w:r w:rsidR="006405B6" w:rsidRPr="00061D40">
        <w:t xml:space="preserve">ABS </w:t>
      </w:r>
      <w:r w:rsidRPr="00061D40">
        <w:t>Remoteness Structure under the Australian Standard Geographical Classification based on the 2006 Census of Population and Housing using 2006 Census Collection District boundaries.</w:t>
      </w:r>
      <w:r w:rsidR="008E5ABB" w:rsidRPr="00061D40">
        <w:t xml:space="preserve"> </w:t>
      </w:r>
      <w:r w:rsidRPr="00061D40">
        <w:t>The remoteness areas are defined using the Accessibility/Remoteness Index of Australia (ARIA+) which measures remoteness in terms of the physical road distance</w:t>
      </w:r>
      <w:r w:rsidR="00CC2AE7">
        <w:t xml:space="preserve"> between populated localities and service centres.</w:t>
      </w:r>
    </w:p>
    <w:p w14:paraId="7F4863A3" w14:textId="77777777" w:rsidR="00EA1C15" w:rsidRPr="00061D40" w:rsidRDefault="00EA1C15" w:rsidP="0059078F">
      <w:pPr>
        <w:pStyle w:val="bodytextoutlinednumber"/>
      </w:pPr>
      <w:r w:rsidRPr="00061D40">
        <w:t>Schools do not need to apply separately for this loading as it is a component of the grant provided for recurrent expenditure.</w:t>
      </w:r>
      <w:r w:rsidR="008E5ABB" w:rsidRPr="00061D40">
        <w:t xml:space="preserve"> </w:t>
      </w:r>
      <w:r w:rsidRPr="00061D40">
        <w:t xml:space="preserve">The remoteness loading provided to a school </w:t>
      </w:r>
      <w:r w:rsidRPr="00061D40">
        <w:lastRenderedPageBreak/>
        <w:t>system may not be re-distributed to constituent member schools that are not eligible to receive the loading under the requirements of the Act.</w:t>
      </w:r>
      <w:r w:rsidR="008E5ABB" w:rsidRPr="00061D40">
        <w:t xml:space="preserve"> </w:t>
      </w:r>
    </w:p>
    <w:p w14:paraId="7F4863A4" w14:textId="77777777" w:rsidR="00EA1C15" w:rsidRPr="00061D40" w:rsidRDefault="00EA1C15" w:rsidP="0059078F">
      <w:pPr>
        <w:pStyle w:val="bodytextoutlinednumber"/>
      </w:pPr>
      <w:r w:rsidRPr="00061D40">
        <w:t xml:space="preserve">In January each year, schools are paid 50 per cent of their estimated remoteness loading for the year (based on the number of students receiving a level of primary or secondary education at a school campus which is a ‘moderately accessible school campus’, ‘remote school campus’ or a ‘very remote school campus’, as at the school campus </w:t>
      </w:r>
      <w:r w:rsidR="0075662F" w:rsidRPr="00061D40">
        <w:t>C</w:t>
      </w:r>
      <w:r w:rsidRPr="00061D40">
        <w:t>ensus day in the previous year).</w:t>
      </w:r>
      <w:r w:rsidR="008E5ABB" w:rsidRPr="00061D40">
        <w:t xml:space="preserve"> </w:t>
      </w:r>
    </w:p>
    <w:p w14:paraId="7F4863A5" w14:textId="77777777" w:rsidR="00EA1C15" w:rsidRPr="00061D40" w:rsidRDefault="00EA1C15" w:rsidP="0059078F">
      <w:pPr>
        <w:pStyle w:val="bodytextoutlinednumber"/>
      </w:pPr>
      <w:r w:rsidRPr="00061D40">
        <w:t xml:space="preserve">Schools are paid the remaining remoteness loading for the calendar year in October, based on the actual number of the school’s students who are receiving a level of primary or secondary education at a school campus which is a ‘moderately accessible school campus’, ‘remote school campus’ or a ‘very remote school campus’, as at the school campus </w:t>
      </w:r>
      <w:r w:rsidR="0075662F" w:rsidRPr="00061D40">
        <w:t>C</w:t>
      </w:r>
      <w:r w:rsidRPr="00061D40">
        <w:t>ensus day in that year.</w:t>
      </w:r>
      <w:r w:rsidR="008E5ABB" w:rsidRPr="00061D40">
        <w:t xml:space="preserve"> </w:t>
      </w:r>
      <w:r w:rsidRPr="00061D40">
        <w:t xml:space="preserve">If the number of students at the relevant school campuses on the school campus </w:t>
      </w:r>
      <w:r w:rsidR="0075662F" w:rsidRPr="00061D40">
        <w:t>C</w:t>
      </w:r>
      <w:r w:rsidRPr="00061D40">
        <w:t xml:space="preserve">ensus day in the current calendar year is different to the number of students at the relevant school campuses on the school campus </w:t>
      </w:r>
      <w:r w:rsidR="0075662F" w:rsidRPr="00061D40">
        <w:t>C</w:t>
      </w:r>
      <w:r w:rsidRPr="00061D40">
        <w:t xml:space="preserve">ensus day in the previous year, the total amount of remoteness loading the school is entitled to will be the amount calculated using the current year’s school </w:t>
      </w:r>
      <w:r w:rsidR="0075662F" w:rsidRPr="00061D40">
        <w:t>C</w:t>
      </w:r>
      <w:r w:rsidRPr="00061D40">
        <w:t>ensus day student numbers.</w:t>
      </w:r>
    </w:p>
    <w:p w14:paraId="7F4863A6" w14:textId="77777777" w:rsidR="00EA1C15" w:rsidRPr="00061D40" w:rsidRDefault="00EA1C15" w:rsidP="0059078F">
      <w:pPr>
        <w:pStyle w:val="bodytextoutlinednumber"/>
      </w:pPr>
      <w:r w:rsidRPr="00061D40">
        <w:t xml:space="preserve">For a new school opening after 1 January, the school will be paid any remoteness loading in October based on the number of students at the relevant school campuses as at the school campus </w:t>
      </w:r>
      <w:r w:rsidR="0075662F" w:rsidRPr="00061D40">
        <w:t>Census</w:t>
      </w:r>
      <w:r w:rsidRPr="00061D40">
        <w:t xml:space="preserve"> day in that year.</w:t>
      </w:r>
      <w:r w:rsidR="008E5ABB" w:rsidRPr="00061D40">
        <w:t xml:space="preserve"> </w:t>
      </w:r>
      <w:r w:rsidRPr="00061D40">
        <w:t>Where a school is eligible for the remoteness loading in the current year and opens after 1 January, the remoteness loading will be paid on a pro-rata basis.</w:t>
      </w:r>
    </w:p>
    <w:p w14:paraId="7F4863A7" w14:textId="77777777" w:rsidR="00D32016" w:rsidRDefault="00303A91">
      <w:pPr>
        <w:pStyle w:val="Heading4"/>
      </w:pPr>
      <w:r w:rsidRPr="00061D40">
        <w:t>Distance Education</w:t>
      </w:r>
    </w:p>
    <w:p w14:paraId="7F4863A8" w14:textId="77777777" w:rsidR="007D081B" w:rsidRDefault="00303A91" w:rsidP="0059078F">
      <w:pPr>
        <w:pStyle w:val="bodytextoutlinednumber"/>
      </w:pPr>
      <w:r w:rsidRPr="00061D40">
        <w:t xml:space="preserve">Distance education funding is payable in respect of primary or secondary  distance education students in </w:t>
      </w:r>
      <w:r w:rsidR="00345DB4">
        <w:t xml:space="preserve">a </w:t>
      </w:r>
      <w:r w:rsidRPr="00061D40">
        <w:t xml:space="preserve">non-government school </w:t>
      </w:r>
      <w:r w:rsidR="0026187B">
        <w:t xml:space="preserve">provided </w:t>
      </w:r>
      <w:r w:rsidR="007D081B">
        <w:t>that:</w:t>
      </w:r>
    </w:p>
    <w:p w14:paraId="7F4863A9" w14:textId="77777777" w:rsidR="007D081B" w:rsidRDefault="0026187B" w:rsidP="007D081B">
      <w:pPr>
        <w:pStyle w:val="bodytextoutlinednumber"/>
        <w:numPr>
          <w:ilvl w:val="0"/>
          <w:numId w:val="161"/>
        </w:numPr>
      </w:pPr>
      <w:r>
        <w:t xml:space="preserve">the school is </w:t>
      </w:r>
      <w:r w:rsidR="007D081B">
        <w:t xml:space="preserve">already approved </w:t>
      </w:r>
      <w:r w:rsidR="00345DB4">
        <w:t>to receive</w:t>
      </w:r>
      <w:r w:rsidR="007D081B">
        <w:t xml:space="preserve"> recurrent grant funding</w:t>
      </w:r>
    </w:p>
    <w:p w14:paraId="7F4863AA" w14:textId="77777777" w:rsidR="007D081B" w:rsidRDefault="007D081B" w:rsidP="007D081B">
      <w:pPr>
        <w:pStyle w:val="bodytextoutlinednumber"/>
        <w:numPr>
          <w:ilvl w:val="0"/>
          <w:numId w:val="161"/>
        </w:numPr>
      </w:pPr>
      <w:r>
        <w:t>the school is re</w:t>
      </w:r>
      <w:r w:rsidR="00A15DAC">
        <w:t>gistere</w:t>
      </w:r>
      <w:r>
        <w:t xml:space="preserve">d by the State or Territory </w:t>
      </w:r>
      <w:r w:rsidR="00A15DAC">
        <w:t>to provide</w:t>
      </w:r>
      <w:r>
        <w:t xml:space="preserve"> distance education</w:t>
      </w:r>
    </w:p>
    <w:p w14:paraId="7F4863AB" w14:textId="77777777" w:rsidR="00345DB4" w:rsidRDefault="00345DB4" w:rsidP="007D081B">
      <w:pPr>
        <w:pStyle w:val="bodytextoutlinednumber"/>
        <w:numPr>
          <w:ilvl w:val="0"/>
          <w:numId w:val="161"/>
        </w:numPr>
      </w:pPr>
      <w:r>
        <w:t>the school receives State or Territory funding for students enrolled at the school who receive distance education from the school</w:t>
      </w:r>
    </w:p>
    <w:p w14:paraId="7F4863AC" w14:textId="77777777" w:rsidR="007D081B" w:rsidRDefault="00303A91" w:rsidP="007D081B">
      <w:pPr>
        <w:pStyle w:val="bodytextoutlinednumber"/>
        <w:numPr>
          <w:ilvl w:val="0"/>
          <w:numId w:val="161"/>
        </w:numPr>
      </w:pPr>
      <w:r w:rsidRPr="00061D40">
        <w:t xml:space="preserve"> the distance education students reside in the State in which their school is located</w:t>
      </w:r>
    </w:p>
    <w:p w14:paraId="7F4863AD" w14:textId="77777777" w:rsidR="007D081B" w:rsidRDefault="00303A91" w:rsidP="007D081B">
      <w:pPr>
        <w:pStyle w:val="bodytextoutlinednumber"/>
        <w:numPr>
          <w:ilvl w:val="0"/>
          <w:numId w:val="161"/>
        </w:numPr>
      </w:pPr>
      <w:r w:rsidRPr="00061D40">
        <w:t>the</w:t>
      </w:r>
      <w:r w:rsidR="00A15DAC">
        <w:t xml:space="preserve"> distance education students</w:t>
      </w:r>
      <w:r w:rsidRPr="00061D40">
        <w:t xml:space="preserve"> are not home education students</w:t>
      </w:r>
    </w:p>
    <w:p w14:paraId="7F4863AE" w14:textId="77777777" w:rsidR="00EA1C15" w:rsidRPr="00061D40" w:rsidRDefault="00303A91" w:rsidP="0059078F">
      <w:pPr>
        <w:pStyle w:val="bodytextoutlinednumber"/>
      </w:pPr>
      <w:r w:rsidRPr="00061D40">
        <w:t>Eligible schools or systems receive distance education funding for their eligible distance education students at the base rate of 13.7</w:t>
      </w:r>
      <w:r w:rsidR="00327C42" w:rsidRPr="00061D40">
        <w:t xml:space="preserve"> per cent </w:t>
      </w:r>
      <w:r w:rsidRPr="00061D40">
        <w:t xml:space="preserve">of the primary or secondary AGSRC amounts on a </w:t>
      </w:r>
      <w:r w:rsidR="00C56EF6" w:rsidRPr="00061D40">
        <w:t>Full Time Equivalent (</w:t>
      </w:r>
      <w:r w:rsidRPr="00061D40">
        <w:t>FTE</w:t>
      </w:r>
      <w:r w:rsidR="00C56EF6" w:rsidRPr="00061D40">
        <w:t>)</w:t>
      </w:r>
      <w:r w:rsidRPr="00061D40">
        <w:t xml:space="preserve"> basis.</w:t>
      </w:r>
      <w:r w:rsidR="008E5ABB" w:rsidRPr="00061D40">
        <w:t xml:space="preserve"> </w:t>
      </w:r>
      <w:r w:rsidRPr="00061D40">
        <w:t>That is, the school authority will receive funding having regard to the nature of the course load those students are undertaking and the time they are actually receiving distance education from the school.</w:t>
      </w:r>
    </w:p>
    <w:p w14:paraId="7F4863AF" w14:textId="77777777" w:rsidR="00D32016" w:rsidRDefault="00EA1C15">
      <w:pPr>
        <w:pStyle w:val="Heading3"/>
      </w:pPr>
      <w:bookmarkStart w:id="51" w:name="_Toc212626284"/>
      <w:bookmarkStart w:id="52" w:name="_Toc246483041"/>
      <w:r w:rsidRPr="00061D40">
        <w:t>SES Review Process</w:t>
      </w:r>
      <w:bookmarkEnd w:id="51"/>
      <w:bookmarkEnd w:id="52"/>
    </w:p>
    <w:p w14:paraId="7F4863B0" w14:textId="77777777" w:rsidR="00EA1C15" w:rsidRPr="00061D40" w:rsidRDefault="00EA1C15" w:rsidP="0059078F">
      <w:pPr>
        <w:pStyle w:val="bodytextoutlinednumber"/>
      </w:pPr>
      <w:r w:rsidRPr="00061D40">
        <w:t xml:space="preserve">Under </w:t>
      </w:r>
      <w:r w:rsidR="00944CCD" w:rsidRPr="00061D40">
        <w:t>s</w:t>
      </w:r>
      <w:r w:rsidRPr="00061D40">
        <w:t>ection 76 of the</w:t>
      </w:r>
      <w:r w:rsidR="00593FEE" w:rsidRPr="00061D40">
        <w:t xml:space="preserve"> Act</w:t>
      </w:r>
      <w:r w:rsidRPr="00061D40">
        <w:t>, the approved authority of a school</w:t>
      </w:r>
      <w:r w:rsidR="008E5ABB" w:rsidRPr="00061D40">
        <w:t xml:space="preserve"> </w:t>
      </w:r>
      <w:r w:rsidRPr="00061D40">
        <w:t>with an SES score may seek a review of a school’s SES score if it considers that the SES score:</w:t>
      </w:r>
    </w:p>
    <w:p w14:paraId="7F4863B1" w14:textId="77777777" w:rsidR="00890313" w:rsidRPr="00061D40" w:rsidRDefault="00EA1C15" w:rsidP="006067EC">
      <w:pPr>
        <w:pStyle w:val="StyleStyledotpointAfter75ptLinespacingsingle"/>
      </w:pPr>
      <w:r w:rsidRPr="00061D40">
        <w:t>has not been determined correctly</w:t>
      </w:r>
      <w:r w:rsidR="00987CC6" w:rsidRPr="00061D40">
        <w:t xml:space="preserve"> - </w:t>
      </w:r>
      <w:r w:rsidR="00944CCD" w:rsidRPr="00061D40">
        <w:t>76(1)(a)</w:t>
      </w:r>
    </w:p>
    <w:p w14:paraId="7F4863B2" w14:textId="77777777" w:rsidR="00EA2178" w:rsidRPr="00061D40" w:rsidRDefault="00890313" w:rsidP="006067EC">
      <w:pPr>
        <w:pStyle w:val="StyleStyledotpointAfter75ptLinespacingsingle"/>
      </w:pPr>
      <w:r w:rsidRPr="00061D40">
        <w:lastRenderedPageBreak/>
        <w:t xml:space="preserve">does not reflect the socioeconomic circumstances of the school’s </w:t>
      </w:r>
      <w:r w:rsidR="00005B10" w:rsidRPr="00061D40">
        <w:t>community</w:t>
      </w:r>
      <w:r w:rsidR="00944CCD" w:rsidRPr="00061D40">
        <w:t xml:space="preserve"> - 76(1)(b)</w:t>
      </w:r>
    </w:p>
    <w:p w14:paraId="7F4863B3" w14:textId="77777777" w:rsidR="00EA1C15" w:rsidRPr="00061D40" w:rsidRDefault="00005B10" w:rsidP="00AA2BE3">
      <w:pPr>
        <w:spacing w:before="100" w:line="240" w:lineRule="auto"/>
        <w:ind w:left="851"/>
      </w:pPr>
      <w:r w:rsidRPr="00061D40">
        <w:t>or</w:t>
      </w:r>
    </w:p>
    <w:p w14:paraId="7F4863B4" w14:textId="77777777" w:rsidR="00EA1C15" w:rsidRPr="00061D40" w:rsidRDefault="00EA1C15" w:rsidP="006067EC">
      <w:pPr>
        <w:pStyle w:val="StyleStyledotpointAfter75ptLinespacingsingle"/>
      </w:pPr>
      <w:r w:rsidRPr="00061D40">
        <w:t>is no longer accurate because of a significant change in the school’s circumstances</w:t>
      </w:r>
      <w:r w:rsidR="00944CCD" w:rsidRPr="00061D40">
        <w:t xml:space="preserve"> - 76(1)(c)</w:t>
      </w:r>
      <w:r w:rsidRPr="00061D40">
        <w:t>.</w:t>
      </w:r>
    </w:p>
    <w:p w14:paraId="7F4863B5" w14:textId="77777777" w:rsidR="00EA1C15" w:rsidRPr="00061D40" w:rsidRDefault="00EA1C15" w:rsidP="0059078F">
      <w:pPr>
        <w:pStyle w:val="bodytextoutlinednumber"/>
      </w:pPr>
      <w:r w:rsidRPr="00061D40">
        <w:t>Where a school considers that its SES score has not been determined correctly or is no longer accurate because of a significant change, (for example, a new intake of students or a decline in enrolments), a review will be undertaken on the basis of the geocoding of the residential addresses of the students at the school at the time of the application for a review.</w:t>
      </w:r>
      <w:r w:rsidR="008E5ABB" w:rsidRPr="00061D40">
        <w:t xml:space="preserve"> </w:t>
      </w:r>
      <w:r w:rsidRPr="00061D40">
        <w:t>Details and guidelines for the review process are available at</w:t>
      </w:r>
      <w:r w:rsidR="00AB173B" w:rsidRPr="00061D40">
        <w:t xml:space="preserve"> </w:t>
      </w:r>
      <w:hyperlink w:anchor="_Appendix_B:_Review" w:history="1">
        <w:r w:rsidR="00AB173B" w:rsidRPr="00061D40">
          <w:rPr>
            <w:rStyle w:val="Hyperlink"/>
            <w:rFonts w:cs="Garamond"/>
          </w:rPr>
          <w:t>Appendix B</w:t>
        </w:r>
      </w:hyperlink>
      <w:r w:rsidRPr="00061D40">
        <w:t>.</w:t>
      </w:r>
    </w:p>
    <w:p w14:paraId="7F4863B6" w14:textId="77777777" w:rsidR="00890313" w:rsidRPr="00061D40" w:rsidRDefault="00890313" w:rsidP="0059078F">
      <w:pPr>
        <w:pStyle w:val="bodytextoutlinednumber"/>
      </w:pPr>
      <w:r w:rsidRPr="00061D40">
        <w:t>Where a school considers that its SES score does not reflect the socioeconomic circumstances of the school’s community, a reassessment of the school’s SES score will be undertaken by an Independent Appeals Committee.</w:t>
      </w:r>
      <w:r w:rsidR="008E5ABB" w:rsidRPr="00061D40">
        <w:t xml:space="preserve"> </w:t>
      </w:r>
      <w:r w:rsidRPr="00061D40">
        <w:t>Details and guidelines for the appeals process are available at</w:t>
      </w:r>
      <w:r w:rsidR="00AB173B" w:rsidRPr="00061D40">
        <w:t xml:space="preserve"> </w:t>
      </w:r>
      <w:hyperlink w:anchor="AppendixC" w:history="1">
        <w:r w:rsidR="00AB173B" w:rsidRPr="00061D40">
          <w:rPr>
            <w:rStyle w:val="Hyperlink"/>
            <w:rFonts w:cs="Garamond"/>
          </w:rPr>
          <w:t>Appendix C</w:t>
        </w:r>
      </w:hyperlink>
      <w:r w:rsidRPr="00061D40">
        <w:t>.</w:t>
      </w:r>
    </w:p>
    <w:p w14:paraId="7F4863B7" w14:textId="77777777" w:rsidR="00A07857" w:rsidRPr="00061D40" w:rsidRDefault="00A07857" w:rsidP="0059078F">
      <w:pPr>
        <w:pStyle w:val="bodytextoutlinednumber"/>
      </w:pPr>
      <w:r w:rsidRPr="00061D40">
        <w:t>Schools wishing to apply for a review should contact:</w:t>
      </w:r>
    </w:p>
    <w:p w14:paraId="7F4863B8" w14:textId="77777777" w:rsidR="00A07857" w:rsidRPr="00061D40" w:rsidRDefault="00A07857" w:rsidP="006455DC">
      <w:pPr>
        <w:pStyle w:val="Paragraphstyle0"/>
        <w:tabs>
          <w:tab w:val="clear" w:pos="567"/>
        </w:tabs>
        <w:spacing w:after="0" w:line="240" w:lineRule="auto"/>
        <w:ind w:left="567" w:firstLine="0"/>
      </w:pPr>
      <w:r w:rsidRPr="00061D40">
        <w:t>The Director</w:t>
      </w:r>
    </w:p>
    <w:p w14:paraId="7F4863B9" w14:textId="77777777" w:rsidR="00A07857" w:rsidRPr="00061D40" w:rsidRDefault="00A07857" w:rsidP="006455DC">
      <w:pPr>
        <w:pStyle w:val="Paragraphstyle0"/>
        <w:tabs>
          <w:tab w:val="clear" w:pos="567"/>
        </w:tabs>
        <w:spacing w:before="0" w:after="0" w:line="240" w:lineRule="auto"/>
        <w:ind w:left="567" w:firstLine="0"/>
      </w:pPr>
      <w:r w:rsidRPr="00061D40">
        <w:t xml:space="preserve">Schools </w:t>
      </w:r>
      <w:r w:rsidR="0026187B">
        <w:t>Grants</w:t>
      </w:r>
      <w:r w:rsidRPr="00061D40">
        <w:t xml:space="preserve"> Section</w:t>
      </w:r>
    </w:p>
    <w:p w14:paraId="7F4863BA" w14:textId="77777777" w:rsidR="00A07857" w:rsidRPr="00061D40" w:rsidRDefault="00A07857" w:rsidP="006455DC">
      <w:pPr>
        <w:pStyle w:val="Paragraphstyle0"/>
        <w:tabs>
          <w:tab w:val="clear" w:pos="567"/>
        </w:tabs>
        <w:spacing w:before="0" w:after="0" w:line="240" w:lineRule="auto"/>
        <w:ind w:left="567" w:firstLine="0"/>
      </w:pPr>
      <w:r w:rsidRPr="00061D40">
        <w:t>Department of Education, Employment and Workplace Relations</w:t>
      </w:r>
    </w:p>
    <w:p w14:paraId="7F4863BB" w14:textId="77777777" w:rsidR="00A07857" w:rsidRPr="00061D40" w:rsidRDefault="00A07857" w:rsidP="006455DC">
      <w:pPr>
        <w:pStyle w:val="Paragraphstyle0"/>
        <w:tabs>
          <w:tab w:val="clear" w:pos="567"/>
        </w:tabs>
        <w:spacing w:before="0" w:after="0" w:line="240" w:lineRule="auto"/>
        <w:ind w:left="567" w:firstLine="0"/>
      </w:pPr>
      <w:r w:rsidRPr="00061D40">
        <w:t xml:space="preserve">Location </w:t>
      </w:r>
      <w:r w:rsidR="0026187B" w:rsidRPr="00061D40">
        <w:t>C</w:t>
      </w:r>
      <w:r w:rsidR="0026187B">
        <w:t>50MA9</w:t>
      </w:r>
    </w:p>
    <w:p w14:paraId="7F4863BC" w14:textId="77777777" w:rsidR="00A07857" w:rsidRPr="00061D40" w:rsidRDefault="00A07857" w:rsidP="006455DC">
      <w:pPr>
        <w:pStyle w:val="Paragraphstyle0"/>
        <w:tabs>
          <w:tab w:val="clear" w:pos="567"/>
        </w:tabs>
        <w:spacing w:before="0" w:after="0" w:line="240" w:lineRule="auto"/>
        <w:ind w:left="567" w:firstLine="0"/>
      </w:pPr>
      <w:r w:rsidRPr="00061D40">
        <w:t>GPO Box 9880</w:t>
      </w:r>
    </w:p>
    <w:p w14:paraId="7F4863BD" w14:textId="77777777" w:rsidR="00A07857" w:rsidRPr="00061D40" w:rsidRDefault="00A07857" w:rsidP="006455DC">
      <w:pPr>
        <w:pStyle w:val="Paragraphstyle0"/>
        <w:tabs>
          <w:tab w:val="clear" w:pos="567"/>
        </w:tabs>
        <w:spacing w:before="0" w:after="0" w:line="240" w:lineRule="auto"/>
        <w:ind w:left="567" w:firstLine="0"/>
      </w:pPr>
      <w:r w:rsidRPr="00061D40">
        <w:t>CANBERRA</w:t>
      </w:r>
      <w:r w:rsidR="008E5ABB" w:rsidRPr="00061D40">
        <w:t xml:space="preserve"> </w:t>
      </w:r>
      <w:r w:rsidRPr="00061D40">
        <w:t xml:space="preserve"> ACT</w:t>
      </w:r>
      <w:r w:rsidR="008E5ABB" w:rsidRPr="00061D40">
        <w:t xml:space="preserve"> </w:t>
      </w:r>
      <w:r w:rsidRPr="00061D40">
        <w:t xml:space="preserve"> 2601</w:t>
      </w:r>
    </w:p>
    <w:p w14:paraId="7F4863BE" w14:textId="77777777" w:rsidR="00FC565D" w:rsidRPr="00061D40" w:rsidRDefault="00FC565D" w:rsidP="0059078F">
      <w:pPr>
        <w:pStyle w:val="bodytextoutlinednumber"/>
      </w:pPr>
      <w:r w:rsidRPr="00061D40">
        <w:t xml:space="preserve">Applications for a review of SES score </w:t>
      </w:r>
      <w:r w:rsidR="0026187B">
        <w:t xml:space="preserve">under section 76 of the Act </w:t>
      </w:r>
      <w:r w:rsidRPr="00061D40">
        <w:t xml:space="preserve">must be lodged with the Department, in writing, </w:t>
      </w:r>
      <w:r w:rsidRPr="00061D40">
        <w:rPr>
          <w:b/>
          <w:u w:val="single"/>
        </w:rPr>
        <w:t>by 1 July of the program year</w:t>
      </w:r>
      <w:r w:rsidRPr="00061D40">
        <w:t>.</w:t>
      </w:r>
    </w:p>
    <w:p w14:paraId="7F4863BF" w14:textId="77777777" w:rsidR="00D32016" w:rsidRDefault="004C4996">
      <w:pPr>
        <w:pStyle w:val="Heading2"/>
      </w:pPr>
      <w:bookmarkStart w:id="53" w:name="_Toc503145921"/>
      <w:bookmarkStart w:id="54" w:name="_Toc503147463"/>
      <w:bookmarkStart w:id="55" w:name="_Toc503151382"/>
      <w:bookmarkStart w:id="56" w:name="_Toc55968474"/>
      <w:bookmarkStart w:id="57" w:name="_Toc182292868"/>
      <w:bookmarkStart w:id="58" w:name="_Toc211669142"/>
      <w:r w:rsidRPr="00061D40">
        <w:br w:type="page"/>
      </w:r>
      <w:bookmarkStart w:id="59" w:name="_Toc246483042"/>
      <w:bookmarkStart w:id="60" w:name="_Toc246493721"/>
      <w:bookmarkStart w:id="61" w:name="_Toc346205318"/>
      <w:r w:rsidR="0008454A" w:rsidRPr="00061D40">
        <w:lastRenderedPageBreak/>
        <w:t xml:space="preserve">2.2 </w:t>
      </w:r>
      <w:r w:rsidR="00164BCA" w:rsidRPr="00061D40">
        <w:t>Indigenous Supplementary Assistance</w:t>
      </w:r>
      <w:bookmarkEnd w:id="59"/>
      <w:bookmarkEnd w:id="60"/>
      <w:bookmarkEnd w:id="61"/>
    </w:p>
    <w:p w14:paraId="7F4863C0" w14:textId="77777777" w:rsidR="00D32016" w:rsidRDefault="00696121">
      <w:pPr>
        <w:pStyle w:val="Heading3"/>
      </w:pPr>
      <w:bookmarkStart w:id="62" w:name="_Toc246483043"/>
      <w:r w:rsidRPr="00061D40">
        <w:t>Legislative Authority</w:t>
      </w:r>
      <w:bookmarkEnd w:id="62"/>
    </w:p>
    <w:p w14:paraId="7F4863C1" w14:textId="77777777" w:rsidR="00696121" w:rsidRDefault="00696121" w:rsidP="0059078F">
      <w:pPr>
        <w:pStyle w:val="bodytextoutlinednumber"/>
      </w:pPr>
      <w:r w:rsidRPr="00061D40">
        <w:t>Indigenous Supplementary Assistance (ISA) funding for non-government schools for the 2009-201</w:t>
      </w:r>
      <w:r w:rsidR="00043062">
        <w:t>3</w:t>
      </w:r>
      <w:r w:rsidRPr="00061D40">
        <w:t xml:space="preserve"> </w:t>
      </w:r>
      <w:r w:rsidR="0051726C" w:rsidRPr="00061D40">
        <w:t>funding period</w:t>
      </w:r>
      <w:r w:rsidRPr="00061D40">
        <w:t xml:space="preserve"> is provided under Part </w:t>
      </w:r>
      <w:r w:rsidR="0051726C" w:rsidRPr="00061D40">
        <w:t>4, Division 9</w:t>
      </w:r>
      <w:r w:rsidRPr="00061D40">
        <w:t xml:space="preserve"> of the Act.</w:t>
      </w:r>
      <w:r w:rsidR="008E5ABB" w:rsidRPr="00061D40">
        <w:t xml:space="preserve"> </w:t>
      </w:r>
      <w:r w:rsidR="0013758B" w:rsidRPr="00061D40">
        <w:t>Approved non</w:t>
      </w:r>
      <w:r w:rsidRPr="00061D40">
        <w:t xml:space="preserve">-government schools and school systems in each state and territory </w:t>
      </w:r>
      <w:r w:rsidR="008C16CF" w:rsidRPr="00061D40">
        <w:t xml:space="preserve">in receipt of </w:t>
      </w:r>
      <w:r w:rsidR="0051726C" w:rsidRPr="00061D40">
        <w:t>ISA</w:t>
      </w:r>
      <w:r w:rsidRPr="00061D40">
        <w:t xml:space="preserve"> funding must comply with all the requirements of the Act.</w:t>
      </w:r>
    </w:p>
    <w:p w14:paraId="7F4863C2" w14:textId="77777777" w:rsidR="00C33058" w:rsidRPr="00061D40" w:rsidRDefault="00C33058" w:rsidP="00C33058">
      <w:pPr>
        <w:pStyle w:val="bodytextoutlinednumber"/>
      </w:pPr>
      <w:r>
        <w:t xml:space="preserve">The </w:t>
      </w:r>
      <w:r w:rsidRPr="00ED43E2">
        <w:rPr>
          <w:i/>
        </w:rPr>
        <w:t>Schools Assis</w:t>
      </w:r>
      <w:r>
        <w:rPr>
          <w:i/>
        </w:rPr>
        <w:t>tance Amendment Regulations 2011</w:t>
      </w:r>
      <w:r w:rsidRPr="00ED43E2">
        <w:rPr>
          <w:i/>
        </w:rPr>
        <w:t xml:space="preserve"> (No. 1)</w:t>
      </w:r>
      <w:r>
        <w:t xml:space="preserve"> specify an increase in ISA funding for non-remote non-government boarding schools with more than 50 Indigenous boarding students from remote Indigenous communities receiving primary or secondary education at the school. </w:t>
      </w:r>
    </w:p>
    <w:p w14:paraId="7F4863C3" w14:textId="77777777" w:rsidR="00D32016" w:rsidRDefault="0051726C">
      <w:pPr>
        <w:pStyle w:val="Heading3"/>
      </w:pPr>
      <w:bookmarkStart w:id="63" w:name="_Toc246483044"/>
      <w:r w:rsidRPr="00061D40">
        <w:t>Funding</w:t>
      </w:r>
      <w:bookmarkEnd w:id="63"/>
    </w:p>
    <w:p w14:paraId="7F4863C4" w14:textId="77777777" w:rsidR="00164BCA" w:rsidRPr="00061D40" w:rsidRDefault="00164BCA" w:rsidP="0059078F">
      <w:pPr>
        <w:pStyle w:val="bodytextoutlinednumber"/>
      </w:pPr>
      <w:r w:rsidRPr="00061D40">
        <w:t>From 1 January 2009, ISA for approved non-government system and school authorities</w:t>
      </w:r>
      <w:r w:rsidR="0051726C" w:rsidRPr="00061D40">
        <w:t xml:space="preserve"> </w:t>
      </w:r>
      <w:r w:rsidRPr="00061D40">
        <w:t>replace</w:t>
      </w:r>
      <w:r w:rsidR="00593FEE" w:rsidRPr="00061D40">
        <w:t>d several recurrent</w:t>
      </w:r>
      <w:r w:rsidRPr="00061D40">
        <w:t xml:space="preserve"> funding </w:t>
      </w:r>
      <w:r w:rsidR="00593FEE" w:rsidRPr="00061D40">
        <w:t xml:space="preserve">elements </w:t>
      </w:r>
      <w:r w:rsidRPr="00061D40">
        <w:t xml:space="preserve">for Indigenous </w:t>
      </w:r>
      <w:r w:rsidR="00593FEE" w:rsidRPr="00061D40">
        <w:t>students previously available</w:t>
      </w:r>
      <w:r w:rsidRPr="00061D40">
        <w:t xml:space="preserve"> under the </w:t>
      </w:r>
      <w:r w:rsidRPr="00061D40">
        <w:rPr>
          <w:i/>
        </w:rPr>
        <w:t>Indigenous Education (Targeted Assistance) Act 2000</w:t>
      </w:r>
      <w:r w:rsidR="00593FEE" w:rsidRPr="00061D40">
        <w:rPr>
          <w:i/>
        </w:rPr>
        <w:t xml:space="preserve">. </w:t>
      </w:r>
      <w:r w:rsidR="00593FEE" w:rsidRPr="00061D40">
        <w:t xml:space="preserve">For more background information, see the 2009 </w:t>
      </w:r>
      <w:hyperlink r:id="rId46" w:history="1">
        <w:r w:rsidR="00593FEE" w:rsidRPr="00B30AC7">
          <w:rPr>
            <w:rStyle w:val="Hyperlink"/>
            <w:rFonts w:cs="Garamond"/>
          </w:rPr>
          <w:t>Administrative Guidelines</w:t>
        </w:r>
      </w:hyperlink>
      <w:r w:rsidR="00593FEE" w:rsidRPr="00061D40">
        <w:t>.</w:t>
      </w:r>
    </w:p>
    <w:p w14:paraId="7F4863C5" w14:textId="77777777" w:rsidR="00593FEE" w:rsidRPr="00061D40" w:rsidRDefault="00593FEE" w:rsidP="0059078F">
      <w:pPr>
        <w:pStyle w:val="bodytextoutlinednumber"/>
      </w:pPr>
      <w:r w:rsidRPr="00061D40">
        <w:t>Eligible schools do not need to apply separately for this funding as it is a component of the grants provided for recurrent expenditure</w:t>
      </w:r>
      <w:r w:rsidR="00991CAD" w:rsidRPr="00061D40">
        <w:t>.</w:t>
      </w:r>
      <w:r w:rsidR="00AF1BDF" w:rsidRPr="00061D40">
        <w:t xml:space="preserve"> </w:t>
      </w:r>
    </w:p>
    <w:p w14:paraId="7F4863C6" w14:textId="77777777" w:rsidR="00593FEE" w:rsidRDefault="00593FEE" w:rsidP="0059078F">
      <w:pPr>
        <w:pStyle w:val="bodytextoutlinednumber"/>
      </w:pPr>
      <w:r w:rsidRPr="00061D40">
        <w:t xml:space="preserve">Payments are calculated using a formula that takes into account the level of schooling (primary and secondary) and the remoteness of the school campus location. The Act provides for a primary and secondary rate for </w:t>
      </w:r>
      <w:r w:rsidRPr="00061D40">
        <w:rPr>
          <w:i/>
        </w:rPr>
        <w:t>non-remote school campuses</w:t>
      </w:r>
      <w:r w:rsidRPr="00061D40">
        <w:t xml:space="preserve"> and a primary and secondary rate for </w:t>
      </w:r>
      <w:r w:rsidRPr="00061D40">
        <w:rPr>
          <w:i/>
        </w:rPr>
        <w:t>remote and very remote school campuses</w:t>
      </w:r>
      <w:r w:rsidRPr="00061D40">
        <w:t xml:space="preserve">. These rates are adjusted annually to reflect movements in the AGSRC as described in </w:t>
      </w:r>
      <w:hyperlink w:anchor="_Appendix_K:_Supplementation" w:history="1">
        <w:r w:rsidR="00AB173B" w:rsidRPr="00061D40">
          <w:rPr>
            <w:rStyle w:val="Hyperlink"/>
            <w:rFonts w:cs="Garamond"/>
          </w:rPr>
          <w:t>Appendix K</w:t>
        </w:r>
      </w:hyperlink>
      <w:r w:rsidRPr="00061D40">
        <w:t>.</w:t>
      </w:r>
    </w:p>
    <w:p w14:paraId="7F4863C7" w14:textId="77777777" w:rsidR="00043062" w:rsidRPr="00061D40" w:rsidRDefault="00212BF5" w:rsidP="007942B4">
      <w:pPr>
        <w:pStyle w:val="bodytextoutlinednumber"/>
      </w:pPr>
      <w:r>
        <w:t>From 2011, n</w:t>
      </w:r>
      <w:r w:rsidR="007942B4">
        <w:t xml:space="preserve">on-remote non-government boarding schools with more than 50 Indigenous boarding students from remote Indigenous communities receive the higher primary and secondary rate for </w:t>
      </w:r>
      <w:r w:rsidR="007942B4" w:rsidRPr="00ED43E2">
        <w:rPr>
          <w:i/>
        </w:rPr>
        <w:t>remote and very remote school campuses</w:t>
      </w:r>
      <w:r w:rsidR="007942B4">
        <w:rPr>
          <w:i/>
        </w:rPr>
        <w:t xml:space="preserve">, </w:t>
      </w:r>
      <w:r w:rsidR="007942B4" w:rsidRPr="00ED43E2">
        <w:t>in respect of</w:t>
      </w:r>
      <w:r w:rsidR="007942B4">
        <w:t xml:space="preserve"> each eligible Indigenous student. These rates are also adjusted annually in line with movements in the AGSRC.</w:t>
      </w:r>
    </w:p>
    <w:p w14:paraId="7F4863C8" w14:textId="77777777" w:rsidR="00D32016" w:rsidRDefault="00164BCA">
      <w:pPr>
        <w:pStyle w:val="Heading3"/>
      </w:pPr>
      <w:bookmarkStart w:id="64" w:name="_Toc246483045"/>
      <w:r w:rsidRPr="00061D40">
        <w:t>Program Objectives</w:t>
      </w:r>
      <w:bookmarkEnd w:id="64"/>
    </w:p>
    <w:p w14:paraId="7F4863C9" w14:textId="77777777" w:rsidR="00164BCA" w:rsidRPr="00061D40" w:rsidRDefault="00164BCA" w:rsidP="0059078F">
      <w:pPr>
        <w:pStyle w:val="bodytextoutlinednumber"/>
      </w:pPr>
      <w:r w:rsidRPr="00061D40">
        <w:t xml:space="preserve">The specific objective of ISA is to </w:t>
      </w:r>
      <w:r w:rsidR="00593FEE" w:rsidRPr="00061D40">
        <w:t>provide funding to assist schools with the delivery of high quality educational programs for their Indigenous students</w:t>
      </w:r>
      <w:r w:rsidRPr="00061D40">
        <w:t>.</w:t>
      </w:r>
    </w:p>
    <w:p w14:paraId="7F4863CA" w14:textId="77777777" w:rsidR="00D32016" w:rsidRDefault="00164BCA">
      <w:pPr>
        <w:pStyle w:val="Heading3"/>
      </w:pPr>
      <w:bookmarkStart w:id="65" w:name="_Toc246483046"/>
      <w:r w:rsidRPr="00061D40">
        <w:t>Eligibility</w:t>
      </w:r>
      <w:bookmarkEnd w:id="65"/>
    </w:p>
    <w:p w14:paraId="7F4863CB" w14:textId="77777777" w:rsidR="00FE4F03" w:rsidRDefault="00164BCA" w:rsidP="00FE4F03">
      <w:pPr>
        <w:pStyle w:val="bodytextoutlinednumber"/>
      </w:pPr>
      <w:r w:rsidRPr="00061D40">
        <w:t>Approved school</w:t>
      </w:r>
      <w:r w:rsidR="00415365" w:rsidRPr="00061D40">
        <w:t>s or school systems in receipt of RG funding with</w:t>
      </w:r>
      <w:r w:rsidR="0051726C" w:rsidRPr="00061D40">
        <w:t xml:space="preserve"> Indigenous students </w:t>
      </w:r>
      <w:r w:rsidR="00415365" w:rsidRPr="00061D40">
        <w:t>(but not including Indigenous distance education students) are</w:t>
      </w:r>
      <w:r w:rsidRPr="00061D40">
        <w:t xml:space="preserve"> eligible to receive ISA.</w:t>
      </w:r>
    </w:p>
    <w:p w14:paraId="7F4863CC" w14:textId="77777777" w:rsidR="00FE4F03" w:rsidRPr="00061D40" w:rsidRDefault="00FE4F03" w:rsidP="00FE4F03">
      <w:pPr>
        <w:pStyle w:val="bodytextoutlinednumber"/>
      </w:pPr>
      <w:r>
        <w:t>The Department determines the eligibility of non-remote non-government boarding schools for increased ISA after</w:t>
      </w:r>
      <w:r w:rsidR="00843C40">
        <w:t xml:space="preserve"> </w:t>
      </w:r>
      <w:r>
        <w:t xml:space="preserve">Schools Census each program year. Schools with more than </w:t>
      </w:r>
      <w:r>
        <w:lastRenderedPageBreak/>
        <w:t xml:space="preserve">50 Indigenous boarding students are invited to submit to the Department the residential address of each Indigenous boarding student. The Department geocodes these addresses to determine which students come from remote Indigenous communities. Those schools with more than 50 Indigenous boarding students from remote Indigenous communities receiving primary or secondary education at the school are eligible for increased funding in respect of those students. </w:t>
      </w:r>
    </w:p>
    <w:p w14:paraId="7F4863CD" w14:textId="77777777" w:rsidR="00D32016" w:rsidRDefault="00415365">
      <w:pPr>
        <w:pStyle w:val="Heading3"/>
      </w:pPr>
      <w:bookmarkStart w:id="66" w:name="_Toc246483047"/>
      <w:r w:rsidRPr="00061D40">
        <w:t>Payment Arrangements</w:t>
      </w:r>
      <w:bookmarkEnd w:id="66"/>
    </w:p>
    <w:p w14:paraId="7F4863CE" w14:textId="77777777" w:rsidR="00164BCA" w:rsidRDefault="00164BCA" w:rsidP="0059078F">
      <w:pPr>
        <w:pStyle w:val="bodytextoutlinednumber"/>
      </w:pPr>
      <w:r w:rsidRPr="00061D40">
        <w:t xml:space="preserve">ISA </w:t>
      </w:r>
      <w:r w:rsidR="00EA2178" w:rsidRPr="00061D40">
        <w:t>payments</w:t>
      </w:r>
      <w:r w:rsidRPr="00061D40">
        <w:t xml:space="preserve"> </w:t>
      </w:r>
      <w:r w:rsidR="00415365" w:rsidRPr="00061D40">
        <w:t>are</w:t>
      </w:r>
      <w:r w:rsidRPr="00061D40">
        <w:t xml:space="preserve"> </w:t>
      </w:r>
      <w:r w:rsidR="00EA2178" w:rsidRPr="00061D40">
        <w:t xml:space="preserve">made </w:t>
      </w:r>
      <w:r w:rsidRPr="00061D40">
        <w:t>in accordance with</w:t>
      </w:r>
      <w:r w:rsidR="00415365" w:rsidRPr="00061D40">
        <w:t xml:space="preserve"> the payment schedule shown at Table </w:t>
      </w:r>
      <w:r w:rsidR="00EA2178" w:rsidRPr="00061D40">
        <w:t>H.1</w:t>
      </w:r>
      <w:r w:rsidR="00415365" w:rsidRPr="00061D40">
        <w:t xml:space="preserve"> in</w:t>
      </w:r>
      <w:r w:rsidR="00AB173B" w:rsidRPr="00061D40">
        <w:t xml:space="preserve"> </w:t>
      </w:r>
      <w:hyperlink w:anchor="_Appendix_H:_Funding" w:history="1">
        <w:r w:rsidR="00AB173B" w:rsidRPr="00061D40">
          <w:rPr>
            <w:rStyle w:val="Hyperlink"/>
            <w:rFonts w:cs="Garamond"/>
          </w:rPr>
          <w:t>Appendix H</w:t>
        </w:r>
      </w:hyperlink>
      <w:r w:rsidR="00CE4975" w:rsidRPr="00061D40">
        <w:t>.</w:t>
      </w:r>
    </w:p>
    <w:p w14:paraId="7F4863CF" w14:textId="77777777" w:rsidR="00FE4F03" w:rsidRPr="00061D40" w:rsidRDefault="00FE4F03" w:rsidP="00FE4F03">
      <w:pPr>
        <w:pStyle w:val="bodytextoutlinednumber"/>
      </w:pPr>
      <w:r>
        <w:t xml:space="preserve">Increased ISA payments for </w:t>
      </w:r>
      <w:r w:rsidR="001B3366">
        <w:t xml:space="preserve">eligible </w:t>
      </w:r>
      <w:r>
        <w:t>non-remote non-government boarding schools are made in October of each program year.</w:t>
      </w:r>
    </w:p>
    <w:p w14:paraId="7F4863D0" w14:textId="77777777" w:rsidR="00D32016" w:rsidRDefault="00164BCA">
      <w:pPr>
        <w:pStyle w:val="Heading3"/>
      </w:pPr>
      <w:bookmarkStart w:id="67" w:name="_Toc246483048"/>
      <w:r w:rsidRPr="00061D40">
        <w:t>Use of Funds</w:t>
      </w:r>
      <w:bookmarkEnd w:id="67"/>
    </w:p>
    <w:p w14:paraId="7F4863D1" w14:textId="77777777" w:rsidR="00164BCA" w:rsidRPr="00061D40" w:rsidRDefault="00164BCA" w:rsidP="0059078F">
      <w:pPr>
        <w:pStyle w:val="bodytextoutlinednumber"/>
      </w:pPr>
      <w:r w:rsidRPr="00061D40">
        <w:t>ISA is to be used for meeting operating expenditure incurred by approved non-government system and school authorities in implementing strategies to meet the Program objectives.</w:t>
      </w:r>
      <w:r w:rsidR="008E5ABB" w:rsidRPr="00061D40">
        <w:t xml:space="preserve"> </w:t>
      </w:r>
      <w:r w:rsidRPr="00061D40">
        <w:t>ISA can be used for:</w:t>
      </w:r>
    </w:p>
    <w:p w14:paraId="7F4863D2" w14:textId="77777777" w:rsidR="00164BCA" w:rsidRPr="00061D40" w:rsidRDefault="00AB173B" w:rsidP="00313AE7">
      <w:pPr>
        <w:pStyle w:val="bodytextoutlinednumber"/>
        <w:numPr>
          <w:ilvl w:val="1"/>
          <w:numId w:val="10"/>
        </w:numPr>
        <w:spacing w:before="100"/>
      </w:pPr>
      <w:r w:rsidRPr="00061D40">
        <w:t xml:space="preserve">teaching </w:t>
      </w:r>
      <w:r w:rsidR="00164BCA" w:rsidRPr="00061D40">
        <w:t>and ancillary staff salaries</w:t>
      </w:r>
    </w:p>
    <w:p w14:paraId="7F4863D3" w14:textId="77777777" w:rsidR="00164BCA" w:rsidRPr="00061D40" w:rsidRDefault="00AB173B" w:rsidP="00313AE7">
      <w:pPr>
        <w:pStyle w:val="bodytextoutlinednumber"/>
        <w:numPr>
          <w:ilvl w:val="1"/>
          <w:numId w:val="10"/>
        </w:numPr>
        <w:spacing w:before="100"/>
      </w:pPr>
      <w:r w:rsidRPr="00061D40">
        <w:t xml:space="preserve">professional </w:t>
      </w:r>
      <w:r w:rsidR="00164BCA" w:rsidRPr="00061D40">
        <w:t>development of teachers</w:t>
      </w:r>
    </w:p>
    <w:p w14:paraId="7F4863D4" w14:textId="77777777" w:rsidR="00164BCA" w:rsidRPr="00061D40" w:rsidRDefault="00AB173B" w:rsidP="00313AE7">
      <w:pPr>
        <w:pStyle w:val="bodytextoutlinednumber"/>
        <w:numPr>
          <w:ilvl w:val="1"/>
          <w:numId w:val="10"/>
        </w:numPr>
        <w:spacing w:before="100"/>
      </w:pPr>
      <w:r w:rsidRPr="00061D40">
        <w:t>c</w:t>
      </w:r>
      <w:r w:rsidR="00164BCA" w:rsidRPr="00061D40">
        <w:t>urriculum development</w:t>
      </w:r>
    </w:p>
    <w:p w14:paraId="7F4863D5" w14:textId="77777777" w:rsidR="00164BCA" w:rsidRPr="00061D40" w:rsidRDefault="00AB173B" w:rsidP="00313AE7">
      <w:pPr>
        <w:pStyle w:val="bodytextoutlinednumber"/>
        <w:numPr>
          <w:ilvl w:val="1"/>
          <w:numId w:val="10"/>
        </w:numPr>
        <w:spacing w:before="100"/>
      </w:pPr>
      <w:r w:rsidRPr="00061D40">
        <w:t>m</w:t>
      </w:r>
      <w:r w:rsidR="0029762F" w:rsidRPr="00061D40">
        <w:t>aintenance and general operation provisions</w:t>
      </w:r>
      <w:r w:rsidR="00164BCA" w:rsidRPr="00061D40">
        <w:t>.</w:t>
      </w:r>
    </w:p>
    <w:p w14:paraId="7F4863D6" w14:textId="77777777" w:rsidR="00D32016" w:rsidRDefault="004C4996">
      <w:pPr>
        <w:pStyle w:val="Heading2"/>
      </w:pPr>
      <w:r w:rsidRPr="00061D40">
        <w:br w:type="page"/>
      </w:r>
      <w:bookmarkStart w:id="68" w:name="_Toc246483049"/>
      <w:bookmarkStart w:id="69" w:name="_Toc246493722"/>
      <w:bookmarkStart w:id="70" w:name="_Toc346205319"/>
      <w:r w:rsidR="00D83ED7" w:rsidRPr="00D83ED7">
        <w:lastRenderedPageBreak/>
        <w:t>2.3 Indigenous Funding Guarantee</w:t>
      </w:r>
      <w:bookmarkEnd w:id="68"/>
      <w:bookmarkEnd w:id="69"/>
      <w:bookmarkEnd w:id="70"/>
    </w:p>
    <w:p w14:paraId="7F4863D7" w14:textId="77777777" w:rsidR="00D32016" w:rsidRDefault="00497525">
      <w:pPr>
        <w:pStyle w:val="Heading3"/>
      </w:pPr>
      <w:bookmarkStart w:id="71" w:name="_Toc246483050"/>
      <w:bookmarkStart w:id="72" w:name="OLE_LINK14"/>
      <w:bookmarkStart w:id="73" w:name="OLE_LINK20"/>
      <w:r w:rsidRPr="00061D40">
        <w:t>Legislative Authority</w:t>
      </w:r>
      <w:bookmarkEnd w:id="71"/>
    </w:p>
    <w:bookmarkEnd w:id="72"/>
    <w:bookmarkEnd w:id="73"/>
    <w:p w14:paraId="7F4863D8" w14:textId="77777777" w:rsidR="00497525" w:rsidRPr="00061D40" w:rsidRDefault="000F6C52" w:rsidP="0059078F">
      <w:pPr>
        <w:pStyle w:val="bodytextoutlinednumber"/>
      </w:pPr>
      <w:r w:rsidRPr="00061D40">
        <w:t xml:space="preserve">The </w:t>
      </w:r>
      <w:r w:rsidR="00497525" w:rsidRPr="00061D40">
        <w:t xml:space="preserve">Indigenous Funding Guarantee (IFG) for </w:t>
      </w:r>
      <w:r w:rsidR="009D46AB" w:rsidRPr="00061D40">
        <w:t xml:space="preserve">approved </w:t>
      </w:r>
      <w:r w:rsidR="00497525" w:rsidRPr="00061D40">
        <w:t xml:space="preserve">non-government </w:t>
      </w:r>
      <w:r w:rsidR="00415365" w:rsidRPr="00061D40">
        <w:t xml:space="preserve">schools and school </w:t>
      </w:r>
      <w:r w:rsidR="009D46AB" w:rsidRPr="00061D40">
        <w:t>system</w:t>
      </w:r>
      <w:r w:rsidR="00415365" w:rsidRPr="00061D40">
        <w:t>s</w:t>
      </w:r>
      <w:r w:rsidR="009D46AB" w:rsidRPr="00061D40">
        <w:t xml:space="preserve"> </w:t>
      </w:r>
      <w:r w:rsidR="00497525" w:rsidRPr="00061D40">
        <w:t>for the 2009-</w:t>
      </w:r>
      <w:r w:rsidR="008067F6">
        <w:t>2013</w:t>
      </w:r>
      <w:r w:rsidR="00497525" w:rsidRPr="00061D40">
        <w:t xml:space="preserve"> funding period is provided under Part 4, Division </w:t>
      </w:r>
      <w:r w:rsidRPr="00061D40">
        <w:t>10</w:t>
      </w:r>
      <w:r w:rsidR="00497525" w:rsidRPr="00061D40">
        <w:t xml:space="preserve"> of the Act.</w:t>
      </w:r>
      <w:r w:rsidR="008E5ABB" w:rsidRPr="00061D40">
        <w:t xml:space="preserve"> </w:t>
      </w:r>
      <w:r w:rsidR="00415365" w:rsidRPr="00061D40">
        <w:t>Approved n</w:t>
      </w:r>
      <w:r w:rsidR="00497525" w:rsidRPr="00061D40">
        <w:t>on-government schools and school systems in each state and territory</w:t>
      </w:r>
      <w:r w:rsidR="00415365" w:rsidRPr="00061D40">
        <w:t xml:space="preserve"> in receipt of</w:t>
      </w:r>
      <w:r w:rsidR="00497525" w:rsidRPr="00061D40">
        <w:t xml:space="preserve"> IFG funding must comply with all the requirements of the Act.</w:t>
      </w:r>
    </w:p>
    <w:p w14:paraId="7F4863D9" w14:textId="77777777" w:rsidR="00D32016" w:rsidRDefault="00893052">
      <w:pPr>
        <w:pStyle w:val="Heading3"/>
      </w:pPr>
      <w:bookmarkStart w:id="74" w:name="_Toc246483051"/>
      <w:r w:rsidRPr="00061D40">
        <w:t>Objective</w:t>
      </w:r>
      <w:bookmarkEnd w:id="74"/>
    </w:p>
    <w:p w14:paraId="7F4863DA" w14:textId="77777777" w:rsidR="006A4CC8" w:rsidRPr="00061D40" w:rsidRDefault="00164BCA" w:rsidP="0059078F">
      <w:pPr>
        <w:pStyle w:val="bodytextoutlinednumber"/>
      </w:pPr>
      <w:r w:rsidRPr="00061D40">
        <w:t xml:space="preserve">The specific objective of the IFG is to </w:t>
      </w:r>
      <w:r w:rsidR="00E306A1" w:rsidRPr="00061D40">
        <w:t>ensure</w:t>
      </w:r>
      <w:r w:rsidRPr="00061D40">
        <w:t xml:space="preserve"> approved non-government </w:t>
      </w:r>
      <w:r w:rsidR="00415365" w:rsidRPr="00061D40">
        <w:t xml:space="preserve">schools and school </w:t>
      </w:r>
      <w:r w:rsidRPr="00061D40">
        <w:t>system</w:t>
      </w:r>
      <w:r w:rsidR="00415365" w:rsidRPr="00061D40">
        <w:t xml:space="preserve">s receive an amount of recurrent assistance funding (including </w:t>
      </w:r>
      <w:r w:rsidR="00D1399A">
        <w:t>Indigenous Supplementary Assistance (</w:t>
      </w:r>
      <w:r w:rsidR="00415365" w:rsidRPr="00061D40">
        <w:t>ISA</w:t>
      </w:r>
      <w:r w:rsidR="00D1399A">
        <w:t>)</w:t>
      </w:r>
      <w:r w:rsidR="00415365" w:rsidRPr="00061D40">
        <w:t xml:space="preserve"> funding) that is at least comparable to their actual 2008 recurrent funding including funding received for Indigenous students under the previous funding arrangements, taking into account actual funded enrolments in any program year.</w:t>
      </w:r>
    </w:p>
    <w:p w14:paraId="7F4863DB" w14:textId="77777777" w:rsidR="006A4CC8" w:rsidRPr="00061D40" w:rsidRDefault="00415365" w:rsidP="0059078F">
      <w:pPr>
        <w:pStyle w:val="bodytextoutlinednumber"/>
      </w:pPr>
      <w:r w:rsidRPr="00061D40">
        <w:t>IFG does not</w:t>
      </w:r>
      <w:r w:rsidR="006A4CC8" w:rsidRPr="00061D40">
        <w:t xml:space="preserve"> insulate approved non-government </w:t>
      </w:r>
      <w:r w:rsidRPr="00061D40">
        <w:t xml:space="preserve">schools and school </w:t>
      </w:r>
      <w:r w:rsidR="006A4CC8" w:rsidRPr="00061D40">
        <w:t>system</w:t>
      </w:r>
      <w:r w:rsidRPr="00061D40">
        <w:t>s</w:t>
      </w:r>
      <w:r w:rsidR="006A4CC8" w:rsidRPr="00061D40">
        <w:t xml:space="preserve"> from any fall in enrolments, ceasing to be a </w:t>
      </w:r>
      <w:r w:rsidR="0020324E" w:rsidRPr="00061D40">
        <w:t xml:space="preserve">Majority Indigenous Student School </w:t>
      </w:r>
      <w:r w:rsidR="006A4CC8" w:rsidRPr="00061D40">
        <w:t xml:space="preserve">for the purposes of Part 4, Division 6 of the Act, or where entitlements to a Remoteness </w:t>
      </w:r>
      <w:r w:rsidR="00580FAC" w:rsidRPr="00061D40">
        <w:t>L</w:t>
      </w:r>
      <w:r w:rsidR="006A4CC8" w:rsidRPr="00061D40">
        <w:t>oading under Part 4, Division 8 of the Act changes, as these are normal business considerations.</w:t>
      </w:r>
    </w:p>
    <w:p w14:paraId="7F4863DC" w14:textId="77777777" w:rsidR="00D32016" w:rsidRDefault="00164BCA">
      <w:pPr>
        <w:pStyle w:val="Heading3"/>
      </w:pPr>
      <w:bookmarkStart w:id="75" w:name="_Toc246483052"/>
      <w:r w:rsidRPr="00061D40">
        <w:t>Eligibility</w:t>
      </w:r>
      <w:bookmarkEnd w:id="75"/>
    </w:p>
    <w:p w14:paraId="7F4863DD" w14:textId="77777777" w:rsidR="00D1399A" w:rsidRDefault="00D1399A" w:rsidP="00D1399A">
      <w:pPr>
        <w:pStyle w:val="bodytextoutlinednumber"/>
      </w:pPr>
      <w:r>
        <w:t>Eligibility for the IFG has been determined by comparing either the total amount (Total School Approach) or the per capita amount (Per Capita Approach) of combined recurrent grants (RG) and Indigenous funding in 2008 with the total or per capita amount of combined RG and ISA funding in subsequent program years. The approach identified as most beneficial in 2009 determines whether IFG entitlements are calculated on a Total School or Per Capita basis.</w:t>
      </w:r>
    </w:p>
    <w:p w14:paraId="7F4863DE" w14:textId="77777777" w:rsidR="008B30A8" w:rsidRDefault="00751B81" w:rsidP="0059078F">
      <w:pPr>
        <w:pStyle w:val="bodytextoutlinednumber"/>
      </w:pPr>
      <w:r w:rsidRPr="00061D40">
        <w:t>In deciding whether to authorise an IFG payment for the 201</w:t>
      </w:r>
      <w:r w:rsidR="0026187B">
        <w:t>3</w:t>
      </w:r>
      <w:r w:rsidRPr="00061D40">
        <w:t xml:space="preserve"> program year</w:t>
      </w:r>
      <w:r w:rsidR="00D1399A">
        <w:t xml:space="preserve"> under the Total School Approach</w:t>
      </w:r>
      <w:r w:rsidRPr="00061D40">
        <w:t xml:space="preserve">, the Minister will take into account the </w:t>
      </w:r>
      <w:r w:rsidR="00D1399A">
        <w:t xml:space="preserve">combined </w:t>
      </w:r>
      <w:r w:rsidRPr="00061D40">
        <w:t>amount of RG and ISA funding received for the 20</w:t>
      </w:r>
      <w:r w:rsidR="000327BA" w:rsidRPr="00061D40">
        <w:t>1</w:t>
      </w:r>
      <w:r w:rsidR="0026187B">
        <w:t>2</w:t>
      </w:r>
      <w:r w:rsidRPr="00061D40">
        <w:t xml:space="preserve"> program year compared with the </w:t>
      </w:r>
      <w:r w:rsidR="00D1399A">
        <w:t xml:space="preserve">combined </w:t>
      </w:r>
      <w:r w:rsidRPr="00061D40">
        <w:t xml:space="preserve">amount of </w:t>
      </w:r>
      <w:r w:rsidR="00D1399A">
        <w:t xml:space="preserve">RG and Indigenous </w:t>
      </w:r>
      <w:r w:rsidRPr="00061D40">
        <w:t xml:space="preserve">funding received for the 2008 program year. If </w:t>
      </w:r>
      <w:r w:rsidR="00D1399A">
        <w:t xml:space="preserve">the </w:t>
      </w:r>
      <w:r w:rsidRPr="00061D40">
        <w:t xml:space="preserve">2008 </w:t>
      </w:r>
      <w:r w:rsidR="00E90F2A">
        <w:t xml:space="preserve">total </w:t>
      </w:r>
      <w:r w:rsidRPr="00061D40">
        <w:t xml:space="preserve">funding amount </w:t>
      </w:r>
      <w:r w:rsidR="00C74737">
        <w:t xml:space="preserve">is </w:t>
      </w:r>
      <w:r w:rsidRPr="00061D40">
        <w:t>greater than the 20</w:t>
      </w:r>
      <w:r w:rsidR="000327BA" w:rsidRPr="00061D40">
        <w:t>1</w:t>
      </w:r>
      <w:r w:rsidR="0026187B">
        <w:t>2</w:t>
      </w:r>
      <w:r w:rsidRPr="00061D40">
        <w:t xml:space="preserve"> amount, an IFG payment </w:t>
      </w:r>
      <w:r w:rsidR="00C74737">
        <w:t xml:space="preserve">will be generated </w:t>
      </w:r>
      <w:r w:rsidRPr="00061D40">
        <w:t>for the 201</w:t>
      </w:r>
      <w:r w:rsidR="0026187B">
        <w:t>3</w:t>
      </w:r>
      <w:r w:rsidRPr="00061D40">
        <w:t xml:space="preserve"> program year</w:t>
      </w:r>
      <w:r w:rsidR="00D1147E">
        <w:t>. An advance payment of 50 per cent of the entitlement will be made in March and the remaining 50 per cent of the entitlement will be made in October. Refer to</w:t>
      </w:r>
      <w:r w:rsidR="00E96CB5">
        <w:t xml:space="preserve"> Table H.3 in </w:t>
      </w:r>
      <w:hyperlink w:anchor="_Appendix_H:_Funding" w:history="1">
        <w:r w:rsidR="00E96CB5" w:rsidRPr="00E96CB5">
          <w:rPr>
            <w:rStyle w:val="Hyperlink"/>
            <w:rFonts w:cs="Garamond"/>
          </w:rPr>
          <w:t>Appendix H</w:t>
        </w:r>
      </w:hyperlink>
      <w:r w:rsidRPr="00061D40">
        <w:t>.</w:t>
      </w:r>
    </w:p>
    <w:p w14:paraId="7F4863DF" w14:textId="77777777" w:rsidR="00C74737" w:rsidRPr="00061D40" w:rsidRDefault="00C74737" w:rsidP="00C74737">
      <w:pPr>
        <w:pStyle w:val="bodytextoutlinednumber"/>
      </w:pPr>
      <w:r>
        <w:t>In deciding whether to authorise an IFG payment for the 201</w:t>
      </w:r>
      <w:r w:rsidR="0026187B">
        <w:t>3</w:t>
      </w:r>
      <w:r>
        <w:t xml:space="preserve"> program year under the Per Capita Approach, the Minister will take into account the combined per capita amount of RG and ISA funding due to be paid for the 201</w:t>
      </w:r>
      <w:r w:rsidR="0026187B">
        <w:t>3</w:t>
      </w:r>
      <w:r>
        <w:t xml:space="preserve"> program year compared with the combined per capita amount of RG and Indigenous funding received for the 2008 program year. If the 2008 per capita amount is greater than the 201</w:t>
      </w:r>
      <w:r w:rsidR="0026187B">
        <w:t>3</w:t>
      </w:r>
      <w:r>
        <w:t xml:space="preserve"> per capita amount, an IFG payment will be generated for the 201</w:t>
      </w:r>
      <w:r w:rsidR="0026187B">
        <w:t>3</w:t>
      </w:r>
      <w:r>
        <w:t xml:space="preserve"> program year</w:t>
      </w:r>
      <w:r w:rsidR="00D1147E">
        <w:t xml:space="preserve">. </w:t>
      </w:r>
      <w:r w:rsidR="008730C5" w:rsidRPr="008730C5">
        <w:rPr>
          <w:b/>
        </w:rPr>
        <w:t>The full entitlement will be paid in October</w:t>
      </w:r>
      <w:r w:rsidR="00D1147E">
        <w:t xml:space="preserve">. Refer to </w:t>
      </w:r>
      <w:r w:rsidR="00E96CB5">
        <w:t>Table H.</w:t>
      </w:r>
      <w:r w:rsidR="00503692">
        <w:t>4</w:t>
      </w:r>
      <w:r w:rsidR="00E96CB5">
        <w:t xml:space="preserve"> in </w:t>
      </w:r>
      <w:hyperlink w:anchor="_Appendix_H:_Funding" w:history="1">
        <w:r w:rsidR="00E96CB5" w:rsidRPr="00E96CB5">
          <w:rPr>
            <w:rStyle w:val="Hyperlink"/>
            <w:rFonts w:cs="Garamond"/>
          </w:rPr>
          <w:t>Appendix H</w:t>
        </w:r>
      </w:hyperlink>
      <w:r>
        <w:t>.</w:t>
      </w:r>
    </w:p>
    <w:p w14:paraId="7F4863E0" w14:textId="77777777" w:rsidR="00582559" w:rsidRDefault="00C74737" w:rsidP="00843C40">
      <w:pPr>
        <w:pStyle w:val="bodytextoutlinednumber"/>
      </w:pPr>
      <w:r>
        <w:lastRenderedPageBreak/>
        <w:t>For approved school systems, eligibility for IFG is based on the funding entitlement of the system as a whole and not on the basis of the funding entitlements generated by individual schools within the system.</w:t>
      </w:r>
    </w:p>
    <w:p w14:paraId="7F4863E1" w14:textId="77777777" w:rsidR="00457290" w:rsidRPr="00061D40" w:rsidRDefault="00457290" w:rsidP="00843C40">
      <w:pPr>
        <w:pStyle w:val="bodytextoutlinednumber"/>
      </w:pPr>
      <w:r w:rsidRPr="00061D40">
        <w:t xml:space="preserve">Only approved schools or school systems </w:t>
      </w:r>
      <w:r w:rsidR="00751B81" w:rsidRPr="00061D40">
        <w:t>that</w:t>
      </w:r>
      <w:r w:rsidRPr="00061D40">
        <w:t xml:space="preserve"> received IFG in 20</w:t>
      </w:r>
      <w:r w:rsidR="000327BA" w:rsidRPr="00061D40">
        <w:t>1</w:t>
      </w:r>
      <w:r w:rsidR="0026187B">
        <w:t>2</w:t>
      </w:r>
      <w:r w:rsidRPr="00061D40">
        <w:t xml:space="preserve"> will be assessed for 201</w:t>
      </w:r>
      <w:r w:rsidR="0026187B">
        <w:t>3</w:t>
      </w:r>
      <w:r w:rsidRPr="00061D40">
        <w:t xml:space="preserve"> funding. If </w:t>
      </w:r>
      <w:r w:rsidR="00751B81" w:rsidRPr="00061D40">
        <w:t>a</w:t>
      </w:r>
      <w:r w:rsidRPr="00061D40">
        <w:t xml:space="preserve"> school or system did not receive IFG in 20</w:t>
      </w:r>
      <w:r w:rsidR="000327BA" w:rsidRPr="00061D40">
        <w:t>1</w:t>
      </w:r>
      <w:r w:rsidR="0026187B">
        <w:t>2</w:t>
      </w:r>
      <w:r w:rsidRPr="00061D40">
        <w:t xml:space="preserve">, it will not be considered for assessment for the remainder of the funding period. </w:t>
      </w:r>
    </w:p>
    <w:p w14:paraId="7F4863E2" w14:textId="77777777" w:rsidR="00D32016" w:rsidRDefault="00164BCA">
      <w:pPr>
        <w:pStyle w:val="Heading3"/>
      </w:pPr>
      <w:bookmarkStart w:id="76" w:name="_Toc246483053"/>
      <w:r w:rsidRPr="00061D40">
        <w:t>Calculation of Indigenous Funding Guarantee Entitlements</w:t>
      </w:r>
      <w:bookmarkEnd w:id="76"/>
    </w:p>
    <w:p w14:paraId="7F4863E3" w14:textId="77777777" w:rsidR="00164BCA" w:rsidRPr="00061D40" w:rsidRDefault="00164BCA" w:rsidP="0059078F">
      <w:pPr>
        <w:pStyle w:val="bodytextoutlinednumber"/>
      </w:pPr>
      <w:r w:rsidRPr="00061D40">
        <w:t>Where final 2008 entitlements are greater than final 20</w:t>
      </w:r>
      <w:r w:rsidR="000327BA" w:rsidRPr="00061D40">
        <w:t>1</w:t>
      </w:r>
      <w:r w:rsidR="0026187B">
        <w:t>2</w:t>
      </w:r>
      <w:r w:rsidRPr="00061D40">
        <w:t xml:space="preserve"> </w:t>
      </w:r>
      <w:r w:rsidR="00C74737">
        <w:t>total school or 201</w:t>
      </w:r>
      <w:r w:rsidR="007F0178">
        <w:t>3</w:t>
      </w:r>
      <w:r w:rsidR="00C74737">
        <w:t xml:space="preserve"> per capita </w:t>
      </w:r>
      <w:r w:rsidRPr="00061D40">
        <w:t xml:space="preserve">entitlements, the maximum amount payable </w:t>
      </w:r>
      <w:r w:rsidR="00681A98" w:rsidRPr="00061D40">
        <w:t>for 201</w:t>
      </w:r>
      <w:r w:rsidR="0026187B">
        <w:t>3</w:t>
      </w:r>
      <w:r w:rsidR="00562478" w:rsidRPr="00061D40">
        <w:t xml:space="preserve"> </w:t>
      </w:r>
      <w:r w:rsidRPr="00061D40">
        <w:t xml:space="preserve">IFG </w:t>
      </w:r>
      <w:r w:rsidR="00681A98" w:rsidRPr="00061D40">
        <w:t>is</w:t>
      </w:r>
      <w:r w:rsidRPr="00061D40">
        <w:t xml:space="preserve"> the difference between </w:t>
      </w:r>
      <w:r w:rsidR="00681A98" w:rsidRPr="00061D40">
        <w:t>those amounts</w:t>
      </w:r>
      <w:r w:rsidRPr="00061D40">
        <w:t>.</w:t>
      </w:r>
    </w:p>
    <w:p w14:paraId="7F4863E4" w14:textId="77777777" w:rsidR="00164BCA" w:rsidRPr="00061D40" w:rsidRDefault="00681A98" w:rsidP="0059078F">
      <w:pPr>
        <w:pStyle w:val="bodytextoutlinednumber"/>
      </w:pPr>
      <w:r w:rsidRPr="00061D40">
        <w:t>As changes due to normal business consideration are not taken into account,</w:t>
      </w:r>
      <w:r w:rsidR="00164BCA" w:rsidRPr="00061D40">
        <w:t xml:space="preserve"> </w:t>
      </w:r>
      <w:r w:rsidR="0029762F" w:rsidRPr="00061D40">
        <w:t>maximum</w:t>
      </w:r>
      <w:r w:rsidR="00164BCA" w:rsidRPr="00061D40">
        <w:t xml:space="preserve"> IFG entitlement</w:t>
      </w:r>
      <w:r w:rsidRPr="00061D40">
        <w:t>s</w:t>
      </w:r>
      <w:r w:rsidR="00164BCA" w:rsidRPr="00061D40">
        <w:t xml:space="preserve"> </w:t>
      </w:r>
      <w:r w:rsidR="0029762F" w:rsidRPr="00061D40">
        <w:t xml:space="preserve">may </w:t>
      </w:r>
      <w:r w:rsidR="00164BCA" w:rsidRPr="00061D40">
        <w:t>be adjusted downwards to reflect the impact of any decrease in enrolments.</w:t>
      </w:r>
    </w:p>
    <w:p w14:paraId="7F4863E5" w14:textId="77777777" w:rsidR="00D32016" w:rsidRDefault="00164BCA">
      <w:pPr>
        <w:pStyle w:val="Heading3"/>
      </w:pPr>
      <w:bookmarkStart w:id="77" w:name="_Toc246483054"/>
      <w:r w:rsidRPr="00061D40">
        <w:t>Use of Funds</w:t>
      </w:r>
      <w:bookmarkEnd w:id="77"/>
      <w:r w:rsidR="00F03236" w:rsidRPr="00061D40">
        <w:t xml:space="preserve"> </w:t>
      </w:r>
    </w:p>
    <w:p w14:paraId="7F4863E6" w14:textId="77777777" w:rsidR="00164BCA" w:rsidRPr="00061D40" w:rsidRDefault="00ED55D4" w:rsidP="0059078F">
      <w:pPr>
        <w:pStyle w:val="bodytextoutlinednumber"/>
      </w:pPr>
      <w:r w:rsidRPr="00061D40">
        <w:t xml:space="preserve">IFG must be used </w:t>
      </w:r>
      <w:r w:rsidR="00B04388" w:rsidRPr="00061D40">
        <w:t xml:space="preserve">by </w:t>
      </w:r>
      <w:r w:rsidR="00681A98" w:rsidRPr="00061D40">
        <w:t>recipients</w:t>
      </w:r>
      <w:r w:rsidR="00B04388" w:rsidRPr="00061D40">
        <w:t xml:space="preserve"> </w:t>
      </w:r>
      <w:r w:rsidRPr="00061D40">
        <w:t>to support the delivery of additional education services to their Indigenous students</w:t>
      </w:r>
      <w:r w:rsidR="00681A98" w:rsidRPr="00061D40">
        <w:t>.</w:t>
      </w:r>
      <w:r w:rsidR="008E5ABB" w:rsidRPr="00061D40">
        <w:t xml:space="preserve"> </w:t>
      </w:r>
      <w:r w:rsidR="00994F4D" w:rsidRPr="00061D40">
        <w:t xml:space="preserve">IFG </w:t>
      </w:r>
      <w:r w:rsidR="00164BCA" w:rsidRPr="00061D40">
        <w:t>can be used</w:t>
      </w:r>
      <w:r w:rsidR="00CB0B7C" w:rsidRPr="00061D40">
        <w:t xml:space="preserve"> for</w:t>
      </w:r>
      <w:r w:rsidR="00164BCA" w:rsidRPr="00061D40">
        <w:t>:</w:t>
      </w:r>
    </w:p>
    <w:p w14:paraId="7F4863E7" w14:textId="77777777" w:rsidR="00164BCA" w:rsidRPr="00061D40" w:rsidRDefault="00751B81" w:rsidP="00313AE7">
      <w:pPr>
        <w:pStyle w:val="bodytextoutlinednumber"/>
        <w:numPr>
          <w:ilvl w:val="1"/>
          <w:numId w:val="10"/>
        </w:numPr>
      </w:pPr>
      <w:r w:rsidRPr="00061D40">
        <w:t>t</w:t>
      </w:r>
      <w:r w:rsidR="00164BCA" w:rsidRPr="00061D40">
        <w:t>eaching and ancillary staff salaries</w:t>
      </w:r>
    </w:p>
    <w:p w14:paraId="7F4863E8" w14:textId="77777777" w:rsidR="00164BCA" w:rsidRPr="00061D40" w:rsidRDefault="00751B81" w:rsidP="00313AE7">
      <w:pPr>
        <w:pStyle w:val="bodytextoutlinednumber"/>
        <w:numPr>
          <w:ilvl w:val="1"/>
          <w:numId w:val="10"/>
        </w:numPr>
      </w:pPr>
      <w:r w:rsidRPr="00061D40">
        <w:t xml:space="preserve">professional </w:t>
      </w:r>
      <w:r w:rsidR="00164BCA" w:rsidRPr="00061D40">
        <w:t>development of teachers</w:t>
      </w:r>
    </w:p>
    <w:p w14:paraId="7F4863E9" w14:textId="77777777" w:rsidR="00164BCA" w:rsidRPr="00061D40" w:rsidRDefault="00751B81" w:rsidP="00313AE7">
      <w:pPr>
        <w:pStyle w:val="bodytextoutlinednumber"/>
        <w:numPr>
          <w:ilvl w:val="1"/>
          <w:numId w:val="10"/>
        </w:numPr>
      </w:pPr>
      <w:r w:rsidRPr="00061D40">
        <w:t>c</w:t>
      </w:r>
      <w:r w:rsidR="00164BCA" w:rsidRPr="00061D40">
        <w:t>urriculum development</w:t>
      </w:r>
    </w:p>
    <w:p w14:paraId="7F4863EA" w14:textId="77777777" w:rsidR="00164BCA" w:rsidRPr="00061D40" w:rsidRDefault="00751B81" w:rsidP="00313AE7">
      <w:pPr>
        <w:pStyle w:val="bodytextoutlinednumber"/>
        <w:numPr>
          <w:ilvl w:val="1"/>
          <w:numId w:val="10"/>
        </w:numPr>
      </w:pPr>
      <w:r w:rsidRPr="00061D40">
        <w:t>m</w:t>
      </w:r>
      <w:r w:rsidR="0029762F" w:rsidRPr="00061D40">
        <w:t>aintenance and general operation provisions</w:t>
      </w:r>
      <w:r w:rsidR="00164BCA" w:rsidRPr="00061D40">
        <w:t>.</w:t>
      </w:r>
    </w:p>
    <w:p w14:paraId="7F4863EB" w14:textId="77777777" w:rsidR="00D32016" w:rsidRDefault="007A4618">
      <w:pPr>
        <w:pStyle w:val="Heading2"/>
      </w:pPr>
      <w:r w:rsidRPr="00061D40">
        <w:br w:type="page"/>
      </w:r>
      <w:bookmarkStart w:id="78" w:name="_Toc246483055"/>
      <w:bookmarkStart w:id="79" w:name="_Toc246493723"/>
      <w:bookmarkStart w:id="80" w:name="_Toc346205320"/>
      <w:r w:rsidR="00E306A1" w:rsidRPr="00061D40">
        <w:lastRenderedPageBreak/>
        <w:t xml:space="preserve">2.4 </w:t>
      </w:r>
      <w:r w:rsidR="00DE4538">
        <w:t>Program</w:t>
      </w:r>
      <w:r w:rsidR="00597AC3" w:rsidRPr="00061D40">
        <w:t xml:space="preserve"> Management and Accountability</w:t>
      </w:r>
      <w:bookmarkEnd w:id="78"/>
      <w:bookmarkEnd w:id="79"/>
      <w:bookmarkEnd w:id="80"/>
      <w:r w:rsidR="00597AC3" w:rsidRPr="00061D40">
        <w:t xml:space="preserve"> </w:t>
      </w:r>
    </w:p>
    <w:p w14:paraId="7F4863EC" w14:textId="77777777" w:rsidR="00597AC3" w:rsidRPr="00061D40" w:rsidRDefault="00597AC3" w:rsidP="0059078F">
      <w:pPr>
        <w:pStyle w:val="bodytextoutlinednumber"/>
      </w:pPr>
      <w:r w:rsidRPr="00061D40">
        <w:t xml:space="preserve">Successful applicants </w:t>
      </w:r>
      <w:r w:rsidR="00E306A1" w:rsidRPr="00061D40">
        <w:t xml:space="preserve">for </w:t>
      </w:r>
      <w:r w:rsidR="00B023D1" w:rsidRPr="00061D40">
        <w:t>RG</w:t>
      </w:r>
      <w:r w:rsidR="00E306A1" w:rsidRPr="00061D40">
        <w:t xml:space="preserve">, ISA and IFG (if applicable) </w:t>
      </w:r>
      <w:r w:rsidR="00B023D1" w:rsidRPr="00061D40">
        <w:t>are</w:t>
      </w:r>
      <w:r w:rsidRPr="00061D40">
        <w:t xml:space="preserve"> required to enter into a funding agreement with the Commonwealth which govern</w:t>
      </w:r>
      <w:r w:rsidR="00B023D1" w:rsidRPr="00061D40">
        <w:t>s</w:t>
      </w:r>
      <w:r w:rsidRPr="00061D40">
        <w:t xml:space="preserve"> all aspects of the relationship.</w:t>
      </w:r>
      <w:r w:rsidR="008E5ABB" w:rsidRPr="00061D40">
        <w:t xml:space="preserve"> </w:t>
      </w:r>
      <w:r w:rsidRPr="00061D40">
        <w:t>An agreement between the Commonwealth and the approved authority of the school must be signed prior to any payments being made.</w:t>
      </w:r>
      <w:r w:rsidR="008E5ABB" w:rsidRPr="00061D40">
        <w:t xml:space="preserve"> </w:t>
      </w:r>
      <w:r w:rsidRPr="00061D40">
        <w:t>Where a change of status of a school is occurring, the existing approved authority retains responsibility for the school’s dealings with the Commonwealth until the new authority enters into an agreement with the Commonwealth.</w:t>
      </w:r>
    </w:p>
    <w:p w14:paraId="7F4863ED" w14:textId="77777777" w:rsidR="00597AC3" w:rsidRPr="00061D40" w:rsidRDefault="00597AC3" w:rsidP="0059078F">
      <w:pPr>
        <w:pStyle w:val="bodytextoutlinednumber"/>
      </w:pPr>
      <w:r w:rsidRPr="00061D40">
        <w:t>Funds are payable on condition that the approved authority will:</w:t>
      </w:r>
    </w:p>
    <w:p w14:paraId="7F4863EE" w14:textId="77777777" w:rsidR="00A7199A" w:rsidRPr="00061D40" w:rsidRDefault="00A7199A" w:rsidP="00313AE7">
      <w:pPr>
        <w:pStyle w:val="bodytextoutlinednumber"/>
        <w:numPr>
          <w:ilvl w:val="1"/>
          <w:numId w:val="10"/>
        </w:numPr>
      </w:pPr>
      <w:r w:rsidRPr="00061D40">
        <w:t xml:space="preserve">allocate </w:t>
      </w:r>
      <w:r w:rsidR="0075662F" w:rsidRPr="00061D40">
        <w:t>grants for r</w:t>
      </w:r>
      <w:r w:rsidRPr="00061D40">
        <w:t xml:space="preserve">ecurrent </w:t>
      </w:r>
      <w:r w:rsidR="0075662F" w:rsidRPr="00061D40">
        <w:t xml:space="preserve">expenditure (covering RG, ISA and IFG, </w:t>
      </w:r>
      <w:r w:rsidR="00D31CC4" w:rsidRPr="00061D40">
        <w:t>if applicable)</w:t>
      </w:r>
      <w:r w:rsidR="00B023D1" w:rsidRPr="00061D40">
        <w:t>,</w:t>
      </w:r>
      <w:r w:rsidRPr="00061D40">
        <w:t xml:space="preserve"> in accordance with the objectives specified in ‘Program Objectives’ and in the particular program year for which funds have been allocated</w:t>
      </w:r>
    </w:p>
    <w:p w14:paraId="7F4863EF" w14:textId="77777777" w:rsidR="00A7199A" w:rsidRPr="00061D40" w:rsidRDefault="00A7199A" w:rsidP="00313AE7">
      <w:pPr>
        <w:pStyle w:val="bodytextoutlinednumber"/>
        <w:numPr>
          <w:ilvl w:val="1"/>
          <w:numId w:val="10"/>
        </w:numPr>
      </w:pPr>
      <w:r w:rsidRPr="00061D40">
        <w:t xml:space="preserve">for </w:t>
      </w:r>
      <w:r w:rsidR="00B023D1" w:rsidRPr="00061D40">
        <w:t xml:space="preserve">approved school </w:t>
      </w:r>
      <w:r w:rsidRPr="00061D40">
        <w:t>systems, allocate no more than 2</w:t>
      </w:r>
      <w:r w:rsidR="00327C42" w:rsidRPr="00061D40">
        <w:t xml:space="preserve"> per cent </w:t>
      </w:r>
      <w:r w:rsidRPr="00061D40">
        <w:t xml:space="preserve">of amounts paid under </w:t>
      </w:r>
      <w:r w:rsidR="00B023D1" w:rsidRPr="00061D40">
        <w:t xml:space="preserve">RG, ISA and IFG </w:t>
      </w:r>
      <w:r w:rsidR="00D31CC4" w:rsidRPr="00061D40">
        <w:t xml:space="preserve">(if applicable) </w:t>
      </w:r>
      <w:r w:rsidRPr="00061D40">
        <w:t xml:space="preserve">for the purpose of meeting administrative expenditure </w:t>
      </w:r>
      <w:r w:rsidR="00890313" w:rsidRPr="00061D40">
        <w:t xml:space="preserve">in relation to </w:t>
      </w:r>
      <w:r w:rsidR="00B023D1" w:rsidRPr="00061D40">
        <w:t>r</w:t>
      </w:r>
      <w:r w:rsidR="00890313" w:rsidRPr="00061D40">
        <w:t xml:space="preserve">ecurrent </w:t>
      </w:r>
      <w:r w:rsidR="00B023D1" w:rsidRPr="00061D40">
        <w:t>expenses</w:t>
      </w:r>
      <w:r w:rsidR="00890313" w:rsidRPr="00061D40">
        <w:t xml:space="preserve"> </w:t>
      </w:r>
      <w:r w:rsidRPr="00061D40">
        <w:t>incurred by the approved authority in respect of a program year, excluding specialist support staff (as defined in the Schools Census).</w:t>
      </w:r>
      <w:r w:rsidR="008E5ABB" w:rsidRPr="00061D40">
        <w:t xml:space="preserve"> </w:t>
      </w:r>
      <w:r w:rsidRPr="00061D40">
        <w:t xml:space="preserve">The </w:t>
      </w:r>
      <w:r w:rsidR="00890313" w:rsidRPr="00061D40">
        <w:t xml:space="preserve">Approved Authority is responsible for allocating the funding for the purposes of meeting </w:t>
      </w:r>
      <w:r w:rsidRPr="00061D40">
        <w:t>recurrent expenditure incurred by the systemic schools in the approved system having regard to the respective need of the schools in the approved system</w:t>
      </w:r>
      <w:r w:rsidR="003A66D4">
        <w:t>.</w:t>
      </w:r>
    </w:p>
    <w:p w14:paraId="7F4863F0" w14:textId="77777777" w:rsidR="00A7199A" w:rsidRPr="00061D40" w:rsidRDefault="00A7199A" w:rsidP="00313AE7">
      <w:pPr>
        <w:pStyle w:val="bodytextoutlinednumber"/>
        <w:numPr>
          <w:ilvl w:val="1"/>
          <w:numId w:val="10"/>
        </w:numPr>
      </w:pPr>
      <w:r w:rsidRPr="00061D40">
        <w:t>ensure that proper accounts and records of the financial administration of the school are kept.</w:t>
      </w:r>
      <w:r w:rsidR="008E5ABB" w:rsidRPr="00061D40">
        <w:t xml:space="preserve"> </w:t>
      </w:r>
      <w:r w:rsidRPr="00061D40">
        <w:t>The accounts and records shall be kept identifiably separate from the accounts and records of other institutions or undertakings which the approved authority conducts or to which it is related</w:t>
      </w:r>
      <w:r w:rsidR="003A66D4">
        <w:t>.</w:t>
      </w:r>
    </w:p>
    <w:p w14:paraId="7F4863F1" w14:textId="77777777" w:rsidR="007E040E" w:rsidRPr="00061D40" w:rsidRDefault="00A7199A" w:rsidP="007E040E">
      <w:pPr>
        <w:pStyle w:val="bodytextoutlinednumber"/>
        <w:numPr>
          <w:ilvl w:val="1"/>
          <w:numId w:val="10"/>
        </w:numPr>
      </w:pPr>
      <w:r w:rsidRPr="00061D40">
        <w:t xml:space="preserve">for all </w:t>
      </w:r>
      <w:r w:rsidR="002439A2" w:rsidRPr="00061D40">
        <w:t xml:space="preserve">approved non-government </w:t>
      </w:r>
      <w:r w:rsidRPr="00061D40">
        <w:t xml:space="preserve">schools and </w:t>
      </w:r>
      <w:r w:rsidR="002439A2" w:rsidRPr="00061D40">
        <w:t xml:space="preserve">school </w:t>
      </w:r>
      <w:r w:rsidRPr="00061D40">
        <w:t xml:space="preserve">systems, provide in a form approved by the Minister a </w:t>
      </w:r>
      <w:r w:rsidR="002C3C79">
        <w:t>report</w:t>
      </w:r>
      <w:r w:rsidRPr="00061D40">
        <w:t xml:space="preserve"> (the Financial Questionnaire</w:t>
      </w:r>
      <w:r w:rsidR="0079317B" w:rsidRPr="00061D40">
        <w:t>, including the auditor’s report from the school and/or system’s audited financial statements for the relevant program year</w:t>
      </w:r>
      <w:r w:rsidRPr="00061D40">
        <w:t xml:space="preserve">) to the Department by 30 </w:t>
      </w:r>
      <w:r w:rsidR="00E807C9" w:rsidRPr="00061D40">
        <w:t xml:space="preserve">June </w:t>
      </w:r>
      <w:r w:rsidRPr="00061D40">
        <w:t xml:space="preserve">in the year following the program year (or such </w:t>
      </w:r>
      <w:r w:rsidR="0079317B" w:rsidRPr="00061D40">
        <w:t xml:space="preserve">other </w:t>
      </w:r>
      <w:r w:rsidRPr="00061D40">
        <w:t>date as the Minister approves)</w:t>
      </w:r>
      <w:r w:rsidR="002C3C79">
        <w:t>.</w:t>
      </w:r>
      <w:r w:rsidR="001017C1">
        <w:t xml:space="preserve"> </w:t>
      </w:r>
      <w:r w:rsidR="002C3C79">
        <w:t>The report must</w:t>
      </w:r>
      <w:r w:rsidRPr="00061D40">
        <w:t xml:space="preserve"> contain particulars on matters which the Department specifies such as all income received and expenditure incurred in operating the school and/or system and providing activities for students</w:t>
      </w:r>
      <w:r w:rsidR="00EB0AA7">
        <w:t xml:space="preserve"> in the relevant </w:t>
      </w:r>
      <w:r w:rsidR="002C3C79">
        <w:t>program</w:t>
      </w:r>
      <w:r w:rsidR="00EB0AA7">
        <w:t xml:space="preserve"> year.</w:t>
      </w:r>
      <w:r w:rsidR="002C3C79">
        <w:t xml:space="preserve"> </w:t>
      </w:r>
      <w:r w:rsidR="002C3C79" w:rsidRPr="00061D40">
        <w:rPr>
          <w:shd w:val="clear" w:color="auto" w:fill="FFFFFD"/>
        </w:rPr>
        <w:t>The auditor’s report</w:t>
      </w:r>
      <w:r w:rsidR="003C7C0D">
        <w:rPr>
          <w:shd w:val="clear" w:color="auto" w:fill="FFFFFD"/>
        </w:rPr>
        <w:t xml:space="preserve">  </w:t>
      </w:r>
      <w:r w:rsidR="002C3C79">
        <w:rPr>
          <w:shd w:val="clear" w:color="auto" w:fill="FFFFFD"/>
        </w:rPr>
        <w:t>referred to above must be sourced from the audited financial statements prepared</w:t>
      </w:r>
      <w:r w:rsidR="003B47DA">
        <w:rPr>
          <w:shd w:val="clear" w:color="auto" w:fill="FFFFFD"/>
        </w:rPr>
        <w:t>, for the program year,</w:t>
      </w:r>
      <w:r w:rsidR="002C3C79">
        <w:rPr>
          <w:shd w:val="clear" w:color="auto" w:fill="FFFFFD"/>
        </w:rPr>
        <w:t xml:space="preserve"> in accordance with the legislation under which the school and/or system operates, i.e. the federal </w:t>
      </w:r>
      <w:r w:rsidR="002C3C79" w:rsidRPr="00BD2EEE">
        <w:rPr>
          <w:i/>
          <w:shd w:val="clear" w:color="auto" w:fill="FFFFFD"/>
        </w:rPr>
        <w:t>Corporations Act 2001</w:t>
      </w:r>
      <w:r w:rsidR="002C3C79">
        <w:rPr>
          <w:shd w:val="clear" w:color="auto" w:fill="FFFFFD"/>
        </w:rPr>
        <w:t xml:space="preserve"> for companies limited by guarantee or the state Associations Incorporations Act for associations.</w:t>
      </w:r>
    </w:p>
    <w:p w14:paraId="7F4863F2" w14:textId="77777777" w:rsidR="00EB0AA7" w:rsidRDefault="00EB0AA7" w:rsidP="002C3C79">
      <w:pPr>
        <w:pStyle w:val="bodytextoutlinednumber"/>
        <w:numPr>
          <w:ilvl w:val="0"/>
          <w:numId w:val="0"/>
        </w:numPr>
        <w:ind w:left="851"/>
      </w:pPr>
      <w:r>
        <w:t xml:space="preserve">NOTE: the audit report is </w:t>
      </w:r>
      <w:r w:rsidRPr="00BD2EEE">
        <w:rPr>
          <w:u w:val="single"/>
        </w:rPr>
        <w:t>not</w:t>
      </w:r>
      <w:r>
        <w:t xml:space="preserve"> the same as the certificate by a qualified accountant referred to in point ‘f’ below.</w:t>
      </w:r>
    </w:p>
    <w:p w14:paraId="7F4863F3" w14:textId="77777777" w:rsidR="0079317B" w:rsidRPr="00061D40" w:rsidRDefault="0079317B" w:rsidP="0079317B">
      <w:pPr>
        <w:pStyle w:val="bodytextoutlinednumber"/>
        <w:numPr>
          <w:ilvl w:val="1"/>
          <w:numId w:val="10"/>
        </w:numPr>
      </w:pPr>
      <w:r w:rsidRPr="00061D40">
        <w:t>when notified in writing by the Department, participate in the Financial Questionnaire Verification Exercise (FQVE). The FQVE is a routine process by which the Department will check that Financial Questionnaire data submitted by non-</w:t>
      </w:r>
      <w:r w:rsidRPr="00061D40">
        <w:lastRenderedPageBreak/>
        <w:t>government schools and school systems has been correctly drawn from their audited statements. The approved authority may be required to provide, by the date specified in the written notification, financial reports including but not limited to:</w:t>
      </w:r>
    </w:p>
    <w:p w14:paraId="7F4863F4" w14:textId="77777777" w:rsidR="0079317B" w:rsidRPr="00061D40" w:rsidRDefault="0079317B" w:rsidP="006067EC">
      <w:pPr>
        <w:pStyle w:val="DotPointIndent2"/>
      </w:pPr>
      <w:r w:rsidRPr="00061D40">
        <w:t xml:space="preserve">a complete copy of the school and/or system's </w:t>
      </w:r>
      <w:r w:rsidRPr="00061D40">
        <w:rPr>
          <w:b/>
          <w:bCs/>
        </w:rPr>
        <w:t>audited financial statements for the relevant program year</w:t>
      </w:r>
      <w:r w:rsidRPr="00061D40">
        <w:t xml:space="preserve"> including all </w:t>
      </w:r>
      <w:r w:rsidRPr="006067EC">
        <w:t>notes</w:t>
      </w:r>
      <w:r w:rsidRPr="00061D40">
        <w:t xml:space="preserve"> to the accounts and the auditor’s report</w:t>
      </w:r>
    </w:p>
    <w:p w14:paraId="7F4863F5" w14:textId="77777777" w:rsidR="0079317B" w:rsidRPr="00061D40" w:rsidRDefault="0079317B" w:rsidP="006067EC">
      <w:pPr>
        <w:pStyle w:val="DotPointIndent2"/>
      </w:pPr>
      <w:r w:rsidRPr="00061D40">
        <w:t xml:space="preserve">a </w:t>
      </w:r>
      <w:r w:rsidRPr="00061D40">
        <w:rPr>
          <w:b/>
        </w:rPr>
        <w:t>reconciliation statement</w:t>
      </w:r>
      <w:r w:rsidRPr="00061D40">
        <w:t xml:space="preserve"> showing how the individual items of income, expenditure and loans from the </w:t>
      </w:r>
      <w:r w:rsidRPr="00AA2BE3">
        <w:t>financial</w:t>
      </w:r>
      <w:r w:rsidRPr="00061D40">
        <w:t xml:space="preserve"> statements are allocated across the various Financial Q</w:t>
      </w:r>
      <w:r w:rsidR="007E040E" w:rsidRPr="00061D40">
        <w:t>uestionnaire items</w:t>
      </w:r>
    </w:p>
    <w:p w14:paraId="7F4863F6" w14:textId="77777777" w:rsidR="0079317B" w:rsidRPr="00061D40" w:rsidRDefault="0079317B" w:rsidP="006067EC">
      <w:pPr>
        <w:pStyle w:val="DotPointIndent2"/>
      </w:pPr>
      <w:r w:rsidRPr="00061D40">
        <w:t>a</w:t>
      </w:r>
      <w:r w:rsidRPr="00061D40">
        <w:rPr>
          <w:b/>
        </w:rPr>
        <w:t xml:space="preserve"> trial balance</w:t>
      </w:r>
      <w:r w:rsidRPr="00061D40">
        <w:t xml:space="preserve">, where </w:t>
      </w:r>
      <w:r w:rsidRPr="00AA2BE3">
        <w:t>one</w:t>
      </w:r>
      <w:r w:rsidRPr="00061D40">
        <w:t xml:space="preserve"> is available</w:t>
      </w:r>
    </w:p>
    <w:p w14:paraId="7F4863F7" w14:textId="77777777" w:rsidR="0079317B" w:rsidRPr="00061D40" w:rsidRDefault="0079317B" w:rsidP="006067EC">
      <w:pPr>
        <w:pStyle w:val="DotPointIndent2"/>
      </w:pPr>
      <w:r w:rsidRPr="00061D40">
        <w:rPr>
          <w:b/>
        </w:rPr>
        <w:t>details of any net figures</w:t>
      </w:r>
      <w:r w:rsidRPr="00061D40">
        <w:t xml:space="preserve"> either in the school and/or system's audited financial statements</w:t>
      </w:r>
      <w:r w:rsidR="007E040E" w:rsidRPr="00061D40">
        <w:t xml:space="preserve"> or the Financial </w:t>
      </w:r>
      <w:r w:rsidR="007E040E" w:rsidRPr="00AA2BE3">
        <w:t>Questionnaire</w:t>
      </w:r>
    </w:p>
    <w:p w14:paraId="7F4863F8" w14:textId="77777777" w:rsidR="007E040E" w:rsidRPr="00061D40" w:rsidRDefault="0079317B" w:rsidP="007E040E">
      <w:pPr>
        <w:pStyle w:val="bodytextoutlinednumber"/>
        <w:numPr>
          <w:ilvl w:val="1"/>
          <w:numId w:val="10"/>
        </w:numPr>
        <w:rPr>
          <w:shd w:val="clear" w:color="auto" w:fill="FFFFFD"/>
        </w:rPr>
      </w:pPr>
      <w:r w:rsidRPr="00061D40">
        <w:rPr>
          <w:shd w:val="clear" w:color="auto" w:fill="FFFFFD"/>
        </w:rPr>
        <w:t>meet their financial accountability requirements with respect to a program year by having a Qualified Accountant submit to the Department on or before 30 June of the following year or such other date as the Minister approves, an electronic Finan</w:t>
      </w:r>
      <w:r w:rsidR="003A66D4">
        <w:rPr>
          <w:shd w:val="clear" w:color="auto" w:fill="FFFFFD"/>
        </w:rPr>
        <w:t>cial Accountability certificate</w:t>
      </w:r>
      <w:r w:rsidR="002C3C79">
        <w:rPr>
          <w:shd w:val="clear" w:color="auto" w:fill="FFFFFD"/>
        </w:rPr>
        <w:t xml:space="preserve">. </w:t>
      </w:r>
      <w:r w:rsidR="002C3C79" w:rsidRPr="00061D40">
        <w:rPr>
          <w:shd w:val="clear" w:color="auto" w:fill="FFFFFD"/>
        </w:rPr>
        <w:t>A Qualified Accountant</w:t>
      </w:r>
      <w:r w:rsidR="002C3C79" w:rsidRPr="002C3C79">
        <w:rPr>
          <w:shd w:val="clear" w:color="auto" w:fill="FFFFFD"/>
        </w:rPr>
        <w:t xml:space="preserve"> </w:t>
      </w:r>
      <w:r w:rsidR="002C3C79" w:rsidRPr="00061D40">
        <w:rPr>
          <w:shd w:val="clear" w:color="auto" w:fill="FFFFFD"/>
        </w:rPr>
        <w:t>is:</w:t>
      </w:r>
    </w:p>
    <w:p w14:paraId="7F4863F9" w14:textId="77777777" w:rsidR="007E040E" w:rsidRPr="006067EC" w:rsidRDefault="00876887" w:rsidP="00583A06">
      <w:pPr>
        <w:pStyle w:val="DotPointIndent3"/>
      </w:pPr>
      <w:r w:rsidRPr="006067EC">
        <w:t xml:space="preserve">a </w:t>
      </w:r>
      <w:r w:rsidR="0079317B" w:rsidRPr="006067EC">
        <w:t xml:space="preserve">qualified </w:t>
      </w:r>
      <w:r w:rsidR="0079317B" w:rsidRPr="006067EC">
        <w:rPr>
          <w:shd w:val="clear" w:color="auto" w:fill="auto"/>
        </w:rPr>
        <w:t>accountant</w:t>
      </w:r>
      <w:r w:rsidR="0079317B" w:rsidRPr="006067EC">
        <w:t xml:space="preserve"> within the meaning of the Corporations Act 2001</w:t>
      </w:r>
    </w:p>
    <w:p w14:paraId="7F4863FA" w14:textId="77777777" w:rsidR="0079317B" w:rsidRPr="00061D40" w:rsidRDefault="0079317B" w:rsidP="000F13DC">
      <w:pPr>
        <w:spacing w:before="100"/>
        <w:ind w:left="1530"/>
      </w:pPr>
      <w:r w:rsidRPr="00061D40">
        <w:t>or</w:t>
      </w:r>
    </w:p>
    <w:p w14:paraId="7F4863FB" w14:textId="77777777" w:rsidR="0079317B" w:rsidRPr="00061D40" w:rsidRDefault="00876887" w:rsidP="00583A06">
      <w:pPr>
        <w:pStyle w:val="DotPointIndent3"/>
      </w:pPr>
      <w:r w:rsidRPr="00061D40">
        <w:t xml:space="preserve">a </w:t>
      </w:r>
      <w:r w:rsidR="0079317B" w:rsidRPr="00061D40">
        <w:t xml:space="preserve">person </w:t>
      </w:r>
      <w:r w:rsidR="0079317B" w:rsidRPr="00AA2BE3">
        <w:t>registered</w:t>
      </w:r>
      <w:r w:rsidR="0079317B" w:rsidRPr="00061D40">
        <w:t xml:space="preserve"> (or taken to be registered) as a company auditor under the </w:t>
      </w:r>
      <w:r w:rsidR="0079317B" w:rsidRPr="003A66D4">
        <w:rPr>
          <w:i/>
        </w:rPr>
        <w:t>Corporations Act 2001</w:t>
      </w:r>
      <w:r w:rsidR="0079317B" w:rsidRPr="00061D40">
        <w:t xml:space="preserve"> </w:t>
      </w:r>
    </w:p>
    <w:p w14:paraId="7F4863FC" w14:textId="77777777" w:rsidR="0079317B" w:rsidRPr="00061D40" w:rsidRDefault="0079317B" w:rsidP="000F13DC">
      <w:pPr>
        <w:spacing w:before="100"/>
        <w:ind w:left="1530"/>
      </w:pPr>
      <w:r w:rsidRPr="00061D40">
        <w:t>or</w:t>
      </w:r>
    </w:p>
    <w:p w14:paraId="7F4863FD" w14:textId="77777777" w:rsidR="0079317B" w:rsidRPr="00061D40" w:rsidRDefault="00876887" w:rsidP="00583A06">
      <w:pPr>
        <w:pStyle w:val="DotPointIndent3"/>
      </w:pPr>
      <w:r w:rsidRPr="00061D40">
        <w:t xml:space="preserve">a </w:t>
      </w:r>
      <w:r w:rsidR="0079317B" w:rsidRPr="00061D40">
        <w:t xml:space="preserve">person approved by the Minister as a qualified accountant for the purposes of the </w:t>
      </w:r>
      <w:r w:rsidR="0079317B" w:rsidRPr="00061D40">
        <w:rPr>
          <w:i/>
        </w:rPr>
        <w:t>Schools Assistance Act 2008</w:t>
      </w:r>
      <w:r w:rsidR="0079317B" w:rsidRPr="00061D40">
        <w:t>.</w:t>
      </w:r>
    </w:p>
    <w:p w14:paraId="7F4863FE" w14:textId="77777777" w:rsidR="00A7199A" w:rsidRPr="00061D40" w:rsidRDefault="00A7199A" w:rsidP="00313AE7">
      <w:pPr>
        <w:pStyle w:val="bodytextoutlinednumber"/>
        <w:numPr>
          <w:ilvl w:val="1"/>
          <w:numId w:val="10"/>
        </w:numPr>
      </w:pPr>
      <w:r w:rsidRPr="00061D40">
        <w:t xml:space="preserve">provide to the Department by a </w:t>
      </w:r>
      <w:r w:rsidR="000327BA" w:rsidRPr="00061D40">
        <w:t xml:space="preserve">specified </w:t>
      </w:r>
      <w:r w:rsidRPr="00061D40">
        <w:t xml:space="preserve">date such </w:t>
      </w:r>
      <w:r w:rsidR="002439A2" w:rsidRPr="00061D40">
        <w:t>C</w:t>
      </w:r>
      <w:r w:rsidRPr="00061D40">
        <w:t>ensus information as the Minister may require</w:t>
      </w:r>
      <w:r w:rsidR="00D51CB1" w:rsidRPr="00061D40">
        <w:t>.</w:t>
      </w:r>
      <w:r w:rsidR="008E5ABB" w:rsidRPr="00061D40">
        <w:t xml:space="preserve"> </w:t>
      </w:r>
      <w:r w:rsidR="00D51CB1" w:rsidRPr="00061D40">
        <w:t>The Minister’s requirements are expected to</w:t>
      </w:r>
      <w:r w:rsidR="008E5ABB" w:rsidRPr="00061D40">
        <w:t xml:space="preserve"> </w:t>
      </w:r>
      <w:r w:rsidRPr="00061D40">
        <w:t>includ</w:t>
      </w:r>
      <w:r w:rsidR="00D51CB1" w:rsidRPr="00061D40">
        <w:t>e</w:t>
      </w:r>
      <w:r w:rsidRPr="00061D40">
        <w:t xml:space="preserve">: </w:t>
      </w:r>
    </w:p>
    <w:p w14:paraId="7F4863FF" w14:textId="77777777" w:rsidR="00A7199A" w:rsidRPr="00061D40" w:rsidRDefault="00A7199A" w:rsidP="00313AE7">
      <w:pPr>
        <w:pStyle w:val="bodytextoutlinednumber"/>
        <w:numPr>
          <w:ilvl w:val="2"/>
          <w:numId w:val="10"/>
        </w:numPr>
      </w:pPr>
      <w:r w:rsidRPr="00061D40">
        <w:t>in respect of students attending a school or each school in a system, as the case may be, on Census day in the program year, the number of full-time students and the number and the full-time equivalent of part-time students:</w:t>
      </w:r>
    </w:p>
    <w:p w14:paraId="7F486400" w14:textId="77777777" w:rsidR="00A7199A" w:rsidRPr="00061D40" w:rsidRDefault="00A7199A" w:rsidP="00313AE7">
      <w:pPr>
        <w:pStyle w:val="bodytextoutlinednumber"/>
        <w:numPr>
          <w:ilvl w:val="3"/>
          <w:numId w:val="10"/>
        </w:numPr>
      </w:pPr>
      <w:r w:rsidRPr="00061D40">
        <w:t>who are primary and secondary students</w:t>
      </w:r>
    </w:p>
    <w:p w14:paraId="7F486401" w14:textId="77777777" w:rsidR="00A7199A" w:rsidRPr="00061D40" w:rsidRDefault="00A7199A" w:rsidP="00313AE7">
      <w:pPr>
        <w:pStyle w:val="bodytextoutlinednumber"/>
        <w:numPr>
          <w:ilvl w:val="3"/>
          <w:numId w:val="10"/>
        </w:numPr>
      </w:pPr>
      <w:r w:rsidRPr="00061D40">
        <w:t>who are primary and secondary overseas students</w:t>
      </w:r>
    </w:p>
    <w:p w14:paraId="7F486402" w14:textId="77777777" w:rsidR="00A7199A" w:rsidRPr="00061D40" w:rsidRDefault="00A7199A" w:rsidP="00313AE7">
      <w:pPr>
        <w:pStyle w:val="bodytextoutlinednumber"/>
        <w:numPr>
          <w:ilvl w:val="3"/>
          <w:numId w:val="10"/>
        </w:numPr>
      </w:pPr>
      <w:r w:rsidRPr="00061D40">
        <w:t>who are primary and secondary distance education students</w:t>
      </w:r>
    </w:p>
    <w:p w14:paraId="7F486403" w14:textId="77777777" w:rsidR="00A7199A" w:rsidRPr="00061D40" w:rsidRDefault="00A7199A" w:rsidP="00313AE7">
      <w:pPr>
        <w:pStyle w:val="bodytextoutlinednumber"/>
        <w:numPr>
          <w:ilvl w:val="3"/>
          <w:numId w:val="10"/>
        </w:numPr>
      </w:pPr>
      <w:r w:rsidRPr="00061D40">
        <w:t>who are primary and secondary students with disabilities</w:t>
      </w:r>
    </w:p>
    <w:p w14:paraId="7F486404" w14:textId="77777777" w:rsidR="00A7199A" w:rsidRPr="00061D40" w:rsidRDefault="00A7199A" w:rsidP="00313AE7">
      <w:pPr>
        <w:pStyle w:val="bodytextoutlinednumber"/>
        <w:numPr>
          <w:ilvl w:val="3"/>
          <w:numId w:val="10"/>
        </w:numPr>
      </w:pPr>
      <w:r w:rsidRPr="00061D40">
        <w:t>who are ungraded students, not being students with disabilities, grouped according to age</w:t>
      </w:r>
    </w:p>
    <w:p w14:paraId="7F486405" w14:textId="77777777" w:rsidR="00A7199A" w:rsidRPr="00061D40" w:rsidRDefault="00A7199A" w:rsidP="00313AE7">
      <w:pPr>
        <w:pStyle w:val="bodytextoutlinednumber"/>
        <w:numPr>
          <w:ilvl w:val="3"/>
          <w:numId w:val="10"/>
        </w:numPr>
      </w:pPr>
      <w:r w:rsidRPr="00061D40">
        <w:t>who, in the case of a special school, are primary and secondary students with disabilities grouped according to age</w:t>
      </w:r>
    </w:p>
    <w:p w14:paraId="7F486406" w14:textId="77777777" w:rsidR="00A7199A" w:rsidRPr="00061D40" w:rsidRDefault="00A7199A" w:rsidP="00313AE7">
      <w:pPr>
        <w:pStyle w:val="bodytextoutlinednumber"/>
        <w:numPr>
          <w:ilvl w:val="3"/>
          <w:numId w:val="10"/>
        </w:numPr>
      </w:pPr>
      <w:r w:rsidRPr="00061D40">
        <w:t>who attend school on a daily basis</w:t>
      </w:r>
    </w:p>
    <w:p w14:paraId="7F486407" w14:textId="77777777" w:rsidR="00A7199A" w:rsidRPr="00061D40" w:rsidRDefault="00A7199A" w:rsidP="00313AE7">
      <w:pPr>
        <w:pStyle w:val="bodytextoutlinednumber"/>
        <w:numPr>
          <w:ilvl w:val="3"/>
          <w:numId w:val="10"/>
        </w:numPr>
      </w:pPr>
      <w:r w:rsidRPr="00061D40">
        <w:lastRenderedPageBreak/>
        <w:t>who are primary and secondary Indigenous students.</w:t>
      </w:r>
    </w:p>
    <w:p w14:paraId="7F486408" w14:textId="77777777" w:rsidR="00A7199A" w:rsidRPr="00061D40" w:rsidRDefault="00A7199A" w:rsidP="00313AE7">
      <w:pPr>
        <w:pStyle w:val="bodytextoutlinednumber"/>
        <w:numPr>
          <w:ilvl w:val="2"/>
          <w:numId w:val="10"/>
        </w:numPr>
      </w:pPr>
      <w:r w:rsidRPr="00061D40">
        <w:t>the number and full-time equivalent of teachers and other persons engaged either in a full-time or a part-time capacity at schools and, in the case of systems, associated administrative bodies in the school system that provided primary or secondary education in each year</w:t>
      </w:r>
    </w:p>
    <w:p w14:paraId="7F486409" w14:textId="77777777" w:rsidR="00ED7FC5" w:rsidRPr="00061D40" w:rsidRDefault="00ED7FC5" w:rsidP="00313AE7">
      <w:pPr>
        <w:pStyle w:val="bodytextoutlinednumber"/>
        <w:numPr>
          <w:ilvl w:val="2"/>
          <w:numId w:val="10"/>
        </w:numPr>
      </w:pPr>
      <w:r w:rsidRPr="00061D40">
        <w:t>the number and full-time equivalent of teachers and other persons engaged either in full-time or a part-time capacity at schools and, in the case of systems, associated administrative bodies in the school system that provide primary or secondary education in each year who are Indigenous Australians</w:t>
      </w:r>
    </w:p>
    <w:p w14:paraId="7F48640A" w14:textId="77777777" w:rsidR="00A7199A" w:rsidRPr="00061D40" w:rsidRDefault="00A7199A" w:rsidP="00313AE7">
      <w:pPr>
        <w:pStyle w:val="bodytextoutlinednumber"/>
        <w:numPr>
          <w:ilvl w:val="1"/>
          <w:numId w:val="10"/>
        </w:numPr>
      </w:pPr>
      <w:r w:rsidRPr="00061D40">
        <w:t>provide to the Department by a date determined by the Minister, a statement in writing in a form approved by the Minister which provides in respect of students attending a school, details of their residential addresses (but not names)</w:t>
      </w:r>
      <w:r w:rsidR="002B11BB" w:rsidRPr="00061D40">
        <w:t>,</w:t>
      </w:r>
      <w:r w:rsidRPr="00061D40">
        <w:t xml:space="preserve"> whether they are full time or, if part time, their full time equivalent, and their grade level.</w:t>
      </w:r>
      <w:r w:rsidR="008E5ABB" w:rsidRPr="00061D40">
        <w:t xml:space="preserve"> </w:t>
      </w:r>
      <w:r w:rsidRPr="00061D40">
        <w:t xml:space="preserve">Before furnishing the statement to the Department, a school must send a copy of the Privacy Notice </w:t>
      </w:r>
      <w:r w:rsidR="002B11BB" w:rsidRPr="00061D40">
        <w:t>(see paragraph</w:t>
      </w:r>
      <w:r w:rsidR="002439A2" w:rsidRPr="00061D40">
        <w:t xml:space="preserve"> </w:t>
      </w:r>
      <w:bookmarkStart w:id="81" w:name="OLE_LINK48"/>
      <w:bookmarkEnd w:id="81"/>
      <w:r w:rsidR="000945C2" w:rsidRPr="00061D40">
        <w:fldChar w:fldCharType="begin"/>
      </w:r>
      <w:r w:rsidR="00EE213F" w:rsidRPr="00061D40">
        <w:instrText xml:space="preserve"> HYPERLINK  \l "Privacy" </w:instrText>
      </w:r>
      <w:r w:rsidR="000945C2" w:rsidRPr="00061D40">
        <w:fldChar w:fldCharType="separate"/>
      </w:r>
      <w:r w:rsidR="001E5146">
        <w:fldChar w:fldCharType="begin"/>
      </w:r>
      <w:r w:rsidR="001E5146">
        <w:instrText xml:space="preserve"> REF _Ref246301292 \w \h  \* MERGEFORMAT </w:instrText>
      </w:r>
      <w:r w:rsidR="001E5146">
        <w:fldChar w:fldCharType="separate"/>
      </w:r>
      <w:r w:rsidR="000609B4">
        <w:t>341</w:t>
      </w:r>
      <w:r w:rsidR="001E5146">
        <w:fldChar w:fldCharType="end"/>
      </w:r>
      <w:r w:rsidR="000945C2" w:rsidRPr="00061D40">
        <w:fldChar w:fldCharType="end"/>
      </w:r>
      <w:r w:rsidR="002B11BB" w:rsidRPr="00061D40">
        <w:t>)</w:t>
      </w:r>
      <w:r w:rsidRPr="00061D40">
        <w:t xml:space="preserve"> to each person whose student or students are included in the statement</w:t>
      </w:r>
    </w:p>
    <w:p w14:paraId="7F48640B" w14:textId="77777777" w:rsidR="00A7199A" w:rsidRPr="00061D40" w:rsidRDefault="00F03236" w:rsidP="00313AE7">
      <w:pPr>
        <w:pStyle w:val="bodytextoutlinednumber"/>
        <w:numPr>
          <w:ilvl w:val="1"/>
          <w:numId w:val="10"/>
        </w:numPr>
      </w:pPr>
      <w:r w:rsidRPr="00061D40">
        <w:t>meet the financial accountability and financial reporting requirements of the Act</w:t>
      </w:r>
    </w:p>
    <w:p w14:paraId="7F48640C" w14:textId="77777777" w:rsidR="00A7199A" w:rsidRPr="00061D40" w:rsidRDefault="00A7199A" w:rsidP="00313AE7">
      <w:pPr>
        <w:pStyle w:val="bodytextoutlinednumber"/>
        <w:numPr>
          <w:ilvl w:val="1"/>
          <w:numId w:val="10"/>
        </w:numPr>
      </w:pPr>
      <w:r w:rsidRPr="00061D40">
        <w:t xml:space="preserve">meet the </w:t>
      </w:r>
      <w:r w:rsidR="00F03236" w:rsidRPr="00061D40">
        <w:t>r</w:t>
      </w:r>
      <w:r w:rsidRPr="00061D40">
        <w:t xml:space="preserve">equirements in </w:t>
      </w:r>
      <w:r w:rsidR="00F03236" w:rsidRPr="00061D40">
        <w:t xml:space="preserve">relation to the Performance Information and Reporting framework and the </w:t>
      </w:r>
      <w:r w:rsidR="00C51468">
        <w:t>Australian</w:t>
      </w:r>
      <w:r w:rsidR="00F03236" w:rsidRPr="00061D40">
        <w:t xml:space="preserve"> </w:t>
      </w:r>
      <w:r w:rsidR="00E61EBE">
        <w:t>Curriculum</w:t>
      </w:r>
    </w:p>
    <w:p w14:paraId="7F48640D" w14:textId="77777777" w:rsidR="00597AC3" w:rsidRPr="00061D40" w:rsidRDefault="00A7199A" w:rsidP="00313AE7">
      <w:pPr>
        <w:pStyle w:val="bodytextoutlinednumber"/>
        <w:numPr>
          <w:ilvl w:val="1"/>
          <w:numId w:val="10"/>
        </w:numPr>
      </w:pPr>
      <w:r w:rsidRPr="00061D40">
        <w:t>meet the administrative requirements specified in these Guidelines.</w:t>
      </w:r>
    </w:p>
    <w:p w14:paraId="7F48640E" w14:textId="77777777" w:rsidR="00A40A72" w:rsidRPr="00061D40" w:rsidRDefault="00A7199A" w:rsidP="00261AA0">
      <w:pPr>
        <w:pStyle w:val="bodytextoutlinednumber"/>
      </w:pPr>
      <w:r w:rsidRPr="00061D40">
        <w:t xml:space="preserve">Where the approved authority does not meet a condition of the agreement, the Minister may determine that the approved authority shall repay an amount, </w:t>
      </w:r>
      <w:r w:rsidR="0079317B" w:rsidRPr="00061D40">
        <w:t>and/or</w:t>
      </w:r>
      <w:r w:rsidR="004A3073">
        <w:t xml:space="preserve"> </w:t>
      </w:r>
      <w:r w:rsidRPr="00061D40">
        <w:t xml:space="preserve">reduce other amounts payable to the authority </w:t>
      </w:r>
      <w:r w:rsidR="0079317B" w:rsidRPr="00061D40">
        <w:t>and/</w:t>
      </w:r>
      <w:r w:rsidRPr="00061D40">
        <w:t xml:space="preserve">or delay making further payments under the </w:t>
      </w:r>
      <w:r w:rsidR="00EC3E82" w:rsidRPr="00061D40">
        <w:rPr>
          <w:iCs/>
        </w:rPr>
        <w:t>a</w:t>
      </w:r>
      <w:r w:rsidR="00D51CB1" w:rsidRPr="00061D40">
        <w:rPr>
          <w:iCs/>
        </w:rPr>
        <w:t>greement</w:t>
      </w:r>
      <w:r w:rsidRPr="00061D40">
        <w:t>.</w:t>
      </w:r>
      <w:r w:rsidR="008E5ABB" w:rsidRPr="00061D40">
        <w:t xml:space="preserve"> </w:t>
      </w:r>
    </w:p>
    <w:p w14:paraId="7F48640F" w14:textId="77777777" w:rsidR="00A40A72" w:rsidRPr="00061D40" w:rsidRDefault="00A40A72" w:rsidP="00261AA0">
      <w:pPr>
        <w:pStyle w:val="bodytextoutlinednumber"/>
      </w:pPr>
      <w:r w:rsidRPr="00061D40">
        <w:t>The Minister may also determine that the approved authority shall repay an amount, reduce other amounts payable to the authority or delay making further payments if:</w:t>
      </w:r>
    </w:p>
    <w:p w14:paraId="7F486410" w14:textId="77777777" w:rsidR="00A40A72" w:rsidRPr="00061D40" w:rsidRDefault="00987CC6" w:rsidP="00313AE7">
      <w:pPr>
        <w:pStyle w:val="bodytextoutlinednumber"/>
        <w:numPr>
          <w:ilvl w:val="1"/>
          <w:numId w:val="10"/>
        </w:numPr>
      </w:pPr>
      <w:r w:rsidRPr="00061D40">
        <w:t>t</w:t>
      </w:r>
      <w:r w:rsidR="00A40A72" w:rsidRPr="00061D40">
        <w:t>he authority is a body corporate and is being wound up</w:t>
      </w:r>
    </w:p>
    <w:p w14:paraId="7F486411" w14:textId="77777777" w:rsidR="00A40A72" w:rsidRPr="00061D40" w:rsidRDefault="00987CC6" w:rsidP="00313AE7">
      <w:pPr>
        <w:pStyle w:val="bodytextoutlinednumber"/>
        <w:numPr>
          <w:ilvl w:val="1"/>
          <w:numId w:val="10"/>
        </w:numPr>
      </w:pPr>
      <w:r w:rsidRPr="00061D40">
        <w:t>t</w:t>
      </w:r>
      <w:r w:rsidR="00A40A72" w:rsidRPr="00061D40">
        <w:t>he affairs of the authority are under any form of external control (for example, the control of a manager) under a law of the Commonwealth or a State</w:t>
      </w:r>
    </w:p>
    <w:p w14:paraId="7F486412" w14:textId="77777777" w:rsidR="00A40A72" w:rsidRPr="00061D40" w:rsidRDefault="00987CC6" w:rsidP="00313AE7">
      <w:pPr>
        <w:pStyle w:val="bodytextoutlinednumber"/>
        <w:numPr>
          <w:ilvl w:val="1"/>
          <w:numId w:val="10"/>
        </w:numPr>
      </w:pPr>
      <w:r w:rsidRPr="00061D40">
        <w:t>t</w:t>
      </w:r>
      <w:r w:rsidR="00A40A72" w:rsidRPr="00061D40">
        <w:t xml:space="preserve">he Minister considers that: </w:t>
      </w:r>
    </w:p>
    <w:p w14:paraId="7F486413" w14:textId="77777777" w:rsidR="00A525CF" w:rsidRPr="00061D40" w:rsidRDefault="00A40A72" w:rsidP="00313AE7">
      <w:pPr>
        <w:pStyle w:val="bodytextoutlinednumber"/>
        <w:numPr>
          <w:ilvl w:val="2"/>
          <w:numId w:val="10"/>
        </w:numPr>
      </w:pPr>
      <w:r w:rsidRPr="00061D40">
        <w:t>the liabilities of the authority are greater than its assets</w:t>
      </w:r>
    </w:p>
    <w:p w14:paraId="7F486414" w14:textId="77777777" w:rsidR="00A40A72" w:rsidRPr="00061D40" w:rsidRDefault="00A40A72" w:rsidP="000F13DC">
      <w:pPr>
        <w:pStyle w:val="NumberedParagraph"/>
        <w:spacing w:before="100" w:after="0" w:line="240" w:lineRule="auto"/>
        <w:ind w:left="1247"/>
      </w:pPr>
      <w:r w:rsidRPr="00061D40">
        <w:t xml:space="preserve">or </w:t>
      </w:r>
    </w:p>
    <w:p w14:paraId="7F486415" w14:textId="77777777" w:rsidR="00EC3E82" w:rsidRPr="00061D40" w:rsidRDefault="00A40A72" w:rsidP="00313AE7">
      <w:pPr>
        <w:pStyle w:val="bodytextoutlinednumber"/>
        <w:numPr>
          <w:ilvl w:val="2"/>
          <w:numId w:val="10"/>
        </w:numPr>
      </w:pPr>
      <w:r w:rsidRPr="00061D40">
        <w:t>the authority is, and is likely to continue for a substantial period to be, unable to pay its debts as and when they fall due for payment</w:t>
      </w:r>
    </w:p>
    <w:p w14:paraId="7F486416" w14:textId="77777777" w:rsidR="00A40A72" w:rsidRPr="00061D40" w:rsidRDefault="00A40A72" w:rsidP="000F13DC">
      <w:pPr>
        <w:pStyle w:val="bodytextoutlinednumber"/>
        <w:numPr>
          <w:ilvl w:val="0"/>
          <w:numId w:val="0"/>
        </w:numPr>
        <w:suppressAutoHyphens w:val="0"/>
        <w:autoSpaceDE/>
        <w:autoSpaceDN/>
        <w:adjustRightInd/>
        <w:spacing w:before="100" w:line="240" w:lineRule="auto"/>
        <w:ind w:left="1247"/>
        <w:textAlignment w:val="auto"/>
      </w:pPr>
      <w:r w:rsidRPr="00061D40">
        <w:t>or</w:t>
      </w:r>
    </w:p>
    <w:p w14:paraId="7F486417" w14:textId="77777777" w:rsidR="00A40A72" w:rsidRPr="00061D40" w:rsidRDefault="00A40A72" w:rsidP="00313AE7">
      <w:pPr>
        <w:pStyle w:val="bodytextoutlinednumber"/>
        <w:numPr>
          <w:ilvl w:val="1"/>
          <w:numId w:val="10"/>
        </w:numPr>
      </w:pPr>
      <w:r w:rsidRPr="00061D40">
        <w:t>a law of the Commonwealth or a State requires the authority to be audited and the relevant audit:</w:t>
      </w:r>
    </w:p>
    <w:p w14:paraId="7F486418" w14:textId="77777777" w:rsidR="00A525CF" w:rsidRPr="00061D40" w:rsidRDefault="00A40A72" w:rsidP="00313AE7">
      <w:pPr>
        <w:pStyle w:val="bodytextoutlinednumber"/>
        <w:numPr>
          <w:ilvl w:val="2"/>
          <w:numId w:val="10"/>
        </w:numPr>
      </w:pPr>
      <w:r w:rsidRPr="00061D40">
        <w:t>is expressed to be qualified</w:t>
      </w:r>
    </w:p>
    <w:p w14:paraId="7F486419" w14:textId="77777777" w:rsidR="00A40A72" w:rsidRPr="00061D40" w:rsidRDefault="00A40A72" w:rsidP="000F13DC">
      <w:pPr>
        <w:pStyle w:val="bodytextoutlinednumber"/>
        <w:numPr>
          <w:ilvl w:val="0"/>
          <w:numId w:val="0"/>
        </w:numPr>
        <w:suppressAutoHyphens w:val="0"/>
        <w:autoSpaceDE/>
        <w:autoSpaceDN/>
        <w:adjustRightInd/>
        <w:spacing w:before="100" w:line="240" w:lineRule="auto"/>
        <w:ind w:left="1247"/>
        <w:textAlignment w:val="auto"/>
      </w:pPr>
      <w:r w:rsidRPr="00061D40">
        <w:t>or</w:t>
      </w:r>
    </w:p>
    <w:p w14:paraId="7F48641A" w14:textId="77777777" w:rsidR="00A7199A" w:rsidRPr="00061D40" w:rsidRDefault="00A40A72" w:rsidP="00313AE7">
      <w:pPr>
        <w:pStyle w:val="bodytextoutlinednumber"/>
        <w:numPr>
          <w:ilvl w:val="2"/>
          <w:numId w:val="10"/>
        </w:numPr>
      </w:pPr>
      <w:r w:rsidRPr="00061D40">
        <w:lastRenderedPageBreak/>
        <w:t>expresses concern about the financial viability of the body or authority</w:t>
      </w:r>
    </w:p>
    <w:p w14:paraId="7F48641B" w14:textId="77777777" w:rsidR="003546A2" w:rsidRPr="00061D40" w:rsidRDefault="003546A2" w:rsidP="00261AA0">
      <w:pPr>
        <w:pStyle w:val="Paragraphindent2"/>
        <w:tabs>
          <w:tab w:val="clear" w:pos="2160"/>
        </w:tabs>
        <w:spacing w:line="240" w:lineRule="auto"/>
        <w:ind w:left="851" w:firstLine="0"/>
      </w:pPr>
      <w:r w:rsidRPr="00061D40">
        <w:t xml:space="preserve">(with any decision under (d) to be a disallowable instrument for the purposes of section 46B of the </w:t>
      </w:r>
      <w:r w:rsidRPr="00061D40">
        <w:rPr>
          <w:i/>
        </w:rPr>
        <w:t>Acts Interpretation Act 1901</w:t>
      </w:r>
      <w:r w:rsidRPr="00061D40">
        <w:t>).</w:t>
      </w:r>
    </w:p>
    <w:p w14:paraId="7F48641C" w14:textId="77777777" w:rsidR="00A7199A" w:rsidRPr="00061D40" w:rsidRDefault="00A7199A" w:rsidP="00261AA0">
      <w:pPr>
        <w:pStyle w:val="bodytextoutlinednumber"/>
      </w:pPr>
      <w:r w:rsidRPr="00061D40">
        <w:t>In making payments to a State in respect of an approved non-government authority, the Commonwealth will advise the State that the approved authority has entered into an appropriate agreement with the Commonwealth.</w:t>
      </w:r>
    </w:p>
    <w:p w14:paraId="7F48641D" w14:textId="77777777" w:rsidR="00D32016" w:rsidRDefault="00F02ED7">
      <w:pPr>
        <w:pStyle w:val="Heading3"/>
      </w:pPr>
      <w:bookmarkStart w:id="82" w:name="_Toc246483056"/>
      <w:r w:rsidRPr="00F02ED7">
        <w:t>Access to school records and school</w:t>
      </w:r>
      <w:r w:rsidR="00A7199A" w:rsidRPr="008F4232">
        <w:t xml:space="preserve"> site</w:t>
      </w:r>
      <w:bookmarkEnd w:id="82"/>
    </w:p>
    <w:p w14:paraId="7F48641E" w14:textId="77777777" w:rsidR="00A7199A" w:rsidRPr="00061D40" w:rsidRDefault="00A7199A" w:rsidP="00261AA0">
      <w:pPr>
        <w:pStyle w:val="bodytextoutlinednumber"/>
      </w:pPr>
      <w:r w:rsidRPr="00061D40">
        <w:t>Section 25 of the Act provides that the agreement must require the authority, where the Minister authorises a person for the purpose, to allow access to any records of, or in possession of, the approved authority relating to information provided under the agreement.</w:t>
      </w:r>
      <w:r w:rsidR="008E5ABB" w:rsidRPr="00061D40">
        <w:t xml:space="preserve"> </w:t>
      </w:r>
      <w:r w:rsidRPr="00061D40">
        <w:t>The approved authority will allow any authorised person to have access to and to take copies of any such records.</w:t>
      </w:r>
      <w:r w:rsidR="008E5ABB" w:rsidRPr="00061D40">
        <w:t xml:space="preserve"> </w:t>
      </w:r>
      <w:r w:rsidRPr="00061D40">
        <w:t>Records requested would only be those directly relating to the matter under consideration and would remain confidential.</w:t>
      </w:r>
    </w:p>
    <w:p w14:paraId="7F48641F" w14:textId="77777777" w:rsidR="00A7199A" w:rsidRPr="00061D40" w:rsidRDefault="00A7199A" w:rsidP="00261AA0">
      <w:pPr>
        <w:pStyle w:val="bodytextoutlinednumber"/>
      </w:pPr>
      <w:r w:rsidRPr="00061D40">
        <w:t>The approved authority must allow an authorised person to have access to each campus of the school, or each school in the system, to be able to access records or undertake a reasonable inspection of the campus and of the students at the campus, including an inspection for the purpose of counting the number of students at the campus.</w:t>
      </w:r>
    </w:p>
    <w:p w14:paraId="7F486420" w14:textId="77777777" w:rsidR="00D32016" w:rsidRDefault="00597AC3">
      <w:pPr>
        <w:pStyle w:val="Heading3"/>
      </w:pPr>
      <w:bookmarkStart w:id="83" w:name="_Toc246483057"/>
      <w:r w:rsidRPr="00061D40">
        <w:t xml:space="preserve">Funding amounts – </w:t>
      </w:r>
      <w:r w:rsidR="007457CF" w:rsidRPr="00061D40">
        <w:t xml:space="preserve">Grants for </w:t>
      </w:r>
      <w:r w:rsidR="005828E9" w:rsidRPr="00061D40">
        <w:t xml:space="preserve">Recurrent </w:t>
      </w:r>
      <w:r w:rsidR="00B25EAA" w:rsidRPr="00061D40">
        <w:t>E</w:t>
      </w:r>
      <w:r w:rsidR="007457CF" w:rsidRPr="00061D40">
        <w:t>xpenditure</w:t>
      </w:r>
      <w:bookmarkEnd w:id="83"/>
    </w:p>
    <w:p w14:paraId="7F486421" w14:textId="77777777" w:rsidR="00A7199A" w:rsidRPr="00061D40" w:rsidRDefault="007457CF" w:rsidP="00261AA0">
      <w:pPr>
        <w:pStyle w:val="bodytextoutlinednumber"/>
      </w:pPr>
      <w:r w:rsidRPr="00061D40">
        <w:t>Grants for r</w:t>
      </w:r>
      <w:r w:rsidR="002B11BB" w:rsidRPr="00061D40">
        <w:t xml:space="preserve">ecurrent </w:t>
      </w:r>
      <w:r w:rsidRPr="00061D40">
        <w:t>expenditure</w:t>
      </w:r>
      <w:r w:rsidR="0051726C" w:rsidRPr="00061D40">
        <w:t xml:space="preserve">, including ISA </w:t>
      </w:r>
      <w:r w:rsidR="00DA02FE" w:rsidRPr="00061D40">
        <w:t>and IFG, are</w:t>
      </w:r>
      <w:r w:rsidR="00597AC3" w:rsidRPr="00061D40">
        <w:t xml:space="preserve"> paid on a calendar year basis.</w:t>
      </w:r>
      <w:r w:rsidR="008E5ABB" w:rsidRPr="00061D40">
        <w:t xml:space="preserve"> </w:t>
      </w:r>
      <w:r w:rsidR="00A7199A" w:rsidRPr="00061D40">
        <w:t>A school’s entitlement for a year is calculated by multiplying the payment rate applicable to the school's funding level by the number of eligible students (</w:t>
      </w:r>
      <w:r w:rsidR="0029762F" w:rsidRPr="00061D40">
        <w:t>FTE</w:t>
      </w:r>
      <w:r w:rsidR="00A7199A" w:rsidRPr="00061D40">
        <w:t xml:space="preserve">) at </w:t>
      </w:r>
      <w:r w:rsidR="00987CC6" w:rsidRPr="00061D40">
        <w:t>S</w:t>
      </w:r>
      <w:r w:rsidR="00A7199A" w:rsidRPr="00061D40">
        <w:t xml:space="preserve">chools </w:t>
      </w:r>
      <w:r w:rsidR="00186119" w:rsidRPr="00061D40">
        <w:t>C</w:t>
      </w:r>
      <w:r w:rsidR="00A7199A" w:rsidRPr="00061D40">
        <w:t>ensus day in that year.</w:t>
      </w:r>
      <w:r w:rsidR="008E5ABB" w:rsidRPr="00061D40">
        <w:t xml:space="preserve"> </w:t>
      </w:r>
      <w:r w:rsidR="00A7199A" w:rsidRPr="00061D40">
        <w:t xml:space="preserve">Advances made in January and July are calculated on the previous year's </w:t>
      </w:r>
      <w:r w:rsidR="0075662F" w:rsidRPr="00061D40">
        <w:t>C</w:t>
      </w:r>
      <w:r w:rsidR="00A7199A" w:rsidRPr="00061D40">
        <w:t>ensus enrolments.</w:t>
      </w:r>
      <w:r w:rsidR="008E5ABB" w:rsidRPr="00061D40">
        <w:t xml:space="preserve"> </w:t>
      </w:r>
      <w:r w:rsidR="00A7199A" w:rsidRPr="00061D40">
        <w:t>Special arrangements are made for commencing schools and schools with substantial enrolment variations.</w:t>
      </w:r>
      <w:r w:rsidR="008E5ABB" w:rsidRPr="00061D40">
        <w:t xml:space="preserve"> </w:t>
      </w:r>
      <w:r w:rsidR="00A7199A" w:rsidRPr="00061D40">
        <w:t xml:space="preserve">The October payment is adjusted for current year </w:t>
      </w:r>
      <w:r w:rsidR="0075662F" w:rsidRPr="00061D40">
        <w:t>C</w:t>
      </w:r>
      <w:r w:rsidR="00A7199A" w:rsidRPr="00061D40">
        <w:t xml:space="preserve">ensus enrolments and to allow </w:t>
      </w:r>
      <w:r w:rsidR="00A525CF" w:rsidRPr="00061D40">
        <w:t xml:space="preserve">for </w:t>
      </w:r>
      <w:r w:rsidR="00A7199A" w:rsidRPr="00061D40">
        <w:t>movements in AGSRC (if known</w:t>
      </w:r>
      <w:r w:rsidR="004740E4" w:rsidRPr="00061D40">
        <w:t xml:space="preserve"> </w:t>
      </w:r>
      <w:r w:rsidR="00B61274">
        <w:t>–</w:t>
      </w:r>
      <w:r w:rsidR="004740E4" w:rsidRPr="00061D40">
        <w:t xml:space="preserve"> </w:t>
      </w:r>
      <w:r w:rsidR="00186119" w:rsidRPr="00061D40">
        <w:t>see </w:t>
      </w:r>
      <w:hyperlink w:anchor="_Appendix_K:_Supplementation" w:history="1">
        <w:r w:rsidR="00EC3E82" w:rsidRPr="00061D40">
          <w:rPr>
            <w:rStyle w:val="Hyperlink"/>
            <w:rFonts w:cs="Garamond"/>
          </w:rPr>
          <w:t>Appendix K</w:t>
        </w:r>
      </w:hyperlink>
      <w:r w:rsidR="00A7199A" w:rsidRPr="00061D40">
        <w:t xml:space="preserve"> for further information).</w:t>
      </w:r>
      <w:r w:rsidR="008E5ABB" w:rsidRPr="00061D40">
        <w:t xml:space="preserve"> </w:t>
      </w:r>
      <w:r w:rsidR="00A7199A" w:rsidRPr="00061D40">
        <w:t>If AGSRC is not known prior to the October payment, an adjusting payment will be made in the month immediately following the confirmation of AGSRC.</w:t>
      </w:r>
      <w:r w:rsidR="000327BA" w:rsidRPr="00061D40">
        <w:t xml:space="preserve"> If negative entitlements are calculated, thresholds apply for automatically offsetting the overpayment against future entitlements.</w:t>
      </w:r>
    </w:p>
    <w:p w14:paraId="7F486422" w14:textId="77777777" w:rsidR="00D32016" w:rsidRDefault="00DA02FE">
      <w:pPr>
        <w:pStyle w:val="Heading3"/>
      </w:pPr>
      <w:bookmarkStart w:id="84" w:name="_Toc246483058"/>
      <w:r w:rsidRPr="00061D40">
        <w:t>Significant increases to school enrolments</w:t>
      </w:r>
      <w:bookmarkEnd w:id="84"/>
    </w:p>
    <w:p w14:paraId="7F486423" w14:textId="77777777" w:rsidR="00CB68DF" w:rsidRDefault="00A7199A" w:rsidP="00261AA0">
      <w:pPr>
        <w:pStyle w:val="bodytextoutlinednumber"/>
      </w:pPr>
      <w:r w:rsidRPr="00061D40">
        <w:t xml:space="preserve">Non-systemic schools in which the enrolments at the start of a school year are </w:t>
      </w:r>
      <w:r w:rsidRPr="00061D40">
        <w:rPr>
          <w:u w:val="single"/>
        </w:rPr>
        <w:t>at least 15</w:t>
      </w:r>
      <w:r w:rsidR="00EC3E82" w:rsidRPr="00061D40">
        <w:rPr>
          <w:u w:val="single"/>
        </w:rPr>
        <w:t xml:space="preserve"> per cent</w:t>
      </w:r>
      <w:r w:rsidRPr="00061D40">
        <w:t xml:space="preserve"> higher than the previous year’s Schools Census should notify the Department by </w:t>
      </w:r>
      <w:r w:rsidR="008730C5" w:rsidRPr="008730C5">
        <w:rPr>
          <w:b/>
        </w:rPr>
        <w:t>15</w:t>
      </w:r>
      <w:r w:rsidR="00DC2A7E">
        <w:rPr>
          <w:b/>
        </w:rPr>
        <w:t xml:space="preserve"> </w:t>
      </w:r>
      <w:r w:rsidR="008730C5" w:rsidRPr="008730C5">
        <w:rPr>
          <w:b/>
        </w:rPr>
        <w:t>March</w:t>
      </w:r>
      <w:r w:rsidRPr="00061D40">
        <w:t xml:space="preserve"> of that program year, so that an adjustment can be made to the school’s </w:t>
      </w:r>
      <w:r w:rsidR="00A40A72" w:rsidRPr="00061D40">
        <w:t>r</w:t>
      </w:r>
      <w:r w:rsidR="00E42640" w:rsidRPr="00061D40">
        <w:t xml:space="preserve">ecurrent funding </w:t>
      </w:r>
      <w:r w:rsidR="00D51CB1" w:rsidRPr="00061D40">
        <w:t>payment</w:t>
      </w:r>
      <w:r w:rsidRPr="00061D40">
        <w:t xml:space="preserve">, which will then be based on enrolments at the end of February of the current program year. For this purpose, ‘Statement of School Enrolments’ forms are available at: </w:t>
      </w:r>
      <w:hyperlink r:id="rId47" w:history="1">
        <w:r w:rsidR="00CB68DF" w:rsidRPr="00964CF2">
          <w:rPr>
            <w:rStyle w:val="Hyperlink"/>
            <w:rFonts w:cs="Garamond"/>
          </w:rPr>
          <w:t>http://www.deewr.gov.au/Schooling/RecurrentGrants/NonGovSchools/Pages/Forms.aspx</w:t>
        </w:r>
      </w:hyperlink>
      <w:r w:rsidR="00CB68DF">
        <w:t>.</w:t>
      </w:r>
    </w:p>
    <w:p w14:paraId="7F486424" w14:textId="77777777" w:rsidR="00A7199A" w:rsidRPr="00061D40" w:rsidRDefault="00A7199A" w:rsidP="00261AA0">
      <w:pPr>
        <w:pStyle w:val="bodytextoutlinednumber"/>
      </w:pPr>
      <w:r w:rsidRPr="00061D40">
        <w:t xml:space="preserve">For an increase in enrolments advised to the Department by </w:t>
      </w:r>
      <w:r w:rsidR="00DA02FE" w:rsidRPr="00061D40">
        <w:t>15</w:t>
      </w:r>
      <w:r w:rsidRPr="00061D40">
        <w:t xml:space="preserve"> March, the payment adjustment will be processed </w:t>
      </w:r>
      <w:r w:rsidR="00DA02FE" w:rsidRPr="00061D40">
        <w:t>in April</w:t>
      </w:r>
      <w:r w:rsidRPr="00061D40">
        <w:t>.</w:t>
      </w:r>
      <w:r w:rsidR="008E5ABB" w:rsidRPr="00061D40">
        <w:t xml:space="preserve"> </w:t>
      </w:r>
      <w:r w:rsidRPr="00061D40">
        <w:t xml:space="preserve">Any later notification of increases will be dealt with as part of the October payment. The new entitlement will be calculated and applied for the </w:t>
      </w:r>
      <w:r w:rsidRPr="00061D40">
        <w:lastRenderedPageBreak/>
        <w:t>current program (school) year. It will not be backdated to the previous program (school) year even if the increase in enrolments occurred in that previous year after the Schools Census.</w:t>
      </w:r>
      <w:r w:rsidR="008E5ABB" w:rsidRPr="00061D40">
        <w:t xml:space="preserve"> </w:t>
      </w:r>
    </w:p>
    <w:p w14:paraId="7F486425" w14:textId="77777777" w:rsidR="00D32016" w:rsidRDefault="00685199">
      <w:pPr>
        <w:pStyle w:val="Heading3"/>
      </w:pPr>
      <w:bookmarkStart w:id="85" w:name="_Toc246483059"/>
      <w:r w:rsidRPr="00061D40">
        <w:t>Significant decreases to school enrolments</w:t>
      </w:r>
      <w:bookmarkEnd w:id="85"/>
    </w:p>
    <w:p w14:paraId="7F486426" w14:textId="77777777" w:rsidR="00685199" w:rsidRPr="00061D40" w:rsidRDefault="00685199" w:rsidP="00261AA0">
      <w:pPr>
        <w:pStyle w:val="bodytextoutlinednumber"/>
      </w:pPr>
      <w:r w:rsidRPr="00061D40">
        <w:t xml:space="preserve">Non-systemic schools in which the enrolments in the school year are </w:t>
      </w:r>
      <w:r w:rsidRPr="00061D40">
        <w:rPr>
          <w:u w:val="single"/>
        </w:rPr>
        <w:t>at least 15</w:t>
      </w:r>
      <w:r w:rsidR="00EC3E82" w:rsidRPr="00061D40">
        <w:rPr>
          <w:u w:val="single"/>
        </w:rPr>
        <w:t> per cent</w:t>
      </w:r>
      <w:r w:rsidR="00EC3E82" w:rsidRPr="00061D40">
        <w:t xml:space="preserve"> </w:t>
      </w:r>
      <w:r w:rsidRPr="00061D40">
        <w:t xml:space="preserve">lower than the previous year’s Schools Census are required to notify the Department within 10 working days of the change. This will ensure that the school does not receive funding in excess of its entitlement, necessitating a repayment. </w:t>
      </w:r>
      <w:r w:rsidR="00A7199A" w:rsidRPr="00061D40">
        <w:t xml:space="preserve">All decreases in enrolments will be dealt with as they are advised. </w:t>
      </w:r>
    </w:p>
    <w:p w14:paraId="7F486427" w14:textId="77777777" w:rsidR="00597AC3" w:rsidRPr="00061D40" w:rsidRDefault="00A7199A" w:rsidP="00261AA0">
      <w:pPr>
        <w:pStyle w:val="bodytextoutlinednumber"/>
      </w:pPr>
      <w:r w:rsidRPr="00061D40">
        <w:t xml:space="preserve">A significant decrease in school enrolments just prior to the last Schools Census will not constitute grounds for special consideration – </w:t>
      </w:r>
      <w:r w:rsidR="00685199" w:rsidRPr="00061D40">
        <w:t xml:space="preserve">Grants for </w:t>
      </w:r>
      <w:r w:rsidR="00937F6B" w:rsidRPr="00061D40">
        <w:t xml:space="preserve">Recurrent </w:t>
      </w:r>
      <w:r w:rsidR="00685199" w:rsidRPr="00061D40">
        <w:t xml:space="preserve">Expenditure </w:t>
      </w:r>
      <w:r w:rsidRPr="00061D40">
        <w:t>payments will be based strictly on the number of students legitimately included in the Schools Census.</w:t>
      </w:r>
    </w:p>
    <w:p w14:paraId="7F486428" w14:textId="77777777" w:rsidR="00D32016" w:rsidRDefault="00F02ED7">
      <w:pPr>
        <w:pStyle w:val="Heading3"/>
        <w:rPr>
          <w:szCs w:val="24"/>
        </w:rPr>
      </w:pPr>
      <w:bookmarkStart w:id="86" w:name="_Toc246483060"/>
      <w:r w:rsidRPr="00F02ED7">
        <w:t>Payment procedures</w:t>
      </w:r>
      <w:bookmarkEnd w:id="86"/>
    </w:p>
    <w:p w14:paraId="7F486429" w14:textId="77777777" w:rsidR="00597AC3" w:rsidRPr="00061D40" w:rsidRDefault="005B3869" w:rsidP="00261AA0">
      <w:pPr>
        <w:pStyle w:val="bodytextoutlinednumber"/>
      </w:pPr>
      <w:r w:rsidRPr="00061D40">
        <w:t>Eligibility</w:t>
      </w:r>
      <w:r w:rsidR="00597AC3" w:rsidRPr="00061D40">
        <w:t xml:space="preserve"> for </w:t>
      </w:r>
      <w:r w:rsidR="00685199" w:rsidRPr="00061D40">
        <w:t xml:space="preserve">grants for recurrent expenditure </w:t>
      </w:r>
      <w:r w:rsidR="00597AC3" w:rsidRPr="00061D40">
        <w:t xml:space="preserve">will commence from the date that all requirements for </w:t>
      </w:r>
      <w:r w:rsidR="00D51CB1" w:rsidRPr="00061D40">
        <w:t xml:space="preserve">receipt of recurrent funding </w:t>
      </w:r>
      <w:r w:rsidR="00597AC3" w:rsidRPr="00061D40">
        <w:t>have been met.</w:t>
      </w:r>
      <w:r w:rsidR="008E5ABB" w:rsidRPr="00061D40">
        <w:t xml:space="preserve"> </w:t>
      </w:r>
      <w:r w:rsidR="00A7199A" w:rsidRPr="00061D40">
        <w:t>The requirement for State recognition is considered to be met on the date of effect rather than the date the decision is made</w:t>
      </w:r>
      <w:r w:rsidR="00562478" w:rsidRPr="00061D40">
        <w:t xml:space="preserve">. </w:t>
      </w:r>
      <w:r w:rsidR="00597AC3" w:rsidRPr="00061D40">
        <w:t>Payments will commence as follows:</w:t>
      </w:r>
    </w:p>
    <w:p w14:paraId="7F48642A" w14:textId="77777777" w:rsidR="00597AC3" w:rsidRPr="00061D40" w:rsidRDefault="00A525CF" w:rsidP="00313AE7">
      <w:pPr>
        <w:pStyle w:val="bodytextoutlinednumber"/>
        <w:numPr>
          <w:ilvl w:val="1"/>
          <w:numId w:val="10"/>
        </w:numPr>
      </w:pPr>
      <w:r w:rsidRPr="00061D40">
        <w:t>i</w:t>
      </w:r>
      <w:r w:rsidR="00597AC3" w:rsidRPr="00061D40">
        <w:t>f all requirements are met on or before the last day in February, the school will be funded for the full year</w:t>
      </w:r>
      <w:r w:rsidR="008D5F11" w:rsidRPr="00061D40">
        <w:t>,</w:t>
      </w:r>
      <w:r w:rsidR="00597AC3" w:rsidRPr="00061D40">
        <w:t xml:space="preserve"> i</w:t>
      </w:r>
      <w:r w:rsidR="00AA2A91" w:rsidRPr="00061D40">
        <w:t>.</w:t>
      </w:r>
      <w:r w:rsidR="00597AC3" w:rsidRPr="00061D40">
        <w:t>e</w:t>
      </w:r>
      <w:r w:rsidR="00AA2A91" w:rsidRPr="00061D40">
        <w:t>.</w:t>
      </w:r>
      <w:r w:rsidR="00597AC3" w:rsidRPr="00061D40">
        <w:t xml:space="preserve"> from 1 January</w:t>
      </w:r>
    </w:p>
    <w:p w14:paraId="7F48642B" w14:textId="77777777" w:rsidR="00597AC3" w:rsidRPr="00061D40" w:rsidRDefault="00A525CF" w:rsidP="00313AE7">
      <w:pPr>
        <w:pStyle w:val="bodytextoutlinednumber"/>
        <w:numPr>
          <w:ilvl w:val="1"/>
          <w:numId w:val="10"/>
        </w:numPr>
      </w:pPr>
      <w:r w:rsidRPr="00061D40">
        <w:t>i</w:t>
      </w:r>
      <w:r w:rsidR="00597AC3" w:rsidRPr="00061D40">
        <w:t xml:space="preserve">f all requirements are met after the last school day in February and before the schools </w:t>
      </w:r>
      <w:r w:rsidR="0075662F" w:rsidRPr="00061D40">
        <w:t>Census</w:t>
      </w:r>
      <w:r w:rsidR="00597AC3" w:rsidRPr="00061D40">
        <w:t xml:space="preserve"> day for the year, the school will be funded on a pro rata basis</w:t>
      </w:r>
      <w:r w:rsidR="008D5F11" w:rsidRPr="00061D40">
        <w:t>,</w:t>
      </w:r>
      <w:r w:rsidR="00597AC3" w:rsidRPr="00061D40">
        <w:t xml:space="preserve"> i</w:t>
      </w:r>
      <w:r w:rsidR="00AA2A91" w:rsidRPr="00061D40">
        <w:t>.</w:t>
      </w:r>
      <w:r w:rsidR="00597AC3" w:rsidRPr="00061D40">
        <w:t>e</w:t>
      </w:r>
      <w:r w:rsidR="00AA2A91" w:rsidRPr="00061D40">
        <w:t>.</w:t>
      </w:r>
      <w:r w:rsidR="00597AC3" w:rsidRPr="00061D40">
        <w:t xml:space="preserve"> funding will be calculated from the latest date that all requirements were met</w:t>
      </w:r>
    </w:p>
    <w:p w14:paraId="7F48642C" w14:textId="77777777" w:rsidR="00597AC3" w:rsidRPr="00061D40" w:rsidRDefault="00A525CF" w:rsidP="00313AE7">
      <w:pPr>
        <w:pStyle w:val="bodytextoutlinednumber"/>
        <w:numPr>
          <w:ilvl w:val="1"/>
          <w:numId w:val="10"/>
        </w:numPr>
      </w:pPr>
      <w:r w:rsidRPr="00061D40">
        <w:t>i</w:t>
      </w:r>
      <w:r w:rsidR="00597AC3" w:rsidRPr="00061D40">
        <w:t xml:space="preserve">f all requirements are not met on or before the schools </w:t>
      </w:r>
      <w:r w:rsidR="0075662F" w:rsidRPr="00061D40">
        <w:t>Census</w:t>
      </w:r>
      <w:r w:rsidR="00597AC3" w:rsidRPr="00061D40">
        <w:t xml:space="preserve"> day for the year, the school </w:t>
      </w:r>
      <w:r w:rsidR="00597AC3" w:rsidRPr="00061D40">
        <w:rPr>
          <w:b/>
        </w:rPr>
        <w:t>will not</w:t>
      </w:r>
      <w:r w:rsidR="00597AC3" w:rsidRPr="00061D40">
        <w:t xml:space="preserve"> be funded for that year.</w:t>
      </w:r>
    </w:p>
    <w:p w14:paraId="7F48642D" w14:textId="77777777" w:rsidR="001559D4" w:rsidRDefault="00F02ED7">
      <w:pPr>
        <w:pStyle w:val="Heading3"/>
      </w:pPr>
      <w:bookmarkStart w:id="87" w:name="_Toc211669139"/>
      <w:bookmarkStart w:id="88" w:name="_Toc246483061"/>
      <w:r w:rsidRPr="00F02ED7">
        <w:t>Non-Government Schools Data Collections</w:t>
      </w:r>
      <w:bookmarkEnd w:id="87"/>
      <w:bookmarkEnd w:id="88"/>
    </w:p>
    <w:p w14:paraId="7F48642E" w14:textId="77777777" w:rsidR="00A7199A" w:rsidRPr="00061D40" w:rsidRDefault="00A7199A" w:rsidP="00261AA0">
      <w:pPr>
        <w:pStyle w:val="bodytextoutlinednumber"/>
      </w:pPr>
      <w:r w:rsidRPr="00061D40">
        <w:t>All schools and school systems are required under their funding agreements to provide to the Department in a form approved by the Minister each year the Financial Questionnaire and Financial Accountability Certificate</w:t>
      </w:r>
      <w:r w:rsidR="00016804" w:rsidRPr="00061D40">
        <w:t xml:space="preserve"> (see </w:t>
      </w:r>
      <w:hyperlink w:anchor="_Appendix_J:_Accountability" w:history="1">
        <w:r w:rsidR="00BD1D1C" w:rsidRPr="00061D40">
          <w:rPr>
            <w:rStyle w:val="Hyperlink"/>
            <w:rFonts w:cs="Garamond"/>
          </w:rPr>
          <w:t>Appendix J</w:t>
        </w:r>
      </w:hyperlink>
      <w:r w:rsidR="00016804" w:rsidRPr="00061D40">
        <w:t>)</w:t>
      </w:r>
      <w:r w:rsidRPr="00061D40">
        <w:t xml:space="preserve"> for Non-Government Schools and the Census of Non-Government Schools. </w:t>
      </w:r>
      <w:r w:rsidR="000327BA" w:rsidRPr="00061D40">
        <w:t xml:space="preserve">Further information is available at </w:t>
      </w:r>
      <w:hyperlink w:anchor="_Appendix_G:_Non-government" w:history="1">
        <w:r w:rsidR="000327BA" w:rsidRPr="00547DD6">
          <w:rPr>
            <w:rStyle w:val="Hyperlink"/>
            <w:rFonts w:cs="Garamond"/>
          </w:rPr>
          <w:t>Appendix G</w:t>
        </w:r>
      </w:hyperlink>
      <w:r w:rsidR="000327BA" w:rsidRPr="00061D40">
        <w:t>.</w:t>
      </w:r>
    </w:p>
    <w:p w14:paraId="7F48642F" w14:textId="77777777" w:rsidR="000327BA" w:rsidRPr="00061D40" w:rsidRDefault="000327BA" w:rsidP="0073364A">
      <w:pPr>
        <w:sectPr w:rsidR="000327BA" w:rsidRPr="00061D40" w:rsidSect="00963340">
          <w:pgSz w:w="11906" w:h="16838" w:code="9"/>
          <w:pgMar w:top="1418" w:right="1418" w:bottom="1134" w:left="1418" w:header="567" w:footer="567" w:gutter="0"/>
          <w:cols w:space="720"/>
          <w:docGrid w:linePitch="272"/>
        </w:sectPr>
      </w:pPr>
    </w:p>
    <w:p w14:paraId="7F486430" w14:textId="77777777" w:rsidR="006300B3" w:rsidRPr="00061D40" w:rsidRDefault="004F4F3F" w:rsidP="004F4F3F">
      <w:pPr>
        <w:pStyle w:val="Heading1"/>
      </w:pPr>
      <w:bookmarkStart w:id="89" w:name="_Toc346205321"/>
      <w:bookmarkStart w:id="90" w:name="_Toc246483062"/>
      <w:bookmarkStart w:id="91" w:name="_Toc246493724"/>
      <w:r w:rsidRPr="00061D40">
        <w:lastRenderedPageBreak/>
        <w:t>Part 3: Grants</w:t>
      </w:r>
      <w:bookmarkEnd w:id="53"/>
      <w:bookmarkEnd w:id="54"/>
      <w:bookmarkEnd w:id="55"/>
      <w:bookmarkEnd w:id="56"/>
      <w:bookmarkEnd w:id="57"/>
      <w:r w:rsidRPr="00061D40">
        <w:t xml:space="preserve"> For Capital Expenditure</w:t>
      </w:r>
      <w:bookmarkEnd w:id="89"/>
      <w:r w:rsidRPr="00061D40">
        <w:t xml:space="preserve"> </w:t>
      </w:r>
      <w:bookmarkEnd w:id="58"/>
      <w:bookmarkEnd w:id="90"/>
      <w:bookmarkEnd w:id="91"/>
    </w:p>
    <w:p w14:paraId="7F486431" w14:textId="77777777" w:rsidR="00D32016" w:rsidRDefault="00CA4857">
      <w:pPr>
        <w:pStyle w:val="Heading3"/>
      </w:pPr>
      <w:bookmarkStart w:id="92" w:name="_Toc246483063"/>
      <w:r w:rsidRPr="00061D40">
        <w:t>Legislative Authority</w:t>
      </w:r>
      <w:bookmarkEnd w:id="92"/>
    </w:p>
    <w:p w14:paraId="7F486432" w14:textId="77777777" w:rsidR="00CA4857" w:rsidRPr="00061D40" w:rsidRDefault="00CA4857" w:rsidP="00261AA0">
      <w:pPr>
        <w:pStyle w:val="bodytextoutlinednumber"/>
      </w:pPr>
      <w:r w:rsidRPr="00061D40">
        <w:t>Capital</w:t>
      </w:r>
      <w:r w:rsidR="002D43B4" w:rsidRPr="00061D40">
        <w:t xml:space="preserve"> Grants Program (CGP)</w:t>
      </w:r>
      <w:r w:rsidRPr="00061D40">
        <w:t xml:space="preserve"> funding for non-government schools for the 2009-</w:t>
      </w:r>
      <w:r w:rsidR="008067F6">
        <w:t>2014</w:t>
      </w:r>
      <w:r w:rsidRPr="00061D40">
        <w:t xml:space="preserve"> </w:t>
      </w:r>
      <w:r w:rsidR="00E42640" w:rsidRPr="00061D40">
        <w:t>funding period</w:t>
      </w:r>
      <w:r w:rsidRPr="00061D40">
        <w:t xml:space="preserve"> is provided under Part 5 of the Act.</w:t>
      </w:r>
      <w:r w:rsidR="008E5ABB" w:rsidRPr="00061D40">
        <w:t xml:space="preserve"> </w:t>
      </w:r>
      <w:r w:rsidRPr="00061D40">
        <w:t>Non-government schools</w:t>
      </w:r>
      <w:r w:rsidR="002D43B4" w:rsidRPr="00061D40">
        <w:t xml:space="preserve">, </w:t>
      </w:r>
      <w:r w:rsidRPr="00061D40">
        <w:t xml:space="preserve">school systems </w:t>
      </w:r>
      <w:r w:rsidR="00AC5003">
        <w:t>and school</w:t>
      </w:r>
      <w:r w:rsidR="002D43B4" w:rsidRPr="00061D40">
        <w:t xml:space="preserve"> authorities </w:t>
      </w:r>
      <w:r w:rsidRPr="00061D40">
        <w:t>in each state and territory which receive Capital funding must comply with all the requirements of the Act.</w:t>
      </w:r>
    </w:p>
    <w:p w14:paraId="7F486433" w14:textId="77777777" w:rsidR="00D32016" w:rsidRDefault="00CA4857">
      <w:pPr>
        <w:pStyle w:val="Heading3"/>
      </w:pPr>
      <w:bookmarkStart w:id="93" w:name="_Toc211669144"/>
      <w:bookmarkStart w:id="94" w:name="_Toc246483064"/>
      <w:r w:rsidRPr="00061D40">
        <w:t>Objectives</w:t>
      </w:r>
      <w:bookmarkEnd w:id="93"/>
      <w:bookmarkEnd w:id="94"/>
    </w:p>
    <w:p w14:paraId="7F486434" w14:textId="77777777" w:rsidR="00CA4857" w:rsidRPr="00061D40" w:rsidRDefault="00CA4857" w:rsidP="00261AA0">
      <w:pPr>
        <w:pStyle w:val="bodytextoutlinednumber"/>
      </w:pPr>
      <w:r w:rsidRPr="00061D40">
        <w:t xml:space="preserve">The objectives of the </w:t>
      </w:r>
      <w:r w:rsidR="00CC5508" w:rsidRPr="00061D40">
        <w:t xml:space="preserve">CGP </w:t>
      </w:r>
      <w:r w:rsidRPr="00061D40">
        <w:t>are to:</w:t>
      </w:r>
    </w:p>
    <w:p w14:paraId="7F486435" w14:textId="77777777" w:rsidR="00CA4857" w:rsidRPr="00061D40" w:rsidRDefault="00CA4857" w:rsidP="00313AE7">
      <w:pPr>
        <w:pStyle w:val="bodytextoutlinednumber"/>
        <w:numPr>
          <w:ilvl w:val="1"/>
          <w:numId w:val="10"/>
        </w:numPr>
      </w:pPr>
      <w:r w:rsidRPr="00061D40">
        <w:t>provide and improve school capital infrastructure, particularly for the most educationally disadvantaged students</w:t>
      </w:r>
    </w:p>
    <w:p w14:paraId="7F486436" w14:textId="77777777" w:rsidR="00CA4857" w:rsidRPr="00061D40" w:rsidRDefault="00CA4857" w:rsidP="00313AE7">
      <w:pPr>
        <w:pStyle w:val="bodytextoutlinednumber"/>
        <w:numPr>
          <w:ilvl w:val="1"/>
          <w:numId w:val="10"/>
        </w:numPr>
      </w:pPr>
      <w:r w:rsidRPr="00061D40">
        <w:t>ensure attention to refurbishment/upgrading of capital infrastructure for existing students, while making provision for needs arising from new demographic and enrolment trends</w:t>
      </w:r>
    </w:p>
    <w:p w14:paraId="7F486437" w14:textId="77777777" w:rsidR="00694903" w:rsidRPr="00061D40" w:rsidRDefault="00CA4857" w:rsidP="00313AE7">
      <w:pPr>
        <w:pStyle w:val="bodytextoutlinednumber"/>
        <w:numPr>
          <w:ilvl w:val="1"/>
          <w:numId w:val="10"/>
        </w:numPr>
      </w:pPr>
      <w:r w:rsidRPr="00061D40">
        <w:t>pursue the Commonwealth’s other priorities and objectives for schooling</w:t>
      </w:r>
    </w:p>
    <w:p w14:paraId="7F486438" w14:textId="77777777" w:rsidR="00CC5508" w:rsidRPr="00061D40" w:rsidRDefault="00CC5508" w:rsidP="00CC5508">
      <w:pPr>
        <w:pStyle w:val="bodytextoutlinednumber"/>
        <w:numPr>
          <w:ilvl w:val="1"/>
          <w:numId w:val="10"/>
        </w:numPr>
      </w:pPr>
      <w:r w:rsidRPr="00061D40">
        <w:t>account for all capital funding provided under the Act to meet the expectations of the auditors.</w:t>
      </w:r>
    </w:p>
    <w:p w14:paraId="7F486439" w14:textId="77777777" w:rsidR="00825B04" w:rsidRPr="00061D40" w:rsidRDefault="00825B04" w:rsidP="00261AA0">
      <w:pPr>
        <w:pStyle w:val="bodytextoutlinednumber"/>
      </w:pPr>
      <w:r w:rsidRPr="00061D40">
        <w:t>Payment of financial assistance under the Program will be in accordance with funding agreements which set out the purpose of the payment and the conditions applying to it.</w:t>
      </w:r>
      <w:r w:rsidR="008E5ABB" w:rsidRPr="00061D40">
        <w:t xml:space="preserve"> </w:t>
      </w:r>
      <w:r w:rsidRPr="00061D40">
        <w:t>Commonwealth grants are supplementary to funds provided by non-government school authorities</w:t>
      </w:r>
      <w:r w:rsidR="00CA4857" w:rsidRPr="00061D40">
        <w:t>,</w:t>
      </w:r>
      <w:r w:rsidRPr="00061D40">
        <w:t xml:space="preserve"> </w:t>
      </w:r>
      <w:r w:rsidR="000D2DB5" w:rsidRPr="00061D40">
        <w:t>who</w:t>
      </w:r>
      <w:r w:rsidRPr="00061D40">
        <w:t xml:space="preserve"> have the primary responsibility for providing, maintaining and upgrading school facilities</w:t>
      </w:r>
      <w:r w:rsidR="00CA4857" w:rsidRPr="00061D40">
        <w:t>,</w:t>
      </w:r>
      <w:r w:rsidRPr="00061D40">
        <w:t xml:space="preserve"> and to funds provided by state and territory education authorities.</w:t>
      </w:r>
      <w:r w:rsidR="008E5ABB" w:rsidRPr="00061D40">
        <w:t xml:space="preserve"> </w:t>
      </w:r>
      <w:r w:rsidRPr="00061D40">
        <w:t>The Commonwealth seeks to improve educational outcomes by assisting in the provision of school facilities, particularly in ways that contribute most to raising the overall level of educational achievement of Australian school students.</w:t>
      </w:r>
    </w:p>
    <w:p w14:paraId="7F48643A" w14:textId="77777777" w:rsidR="00D32016" w:rsidRDefault="003C0F37">
      <w:pPr>
        <w:pStyle w:val="Heading3"/>
      </w:pPr>
      <w:bookmarkStart w:id="95" w:name="_Toc211669149"/>
      <w:bookmarkStart w:id="96" w:name="_Toc246483065"/>
      <w:r w:rsidRPr="00061D40">
        <w:t>Use of Funds</w:t>
      </w:r>
      <w:bookmarkEnd w:id="95"/>
      <w:bookmarkEnd w:id="96"/>
    </w:p>
    <w:p w14:paraId="7F48643B" w14:textId="77777777" w:rsidR="003C0F37" w:rsidRPr="00061D40" w:rsidRDefault="003C0F37" w:rsidP="00261AA0">
      <w:pPr>
        <w:pStyle w:val="bodytextoutlinednumber"/>
      </w:pPr>
      <w:r w:rsidRPr="00061D40">
        <w:t>Grants for capital expenditure</w:t>
      </w:r>
      <w:r w:rsidR="00E8575F">
        <w:t xml:space="preserve">, including </w:t>
      </w:r>
      <w:r w:rsidR="00CC5508" w:rsidRPr="00061D40">
        <w:t>expenditure as define</w:t>
      </w:r>
      <w:r w:rsidR="00103749">
        <w:t>d</w:t>
      </w:r>
      <w:r w:rsidR="00CC5508" w:rsidRPr="00061D40">
        <w:t xml:space="preserve"> in Section 83(1) of the Act</w:t>
      </w:r>
      <w:r w:rsidR="00A83C50">
        <w:rPr>
          <w:rStyle w:val="FootnoteReference"/>
        </w:rPr>
        <w:footnoteReference w:id="2"/>
      </w:r>
      <w:r w:rsidR="00CC5508" w:rsidRPr="00061D40">
        <w:t xml:space="preserve">, must </w:t>
      </w:r>
      <w:r w:rsidRPr="00061D40">
        <w:t>be used for the following:</w:t>
      </w:r>
    </w:p>
    <w:p w14:paraId="7F48643C" w14:textId="77777777" w:rsidR="003C0F37" w:rsidRPr="00061D40" w:rsidRDefault="003C0F37" w:rsidP="00313AE7">
      <w:pPr>
        <w:pStyle w:val="bodytextoutlinednumber"/>
        <w:numPr>
          <w:ilvl w:val="1"/>
          <w:numId w:val="10"/>
        </w:numPr>
      </w:pPr>
      <w:r w:rsidRPr="00061D40">
        <w:t>investigation of the need for schools, buildings, parts of buildings, other facilities or equipment</w:t>
      </w:r>
    </w:p>
    <w:p w14:paraId="7F48643D" w14:textId="77777777" w:rsidR="003C0F37" w:rsidRPr="00061D40" w:rsidRDefault="003C0F37" w:rsidP="00313AE7">
      <w:pPr>
        <w:pStyle w:val="bodytextoutlinednumber"/>
        <w:numPr>
          <w:ilvl w:val="1"/>
          <w:numId w:val="10"/>
        </w:numPr>
      </w:pPr>
      <w:r w:rsidRPr="00061D40">
        <w:t>the purchase of land, with buildings or parts of buildings, or in special circumstances, without buildings</w:t>
      </w:r>
    </w:p>
    <w:p w14:paraId="7F48643E" w14:textId="77777777" w:rsidR="003C0F37" w:rsidRPr="00061D40" w:rsidRDefault="003C0F37" w:rsidP="00313AE7">
      <w:pPr>
        <w:pStyle w:val="bodytextoutlinednumber"/>
        <w:numPr>
          <w:ilvl w:val="1"/>
          <w:numId w:val="10"/>
        </w:numPr>
      </w:pPr>
      <w:r w:rsidRPr="00061D40">
        <w:lastRenderedPageBreak/>
        <w:t>the planning, erection, alteration, extension, demolition (including asbestos removal) or refurbishment of a building, part of a building or other facility including student residential accommodation, and attached supervisors’ quarters</w:t>
      </w:r>
    </w:p>
    <w:p w14:paraId="7F48643F" w14:textId="77777777" w:rsidR="003C0F37" w:rsidRPr="00061D40" w:rsidRDefault="003C0F37" w:rsidP="00313AE7">
      <w:pPr>
        <w:pStyle w:val="bodytextoutlinednumber"/>
        <w:numPr>
          <w:ilvl w:val="1"/>
          <w:numId w:val="10"/>
        </w:numPr>
      </w:pPr>
      <w:r w:rsidRPr="00061D40">
        <w:t>the development or preparation of land for building or other purposes</w:t>
      </w:r>
    </w:p>
    <w:p w14:paraId="7F486440" w14:textId="77777777" w:rsidR="003C0F37" w:rsidRPr="00061D40" w:rsidRDefault="003C0F37" w:rsidP="00313AE7">
      <w:pPr>
        <w:pStyle w:val="bodytextoutlinednumber"/>
        <w:numPr>
          <w:ilvl w:val="1"/>
          <w:numId w:val="10"/>
        </w:numPr>
      </w:pPr>
      <w:r w:rsidRPr="00061D40">
        <w:t>the installation or upgrading of water, electricity or any other services</w:t>
      </w:r>
    </w:p>
    <w:p w14:paraId="7F486441" w14:textId="77777777" w:rsidR="003C0F37" w:rsidRPr="00061D40" w:rsidRDefault="003C0F37" w:rsidP="00313AE7">
      <w:pPr>
        <w:pStyle w:val="bodytextoutlinednumber"/>
        <w:numPr>
          <w:ilvl w:val="1"/>
          <w:numId w:val="10"/>
        </w:numPr>
      </w:pPr>
      <w:r w:rsidRPr="00061D40">
        <w:t>the provision of furniture or equipment, including information technology equipment, which should be part of a broader capital project unless special circumstances exist</w:t>
      </w:r>
    </w:p>
    <w:p w14:paraId="7F486442" w14:textId="77777777" w:rsidR="003C0F37" w:rsidRPr="00061D40" w:rsidRDefault="003C0F37" w:rsidP="00313AE7">
      <w:pPr>
        <w:pStyle w:val="bodytextoutlinednumber"/>
        <w:numPr>
          <w:ilvl w:val="1"/>
          <w:numId w:val="10"/>
        </w:numPr>
      </w:pPr>
      <w:r w:rsidRPr="00061D40">
        <w:t>the provision of library materials and the goods for cataloguing a library</w:t>
      </w:r>
    </w:p>
    <w:p w14:paraId="7F486443" w14:textId="77777777" w:rsidR="003C0F37" w:rsidRPr="00061D40" w:rsidRDefault="003C0F37" w:rsidP="00313AE7">
      <w:pPr>
        <w:pStyle w:val="bodytextoutlinednumber"/>
        <w:numPr>
          <w:ilvl w:val="1"/>
          <w:numId w:val="10"/>
        </w:numPr>
      </w:pPr>
      <w:r w:rsidRPr="00061D40">
        <w:t xml:space="preserve">the payment to a </w:t>
      </w:r>
      <w:r w:rsidR="00A95FF9" w:rsidRPr="00061D40">
        <w:t xml:space="preserve">Block Grant Authority </w:t>
      </w:r>
      <w:r w:rsidRPr="00061D40">
        <w:t>for its administrative expenses</w:t>
      </w:r>
      <w:r w:rsidR="00B91E28" w:rsidRPr="00061D40">
        <w:t xml:space="preserve"> associated with capital works including the funding of capital works</w:t>
      </w:r>
    </w:p>
    <w:p w14:paraId="7F486444" w14:textId="77777777" w:rsidR="000E34CC" w:rsidRPr="00061D40" w:rsidRDefault="003C0F37" w:rsidP="00313AE7">
      <w:pPr>
        <w:pStyle w:val="bodytextoutlinednumber"/>
        <w:numPr>
          <w:ilvl w:val="1"/>
          <w:numId w:val="10"/>
        </w:numPr>
      </w:pPr>
      <w:r w:rsidRPr="00061D40">
        <w:t>teacher accommodation in rural areas</w:t>
      </w:r>
    </w:p>
    <w:p w14:paraId="7F486445" w14:textId="77777777" w:rsidR="000E34CC" w:rsidRPr="00061D40" w:rsidRDefault="000E34CC" w:rsidP="00313AE7">
      <w:pPr>
        <w:pStyle w:val="bodytextoutlinednumber"/>
        <w:numPr>
          <w:ilvl w:val="1"/>
          <w:numId w:val="10"/>
        </w:numPr>
      </w:pPr>
      <w:r w:rsidRPr="00061D40">
        <w:t xml:space="preserve">capital grants </w:t>
      </w:r>
      <w:r w:rsidR="00224E6A" w:rsidRPr="00061D40">
        <w:t xml:space="preserve">to assist </w:t>
      </w:r>
      <w:r w:rsidRPr="00061D40">
        <w:t>students with disabilities</w:t>
      </w:r>
    </w:p>
    <w:p w14:paraId="7F486446" w14:textId="77777777" w:rsidR="003C0F37" w:rsidRPr="00061D40" w:rsidRDefault="003C0F37" w:rsidP="00313AE7">
      <w:pPr>
        <w:pStyle w:val="bodytextoutlinednumber"/>
        <w:numPr>
          <w:ilvl w:val="1"/>
          <w:numId w:val="10"/>
        </w:numPr>
      </w:pPr>
      <w:r w:rsidRPr="00061D40">
        <w:t>to supplement the construction of projects funded through other Commonwealth programs</w:t>
      </w:r>
    </w:p>
    <w:p w14:paraId="7F486447" w14:textId="77777777" w:rsidR="003C0F37" w:rsidRPr="00061D40" w:rsidRDefault="003C0F37" w:rsidP="00313AE7">
      <w:pPr>
        <w:pStyle w:val="bodytextoutlinednumber"/>
        <w:numPr>
          <w:ilvl w:val="1"/>
          <w:numId w:val="10"/>
        </w:numPr>
      </w:pPr>
      <w:r w:rsidRPr="00061D40">
        <w:t>such other projects as the Minister may approve.</w:t>
      </w:r>
    </w:p>
    <w:p w14:paraId="7F486448" w14:textId="77777777" w:rsidR="003C0F37" w:rsidRPr="00061D40" w:rsidRDefault="003C0F37" w:rsidP="00261AA0">
      <w:pPr>
        <w:pStyle w:val="bodytextoutlinednumber"/>
      </w:pPr>
      <w:r w:rsidRPr="00061D40">
        <w:t>Funds are not available for facilities:</w:t>
      </w:r>
    </w:p>
    <w:p w14:paraId="7F486449" w14:textId="77777777" w:rsidR="003C0F37" w:rsidRPr="00061D40" w:rsidRDefault="003C0F37" w:rsidP="00313AE7">
      <w:pPr>
        <w:pStyle w:val="bodytextoutlinednumber"/>
        <w:numPr>
          <w:ilvl w:val="1"/>
          <w:numId w:val="10"/>
        </w:numPr>
      </w:pPr>
      <w:r w:rsidRPr="00061D40">
        <w:t>which have religious worship as a principal purpose</w:t>
      </w:r>
    </w:p>
    <w:p w14:paraId="7F48644A" w14:textId="77777777" w:rsidR="00A525CF" w:rsidRPr="00061D40" w:rsidRDefault="003C0F37" w:rsidP="00313AE7">
      <w:pPr>
        <w:pStyle w:val="bodytextoutlinednumber"/>
        <w:numPr>
          <w:ilvl w:val="1"/>
          <w:numId w:val="10"/>
        </w:numPr>
      </w:pPr>
      <w:r w:rsidRPr="00061D40">
        <w:t>in a co-educational school where those facilities will not, as far as practicable, be equally available to male and female students at the school</w:t>
      </w:r>
    </w:p>
    <w:p w14:paraId="7F48644B" w14:textId="77777777" w:rsidR="003C0F37" w:rsidRPr="00061D40" w:rsidRDefault="003C0F37" w:rsidP="000F13DC">
      <w:pPr>
        <w:pStyle w:val="NumberedParagraph"/>
        <w:spacing w:before="100" w:after="0" w:line="240" w:lineRule="auto"/>
        <w:ind w:left="851"/>
      </w:pPr>
      <w:r w:rsidRPr="00061D40">
        <w:t>or</w:t>
      </w:r>
    </w:p>
    <w:p w14:paraId="7F48644C" w14:textId="77777777" w:rsidR="003C0F37" w:rsidRPr="00061D40" w:rsidRDefault="003C0F37" w:rsidP="00313AE7">
      <w:pPr>
        <w:pStyle w:val="bodytextoutlinednumber"/>
        <w:numPr>
          <w:ilvl w:val="1"/>
          <w:numId w:val="10"/>
        </w:numPr>
      </w:pPr>
      <w:r w:rsidRPr="00061D40">
        <w:t>where retrospective approval is sought.</w:t>
      </w:r>
    </w:p>
    <w:p w14:paraId="7F48644D" w14:textId="77777777" w:rsidR="00694903" w:rsidRPr="00061D40" w:rsidRDefault="00694903" w:rsidP="00261AA0">
      <w:pPr>
        <w:pStyle w:val="bodytextoutlinednumber"/>
      </w:pPr>
      <w:r w:rsidRPr="00061D40">
        <w:t xml:space="preserve">Commonwealth assistance to non-government schools </w:t>
      </w:r>
      <w:r w:rsidR="002B4658" w:rsidRPr="00061D40">
        <w:t xml:space="preserve">in relation to capital </w:t>
      </w:r>
      <w:r w:rsidRPr="00061D40">
        <w:t xml:space="preserve">is provided through </w:t>
      </w:r>
      <w:r w:rsidR="00724D2F" w:rsidRPr="00061D40">
        <w:t>B</w:t>
      </w:r>
      <w:r w:rsidR="00B763C9" w:rsidRPr="00061D40">
        <w:t xml:space="preserve">lock Grant Authorities </w:t>
      </w:r>
      <w:r w:rsidRPr="00061D40">
        <w:t>(BGAs)</w:t>
      </w:r>
      <w:r w:rsidR="00CC5508" w:rsidRPr="00061D40">
        <w:t>, as defined in Section 83 (1) of the Act</w:t>
      </w:r>
      <w:r w:rsidRPr="00061D40">
        <w:t>.</w:t>
      </w:r>
      <w:r w:rsidR="008E5ABB" w:rsidRPr="00061D40">
        <w:t xml:space="preserve"> </w:t>
      </w:r>
      <w:r w:rsidRPr="00061D40">
        <w:t>BGAs</w:t>
      </w:r>
      <w:r w:rsidR="00DE4A0A" w:rsidRPr="00061D40">
        <w:t xml:space="preserve"> are </w:t>
      </w:r>
      <w:r w:rsidR="00CA3E5B" w:rsidRPr="00061D40">
        <w:t xml:space="preserve">third party </w:t>
      </w:r>
      <w:r w:rsidR="006F3EC6" w:rsidRPr="00061D40">
        <w:t>legal entities</w:t>
      </w:r>
      <w:r w:rsidR="00DE4A0A" w:rsidRPr="00061D40">
        <w:t xml:space="preserve"> which</w:t>
      </w:r>
      <w:r w:rsidRPr="00061D40">
        <w:t xml:space="preserve"> have been established to receive and assess applications, make recommendations to the Minister </w:t>
      </w:r>
      <w:r w:rsidR="00DE4A0A" w:rsidRPr="00061D40">
        <w:t xml:space="preserve">about various matters </w:t>
      </w:r>
      <w:r w:rsidRPr="00061D40">
        <w:t>and administer non-government capital grants for participating schools.</w:t>
      </w:r>
      <w:r w:rsidR="008E5ABB" w:rsidRPr="00061D40">
        <w:t xml:space="preserve"> </w:t>
      </w:r>
      <w:hyperlink r:id="rId48" w:history="1">
        <w:r w:rsidRPr="00061D40">
          <w:t>The</w:t>
        </w:r>
      </w:hyperlink>
      <w:r w:rsidRPr="00061D40">
        <w:t xml:space="preserve"> Administrative Arrangements under which the BGAs administer the Capital Grants Program are detailed in </w:t>
      </w:r>
      <w:r w:rsidR="00CA4857" w:rsidRPr="00061D40">
        <w:t xml:space="preserve">a separate </w:t>
      </w:r>
      <w:r w:rsidRPr="00061D40">
        <w:t>document</w:t>
      </w:r>
      <w:r w:rsidR="00CA4857" w:rsidRPr="00061D40">
        <w:t xml:space="preserve">, Administrative Arrangements for </w:t>
      </w:r>
      <w:r w:rsidR="00724D2F" w:rsidRPr="00061D40">
        <w:t>BGAs</w:t>
      </w:r>
      <w:r w:rsidR="00CA4857" w:rsidRPr="00061D40">
        <w:t xml:space="preserve">, available at: </w:t>
      </w:r>
      <w:hyperlink r:id="rId49" w:history="1">
        <w:r w:rsidR="00261AA0" w:rsidRPr="00061D40">
          <w:rPr>
            <w:rStyle w:val="Hyperlink"/>
          </w:rPr>
          <w:t>http://www.deewr.gov.au/Schooling/Programs/Pages/SchoolsAssistanceAct2008.aspx</w:t>
        </w:r>
      </w:hyperlink>
      <w:r w:rsidRPr="00061D40">
        <w:t>.</w:t>
      </w:r>
    </w:p>
    <w:p w14:paraId="7F48644E" w14:textId="77777777" w:rsidR="00F75AF2" w:rsidRPr="00061D40" w:rsidRDefault="00694903" w:rsidP="00261AA0">
      <w:pPr>
        <w:pStyle w:val="bodytextoutlinednumber"/>
      </w:pPr>
      <w:r w:rsidRPr="00061D40">
        <w:t>There are two BGAs in each State, one Catholic and one Independent.</w:t>
      </w:r>
      <w:r w:rsidR="008E5ABB" w:rsidRPr="00061D40">
        <w:t xml:space="preserve"> </w:t>
      </w:r>
      <w:r w:rsidRPr="00061D40">
        <w:t>There is a joint Catholic/Independent BGA in each of the Northern Territory and the Australian Capital Territory.</w:t>
      </w:r>
      <w:r w:rsidR="008E5ABB" w:rsidRPr="00061D40">
        <w:t xml:space="preserve"> </w:t>
      </w:r>
      <w:r w:rsidRPr="00061D40">
        <w:t>Non-government schools wishing to apply for Commonwealth grants must join the relevant BGA.</w:t>
      </w:r>
      <w:bookmarkStart w:id="97" w:name="_Toc211669145"/>
      <w:bookmarkStart w:id="98" w:name="OLE_LINK6"/>
      <w:bookmarkStart w:id="99" w:name="OLE_LINK7"/>
      <w:r w:rsidR="008E5ABB" w:rsidRPr="00061D40">
        <w:t xml:space="preserve"> </w:t>
      </w:r>
    </w:p>
    <w:p w14:paraId="7F48644F" w14:textId="77777777" w:rsidR="00D32016" w:rsidRDefault="00694903">
      <w:pPr>
        <w:pStyle w:val="Heading3"/>
      </w:pPr>
      <w:bookmarkStart w:id="100" w:name="_Toc246483066"/>
      <w:bookmarkStart w:id="101" w:name="OLE_LINK53"/>
      <w:bookmarkStart w:id="102" w:name="OLE_LINK54"/>
      <w:r w:rsidRPr="00061D40">
        <w:t xml:space="preserve">Eligibility </w:t>
      </w:r>
      <w:bookmarkEnd w:id="97"/>
      <w:bookmarkEnd w:id="98"/>
      <w:bookmarkEnd w:id="99"/>
      <w:bookmarkEnd w:id="100"/>
    </w:p>
    <w:p w14:paraId="7F486450" w14:textId="77777777" w:rsidR="00694903" w:rsidRPr="00061D40" w:rsidRDefault="00694903" w:rsidP="00261AA0">
      <w:pPr>
        <w:pStyle w:val="bodytextoutlinednumber"/>
      </w:pPr>
      <w:r w:rsidRPr="00061D40">
        <w:t>Unless determined otherwise by the Minister, in order to be eligible to apply for grants for capital expenditure, a non-government school must:</w:t>
      </w:r>
    </w:p>
    <w:bookmarkEnd w:id="101"/>
    <w:bookmarkEnd w:id="102"/>
    <w:p w14:paraId="7F486451" w14:textId="77777777" w:rsidR="00694903" w:rsidRPr="00061D40" w:rsidRDefault="00694903" w:rsidP="00313AE7">
      <w:pPr>
        <w:pStyle w:val="bodytextoutlinednumber"/>
        <w:numPr>
          <w:ilvl w:val="1"/>
          <w:numId w:val="10"/>
        </w:numPr>
      </w:pPr>
      <w:r w:rsidRPr="00061D40">
        <w:t>be a participant, or prospective participant, in a BGA</w:t>
      </w:r>
    </w:p>
    <w:p w14:paraId="7F486452" w14:textId="77777777" w:rsidR="00694903" w:rsidRPr="00061D40" w:rsidRDefault="00CA4857" w:rsidP="00313AE7">
      <w:pPr>
        <w:pStyle w:val="bodytextoutlinednumber"/>
        <w:numPr>
          <w:ilvl w:val="1"/>
          <w:numId w:val="10"/>
        </w:numPr>
      </w:pPr>
      <w:r w:rsidRPr="00061D40">
        <w:lastRenderedPageBreak/>
        <w:t xml:space="preserve">be in receipt of </w:t>
      </w:r>
      <w:r w:rsidR="00EF0F7F" w:rsidRPr="00061D40">
        <w:t>Grants for Recurrent Expenditure</w:t>
      </w:r>
      <w:r w:rsidRPr="00061D40">
        <w:t>; or</w:t>
      </w:r>
      <w:r w:rsidR="00553AD8" w:rsidRPr="00061D40">
        <w:t xml:space="preserve"> </w:t>
      </w:r>
      <w:r w:rsidR="00694903" w:rsidRPr="00061D40">
        <w:t xml:space="preserve">have good prospects of receiving approval for </w:t>
      </w:r>
      <w:r w:rsidR="00F9473A">
        <w:t xml:space="preserve">Grants for Recurrent Expenditure funding </w:t>
      </w:r>
      <w:r w:rsidR="00694903" w:rsidRPr="00061D40">
        <w:t xml:space="preserve">in respect of all locations, levels of education and students to which a </w:t>
      </w:r>
      <w:r w:rsidR="00DE4A0A" w:rsidRPr="00061D40">
        <w:t xml:space="preserve">capital </w:t>
      </w:r>
      <w:r w:rsidR="00694903" w:rsidRPr="00061D40">
        <w:t>project relates.</w:t>
      </w:r>
      <w:r w:rsidR="008E5ABB" w:rsidRPr="00061D40">
        <w:t xml:space="preserve"> </w:t>
      </w:r>
      <w:r w:rsidR="002144EF" w:rsidRPr="00061D40">
        <w:t xml:space="preserve">For the purpose of this clause, the </w:t>
      </w:r>
      <w:r w:rsidR="00A525CF" w:rsidRPr="00061D40">
        <w:t xml:space="preserve">school authority should provide the </w:t>
      </w:r>
      <w:r w:rsidR="002144EF" w:rsidRPr="00061D40">
        <w:t>following</w:t>
      </w:r>
      <w:r w:rsidR="00A525CF" w:rsidRPr="00061D40">
        <w:t>:</w:t>
      </w:r>
    </w:p>
    <w:p w14:paraId="7F486453" w14:textId="77777777" w:rsidR="002144EF" w:rsidRPr="00061D40" w:rsidRDefault="00A525CF" w:rsidP="00313AE7">
      <w:pPr>
        <w:pStyle w:val="bodytextoutlinednumber"/>
        <w:numPr>
          <w:ilvl w:val="2"/>
          <w:numId w:val="10"/>
        </w:numPr>
        <w:rPr>
          <w:color w:val="auto"/>
        </w:rPr>
      </w:pPr>
      <w:r w:rsidRPr="00061D40">
        <w:t>s</w:t>
      </w:r>
      <w:r w:rsidR="002144EF" w:rsidRPr="00061D40">
        <w:t xml:space="preserve">ubmission of the </w:t>
      </w:r>
      <w:bookmarkStart w:id="103" w:name="OLE_LINK63"/>
      <w:bookmarkStart w:id="104" w:name="OLE_LINK64"/>
      <w:r w:rsidR="002144EF" w:rsidRPr="00061D40">
        <w:t xml:space="preserve">Recurrent Assistance Funding Application Form </w:t>
      </w:r>
      <w:bookmarkEnd w:id="103"/>
      <w:bookmarkEnd w:id="104"/>
      <w:r w:rsidR="002144EF" w:rsidRPr="00061D40">
        <w:t>for New Schools 2009-</w:t>
      </w:r>
      <w:r w:rsidR="000945C2" w:rsidRPr="001A6165">
        <w:t>2012</w:t>
      </w:r>
      <w:r w:rsidR="002144EF" w:rsidRPr="00061D40">
        <w:t xml:space="preserve"> Funding Quadrennium (excluding information on enrolment data at Section D)</w:t>
      </w:r>
      <w:r w:rsidR="0015057E" w:rsidRPr="00061D40">
        <w:t>,</w:t>
      </w:r>
      <w:r w:rsidR="0015057E" w:rsidRPr="00061D40">
        <w:rPr>
          <w:color w:val="auto"/>
        </w:rPr>
        <w:t xml:space="preserve"> </w:t>
      </w:r>
      <w:r w:rsidR="0015057E" w:rsidRPr="00061D40">
        <w:rPr>
          <w:rFonts w:cs="Calibri"/>
          <w:color w:val="auto"/>
        </w:rPr>
        <w:t>or the Recurrent Assistance Funding Application Form for Schools Undertaking a Change in Operations 2009-</w:t>
      </w:r>
      <w:r w:rsidR="000945C2" w:rsidRPr="00E8795B">
        <w:rPr>
          <w:rFonts w:cs="Calibri"/>
          <w:color w:val="auto"/>
        </w:rPr>
        <w:t>2012</w:t>
      </w:r>
      <w:r w:rsidR="0015057E" w:rsidRPr="00061D40">
        <w:rPr>
          <w:rFonts w:cs="Calibri"/>
          <w:color w:val="auto"/>
        </w:rPr>
        <w:t xml:space="preserve"> Funding Quadrennium (excluding information on enrolment data at Section D) for new campuses</w:t>
      </w:r>
    </w:p>
    <w:p w14:paraId="7F486454" w14:textId="77777777" w:rsidR="00EC3E82" w:rsidRPr="00061D40" w:rsidRDefault="00EC3E82" w:rsidP="00313AE7">
      <w:pPr>
        <w:pStyle w:val="bodytextoutlinednumber"/>
        <w:numPr>
          <w:ilvl w:val="2"/>
          <w:numId w:val="10"/>
        </w:numPr>
        <w:ind w:left="1248" w:hanging="397"/>
      </w:pPr>
      <w:r w:rsidRPr="00061D40">
        <w:t>evidence that the school authority is incorporated as a non‐profit body</w:t>
      </w:r>
      <w:r w:rsidR="00F9473A">
        <w:t xml:space="preserve"> in the case of non-systemic schools</w:t>
      </w:r>
    </w:p>
    <w:p w14:paraId="7F486455" w14:textId="77777777" w:rsidR="002144EF" w:rsidRPr="00061D40" w:rsidRDefault="00A525CF" w:rsidP="00313AE7">
      <w:pPr>
        <w:pStyle w:val="bodytextoutlinednumber"/>
        <w:numPr>
          <w:ilvl w:val="2"/>
          <w:numId w:val="10"/>
        </w:numPr>
      </w:pPr>
      <w:r w:rsidRPr="00061D40">
        <w:t>t</w:t>
      </w:r>
      <w:r w:rsidR="002144EF" w:rsidRPr="00061D40">
        <w:t xml:space="preserve">he constitution of the incorporated Body </w:t>
      </w:r>
      <w:r w:rsidR="00F9473A">
        <w:t>in the case of non-systemic schools</w:t>
      </w:r>
      <w:r w:rsidR="00F9473A" w:rsidRPr="00061D40">
        <w:t xml:space="preserve"> </w:t>
      </w:r>
      <w:r w:rsidR="002144EF" w:rsidRPr="00061D40">
        <w:t xml:space="preserve">(including power to run a school and </w:t>
      </w:r>
      <w:r w:rsidRPr="00061D40">
        <w:t>appropriate wind up clauses)</w:t>
      </w:r>
    </w:p>
    <w:p w14:paraId="7F486456" w14:textId="77777777" w:rsidR="002144EF" w:rsidRDefault="00A525CF" w:rsidP="00313AE7">
      <w:pPr>
        <w:pStyle w:val="bodytextoutlinednumber"/>
        <w:numPr>
          <w:ilvl w:val="2"/>
          <w:numId w:val="10"/>
        </w:numPr>
      </w:pPr>
      <w:r w:rsidRPr="00061D40">
        <w:t>e</w:t>
      </w:r>
      <w:r w:rsidR="002144EF" w:rsidRPr="00061D40">
        <w:t>vidence that the school has good prospects of being recognised as such by the relevant State or Territory Minister.</w:t>
      </w:r>
      <w:r w:rsidR="006A784B">
        <w:t xml:space="preserve"> Such evidence may include:</w:t>
      </w:r>
    </w:p>
    <w:p w14:paraId="7F486457" w14:textId="77777777" w:rsidR="002A0170" w:rsidRDefault="0080549F" w:rsidP="002A0170">
      <w:pPr>
        <w:pStyle w:val="bodytextoutlinednumber"/>
        <w:numPr>
          <w:ilvl w:val="3"/>
          <w:numId w:val="10"/>
        </w:numPr>
      </w:pPr>
      <w:r w:rsidRPr="0080549F">
        <w:t xml:space="preserve">a statement from the approved school system authority </w:t>
      </w:r>
      <w:r w:rsidR="00F02ED7" w:rsidRPr="00F02ED7">
        <w:rPr>
          <w:bCs/>
          <w:iCs/>
        </w:rPr>
        <w:t>providing the basis on which the authority understands</w:t>
      </w:r>
      <w:r w:rsidRPr="0080549F">
        <w:t xml:space="preserve"> the school has good prospects of being recognised as such by the relevant State or Territory Minister</w:t>
      </w:r>
      <w:r w:rsidR="00F02ED7" w:rsidRPr="00F02ED7">
        <w:rPr>
          <w:bCs/>
          <w:iCs/>
        </w:rPr>
        <w:t>, and the likely timing of such recognition</w:t>
      </w:r>
    </w:p>
    <w:p w14:paraId="7F486458" w14:textId="77777777" w:rsidR="002A0170" w:rsidRDefault="0080549F" w:rsidP="002A0170">
      <w:pPr>
        <w:pStyle w:val="bodytextoutlinednumber"/>
        <w:numPr>
          <w:ilvl w:val="3"/>
          <w:numId w:val="10"/>
        </w:numPr>
      </w:pPr>
      <w:r w:rsidRPr="0080549F">
        <w:t xml:space="preserve">in the case of non-systemic schools, </w:t>
      </w:r>
      <w:r w:rsidR="00F02ED7" w:rsidRPr="00F02ED7">
        <w:rPr>
          <w:bCs/>
          <w:iCs/>
        </w:rPr>
        <w:t>written</w:t>
      </w:r>
      <w:r w:rsidRPr="0080549F">
        <w:t xml:space="preserve"> evidence from the </w:t>
      </w:r>
      <w:r w:rsidR="00F02ED7" w:rsidRPr="00F02ED7">
        <w:rPr>
          <w:bCs/>
          <w:iCs/>
        </w:rPr>
        <w:t>relevant state or territory authority</w:t>
      </w:r>
      <w:r w:rsidRPr="0080549F">
        <w:t xml:space="preserve"> that the school has good prospects of being recognised as such by the relevant State or Territory Minister</w:t>
      </w:r>
      <w:r w:rsidR="00F02ED7" w:rsidRPr="00F02ED7">
        <w:rPr>
          <w:bCs/>
          <w:iCs/>
        </w:rPr>
        <w:t>, and the likely timing of such recognition.</w:t>
      </w:r>
    </w:p>
    <w:p w14:paraId="7F486459" w14:textId="77777777" w:rsidR="002144EF" w:rsidRPr="00061D40" w:rsidRDefault="002144EF" w:rsidP="00D40120">
      <w:pPr>
        <w:pStyle w:val="bodytextoutlinednumber"/>
        <w:numPr>
          <w:ilvl w:val="0"/>
          <w:numId w:val="0"/>
        </w:numPr>
        <w:ind w:left="851"/>
      </w:pPr>
      <w:r w:rsidRPr="00061D40">
        <w:t>Schools may apply for capital funding prior to receiving State or Territory government recognition.</w:t>
      </w:r>
    </w:p>
    <w:p w14:paraId="7F48645A" w14:textId="77777777" w:rsidR="00694903" w:rsidRPr="00061D40" w:rsidRDefault="00694903" w:rsidP="00313AE7">
      <w:pPr>
        <w:pStyle w:val="bodytextoutlinednumber"/>
        <w:numPr>
          <w:ilvl w:val="1"/>
          <w:numId w:val="10"/>
        </w:numPr>
      </w:pPr>
      <w:r w:rsidRPr="00061D40">
        <w:t>be</w:t>
      </w:r>
      <w:r w:rsidR="00976018" w:rsidRPr="00061D40">
        <w:t xml:space="preserve"> able to demonstrate to the BGA that it is financially viable, that is, the school must be likely to remain financially solvent and be able to, and intend to, continue to be eligible to receive Commonwealth </w:t>
      </w:r>
      <w:r w:rsidR="00C1042D">
        <w:t>r</w:t>
      </w:r>
      <w:r w:rsidR="00976018" w:rsidRPr="00061D40">
        <w:t>ecurrent funding at the site of the proposed project for the foreseeable future.</w:t>
      </w:r>
      <w:r w:rsidR="008E5ABB" w:rsidRPr="00061D40">
        <w:t xml:space="preserve"> </w:t>
      </w:r>
    </w:p>
    <w:p w14:paraId="7F48645B" w14:textId="77777777" w:rsidR="00694903" w:rsidRPr="00061D40" w:rsidRDefault="00694903" w:rsidP="00313AE7">
      <w:pPr>
        <w:pStyle w:val="bodytextoutlinednumber"/>
        <w:numPr>
          <w:ilvl w:val="1"/>
          <w:numId w:val="10"/>
        </w:numPr>
      </w:pPr>
      <w:r w:rsidRPr="00061D40">
        <w:t xml:space="preserve">demonstrate to the BGA a financial need for the grant (that is, show that it and its supporting community </w:t>
      </w:r>
      <w:r w:rsidR="00052406" w:rsidRPr="00061D40">
        <w:t xml:space="preserve">do </w:t>
      </w:r>
      <w:r w:rsidRPr="00061D40">
        <w:t>not have the capacity to meet the total cost of the project)</w:t>
      </w:r>
    </w:p>
    <w:p w14:paraId="7F48645C" w14:textId="77777777" w:rsidR="00694903" w:rsidRPr="00061D40" w:rsidRDefault="00694903" w:rsidP="00313AE7">
      <w:pPr>
        <w:pStyle w:val="bodytextoutlinednumber"/>
        <w:numPr>
          <w:ilvl w:val="1"/>
          <w:numId w:val="10"/>
        </w:numPr>
      </w:pPr>
      <w:r w:rsidRPr="00061D40">
        <w:t>demonstrate to the BGA that the project will contribute to the objectives of the Program</w:t>
      </w:r>
    </w:p>
    <w:p w14:paraId="7F48645D" w14:textId="77777777" w:rsidR="00694903" w:rsidRPr="00061D40" w:rsidRDefault="00694903" w:rsidP="00313AE7">
      <w:pPr>
        <w:pStyle w:val="bodytextoutlinednumber"/>
        <w:numPr>
          <w:ilvl w:val="1"/>
          <w:numId w:val="10"/>
        </w:numPr>
      </w:pPr>
      <w:r w:rsidRPr="00061D40">
        <w:t>demonstrate to the BGA that the school has an appropriate maintenance plan in place</w:t>
      </w:r>
    </w:p>
    <w:p w14:paraId="7F48645E" w14:textId="77777777" w:rsidR="00694903" w:rsidRPr="00061D40" w:rsidRDefault="00694903" w:rsidP="00313AE7">
      <w:pPr>
        <w:pStyle w:val="bodytextoutlinednumber"/>
        <w:numPr>
          <w:ilvl w:val="1"/>
          <w:numId w:val="10"/>
        </w:numPr>
      </w:pPr>
      <w:r w:rsidRPr="00061D40">
        <w:t>demonstrate to the BGA that adequate insurance is held over its school buildings</w:t>
      </w:r>
    </w:p>
    <w:p w14:paraId="7F48645F" w14:textId="77777777" w:rsidR="00694903" w:rsidRPr="00061D40" w:rsidRDefault="00694903" w:rsidP="00313AE7">
      <w:pPr>
        <w:pStyle w:val="bodytextoutlinednumber"/>
        <w:numPr>
          <w:ilvl w:val="1"/>
          <w:numId w:val="10"/>
        </w:numPr>
      </w:pPr>
      <w:r w:rsidRPr="00061D40">
        <w:t>be proposing a project that is consistent with sound educational planning, within both the school and the environment within which it is operating, especially in relation to the cost, size and use of facilities to be funded</w:t>
      </w:r>
    </w:p>
    <w:p w14:paraId="7F486460" w14:textId="77777777" w:rsidR="00694903" w:rsidRPr="00061D40" w:rsidRDefault="00694903" w:rsidP="00313AE7">
      <w:pPr>
        <w:pStyle w:val="bodytextoutlinednumber"/>
        <w:numPr>
          <w:ilvl w:val="1"/>
          <w:numId w:val="10"/>
        </w:numPr>
      </w:pPr>
      <w:r w:rsidRPr="00061D40">
        <w:lastRenderedPageBreak/>
        <w:t xml:space="preserve">be proposing a project that will not adversely affect the </w:t>
      </w:r>
      <w:r w:rsidR="00553AD8" w:rsidRPr="00061D40">
        <w:t>condition of</w:t>
      </w:r>
      <w:r w:rsidRPr="00061D40">
        <w:t xml:space="preserve"> a place in the Register of the National Estate in terms of the provisions of the </w:t>
      </w:r>
      <w:r w:rsidRPr="00061D40">
        <w:rPr>
          <w:i/>
          <w:iCs/>
        </w:rPr>
        <w:t>Australian Heritage Council Act 2003</w:t>
      </w:r>
      <w:r w:rsidR="00D34610" w:rsidRPr="00061D40">
        <w:t>.</w:t>
      </w:r>
    </w:p>
    <w:p w14:paraId="7F486461" w14:textId="77777777" w:rsidR="00694903" w:rsidRPr="00061D40" w:rsidRDefault="00DE4A0A" w:rsidP="00261AA0">
      <w:pPr>
        <w:pStyle w:val="bodytextoutlinednumber"/>
      </w:pPr>
      <w:r w:rsidRPr="00061D40">
        <w:t>Relevant authorities for schools must enter into appropriate funding agreements before any payment under the program will be made.</w:t>
      </w:r>
      <w:r w:rsidR="008E5ABB" w:rsidRPr="00061D40">
        <w:t xml:space="preserve"> </w:t>
      </w:r>
      <w:r w:rsidR="00694903" w:rsidRPr="00061D40">
        <w:t>Grant payments will not be made to schools that are not formally bound to grant conditions.</w:t>
      </w:r>
      <w:r w:rsidR="008E5ABB" w:rsidRPr="00061D40">
        <w:t xml:space="preserve"> </w:t>
      </w:r>
      <w:r w:rsidR="00A84FF1" w:rsidRPr="00061D40">
        <w:t>Grant conditions require that the grantee</w:t>
      </w:r>
      <w:r w:rsidR="00694903" w:rsidRPr="00061D40">
        <w:t xml:space="preserve"> must:</w:t>
      </w:r>
    </w:p>
    <w:p w14:paraId="7F486462" w14:textId="77777777" w:rsidR="00694903" w:rsidRPr="00061D40" w:rsidRDefault="00694903" w:rsidP="00313AE7">
      <w:pPr>
        <w:pStyle w:val="bodytextoutlinednumber"/>
        <w:numPr>
          <w:ilvl w:val="1"/>
          <w:numId w:val="10"/>
        </w:numPr>
      </w:pPr>
      <w:r w:rsidRPr="00061D40">
        <w:t>spend the grant only on the approved project as described in the grant offer</w:t>
      </w:r>
    </w:p>
    <w:p w14:paraId="7F486463" w14:textId="77777777" w:rsidR="00694903" w:rsidRPr="00061D40" w:rsidRDefault="00694903" w:rsidP="00313AE7">
      <w:pPr>
        <w:pStyle w:val="bodytextoutlinednumber"/>
        <w:numPr>
          <w:ilvl w:val="1"/>
          <w:numId w:val="10"/>
        </w:numPr>
      </w:pPr>
      <w:r w:rsidRPr="00061D40">
        <w:t>obtain prior BGA approval for any variations to the approved project</w:t>
      </w:r>
    </w:p>
    <w:p w14:paraId="7F486464" w14:textId="77777777" w:rsidR="00694903" w:rsidRPr="00061D40" w:rsidRDefault="00694903" w:rsidP="00313AE7">
      <w:pPr>
        <w:pStyle w:val="bodytextoutlinednumber"/>
        <w:numPr>
          <w:ilvl w:val="1"/>
          <w:numId w:val="10"/>
        </w:numPr>
      </w:pPr>
      <w:r w:rsidRPr="00061D40">
        <w:t>contribute at least the amount specified as the school contribution in the grant offer.</w:t>
      </w:r>
      <w:r w:rsidR="008E5ABB" w:rsidRPr="00061D40">
        <w:t xml:space="preserve"> </w:t>
      </w:r>
      <w:r w:rsidRPr="00061D40">
        <w:t>Where the cost of an approved project, following the acceptance of tenders, is less than the estimated cost upon which the Commonwealth grant offer is based, the grant will normally be reduced by the amount by which the project cost has decreased</w:t>
      </w:r>
    </w:p>
    <w:p w14:paraId="7F486465" w14:textId="77777777" w:rsidR="00694903" w:rsidRPr="00061D40" w:rsidRDefault="00694903" w:rsidP="00313AE7">
      <w:pPr>
        <w:pStyle w:val="bodytextoutlinednumber"/>
        <w:numPr>
          <w:ilvl w:val="1"/>
          <w:numId w:val="10"/>
        </w:numPr>
      </w:pPr>
      <w:r w:rsidRPr="00061D40">
        <w:t>enter into a legally binding commitment (e</w:t>
      </w:r>
      <w:r w:rsidR="00AA2A91" w:rsidRPr="00061D40">
        <w:t>.</w:t>
      </w:r>
      <w:r w:rsidRPr="00061D40">
        <w:t>g</w:t>
      </w:r>
      <w:r w:rsidR="00AA2A91" w:rsidRPr="00061D40">
        <w:t>.</w:t>
      </w:r>
      <w:r w:rsidRPr="00061D40">
        <w:t xml:space="preserve"> sign a contract with a builder) to proceed with the project before the end of the year in which the first instalment of the grant is payable unless, in exceptional circumstances, the Department gives prior approval for a later commitment date, or the BGA varies the year of funding and advises the Department</w:t>
      </w:r>
    </w:p>
    <w:p w14:paraId="7F486466" w14:textId="77777777" w:rsidR="00694903" w:rsidRPr="00061D40" w:rsidRDefault="00694903" w:rsidP="00313AE7">
      <w:pPr>
        <w:pStyle w:val="bodytextoutlinednumber"/>
        <w:numPr>
          <w:ilvl w:val="1"/>
          <w:numId w:val="10"/>
        </w:numPr>
      </w:pPr>
      <w:r w:rsidRPr="00061D40">
        <w:t>spend grant payments, including any interest earned on grant payments,</w:t>
      </w:r>
      <w:r w:rsidR="008E5ABB" w:rsidRPr="00061D40">
        <w:t xml:space="preserve"> </w:t>
      </w:r>
      <w:r w:rsidRPr="00061D40">
        <w:t>as soon as possible, and not later than six months after the date of receipt</w:t>
      </w:r>
    </w:p>
    <w:p w14:paraId="7F486467" w14:textId="77777777" w:rsidR="00694903" w:rsidRPr="00061D40" w:rsidRDefault="00694903" w:rsidP="00313AE7">
      <w:pPr>
        <w:pStyle w:val="bodytextoutlinednumber"/>
        <w:numPr>
          <w:ilvl w:val="1"/>
          <w:numId w:val="10"/>
        </w:numPr>
      </w:pPr>
      <w:r w:rsidRPr="00061D40">
        <w:t>ensure that the project is completed to a satisfactory standard and within a reasonable time in accordance with the grant description and with all, relevant, local government requirements</w:t>
      </w:r>
    </w:p>
    <w:p w14:paraId="7F486468" w14:textId="77777777" w:rsidR="00694903" w:rsidRPr="00061D40" w:rsidRDefault="00694903" w:rsidP="00313AE7">
      <w:pPr>
        <w:pStyle w:val="bodytextoutlinednumber"/>
        <w:numPr>
          <w:ilvl w:val="1"/>
          <w:numId w:val="10"/>
        </w:numPr>
      </w:pPr>
      <w:r w:rsidRPr="00061D40">
        <w:t>within a specified period after the completion of the project, provide to the BGA accountability information prepared by architects and accountants which certifies the total expenditure and grant received for the project, that the project is completed in accordance with the approved project description and that the grant monies were spent only on the approved project</w:t>
      </w:r>
    </w:p>
    <w:p w14:paraId="7F486469" w14:textId="77777777" w:rsidR="00694903" w:rsidRPr="00061D40" w:rsidRDefault="00694903" w:rsidP="00313AE7">
      <w:pPr>
        <w:pStyle w:val="bodytextoutlinednumber"/>
        <w:numPr>
          <w:ilvl w:val="1"/>
          <w:numId w:val="10"/>
        </w:numPr>
      </w:pPr>
      <w:r w:rsidRPr="00061D40">
        <w:t xml:space="preserve">unless otherwise specified, use the funded facilities for the purpose of providing school level education services for locations, levels of education and students that have been recognised by the relevant State or Territory government and are included in the list of schools approved to receive Commonwealth </w:t>
      </w:r>
      <w:r w:rsidR="00C1042D">
        <w:t>r</w:t>
      </w:r>
      <w:r w:rsidR="005828E9" w:rsidRPr="00061D40">
        <w:t xml:space="preserve">ecurrent </w:t>
      </w:r>
      <w:r w:rsidR="00C1042D">
        <w:t>f</w:t>
      </w:r>
      <w:r w:rsidR="005828E9" w:rsidRPr="00061D40">
        <w:t>unding</w:t>
      </w:r>
    </w:p>
    <w:p w14:paraId="7F48646A" w14:textId="77777777" w:rsidR="00694903" w:rsidRPr="00061D40" w:rsidRDefault="00694903" w:rsidP="00313AE7">
      <w:pPr>
        <w:pStyle w:val="bodytextoutlinednumber"/>
        <w:numPr>
          <w:ilvl w:val="1"/>
          <w:numId w:val="10"/>
        </w:numPr>
      </w:pPr>
      <w:r w:rsidRPr="00061D40">
        <w:t xml:space="preserve">allow the BGA </w:t>
      </w:r>
      <w:r w:rsidR="004A3073">
        <w:t>and/</w:t>
      </w:r>
      <w:r w:rsidR="00CC5508" w:rsidRPr="00061D40">
        <w:t xml:space="preserve">or the Commonwealth </w:t>
      </w:r>
      <w:r w:rsidRPr="00061D40">
        <w:t>to inspect the completed project</w:t>
      </w:r>
    </w:p>
    <w:p w14:paraId="7F48646B" w14:textId="77777777" w:rsidR="00694903" w:rsidRPr="00061D40" w:rsidRDefault="00694903" w:rsidP="00313AE7">
      <w:pPr>
        <w:pStyle w:val="bodytextoutlinednumber"/>
        <w:numPr>
          <w:ilvl w:val="1"/>
          <w:numId w:val="10"/>
        </w:numPr>
      </w:pPr>
      <w:r w:rsidRPr="00061D40">
        <w:t>meet Commonwealth requirements for recognition of Commonwealth funding.</w:t>
      </w:r>
      <w:r w:rsidR="008E5ABB" w:rsidRPr="00061D40">
        <w:t xml:space="preserve"> </w:t>
      </w:r>
      <w:r w:rsidRPr="00061D40">
        <w:t>These requirements include:</w:t>
      </w:r>
    </w:p>
    <w:p w14:paraId="7F48646C" w14:textId="77777777" w:rsidR="00031993" w:rsidRPr="00061D40" w:rsidRDefault="00694903" w:rsidP="00313AE7">
      <w:pPr>
        <w:pStyle w:val="bodytextoutlinednumber"/>
        <w:numPr>
          <w:ilvl w:val="2"/>
          <w:numId w:val="10"/>
        </w:numPr>
      </w:pPr>
      <w:r w:rsidRPr="00061D40">
        <w:t>acknowledging Commonwealth funding in all announcements and other publicity of all school capital projects to which the Commonwealth is contributing funds</w:t>
      </w:r>
    </w:p>
    <w:p w14:paraId="7F48646D" w14:textId="77777777" w:rsidR="00694903" w:rsidRPr="00061D40" w:rsidRDefault="00694903" w:rsidP="00313AE7">
      <w:pPr>
        <w:pStyle w:val="bodytextoutlinednumber"/>
        <w:numPr>
          <w:ilvl w:val="2"/>
          <w:numId w:val="10"/>
        </w:numPr>
      </w:pPr>
      <w:r w:rsidRPr="00061D40">
        <w:lastRenderedPageBreak/>
        <w:t xml:space="preserve">installing building plaques on </w:t>
      </w:r>
      <w:r w:rsidR="00031993" w:rsidRPr="00061D40">
        <w:t xml:space="preserve">all </w:t>
      </w:r>
      <w:r w:rsidRPr="00061D40">
        <w:t>completed projects</w:t>
      </w:r>
      <w:r w:rsidR="00031993" w:rsidRPr="00061D40">
        <w:t>, irrespective of cost,</w:t>
      </w:r>
      <w:r w:rsidRPr="00061D40">
        <w:t xml:space="preserve"> which acknowledge Commonwealth funding</w:t>
      </w:r>
      <w:r w:rsidR="00031993" w:rsidRPr="00061D40">
        <w:t>.</w:t>
      </w:r>
      <w:r w:rsidR="008E5ABB" w:rsidRPr="00061D40">
        <w:t xml:space="preserve"> </w:t>
      </w:r>
      <w:r w:rsidR="00031993" w:rsidRPr="00061D40">
        <w:t>Where a facility is opened by a Commonwealth representative, the name of the person opening the facility must be affixed to new and refurbished buildings.</w:t>
      </w:r>
      <w:r w:rsidR="008E5ABB" w:rsidRPr="00061D40">
        <w:t xml:space="preserve"> </w:t>
      </w:r>
      <w:r w:rsidR="00031993" w:rsidRPr="00061D40">
        <w:t>Wording on plaques acknowledging Commonwealth funding must be of similar size and style to wording acknowledging other funding sources</w:t>
      </w:r>
    </w:p>
    <w:p w14:paraId="7F48646E" w14:textId="77777777" w:rsidR="00694903" w:rsidRPr="00061D40" w:rsidRDefault="00694903" w:rsidP="00313AE7">
      <w:pPr>
        <w:pStyle w:val="bodytextoutlinednumber"/>
        <w:numPr>
          <w:ilvl w:val="2"/>
          <w:numId w:val="10"/>
        </w:numPr>
      </w:pPr>
      <w:r w:rsidRPr="00061D40">
        <w:t>ensuring that school communities are advised directly about assistance received from the Commonwealth by such means as school newsletters</w:t>
      </w:r>
    </w:p>
    <w:p w14:paraId="7F48646F" w14:textId="77777777" w:rsidR="00694903" w:rsidRPr="00061D40" w:rsidRDefault="00694903" w:rsidP="00313AE7">
      <w:pPr>
        <w:pStyle w:val="bodytextoutlinednumber"/>
        <w:numPr>
          <w:ilvl w:val="2"/>
          <w:numId w:val="10"/>
        </w:numPr>
      </w:pPr>
      <w:r w:rsidRPr="00061D40">
        <w:t>arrang</w:t>
      </w:r>
      <w:r w:rsidR="006C602D" w:rsidRPr="00061D40">
        <w:t>ing</w:t>
      </w:r>
      <w:r w:rsidRPr="00061D40">
        <w:t xml:space="preserve"> an </w:t>
      </w:r>
      <w:r w:rsidR="00031993" w:rsidRPr="00061D40">
        <w:t xml:space="preserve">official </w:t>
      </w:r>
      <w:r w:rsidRPr="00061D40">
        <w:t>opening ceremony of funded facilities within seven months of the physical completion of the project</w:t>
      </w:r>
      <w:r w:rsidR="00CC5508" w:rsidRPr="00061D40">
        <w:t>, unless otherwise agreed by the Commonwealth,</w:t>
      </w:r>
      <w:r w:rsidRPr="00061D40">
        <w:t xml:space="preserve"> where the </w:t>
      </w:r>
      <w:r w:rsidR="00031993" w:rsidRPr="00061D40">
        <w:t>Commonwealth contribution</w:t>
      </w:r>
      <w:r w:rsidRPr="00061D40">
        <w:t xml:space="preserve"> </w:t>
      </w:r>
      <w:r w:rsidR="00CC5508" w:rsidRPr="00061D40">
        <w:t xml:space="preserve">is equal to or </w:t>
      </w:r>
      <w:r w:rsidRPr="00061D40">
        <w:t xml:space="preserve">exceeds </w:t>
      </w:r>
      <w:r w:rsidR="00E43102" w:rsidRPr="00061D40">
        <w:t>$1.0 million irrespective of the year in which the funding was approved</w:t>
      </w:r>
      <w:r w:rsidRPr="00061D40">
        <w:t xml:space="preserve">, </w:t>
      </w:r>
      <w:r w:rsidR="006C602D" w:rsidRPr="00061D40">
        <w:t>or where the school</w:t>
      </w:r>
      <w:r w:rsidR="00E43102" w:rsidRPr="00061D40">
        <w:t xml:space="preserve"> or the Commonwealth</w:t>
      </w:r>
      <w:r w:rsidR="006C602D" w:rsidRPr="00061D40">
        <w:t xml:space="preserve"> requests an opening</w:t>
      </w:r>
    </w:p>
    <w:p w14:paraId="7F486470" w14:textId="77777777" w:rsidR="00694903" w:rsidRPr="00061D40" w:rsidRDefault="00694903" w:rsidP="00313AE7">
      <w:pPr>
        <w:pStyle w:val="bodytextoutlinednumber"/>
        <w:numPr>
          <w:ilvl w:val="2"/>
          <w:numId w:val="10"/>
        </w:numPr>
      </w:pPr>
      <w:r w:rsidRPr="00061D40">
        <w:t>providing to their BGA a statement of any forthcoming school openings well in advance of each quarter</w:t>
      </w:r>
    </w:p>
    <w:p w14:paraId="7F486471" w14:textId="77777777" w:rsidR="00694903" w:rsidRPr="00061D40" w:rsidRDefault="006C602D" w:rsidP="00313AE7">
      <w:pPr>
        <w:pStyle w:val="bodytextoutlinednumber"/>
        <w:numPr>
          <w:ilvl w:val="2"/>
          <w:numId w:val="10"/>
        </w:numPr>
      </w:pPr>
      <w:r w:rsidRPr="00061D40">
        <w:t>If there is to be an official opening ceremony the following conditions apply:</w:t>
      </w:r>
    </w:p>
    <w:p w14:paraId="7F486472" w14:textId="77777777" w:rsidR="006C602D" w:rsidRPr="00061D40" w:rsidRDefault="00D40120" w:rsidP="00313AE7">
      <w:pPr>
        <w:pStyle w:val="bodytextoutlinednumber"/>
        <w:numPr>
          <w:ilvl w:val="3"/>
          <w:numId w:val="10"/>
        </w:numPr>
      </w:pPr>
      <w:r w:rsidRPr="00061D40">
        <w:t>t</w:t>
      </w:r>
      <w:r w:rsidR="006C602D" w:rsidRPr="00061D40">
        <w:t>he Commonwealth Minister or the Minister’s representative must be invited to speak at all official openings of capital projects to which the Commonwea</w:t>
      </w:r>
      <w:r w:rsidR="00A525CF" w:rsidRPr="00061D40">
        <w:t>lth has contributed funding</w:t>
      </w:r>
    </w:p>
    <w:p w14:paraId="7F486473" w14:textId="77777777" w:rsidR="006C602D" w:rsidRPr="00061D40" w:rsidRDefault="00D40120" w:rsidP="00313AE7">
      <w:pPr>
        <w:pStyle w:val="bodytextoutlinednumber"/>
        <w:numPr>
          <w:ilvl w:val="3"/>
          <w:numId w:val="10"/>
        </w:numPr>
      </w:pPr>
      <w:r w:rsidRPr="00061D40">
        <w:t>t</w:t>
      </w:r>
      <w:r w:rsidR="006C602D" w:rsidRPr="00061D40">
        <w:t>he Commonwealth Minister or the Minister’s representative must be invited to open those projects for which an off</w:t>
      </w:r>
      <w:r w:rsidR="00A525CF" w:rsidRPr="00061D40">
        <w:t>icial opening is being arranged</w:t>
      </w:r>
    </w:p>
    <w:p w14:paraId="7F486474" w14:textId="77777777" w:rsidR="006C602D" w:rsidRPr="00061D40" w:rsidRDefault="006C602D" w:rsidP="00D40120">
      <w:pPr>
        <w:pStyle w:val="bodytextoutlinednumber"/>
        <w:numPr>
          <w:ilvl w:val="0"/>
          <w:numId w:val="0"/>
        </w:numPr>
        <w:ind w:left="1247"/>
      </w:pPr>
      <w:r w:rsidRPr="00061D40">
        <w:t>In the case of an opening with other sources of funding, e.g. State contribution, the Minister or the Minister’s representative must be invited to open those projects to which the Commonwealth contribution is greater than 50 per</w:t>
      </w:r>
      <w:r w:rsidR="00F06A04" w:rsidRPr="00061D40">
        <w:t> </w:t>
      </w:r>
      <w:r w:rsidRPr="00061D40">
        <w:t>cent of the project cost.</w:t>
      </w:r>
    </w:p>
    <w:p w14:paraId="7F486475" w14:textId="77777777" w:rsidR="00694903" w:rsidRPr="00061D40" w:rsidRDefault="00694903" w:rsidP="00313AE7">
      <w:pPr>
        <w:pStyle w:val="bodytextoutlinednumber"/>
        <w:numPr>
          <w:ilvl w:val="1"/>
          <w:numId w:val="10"/>
        </w:numPr>
      </w:pPr>
      <w:r w:rsidRPr="00061D40">
        <w:t xml:space="preserve">in the case of grants greater than $75,000, notify its BGA if the school ceases to use the facilities funded principally for the approved purpose or sells or otherwise disposes of the facilities within a period of twenty years following completion of the project; and, upon request by the Commonwealth, pay to the Commonwealth or the BGA all or part of the grant monies, as explained in Commonwealth Right to Repayment at </w:t>
      </w:r>
      <w:r w:rsidR="00D40120" w:rsidRPr="00061D40">
        <w:t xml:space="preserve">paragraphs </w:t>
      </w:r>
      <w:r w:rsidR="001E5146">
        <w:fldChar w:fldCharType="begin"/>
      </w:r>
      <w:r w:rsidR="001E5146">
        <w:instrText xml:space="preserve"> REF _Ref214160934 \r \h  \* MERGEFORMAT </w:instrText>
      </w:r>
      <w:r w:rsidR="001E5146">
        <w:fldChar w:fldCharType="separate"/>
      </w:r>
      <w:r w:rsidR="000609B4">
        <w:t>171</w:t>
      </w:r>
      <w:r w:rsidR="001E5146">
        <w:fldChar w:fldCharType="end"/>
      </w:r>
      <w:r w:rsidR="008D583B" w:rsidRPr="00061D40">
        <w:t>-</w:t>
      </w:r>
      <w:r w:rsidR="001E5146">
        <w:fldChar w:fldCharType="begin"/>
      </w:r>
      <w:r w:rsidR="001E5146">
        <w:instrText xml:space="preserve"> REF _Ref214160960 \r \h  \* MERGEFORMAT </w:instrText>
      </w:r>
      <w:r w:rsidR="001E5146">
        <w:fldChar w:fldCharType="separate"/>
      </w:r>
      <w:r w:rsidR="000609B4">
        <w:t>174</w:t>
      </w:r>
      <w:r w:rsidR="001E5146">
        <w:fldChar w:fldCharType="end"/>
      </w:r>
    </w:p>
    <w:p w14:paraId="7F486476" w14:textId="77777777" w:rsidR="00694903" w:rsidRPr="00061D40" w:rsidRDefault="00694903" w:rsidP="00313AE7">
      <w:pPr>
        <w:pStyle w:val="bodytextoutlinednumber"/>
        <w:numPr>
          <w:ilvl w:val="1"/>
          <w:numId w:val="10"/>
        </w:numPr>
        <w:rPr>
          <w:shd w:val="clear" w:color="auto" w:fill="FFFFFD"/>
        </w:rPr>
      </w:pPr>
      <w:r w:rsidRPr="00061D40">
        <w:rPr>
          <w:shd w:val="clear" w:color="auto" w:fill="FFFFFD"/>
        </w:rPr>
        <w:t>comply with any other conditions under which the grant is made</w:t>
      </w:r>
    </w:p>
    <w:p w14:paraId="7F486477" w14:textId="77777777" w:rsidR="00694903" w:rsidRPr="00061D40" w:rsidRDefault="00694903" w:rsidP="00313AE7">
      <w:pPr>
        <w:pStyle w:val="bodytextoutlinednumber"/>
        <w:numPr>
          <w:ilvl w:val="1"/>
          <w:numId w:val="10"/>
        </w:numPr>
        <w:rPr>
          <w:shd w:val="clear" w:color="auto" w:fill="FFFFFD"/>
        </w:rPr>
      </w:pPr>
      <w:r w:rsidRPr="00061D40">
        <w:rPr>
          <w:shd w:val="clear" w:color="auto" w:fill="FFFFFD"/>
        </w:rPr>
        <w:t>repay to the BGA as much of the grant as the Commonwealth requires if it, the grantee, has failed to comply with a condition upon which the grant was made.</w:t>
      </w:r>
    </w:p>
    <w:p w14:paraId="7F486478" w14:textId="77777777" w:rsidR="00694903" w:rsidRPr="00061D40" w:rsidRDefault="00694903" w:rsidP="00261AA0">
      <w:pPr>
        <w:pStyle w:val="bodytextoutlinednumber"/>
      </w:pPr>
      <w:r w:rsidRPr="00061D40">
        <w:t xml:space="preserve">A school which has been approved for a capital grant for a project relevant to levels of education or locations which are not yet included in the Commonwealth list of schools approved to receive </w:t>
      </w:r>
      <w:r w:rsidR="00C1042D">
        <w:t>r</w:t>
      </w:r>
      <w:r w:rsidR="005828E9" w:rsidRPr="00061D40">
        <w:t xml:space="preserve">ecurrent </w:t>
      </w:r>
      <w:r w:rsidR="00C1042D">
        <w:t>f</w:t>
      </w:r>
      <w:r w:rsidR="005828E9" w:rsidRPr="00061D40">
        <w:t>unding</w:t>
      </w:r>
      <w:r w:rsidRPr="00061D40">
        <w:t>, will not receive payment of the grant until it has actually been included in the list.</w:t>
      </w:r>
    </w:p>
    <w:p w14:paraId="7F486479" w14:textId="77777777" w:rsidR="00694903" w:rsidRPr="00061D40" w:rsidRDefault="00724D2F" w:rsidP="00261AA0">
      <w:pPr>
        <w:pStyle w:val="bodytextoutlinednumber"/>
      </w:pPr>
      <w:bookmarkStart w:id="105" w:name="OLE_LINK21"/>
      <w:bookmarkStart w:id="106" w:name="OLE_LINK22"/>
      <w:r w:rsidRPr="00061D40">
        <w:t xml:space="preserve">Payment </w:t>
      </w:r>
      <w:r w:rsidR="00694903" w:rsidRPr="00061D40">
        <w:t xml:space="preserve">of financial assistance </w:t>
      </w:r>
      <w:bookmarkEnd w:id="105"/>
      <w:bookmarkEnd w:id="106"/>
      <w:r w:rsidR="00694903" w:rsidRPr="00061D40">
        <w:t xml:space="preserve">to </w:t>
      </w:r>
      <w:r w:rsidRPr="00061D40">
        <w:t xml:space="preserve">a </w:t>
      </w:r>
      <w:r w:rsidR="00694903" w:rsidRPr="00061D40">
        <w:t>school</w:t>
      </w:r>
      <w:r w:rsidRPr="00061D40">
        <w:t xml:space="preserve"> for capital expenditure at a location and level of education for which the school is</w:t>
      </w:r>
      <w:r w:rsidR="008E5ABB" w:rsidRPr="00061D40">
        <w:t xml:space="preserve"> </w:t>
      </w:r>
      <w:r w:rsidR="00694903" w:rsidRPr="00061D40">
        <w:t>not included in the list</w:t>
      </w:r>
      <w:r w:rsidRPr="00061D40">
        <w:t xml:space="preserve"> of non-government schools</w:t>
      </w:r>
      <w:r w:rsidR="00694903" w:rsidRPr="00061D40">
        <w:t xml:space="preserve"> may be considered in strictly limited circumstances where:</w:t>
      </w:r>
    </w:p>
    <w:p w14:paraId="7F48647A" w14:textId="77777777" w:rsidR="00694903" w:rsidRPr="00061D40" w:rsidRDefault="00724D2F" w:rsidP="00313AE7">
      <w:pPr>
        <w:pStyle w:val="bodytextoutlinednumber"/>
        <w:numPr>
          <w:ilvl w:val="1"/>
          <w:numId w:val="10"/>
        </w:numPr>
      </w:pPr>
      <w:r w:rsidRPr="00061D40">
        <w:lastRenderedPageBreak/>
        <w:t>the</w:t>
      </w:r>
      <w:r w:rsidR="00694903" w:rsidRPr="00061D40">
        <w:t xml:space="preserve"> school is already included in the list in respect of other locations or levels of education</w:t>
      </w:r>
      <w:r w:rsidR="00F06A04" w:rsidRPr="00061D40">
        <w:t>; or</w:t>
      </w:r>
    </w:p>
    <w:p w14:paraId="7F48647B" w14:textId="77777777" w:rsidR="00694903" w:rsidRPr="00061D40" w:rsidRDefault="00724D2F" w:rsidP="00F06A04">
      <w:pPr>
        <w:pStyle w:val="bodytextoutlinednumber"/>
        <w:numPr>
          <w:ilvl w:val="1"/>
          <w:numId w:val="10"/>
        </w:numPr>
      </w:pPr>
      <w:r w:rsidRPr="00061D40">
        <w:t xml:space="preserve">the school is a </w:t>
      </w:r>
      <w:r w:rsidR="00694903" w:rsidRPr="00061D40">
        <w:t>new school</w:t>
      </w:r>
      <w:r w:rsidRPr="00061D40">
        <w:t xml:space="preserve"> and it </w:t>
      </w:r>
      <w:r w:rsidR="00694903" w:rsidRPr="00061D40">
        <w:t>is being established as part of an existing and well established school system; and in both cases</w:t>
      </w:r>
    </w:p>
    <w:p w14:paraId="7F48647C" w14:textId="77777777" w:rsidR="00694903" w:rsidRPr="00061D40" w:rsidRDefault="00694903" w:rsidP="00313AE7">
      <w:pPr>
        <w:pStyle w:val="bodytextoutlinednumber"/>
        <w:numPr>
          <w:ilvl w:val="1"/>
          <w:numId w:val="10"/>
        </w:numPr>
      </w:pPr>
      <w:r w:rsidRPr="00061D40">
        <w:t>the school or system accepts, as a condition of the capital grant, an obligation to repay the whole of the grant amount advanced, if the school is not included in the list by a specified date, and can satisfy the Commonwealth that it has the capacity to fulfil the condition, if and when required.</w:t>
      </w:r>
    </w:p>
    <w:p w14:paraId="7F48647D" w14:textId="77777777" w:rsidR="00F113A4" w:rsidRPr="00061D40" w:rsidRDefault="00694903" w:rsidP="00261AA0">
      <w:pPr>
        <w:pStyle w:val="bodytextoutlinednumber"/>
      </w:pPr>
      <w:r w:rsidRPr="00061D40">
        <w:t>BGAs should apply for advancement of financial assistance on behalf of schools to:</w:t>
      </w:r>
    </w:p>
    <w:p w14:paraId="7F48647E" w14:textId="77777777" w:rsidR="00694903" w:rsidRPr="00061D40" w:rsidRDefault="00694903" w:rsidP="00261AA0">
      <w:pPr>
        <w:spacing w:line="240" w:lineRule="auto"/>
        <w:ind w:left="567"/>
      </w:pPr>
      <w:r w:rsidRPr="00061D40">
        <w:t>Director</w:t>
      </w:r>
      <w:r w:rsidRPr="00061D40">
        <w:br/>
        <w:t>Capital Grants Section</w:t>
      </w:r>
      <w:r w:rsidR="00A525CF" w:rsidRPr="00061D40">
        <w:br/>
      </w:r>
      <w:r w:rsidR="00052406" w:rsidRPr="00EE7401">
        <w:t xml:space="preserve">Infrastructure and </w:t>
      </w:r>
      <w:r w:rsidR="002B22CF" w:rsidRPr="00EE7401">
        <w:t xml:space="preserve">Delivery </w:t>
      </w:r>
      <w:r w:rsidR="0011052A" w:rsidRPr="00EE7401">
        <w:t>Group</w:t>
      </w:r>
      <w:r w:rsidRPr="00061D40">
        <w:br/>
        <w:t>Department of Education, Employment and Workplace Relations</w:t>
      </w:r>
      <w:r w:rsidRPr="00061D40">
        <w:br/>
        <w:t>GPO Box 9880</w:t>
      </w:r>
      <w:r w:rsidRPr="00061D40">
        <w:br/>
        <w:t>CANBERRA CITY</w:t>
      </w:r>
      <w:r w:rsidR="008E5ABB" w:rsidRPr="00061D40">
        <w:t xml:space="preserve"> </w:t>
      </w:r>
      <w:r w:rsidRPr="00061D40">
        <w:t xml:space="preserve"> ACT</w:t>
      </w:r>
      <w:r w:rsidR="008E5ABB" w:rsidRPr="00061D40">
        <w:t xml:space="preserve"> </w:t>
      </w:r>
      <w:r w:rsidRPr="00061D40">
        <w:t xml:space="preserve"> 2601</w:t>
      </w:r>
    </w:p>
    <w:p w14:paraId="7F48647F" w14:textId="77777777" w:rsidR="00694903" w:rsidRPr="00061D40" w:rsidRDefault="00DE4A0A" w:rsidP="00261AA0">
      <w:pPr>
        <w:pStyle w:val="bodytextoutlinednumber"/>
      </w:pPr>
      <w:r w:rsidRPr="00061D40">
        <w:t xml:space="preserve">Whether or not to advance funds in such </w:t>
      </w:r>
      <w:r w:rsidR="00052406" w:rsidRPr="00061D40">
        <w:t xml:space="preserve">a </w:t>
      </w:r>
      <w:r w:rsidRPr="00061D40">
        <w:t>case will be decided by the Commonwealth on the merits of the case, taking into</w:t>
      </w:r>
      <w:r w:rsidR="00694903" w:rsidRPr="00061D40">
        <w:t xml:space="preserve"> </w:t>
      </w:r>
      <w:r w:rsidR="000D2DB5" w:rsidRPr="00061D40">
        <w:t>account relevant</w:t>
      </w:r>
      <w:r w:rsidR="00694903" w:rsidRPr="00061D40">
        <w:t xml:space="preserve"> criteria.</w:t>
      </w:r>
    </w:p>
    <w:p w14:paraId="7F486480" w14:textId="77777777" w:rsidR="00694903" w:rsidRPr="00061D40" w:rsidRDefault="00694903" w:rsidP="00261AA0">
      <w:pPr>
        <w:pStyle w:val="bodytextoutlinednumber"/>
      </w:pPr>
      <w:r w:rsidRPr="00061D40">
        <w:t>Any additional conditions which relate only to individual projects will be contained in the grant offers.</w:t>
      </w:r>
    </w:p>
    <w:p w14:paraId="7F486481" w14:textId="77777777" w:rsidR="00FF6317" w:rsidRDefault="00694903">
      <w:pPr>
        <w:pStyle w:val="Heading3"/>
      </w:pPr>
      <w:bookmarkStart w:id="107" w:name="_Toc211669148"/>
      <w:bookmarkStart w:id="108" w:name="_Toc246483068"/>
      <w:r w:rsidRPr="00061D40">
        <w:t>Conditions of Funding</w:t>
      </w:r>
      <w:bookmarkEnd w:id="107"/>
      <w:bookmarkEnd w:id="108"/>
    </w:p>
    <w:p w14:paraId="7F486482" w14:textId="77777777" w:rsidR="00694903" w:rsidRPr="00061D40" w:rsidRDefault="00694903" w:rsidP="00261AA0">
      <w:pPr>
        <w:pStyle w:val="bodytextoutlinednumber"/>
      </w:pPr>
      <w:r w:rsidRPr="00061D40">
        <w:t xml:space="preserve">As a condition of receiving funds the </w:t>
      </w:r>
      <w:r w:rsidR="00D27D0E" w:rsidRPr="00061D40">
        <w:t xml:space="preserve">BGA </w:t>
      </w:r>
      <w:r w:rsidRPr="00061D40">
        <w:t xml:space="preserve">must include in its agreement with the Commonwealth a statement that it will meet the accountability and performance requirements outlined in </w:t>
      </w:r>
      <w:r w:rsidR="00FE26F2" w:rsidRPr="00061D40">
        <w:t>The</w:t>
      </w:r>
      <w:r w:rsidRPr="00061D40">
        <w:t xml:space="preserve"> Administrative Arrangeme</w:t>
      </w:r>
      <w:r w:rsidR="00FE26F2" w:rsidRPr="00061D40">
        <w:t xml:space="preserve">nts for </w:t>
      </w:r>
      <w:r w:rsidR="00724D2F" w:rsidRPr="00061D40">
        <w:t>BGAs</w:t>
      </w:r>
      <w:r w:rsidR="00FE26F2" w:rsidRPr="00061D40">
        <w:t xml:space="preserve"> documents</w:t>
      </w:r>
      <w:r w:rsidRPr="00061D40">
        <w:t>.</w:t>
      </w:r>
    </w:p>
    <w:p w14:paraId="7F486483" w14:textId="77777777" w:rsidR="00694903" w:rsidRPr="00061D40" w:rsidRDefault="00694903" w:rsidP="00261AA0">
      <w:pPr>
        <w:pStyle w:val="bodytextoutlinednumber"/>
      </w:pPr>
      <w:r w:rsidRPr="00061D40">
        <w:t>BGAs must provide with the recommendations for funding a statement that none of the capital works that are proposed could adversely affect the national estate value of a place in the Register of the National Estate.</w:t>
      </w:r>
    </w:p>
    <w:p w14:paraId="7F486484" w14:textId="77777777" w:rsidR="00D32016" w:rsidRDefault="00694903">
      <w:pPr>
        <w:pStyle w:val="Heading3"/>
      </w:pPr>
      <w:bookmarkStart w:id="109" w:name="_Toc211669150"/>
      <w:bookmarkStart w:id="110" w:name="_Toc246483069"/>
      <w:r w:rsidRPr="00061D40">
        <w:t>Funding Available</w:t>
      </w:r>
      <w:bookmarkEnd w:id="109"/>
      <w:bookmarkEnd w:id="110"/>
    </w:p>
    <w:p w14:paraId="7F486485" w14:textId="77777777" w:rsidR="00455502" w:rsidRDefault="00455502" w:rsidP="00455502">
      <w:pPr>
        <w:pStyle w:val="bodytextoutlinednumber"/>
      </w:pPr>
      <w:r>
        <w:t>C</w:t>
      </w:r>
      <w:r w:rsidRPr="00D71284">
        <w:t xml:space="preserve">apital funds </w:t>
      </w:r>
      <w:r>
        <w:t xml:space="preserve">for </w:t>
      </w:r>
      <w:r w:rsidRPr="00D71284">
        <w:t xml:space="preserve">non-government </w:t>
      </w:r>
      <w:r>
        <w:t xml:space="preserve">schools under </w:t>
      </w:r>
      <w:r w:rsidRPr="00D71284">
        <w:t xml:space="preserve">the Capital Grants Program </w:t>
      </w:r>
      <w:r>
        <w:t xml:space="preserve">are </w:t>
      </w:r>
      <w:r w:rsidRPr="00D71284">
        <w:t xml:space="preserve">allocated to BGAs on the basis of enrolments. </w:t>
      </w:r>
      <w:r>
        <w:t>T</w:t>
      </w:r>
      <w:r w:rsidRPr="00D71284">
        <w:t>able</w:t>
      </w:r>
      <w:r>
        <w:t> 3.1</w:t>
      </w:r>
      <w:r w:rsidRPr="00D71284">
        <w:t xml:space="preserve"> </w:t>
      </w:r>
      <w:r>
        <w:t>(</w:t>
      </w:r>
      <w:r w:rsidRPr="00D71284">
        <w:t>below</w:t>
      </w:r>
      <w:r>
        <w:t>)</w:t>
      </w:r>
      <w:r w:rsidRPr="00D71284">
        <w:t xml:space="preserve"> shows the initial distribution of non-government funds for the Capital Grants Progra</w:t>
      </w:r>
      <w:r w:rsidR="00CE4A22">
        <w:t>m for the current program year.</w:t>
      </w:r>
    </w:p>
    <w:p w14:paraId="7F486486" w14:textId="77777777" w:rsidR="00455502" w:rsidRDefault="00455502" w:rsidP="00455502">
      <w:pPr>
        <w:pStyle w:val="TablefigureHeading1"/>
        <w:spacing w:after="60"/>
      </w:pPr>
      <w:r>
        <w:t>Table 3.1: I</w:t>
      </w:r>
      <w:r w:rsidRPr="00D71284">
        <w:t xml:space="preserve">nitial distribution of non-government funds </w:t>
      </w:r>
      <w:r w:rsidR="003C689B">
        <w:t xml:space="preserve">to BGAs </w:t>
      </w:r>
      <w:r w:rsidRPr="00D71284">
        <w:t>for the Capital Grants Program</w:t>
      </w:r>
      <w:r>
        <w:t xml:space="preserve"> - 201</w:t>
      </w:r>
      <w:r w:rsidR="007F0178">
        <w:t>3</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846"/>
        <w:gridCol w:w="1863"/>
        <w:gridCol w:w="1837"/>
        <w:gridCol w:w="1846"/>
      </w:tblGrid>
      <w:tr w:rsidR="006578C9" w:rsidRPr="002B2062" w14:paraId="7F486490" w14:textId="77777777" w:rsidTr="007353CC">
        <w:tc>
          <w:tcPr>
            <w:tcW w:w="1640" w:type="dxa"/>
            <w:shd w:val="clear" w:color="auto" w:fill="E0E0E0"/>
          </w:tcPr>
          <w:p w14:paraId="7F486487" w14:textId="77777777" w:rsidR="00455502" w:rsidRPr="00A525CF" w:rsidRDefault="00455502" w:rsidP="007353CC">
            <w:pPr>
              <w:pStyle w:val="TableText"/>
              <w:spacing w:line="240" w:lineRule="auto"/>
            </w:pPr>
            <w:r w:rsidRPr="00A525CF">
              <w:t>State</w:t>
            </w:r>
          </w:p>
        </w:tc>
        <w:tc>
          <w:tcPr>
            <w:tcW w:w="1858" w:type="dxa"/>
            <w:shd w:val="clear" w:color="auto" w:fill="E0E0E0"/>
          </w:tcPr>
          <w:p w14:paraId="7F486488" w14:textId="77777777" w:rsidR="003C689B" w:rsidRDefault="00455502" w:rsidP="003C689B">
            <w:pPr>
              <w:pStyle w:val="TableText"/>
              <w:spacing w:line="240" w:lineRule="auto"/>
              <w:jc w:val="right"/>
            </w:pPr>
            <w:r w:rsidRPr="00A525CF">
              <w:t>Catholic</w:t>
            </w:r>
          </w:p>
          <w:p w14:paraId="7F486489" w14:textId="77777777" w:rsidR="00455502" w:rsidRPr="00A525CF" w:rsidRDefault="003C689B" w:rsidP="003C689B">
            <w:pPr>
              <w:pStyle w:val="TableText"/>
              <w:spacing w:line="240" w:lineRule="auto"/>
              <w:jc w:val="right"/>
            </w:pPr>
            <w:r w:rsidRPr="00A525CF">
              <w:t>$’000</w:t>
            </w:r>
          </w:p>
        </w:tc>
        <w:tc>
          <w:tcPr>
            <w:tcW w:w="1872" w:type="dxa"/>
            <w:shd w:val="clear" w:color="auto" w:fill="E0E0E0"/>
          </w:tcPr>
          <w:p w14:paraId="7F48648A" w14:textId="77777777" w:rsidR="003C689B" w:rsidRDefault="00455502" w:rsidP="003C689B">
            <w:pPr>
              <w:pStyle w:val="TableText"/>
              <w:spacing w:line="240" w:lineRule="auto"/>
              <w:jc w:val="right"/>
            </w:pPr>
            <w:r w:rsidRPr="00A525CF">
              <w:t>Independent</w:t>
            </w:r>
          </w:p>
          <w:p w14:paraId="7F48648B" w14:textId="77777777" w:rsidR="00455502" w:rsidRPr="00A525CF" w:rsidRDefault="003C689B" w:rsidP="003C689B">
            <w:pPr>
              <w:pStyle w:val="TableText"/>
              <w:spacing w:line="240" w:lineRule="auto"/>
              <w:jc w:val="right"/>
            </w:pPr>
            <w:r w:rsidRPr="00A525CF">
              <w:t>$’000</w:t>
            </w:r>
          </w:p>
        </w:tc>
        <w:tc>
          <w:tcPr>
            <w:tcW w:w="1850" w:type="dxa"/>
            <w:shd w:val="clear" w:color="auto" w:fill="E0E0E0"/>
          </w:tcPr>
          <w:p w14:paraId="7F48648C" w14:textId="77777777" w:rsidR="003C689B" w:rsidRDefault="00455502" w:rsidP="003C689B">
            <w:pPr>
              <w:pStyle w:val="TableText"/>
              <w:spacing w:line="240" w:lineRule="auto"/>
              <w:jc w:val="right"/>
            </w:pPr>
            <w:r w:rsidRPr="00A525CF">
              <w:t>Joint</w:t>
            </w:r>
          </w:p>
          <w:p w14:paraId="7F48648D" w14:textId="77777777" w:rsidR="00455502" w:rsidRPr="00A525CF" w:rsidRDefault="003C689B" w:rsidP="003C689B">
            <w:pPr>
              <w:pStyle w:val="TableText"/>
              <w:spacing w:line="240" w:lineRule="auto"/>
              <w:jc w:val="right"/>
            </w:pPr>
            <w:r w:rsidRPr="00A525CF">
              <w:t>$’000</w:t>
            </w:r>
          </w:p>
        </w:tc>
        <w:tc>
          <w:tcPr>
            <w:tcW w:w="1858" w:type="dxa"/>
            <w:shd w:val="clear" w:color="auto" w:fill="E0E0E0"/>
          </w:tcPr>
          <w:p w14:paraId="7F48648E" w14:textId="77777777" w:rsidR="003C689B" w:rsidRDefault="00455502" w:rsidP="003C689B">
            <w:pPr>
              <w:pStyle w:val="TableText"/>
              <w:spacing w:line="240" w:lineRule="auto"/>
              <w:jc w:val="right"/>
            </w:pPr>
            <w:r w:rsidRPr="00A525CF">
              <w:t>Total</w:t>
            </w:r>
          </w:p>
          <w:p w14:paraId="7F48648F" w14:textId="77777777" w:rsidR="00455502" w:rsidRPr="00A525CF" w:rsidRDefault="003C689B" w:rsidP="003C689B">
            <w:pPr>
              <w:pStyle w:val="TableText"/>
              <w:spacing w:line="240" w:lineRule="auto"/>
              <w:jc w:val="right"/>
            </w:pPr>
            <w:r w:rsidRPr="00A525CF">
              <w:t>$’000</w:t>
            </w:r>
          </w:p>
        </w:tc>
      </w:tr>
      <w:tr w:rsidR="006578C9" w14:paraId="7F486496" w14:textId="77777777" w:rsidTr="007353CC">
        <w:tc>
          <w:tcPr>
            <w:tcW w:w="1640" w:type="dxa"/>
          </w:tcPr>
          <w:p w14:paraId="7F486491" w14:textId="77777777" w:rsidR="00455502" w:rsidRPr="00A525CF" w:rsidRDefault="00455502" w:rsidP="007353CC">
            <w:pPr>
              <w:pStyle w:val="TableText"/>
              <w:spacing w:line="240" w:lineRule="auto"/>
            </w:pPr>
            <w:r w:rsidRPr="00A525CF">
              <w:t>NSW</w:t>
            </w:r>
          </w:p>
        </w:tc>
        <w:tc>
          <w:tcPr>
            <w:tcW w:w="1858" w:type="dxa"/>
          </w:tcPr>
          <w:p w14:paraId="7F486492" w14:textId="77777777" w:rsidR="00455502" w:rsidRPr="00A525CF" w:rsidRDefault="00C90DD5" w:rsidP="00A63342">
            <w:pPr>
              <w:pStyle w:val="TableText"/>
              <w:spacing w:line="240" w:lineRule="auto"/>
              <w:jc w:val="right"/>
            </w:pPr>
            <w:r>
              <w:t>27,</w:t>
            </w:r>
            <w:r w:rsidR="00A63342">
              <w:t>918</w:t>
            </w:r>
          </w:p>
        </w:tc>
        <w:tc>
          <w:tcPr>
            <w:tcW w:w="1872" w:type="dxa"/>
          </w:tcPr>
          <w:p w14:paraId="7F486493" w14:textId="77777777" w:rsidR="00455502" w:rsidRPr="00A525CF" w:rsidRDefault="00C90DD5" w:rsidP="00A63342">
            <w:pPr>
              <w:pStyle w:val="TableText"/>
              <w:spacing w:line="240" w:lineRule="auto"/>
              <w:jc w:val="right"/>
            </w:pPr>
            <w:r>
              <w:t>14,</w:t>
            </w:r>
            <w:r w:rsidR="00A63342">
              <w:t>484</w:t>
            </w:r>
          </w:p>
        </w:tc>
        <w:tc>
          <w:tcPr>
            <w:tcW w:w="1850" w:type="dxa"/>
          </w:tcPr>
          <w:p w14:paraId="7F486494" w14:textId="77777777" w:rsidR="00455502" w:rsidRPr="00A525CF" w:rsidRDefault="00455502" w:rsidP="007353CC">
            <w:pPr>
              <w:pStyle w:val="TableText"/>
              <w:spacing w:line="240" w:lineRule="auto"/>
              <w:jc w:val="right"/>
            </w:pPr>
          </w:p>
        </w:tc>
        <w:tc>
          <w:tcPr>
            <w:tcW w:w="1858" w:type="dxa"/>
          </w:tcPr>
          <w:p w14:paraId="7F486495" w14:textId="77777777" w:rsidR="00455502" w:rsidRPr="00A525CF" w:rsidRDefault="00C90DD5" w:rsidP="00A63342">
            <w:pPr>
              <w:pStyle w:val="TableText"/>
              <w:spacing w:line="240" w:lineRule="auto"/>
              <w:jc w:val="right"/>
            </w:pPr>
            <w:r>
              <w:t>42,</w:t>
            </w:r>
            <w:r w:rsidR="00A63342">
              <w:t>402</w:t>
            </w:r>
          </w:p>
        </w:tc>
      </w:tr>
      <w:tr w:rsidR="006578C9" w14:paraId="7F48649C" w14:textId="77777777" w:rsidTr="007353CC">
        <w:tc>
          <w:tcPr>
            <w:tcW w:w="1640" w:type="dxa"/>
          </w:tcPr>
          <w:p w14:paraId="7F486497" w14:textId="77777777" w:rsidR="00455502" w:rsidRPr="00A525CF" w:rsidRDefault="00455502" w:rsidP="007353CC">
            <w:pPr>
              <w:pStyle w:val="TableText"/>
              <w:spacing w:line="240" w:lineRule="auto"/>
            </w:pPr>
            <w:r w:rsidRPr="00A525CF">
              <w:t>VIC</w:t>
            </w:r>
          </w:p>
        </w:tc>
        <w:tc>
          <w:tcPr>
            <w:tcW w:w="1858" w:type="dxa"/>
          </w:tcPr>
          <w:p w14:paraId="7F486498" w14:textId="77777777" w:rsidR="00455502" w:rsidRPr="00A525CF" w:rsidRDefault="003C689B" w:rsidP="00A63342">
            <w:pPr>
              <w:pStyle w:val="TableText"/>
              <w:spacing w:line="240" w:lineRule="auto"/>
              <w:jc w:val="right"/>
            </w:pPr>
            <w:r>
              <w:t>22,</w:t>
            </w:r>
            <w:r w:rsidR="00A63342">
              <w:t>578</w:t>
            </w:r>
          </w:p>
        </w:tc>
        <w:tc>
          <w:tcPr>
            <w:tcW w:w="1872" w:type="dxa"/>
          </w:tcPr>
          <w:p w14:paraId="7F486499" w14:textId="77777777" w:rsidR="00455502" w:rsidRPr="00A525CF" w:rsidRDefault="00C90DD5" w:rsidP="00A63342">
            <w:pPr>
              <w:pStyle w:val="TableText"/>
              <w:spacing w:line="240" w:lineRule="auto"/>
              <w:jc w:val="right"/>
            </w:pPr>
            <w:r>
              <w:t>11,</w:t>
            </w:r>
            <w:r w:rsidR="00A63342">
              <w:t>925</w:t>
            </w:r>
          </w:p>
        </w:tc>
        <w:tc>
          <w:tcPr>
            <w:tcW w:w="1850" w:type="dxa"/>
          </w:tcPr>
          <w:p w14:paraId="7F48649A" w14:textId="77777777" w:rsidR="00455502" w:rsidRPr="00A525CF" w:rsidRDefault="00455502" w:rsidP="007353CC">
            <w:pPr>
              <w:pStyle w:val="TableText"/>
              <w:spacing w:line="240" w:lineRule="auto"/>
              <w:jc w:val="right"/>
            </w:pPr>
          </w:p>
        </w:tc>
        <w:tc>
          <w:tcPr>
            <w:tcW w:w="1858" w:type="dxa"/>
          </w:tcPr>
          <w:p w14:paraId="7F48649B" w14:textId="77777777" w:rsidR="00455502" w:rsidRPr="00A525CF" w:rsidRDefault="00C90DD5" w:rsidP="00A63342">
            <w:pPr>
              <w:pStyle w:val="TableText"/>
              <w:spacing w:line="240" w:lineRule="auto"/>
              <w:jc w:val="right"/>
            </w:pPr>
            <w:r>
              <w:t>34,</w:t>
            </w:r>
            <w:r w:rsidR="00A63342">
              <w:t>503</w:t>
            </w:r>
          </w:p>
        </w:tc>
      </w:tr>
      <w:tr w:rsidR="006578C9" w14:paraId="7F4864A2" w14:textId="77777777" w:rsidTr="007353CC">
        <w:tc>
          <w:tcPr>
            <w:tcW w:w="1640" w:type="dxa"/>
          </w:tcPr>
          <w:p w14:paraId="7F48649D" w14:textId="77777777" w:rsidR="00455502" w:rsidRPr="00A525CF" w:rsidRDefault="00455502" w:rsidP="007353CC">
            <w:pPr>
              <w:pStyle w:val="TableText"/>
              <w:spacing w:line="240" w:lineRule="auto"/>
            </w:pPr>
            <w:r w:rsidRPr="00A525CF">
              <w:t>QLD</w:t>
            </w:r>
          </w:p>
        </w:tc>
        <w:tc>
          <w:tcPr>
            <w:tcW w:w="1858" w:type="dxa"/>
          </w:tcPr>
          <w:p w14:paraId="7F48649E" w14:textId="77777777" w:rsidR="00455502" w:rsidRPr="00A525CF" w:rsidRDefault="00A63342" w:rsidP="00A63342">
            <w:pPr>
              <w:pStyle w:val="TableText"/>
              <w:spacing w:line="240" w:lineRule="auto"/>
              <w:jc w:val="right"/>
            </w:pPr>
            <w:r>
              <w:t>15,117</w:t>
            </w:r>
          </w:p>
        </w:tc>
        <w:tc>
          <w:tcPr>
            <w:tcW w:w="1872" w:type="dxa"/>
          </w:tcPr>
          <w:p w14:paraId="7F48649F" w14:textId="77777777" w:rsidR="00455502" w:rsidRPr="00A525CF" w:rsidRDefault="00C90DD5" w:rsidP="00A63342">
            <w:pPr>
              <w:pStyle w:val="TableText"/>
              <w:spacing w:line="240" w:lineRule="auto"/>
              <w:jc w:val="right"/>
            </w:pPr>
            <w:r>
              <w:t>10,</w:t>
            </w:r>
            <w:r w:rsidR="00A63342">
              <w:t>895</w:t>
            </w:r>
          </w:p>
        </w:tc>
        <w:tc>
          <w:tcPr>
            <w:tcW w:w="1850" w:type="dxa"/>
          </w:tcPr>
          <w:p w14:paraId="7F4864A0" w14:textId="77777777" w:rsidR="00455502" w:rsidRPr="00A525CF" w:rsidRDefault="00455502" w:rsidP="007353CC">
            <w:pPr>
              <w:pStyle w:val="TableText"/>
              <w:spacing w:line="240" w:lineRule="auto"/>
              <w:jc w:val="right"/>
            </w:pPr>
          </w:p>
        </w:tc>
        <w:tc>
          <w:tcPr>
            <w:tcW w:w="1858" w:type="dxa"/>
          </w:tcPr>
          <w:p w14:paraId="7F4864A1" w14:textId="77777777" w:rsidR="00455502" w:rsidRPr="00A525CF" w:rsidRDefault="00A63342" w:rsidP="00A63342">
            <w:pPr>
              <w:pStyle w:val="TableText"/>
              <w:spacing w:line="240" w:lineRule="auto"/>
              <w:jc w:val="right"/>
            </w:pPr>
            <w:r>
              <w:t>26,013</w:t>
            </w:r>
          </w:p>
        </w:tc>
      </w:tr>
      <w:tr w:rsidR="006578C9" w14:paraId="7F4864A8" w14:textId="77777777" w:rsidTr="007353CC">
        <w:tc>
          <w:tcPr>
            <w:tcW w:w="1640" w:type="dxa"/>
          </w:tcPr>
          <w:p w14:paraId="7F4864A3" w14:textId="77777777" w:rsidR="00455502" w:rsidRPr="00A525CF" w:rsidRDefault="00455502" w:rsidP="007353CC">
            <w:pPr>
              <w:pStyle w:val="TableText"/>
              <w:spacing w:line="240" w:lineRule="auto"/>
            </w:pPr>
            <w:r w:rsidRPr="00A525CF">
              <w:t>WA</w:t>
            </w:r>
          </w:p>
        </w:tc>
        <w:tc>
          <w:tcPr>
            <w:tcW w:w="1858" w:type="dxa"/>
          </w:tcPr>
          <w:p w14:paraId="7F4864A4" w14:textId="77777777" w:rsidR="00455502" w:rsidRPr="00A525CF" w:rsidRDefault="00C90DD5" w:rsidP="00A63342">
            <w:pPr>
              <w:pStyle w:val="TableText"/>
              <w:spacing w:line="240" w:lineRule="auto"/>
              <w:jc w:val="right"/>
            </w:pPr>
            <w:r>
              <w:t>7,</w:t>
            </w:r>
            <w:r w:rsidR="00A63342">
              <w:t>735</w:t>
            </w:r>
          </w:p>
        </w:tc>
        <w:tc>
          <w:tcPr>
            <w:tcW w:w="1872" w:type="dxa"/>
          </w:tcPr>
          <w:p w14:paraId="7F4864A5" w14:textId="77777777" w:rsidR="00455502" w:rsidRPr="00A525CF" w:rsidRDefault="00C90DD5" w:rsidP="00A63342">
            <w:pPr>
              <w:pStyle w:val="TableText"/>
              <w:spacing w:line="240" w:lineRule="auto"/>
              <w:jc w:val="right"/>
            </w:pPr>
            <w:r>
              <w:t>5,</w:t>
            </w:r>
            <w:r w:rsidR="00A63342">
              <w:t>959</w:t>
            </w:r>
          </w:p>
        </w:tc>
        <w:tc>
          <w:tcPr>
            <w:tcW w:w="1850" w:type="dxa"/>
          </w:tcPr>
          <w:p w14:paraId="7F4864A6" w14:textId="77777777" w:rsidR="00455502" w:rsidRPr="00A525CF" w:rsidRDefault="00455502" w:rsidP="007353CC">
            <w:pPr>
              <w:pStyle w:val="TableText"/>
              <w:spacing w:line="240" w:lineRule="auto"/>
              <w:jc w:val="right"/>
            </w:pPr>
          </w:p>
        </w:tc>
        <w:tc>
          <w:tcPr>
            <w:tcW w:w="1858" w:type="dxa"/>
          </w:tcPr>
          <w:p w14:paraId="7F4864A7" w14:textId="77777777" w:rsidR="00455502" w:rsidRPr="00A525CF" w:rsidRDefault="00C90DD5" w:rsidP="00A63342">
            <w:pPr>
              <w:pStyle w:val="TableText"/>
              <w:spacing w:line="240" w:lineRule="auto"/>
              <w:jc w:val="right"/>
            </w:pPr>
            <w:r>
              <w:t>13,</w:t>
            </w:r>
            <w:r w:rsidR="00A63342">
              <w:t>694</w:t>
            </w:r>
          </w:p>
        </w:tc>
      </w:tr>
      <w:tr w:rsidR="006578C9" w14:paraId="7F4864AE" w14:textId="77777777" w:rsidTr="007353CC">
        <w:tc>
          <w:tcPr>
            <w:tcW w:w="1640" w:type="dxa"/>
          </w:tcPr>
          <w:p w14:paraId="7F4864A9" w14:textId="77777777" w:rsidR="00455502" w:rsidRPr="00A525CF" w:rsidRDefault="00455502" w:rsidP="007353CC">
            <w:pPr>
              <w:pStyle w:val="TableText"/>
              <w:spacing w:line="240" w:lineRule="auto"/>
            </w:pPr>
            <w:r w:rsidRPr="00A525CF">
              <w:lastRenderedPageBreak/>
              <w:t>SA</w:t>
            </w:r>
          </w:p>
        </w:tc>
        <w:tc>
          <w:tcPr>
            <w:tcW w:w="1858" w:type="dxa"/>
          </w:tcPr>
          <w:p w14:paraId="7F4864AA" w14:textId="77777777" w:rsidR="00455502" w:rsidRPr="00A525CF" w:rsidRDefault="00C90DD5" w:rsidP="00A63342">
            <w:pPr>
              <w:pStyle w:val="TableText"/>
              <w:spacing w:line="240" w:lineRule="auto"/>
              <w:jc w:val="right"/>
            </w:pPr>
            <w:r>
              <w:t>5,57</w:t>
            </w:r>
            <w:r w:rsidR="00A63342">
              <w:t>5</w:t>
            </w:r>
          </w:p>
        </w:tc>
        <w:tc>
          <w:tcPr>
            <w:tcW w:w="1872" w:type="dxa"/>
          </w:tcPr>
          <w:p w14:paraId="7F4864AB" w14:textId="77777777" w:rsidR="00455502" w:rsidRPr="00A525CF" w:rsidRDefault="00C90DD5" w:rsidP="00A63342">
            <w:pPr>
              <w:pStyle w:val="TableText"/>
              <w:spacing w:line="240" w:lineRule="auto"/>
              <w:jc w:val="right"/>
            </w:pPr>
            <w:r>
              <w:t>4,</w:t>
            </w:r>
            <w:r w:rsidR="00A63342">
              <w:t>793</w:t>
            </w:r>
          </w:p>
        </w:tc>
        <w:tc>
          <w:tcPr>
            <w:tcW w:w="1850" w:type="dxa"/>
          </w:tcPr>
          <w:p w14:paraId="7F4864AC" w14:textId="77777777" w:rsidR="00455502" w:rsidRPr="00A525CF" w:rsidRDefault="00455502" w:rsidP="007353CC">
            <w:pPr>
              <w:pStyle w:val="TableText"/>
              <w:spacing w:line="240" w:lineRule="auto"/>
              <w:jc w:val="right"/>
            </w:pPr>
          </w:p>
        </w:tc>
        <w:tc>
          <w:tcPr>
            <w:tcW w:w="1858" w:type="dxa"/>
          </w:tcPr>
          <w:p w14:paraId="7F4864AD" w14:textId="77777777" w:rsidR="00455502" w:rsidRPr="00A525CF" w:rsidRDefault="00C90DD5" w:rsidP="00A63342">
            <w:pPr>
              <w:pStyle w:val="TableText"/>
              <w:spacing w:line="240" w:lineRule="auto"/>
              <w:jc w:val="right"/>
            </w:pPr>
            <w:r>
              <w:t>10,</w:t>
            </w:r>
            <w:r w:rsidR="00A63342">
              <w:t>368</w:t>
            </w:r>
          </w:p>
        </w:tc>
      </w:tr>
      <w:tr w:rsidR="006578C9" w14:paraId="7F4864B4" w14:textId="77777777" w:rsidTr="007353CC">
        <w:tc>
          <w:tcPr>
            <w:tcW w:w="1640" w:type="dxa"/>
          </w:tcPr>
          <w:p w14:paraId="7F4864AF" w14:textId="77777777" w:rsidR="00455502" w:rsidRPr="00A525CF" w:rsidRDefault="00455502" w:rsidP="007353CC">
            <w:pPr>
              <w:pStyle w:val="TableText"/>
              <w:spacing w:line="240" w:lineRule="auto"/>
            </w:pPr>
            <w:r w:rsidRPr="00A525CF">
              <w:t>TAS</w:t>
            </w:r>
          </w:p>
        </w:tc>
        <w:tc>
          <w:tcPr>
            <w:tcW w:w="1858" w:type="dxa"/>
          </w:tcPr>
          <w:p w14:paraId="7F4864B0" w14:textId="77777777" w:rsidR="00455502" w:rsidRPr="00A525CF" w:rsidRDefault="00C90DD5" w:rsidP="00A63342">
            <w:pPr>
              <w:pStyle w:val="TableText"/>
              <w:spacing w:line="240" w:lineRule="auto"/>
              <w:jc w:val="right"/>
            </w:pPr>
            <w:r>
              <w:t>1,7</w:t>
            </w:r>
            <w:r w:rsidR="00A63342">
              <w:t>4</w:t>
            </w:r>
            <w:r>
              <w:t>5</w:t>
            </w:r>
          </w:p>
        </w:tc>
        <w:tc>
          <w:tcPr>
            <w:tcW w:w="1872" w:type="dxa"/>
          </w:tcPr>
          <w:p w14:paraId="7F4864B1" w14:textId="77777777" w:rsidR="00455502" w:rsidRPr="00A525CF" w:rsidRDefault="00C90DD5" w:rsidP="00A63342">
            <w:pPr>
              <w:pStyle w:val="TableText"/>
              <w:spacing w:line="240" w:lineRule="auto"/>
              <w:jc w:val="right"/>
            </w:pPr>
            <w:r>
              <w:t>1,04</w:t>
            </w:r>
            <w:r w:rsidR="00A63342">
              <w:t>7</w:t>
            </w:r>
          </w:p>
        </w:tc>
        <w:tc>
          <w:tcPr>
            <w:tcW w:w="1850" w:type="dxa"/>
          </w:tcPr>
          <w:p w14:paraId="7F4864B2" w14:textId="77777777" w:rsidR="00455502" w:rsidRPr="00A525CF" w:rsidRDefault="00455502" w:rsidP="007353CC">
            <w:pPr>
              <w:pStyle w:val="TableText"/>
              <w:spacing w:line="240" w:lineRule="auto"/>
              <w:jc w:val="right"/>
            </w:pPr>
          </w:p>
        </w:tc>
        <w:tc>
          <w:tcPr>
            <w:tcW w:w="1858" w:type="dxa"/>
          </w:tcPr>
          <w:p w14:paraId="7F4864B3" w14:textId="77777777" w:rsidR="00455502" w:rsidRPr="00A525CF" w:rsidRDefault="00C90DD5" w:rsidP="00A63342">
            <w:pPr>
              <w:pStyle w:val="TableText"/>
              <w:spacing w:line="240" w:lineRule="auto"/>
              <w:jc w:val="right"/>
            </w:pPr>
            <w:r>
              <w:t>2,7</w:t>
            </w:r>
            <w:r w:rsidR="00A63342">
              <w:t>92</w:t>
            </w:r>
          </w:p>
        </w:tc>
      </w:tr>
      <w:tr w:rsidR="006578C9" w14:paraId="7F4864BA" w14:textId="77777777" w:rsidTr="007353CC">
        <w:tc>
          <w:tcPr>
            <w:tcW w:w="1640" w:type="dxa"/>
          </w:tcPr>
          <w:p w14:paraId="7F4864B5" w14:textId="77777777" w:rsidR="00455502" w:rsidRPr="00A525CF" w:rsidRDefault="00455502" w:rsidP="007353CC">
            <w:pPr>
              <w:pStyle w:val="TableText"/>
              <w:spacing w:line="240" w:lineRule="auto"/>
            </w:pPr>
            <w:r w:rsidRPr="00A525CF">
              <w:t>ACT</w:t>
            </w:r>
          </w:p>
        </w:tc>
        <w:tc>
          <w:tcPr>
            <w:tcW w:w="1858" w:type="dxa"/>
          </w:tcPr>
          <w:p w14:paraId="7F4864B6" w14:textId="77777777" w:rsidR="00455502" w:rsidRPr="00A525CF" w:rsidRDefault="00455502" w:rsidP="007353CC">
            <w:pPr>
              <w:pStyle w:val="TableText"/>
              <w:spacing w:line="240" w:lineRule="auto"/>
              <w:jc w:val="right"/>
            </w:pPr>
          </w:p>
        </w:tc>
        <w:tc>
          <w:tcPr>
            <w:tcW w:w="1872" w:type="dxa"/>
          </w:tcPr>
          <w:p w14:paraId="7F4864B7" w14:textId="77777777" w:rsidR="00455502" w:rsidRPr="00A525CF" w:rsidRDefault="00455502" w:rsidP="007353CC">
            <w:pPr>
              <w:pStyle w:val="TableText"/>
              <w:spacing w:line="240" w:lineRule="auto"/>
              <w:jc w:val="right"/>
            </w:pPr>
          </w:p>
        </w:tc>
        <w:tc>
          <w:tcPr>
            <w:tcW w:w="1850" w:type="dxa"/>
          </w:tcPr>
          <w:p w14:paraId="7F4864B8" w14:textId="77777777" w:rsidR="00455502" w:rsidRPr="00A525CF" w:rsidRDefault="00C90DD5" w:rsidP="00A63342">
            <w:pPr>
              <w:pStyle w:val="TableText"/>
              <w:spacing w:line="240" w:lineRule="auto"/>
              <w:jc w:val="right"/>
            </w:pPr>
            <w:r>
              <w:t>2,</w:t>
            </w:r>
            <w:r w:rsidR="00A63342">
              <w:t>927</w:t>
            </w:r>
          </w:p>
        </w:tc>
        <w:tc>
          <w:tcPr>
            <w:tcW w:w="1858" w:type="dxa"/>
          </w:tcPr>
          <w:p w14:paraId="7F4864B9" w14:textId="77777777" w:rsidR="00455502" w:rsidRPr="00A525CF" w:rsidRDefault="00C90DD5" w:rsidP="00A63342">
            <w:pPr>
              <w:pStyle w:val="TableText"/>
              <w:spacing w:line="240" w:lineRule="auto"/>
              <w:jc w:val="right"/>
            </w:pPr>
            <w:r>
              <w:t>2,</w:t>
            </w:r>
            <w:r w:rsidR="00A63342">
              <w:t>927</w:t>
            </w:r>
          </w:p>
        </w:tc>
      </w:tr>
      <w:tr w:rsidR="006578C9" w14:paraId="7F4864C0" w14:textId="77777777" w:rsidTr="007353CC">
        <w:tc>
          <w:tcPr>
            <w:tcW w:w="1640" w:type="dxa"/>
          </w:tcPr>
          <w:p w14:paraId="7F4864BB" w14:textId="77777777" w:rsidR="00455502" w:rsidRPr="00A525CF" w:rsidRDefault="00455502" w:rsidP="007353CC">
            <w:pPr>
              <w:pStyle w:val="TableText"/>
              <w:spacing w:line="240" w:lineRule="auto"/>
            </w:pPr>
            <w:r w:rsidRPr="00A525CF">
              <w:t>NT</w:t>
            </w:r>
          </w:p>
        </w:tc>
        <w:tc>
          <w:tcPr>
            <w:tcW w:w="1858" w:type="dxa"/>
          </w:tcPr>
          <w:p w14:paraId="7F4864BC" w14:textId="77777777" w:rsidR="00455502" w:rsidRPr="00A525CF" w:rsidRDefault="00455502" w:rsidP="007353CC">
            <w:pPr>
              <w:pStyle w:val="TableText"/>
              <w:spacing w:line="240" w:lineRule="auto"/>
              <w:jc w:val="right"/>
            </w:pPr>
          </w:p>
        </w:tc>
        <w:tc>
          <w:tcPr>
            <w:tcW w:w="1872" w:type="dxa"/>
          </w:tcPr>
          <w:p w14:paraId="7F4864BD" w14:textId="77777777" w:rsidR="00455502" w:rsidRPr="00A525CF" w:rsidRDefault="00455502" w:rsidP="007353CC">
            <w:pPr>
              <w:pStyle w:val="TableText"/>
              <w:spacing w:line="240" w:lineRule="auto"/>
              <w:jc w:val="right"/>
            </w:pPr>
          </w:p>
        </w:tc>
        <w:tc>
          <w:tcPr>
            <w:tcW w:w="1850" w:type="dxa"/>
          </w:tcPr>
          <w:p w14:paraId="7F4864BE" w14:textId="77777777" w:rsidR="00455502" w:rsidRPr="00A525CF" w:rsidRDefault="00C90DD5" w:rsidP="00A63342">
            <w:pPr>
              <w:pStyle w:val="TableText"/>
              <w:spacing w:line="240" w:lineRule="auto"/>
              <w:jc w:val="right"/>
            </w:pPr>
            <w:r>
              <w:t>1,1</w:t>
            </w:r>
            <w:r w:rsidR="00A63342">
              <w:t>2</w:t>
            </w:r>
            <w:r>
              <w:t>8</w:t>
            </w:r>
          </w:p>
        </w:tc>
        <w:tc>
          <w:tcPr>
            <w:tcW w:w="1858" w:type="dxa"/>
          </w:tcPr>
          <w:p w14:paraId="7F4864BF" w14:textId="77777777" w:rsidR="00455502" w:rsidRPr="00A525CF" w:rsidRDefault="00C90DD5" w:rsidP="00A63342">
            <w:pPr>
              <w:pStyle w:val="TableText"/>
              <w:spacing w:line="240" w:lineRule="auto"/>
              <w:jc w:val="right"/>
            </w:pPr>
            <w:r>
              <w:t>1,1</w:t>
            </w:r>
            <w:r w:rsidR="00A63342">
              <w:t>2</w:t>
            </w:r>
            <w:r>
              <w:t>8</w:t>
            </w:r>
          </w:p>
        </w:tc>
      </w:tr>
      <w:tr w:rsidR="006578C9" w:rsidRPr="003C689B" w14:paraId="7F4864C6" w14:textId="77777777" w:rsidTr="007353CC">
        <w:tc>
          <w:tcPr>
            <w:tcW w:w="1640" w:type="dxa"/>
          </w:tcPr>
          <w:p w14:paraId="7F4864C1" w14:textId="77777777" w:rsidR="00455502" w:rsidRPr="003C689B" w:rsidRDefault="00455502" w:rsidP="007353CC">
            <w:pPr>
              <w:pStyle w:val="TableText"/>
              <w:spacing w:line="240" w:lineRule="auto"/>
              <w:rPr>
                <w:b/>
              </w:rPr>
            </w:pPr>
            <w:r w:rsidRPr="003C689B">
              <w:rPr>
                <w:b/>
              </w:rPr>
              <w:t>Total</w:t>
            </w:r>
          </w:p>
        </w:tc>
        <w:tc>
          <w:tcPr>
            <w:tcW w:w="1858" w:type="dxa"/>
          </w:tcPr>
          <w:p w14:paraId="7F4864C2" w14:textId="77777777" w:rsidR="00455502" w:rsidRPr="003C689B" w:rsidRDefault="00A63342" w:rsidP="00A63342">
            <w:pPr>
              <w:pStyle w:val="TableText"/>
              <w:spacing w:line="240" w:lineRule="auto"/>
              <w:jc w:val="right"/>
              <w:rPr>
                <w:b/>
              </w:rPr>
            </w:pPr>
            <w:r>
              <w:rPr>
                <w:b/>
              </w:rPr>
              <w:t>80,668</w:t>
            </w:r>
          </w:p>
        </w:tc>
        <w:tc>
          <w:tcPr>
            <w:tcW w:w="1872" w:type="dxa"/>
          </w:tcPr>
          <w:p w14:paraId="7F4864C3" w14:textId="77777777" w:rsidR="00455502" w:rsidRPr="003C689B" w:rsidRDefault="00A63342" w:rsidP="00A63342">
            <w:pPr>
              <w:pStyle w:val="TableText"/>
              <w:spacing w:line="240" w:lineRule="auto"/>
              <w:jc w:val="right"/>
              <w:rPr>
                <w:b/>
              </w:rPr>
            </w:pPr>
            <w:r>
              <w:rPr>
                <w:b/>
              </w:rPr>
              <w:t>49,102</w:t>
            </w:r>
          </w:p>
        </w:tc>
        <w:tc>
          <w:tcPr>
            <w:tcW w:w="1850" w:type="dxa"/>
          </w:tcPr>
          <w:p w14:paraId="7F4864C4" w14:textId="77777777" w:rsidR="00455502" w:rsidRPr="003C689B" w:rsidRDefault="00C90DD5" w:rsidP="00A63342">
            <w:pPr>
              <w:pStyle w:val="TableText"/>
              <w:spacing w:line="240" w:lineRule="auto"/>
              <w:jc w:val="right"/>
              <w:rPr>
                <w:b/>
              </w:rPr>
            </w:pPr>
            <w:r>
              <w:rPr>
                <w:b/>
              </w:rPr>
              <w:t>4,0</w:t>
            </w:r>
            <w:r w:rsidR="00A63342">
              <w:rPr>
                <w:b/>
              </w:rPr>
              <w:t>55</w:t>
            </w:r>
          </w:p>
        </w:tc>
        <w:tc>
          <w:tcPr>
            <w:tcW w:w="1858" w:type="dxa"/>
          </w:tcPr>
          <w:p w14:paraId="7F4864C5" w14:textId="77777777" w:rsidR="00455502" w:rsidRPr="003C689B" w:rsidRDefault="00A63342" w:rsidP="00A63342">
            <w:pPr>
              <w:pStyle w:val="TableText"/>
              <w:spacing w:line="240" w:lineRule="auto"/>
              <w:jc w:val="right"/>
              <w:rPr>
                <w:b/>
              </w:rPr>
            </w:pPr>
            <w:r>
              <w:rPr>
                <w:b/>
              </w:rPr>
              <w:t>133,827</w:t>
            </w:r>
          </w:p>
        </w:tc>
      </w:tr>
    </w:tbl>
    <w:p w14:paraId="7F4864C7" w14:textId="77777777" w:rsidR="00BE6C01" w:rsidRDefault="00455502">
      <w:pPr>
        <w:pStyle w:val="Tablefootnote"/>
        <w:spacing w:line="240" w:lineRule="auto"/>
        <w:ind w:left="0" w:firstLine="0"/>
      </w:pPr>
      <w:r w:rsidRPr="00F03236">
        <w:t>*Totals may not add due to rounding.</w:t>
      </w:r>
    </w:p>
    <w:p w14:paraId="7F4864C8" w14:textId="77777777" w:rsidR="00D32016" w:rsidRDefault="00694903">
      <w:pPr>
        <w:pStyle w:val="Heading3"/>
      </w:pPr>
      <w:bookmarkStart w:id="111" w:name="_Toc211669152"/>
      <w:bookmarkStart w:id="112" w:name="_Toc246483070"/>
      <w:r w:rsidRPr="00061D40">
        <w:t>Payment Procedures</w:t>
      </w:r>
      <w:bookmarkEnd w:id="111"/>
      <w:bookmarkEnd w:id="112"/>
    </w:p>
    <w:p w14:paraId="7F4864C9" w14:textId="77777777" w:rsidR="00373AB9" w:rsidRPr="00061D40" w:rsidRDefault="008C5A39" w:rsidP="00261AA0">
      <w:pPr>
        <w:pStyle w:val="bodytextoutlinednumber"/>
      </w:pPr>
      <w:r>
        <w:t xml:space="preserve">Supplementation for capital expenditure is calculated annually by applying movements for the previous calendar year in the </w:t>
      </w:r>
      <w:r>
        <w:rPr>
          <w:i/>
          <w:iCs/>
        </w:rPr>
        <w:t>Producer Price Index Non-Residential Building Construction, Australia,</w:t>
      </w:r>
      <w:r>
        <w:t xml:space="preserve"> a fixed weight index produced by the Australian Bureau of Statistics (Index No. 3020). The index covers non-residential new construction using a component cost method, close as possible to market prices, which reflect labour, material, plant input costs, and subcontractors’ margin.</w:t>
      </w:r>
      <w:r w:rsidR="00503692">
        <w:t xml:space="preserve"> </w:t>
      </w:r>
      <w:r w:rsidR="00373AB9" w:rsidRPr="00061D40">
        <w:t xml:space="preserve">Supplementation will be paid as soon as possible following the making of a regulation under the </w:t>
      </w:r>
      <w:r w:rsidR="001E165B" w:rsidRPr="00061D40">
        <w:t>Act</w:t>
      </w:r>
      <w:r w:rsidR="00373AB9" w:rsidRPr="00061D40">
        <w:t>.</w:t>
      </w:r>
      <w:r w:rsidR="008A1298" w:rsidRPr="00061D40">
        <w:t xml:space="preserve"> Refer to </w:t>
      </w:r>
      <w:hyperlink w:anchor="_Appendix_K:_Supplementation" w:history="1">
        <w:r w:rsidR="001D102E" w:rsidRPr="00061D40">
          <w:rPr>
            <w:rStyle w:val="Hyperlink"/>
            <w:rFonts w:cs="Garamond"/>
          </w:rPr>
          <w:t>Appendix K</w:t>
        </w:r>
      </w:hyperlink>
      <w:r w:rsidR="008A1298" w:rsidRPr="00061D40">
        <w:t>.</w:t>
      </w:r>
    </w:p>
    <w:p w14:paraId="7F4864CA" w14:textId="77777777" w:rsidR="00373AB9" w:rsidRPr="00061D40" w:rsidRDefault="00373AB9" w:rsidP="00261AA0">
      <w:pPr>
        <w:pStyle w:val="bodytextoutlinednumber"/>
      </w:pPr>
      <w:r w:rsidRPr="00061D40">
        <w:t xml:space="preserve">Starting in February, grants are paid in eleven monthly instalments to BGAs, which are then responsible for </w:t>
      </w:r>
      <w:r w:rsidR="00DE4A0A" w:rsidRPr="00061D40">
        <w:t xml:space="preserve">making </w:t>
      </w:r>
      <w:r w:rsidRPr="00061D40">
        <w:t>payment to individual schools</w:t>
      </w:r>
      <w:r w:rsidR="00DE4A0A" w:rsidRPr="00061D40">
        <w:t xml:space="preserve"> for approved projects</w:t>
      </w:r>
      <w:r w:rsidRPr="00061D40">
        <w:t>.</w:t>
      </w:r>
      <w:r w:rsidR="008E5ABB" w:rsidRPr="00061D40">
        <w:t xml:space="preserve"> </w:t>
      </w:r>
      <w:r w:rsidRPr="00061D40">
        <w:t xml:space="preserve">Payments are subject to sufficient grants having been approved and BGAs complying with all conditions applying </w:t>
      </w:r>
      <w:r w:rsidR="00DE4A0A" w:rsidRPr="00061D40">
        <w:t xml:space="preserve">to the payment </w:t>
      </w:r>
      <w:r w:rsidRPr="00061D40">
        <w:t>at the time</w:t>
      </w:r>
      <w:r w:rsidR="00DE4A0A" w:rsidRPr="00061D40">
        <w:t xml:space="preserve"> it is made</w:t>
      </w:r>
      <w:r w:rsidRPr="00061D40">
        <w:t xml:space="preserve">. </w:t>
      </w:r>
    </w:p>
    <w:p w14:paraId="7F4864CB" w14:textId="77777777" w:rsidR="00373AB9" w:rsidRPr="00061D40" w:rsidRDefault="00373AB9" w:rsidP="00261AA0">
      <w:pPr>
        <w:pStyle w:val="bodytextoutlinednumber"/>
      </w:pPr>
      <w:r w:rsidRPr="00061D40">
        <w:t xml:space="preserve">BGAs must </w:t>
      </w:r>
      <w:r w:rsidR="00DE4A0A" w:rsidRPr="00061D40">
        <w:t>manage the timing of</w:t>
      </w:r>
      <w:r w:rsidRPr="00061D40">
        <w:t xml:space="preserve"> payment to schools to minimise paying out funds ahead of expenditure actually </w:t>
      </w:r>
      <w:r w:rsidR="00DE4A0A" w:rsidRPr="00061D40">
        <w:t xml:space="preserve">being </w:t>
      </w:r>
      <w:r w:rsidRPr="00061D40">
        <w:t>incurred on projects so that the possibility of funds not being used on projects is minimised and so that BGAs can use interest earned on Commonwealth funds for the purposes of the Capital Grants Program.</w:t>
      </w:r>
      <w:r w:rsidR="008E5ABB" w:rsidRPr="00061D40">
        <w:t xml:space="preserve"> </w:t>
      </w:r>
      <w:r w:rsidRPr="00061D40">
        <w:t>If, at a point in time, a BGA has insufficient funds on hand to pay all claims, it must give priority to those schools that can least afford to wait for payment.</w:t>
      </w:r>
    </w:p>
    <w:p w14:paraId="7F4864CC" w14:textId="77777777" w:rsidR="00373AB9" w:rsidRPr="00061D40" w:rsidRDefault="00373AB9" w:rsidP="00261AA0">
      <w:pPr>
        <w:pStyle w:val="bodytextoutlinednumber"/>
      </w:pPr>
      <w:bookmarkStart w:id="113" w:name="OLE_LINK11"/>
      <w:bookmarkStart w:id="114" w:name="OLE_LINK12"/>
      <w:r w:rsidRPr="00061D40">
        <w:t>On advice from the Department that a participating school is in breach of any condition applying to its receipt of Commonwealth schools program funds, the BGA must stop payment to that school until advised by the Department that payment may recommence.</w:t>
      </w:r>
      <w:r w:rsidR="008E5ABB" w:rsidRPr="00061D40">
        <w:t xml:space="preserve"> </w:t>
      </w:r>
    </w:p>
    <w:bookmarkEnd w:id="113"/>
    <w:bookmarkEnd w:id="114"/>
    <w:p w14:paraId="7F4864CD" w14:textId="77777777" w:rsidR="00373AB9" w:rsidRPr="00061D40" w:rsidRDefault="00373AB9" w:rsidP="00261AA0">
      <w:pPr>
        <w:pStyle w:val="bodytextoutlinednumber"/>
        <w:rPr>
          <w:bCs/>
          <w:szCs w:val="26"/>
        </w:rPr>
      </w:pPr>
      <w:r w:rsidRPr="00061D40">
        <w:t xml:space="preserve">No Capital Grants will be paid </w:t>
      </w:r>
      <w:r w:rsidR="006F3EC6" w:rsidRPr="00061D40">
        <w:t xml:space="preserve">to a BGA </w:t>
      </w:r>
      <w:r w:rsidRPr="00061D40">
        <w:t xml:space="preserve">under an Agreement made under the </w:t>
      </w:r>
      <w:r w:rsidR="001E165B" w:rsidRPr="00061D40">
        <w:t>Act</w:t>
      </w:r>
      <w:r w:rsidR="001E165B" w:rsidRPr="00061D40">
        <w:rPr>
          <w:i/>
        </w:rPr>
        <w:t xml:space="preserve"> </w:t>
      </w:r>
      <w:r w:rsidRPr="00061D40">
        <w:t xml:space="preserve">after </w:t>
      </w:r>
      <w:r w:rsidR="00F90CD3" w:rsidRPr="00061D40">
        <w:t>31 </w:t>
      </w:r>
      <w:r w:rsidRPr="00061D40">
        <w:t xml:space="preserve">December </w:t>
      </w:r>
      <w:r w:rsidR="008067F6">
        <w:t>2014</w:t>
      </w:r>
      <w:r w:rsidRPr="00061D40">
        <w:t>.</w:t>
      </w:r>
      <w:r w:rsidR="008E5ABB" w:rsidRPr="00061D40">
        <w:t xml:space="preserve"> </w:t>
      </w:r>
    </w:p>
    <w:p w14:paraId="7F4864CE" w14:textId="77777777" w:rsidR="00D32016" w:rsidRDefault="00373AB9">
      <w:pPr>
        <w:pStyle w:val="Heading4"/>
      </w:pPr>
      <w:r w:rsidRPr="00061D40">
        <w:t>Administrative Expenses</w:t>
      </w:r>
    </w:p>
    <w:p w14:paraId="7F4864CF" w14:textId="77777777" w:rsidR="000E34CC" w:rsidRPr="00061D40" w:rsidRDefault="000E34CC" w:rsidP="00261AA0">
      <w:pPr>
        <w:pStyle w:val="bodytextoutlinednumber"/>
      </w:pPr>
      <w:r w:rsidRPr="00061D40">
        <w:t>BGAs may use up to 3 per cent of program funds (or a specified figure</w:t>
      </w:r>
      <w:r w:rsidR="00C06E41" w:rsidRPr="00061D40">
        <w:t>, agreed by the Department,</w:t>
      </w:r>
      <w:r w:rsidRPr="00061D40">
        <w:t xml:space="preserve"> for small BGAs) to meet the costs of administering the Program, unless otherwise agreed.</w:t>
      </w:r>
      <w:r w:rsidR="008E5ABB" w:rsidRPr="00061D40">
        <w:t xml:space="preserve"> </w:t>
      </w:r>
      <w:r w:rsidRPr="00061D40">
        <w:t>Funds not used for this purpose are available for capital projects in schools.</w:t>
      </w:r>
    </w:p>
    <w:p w14:paraId="7F4864D0" w14:textId="77777777" w:rsidR="00D32016" w:rsidRDefault="00694903">
      <w:pPr>
        <w:pStyle w:val="Heading3"/>
      </w:pPr>
      <w:bookmarkStart w:id="115" w:name="_Toc211669154"/>
      <w:bookmarkStart w:id="116" w:name="_Toc246483071"/>
      <w:r w:rsidRPr="00061D40">
        <w:t>No Prior Commitment</w:t>
      </w:r>
      <w:bookmarkEnd w:id="115"/>
      <w:bookmarkEnd w:id="116"/>
    </w:p>
    <w:p w14:paraId="7F4864D1" w14:textId="77777777" w:rsidR="00694903" w:rsidRPr="00061D40" w:rsidRDefault="00694903" w:rsidP="00261AA0">
      <w:pPr>
        <w:pStyle w:val="bodytextoutlinednumber"/>
      </w:pPr>
      <w:r w:rsidRPr="00061D40">
        <w:t>Schools seeking Commonwealth capital funding must not commit themselves to proceeding with a project (e</w:t>
      </w:r>
      <w:r w:rsidR="00AA2A91" w:rsidRPr="00061D40">
        <w:t>.</w:t>
      </w:r>
      <w:r w:rsidRPr="00061D40">
        <w:t>g. by signing a contract) prior to being advised by their BGA that the Minister has approved the project.</w:t>
      </w:r>
      <w:r w:rsidR="008E5ABB" w:rsidRPr="00061D40">
        <w:t xml:space="preserve"> </w:t>
      </w:r>
      <w:r w:rsidRPr="00061D40">
        <w:t xml:space="preserve">Grants will not be approved where a </w:t>
      </w:r>
      <w:r w:rsidRPr="00061D40">
        <w:lastRenderedPageBreak/>
        <w:t>commitment has already been made to proceed with the project.</w:t>
      </w:r>
      <w:r w:rsidR="008E5ABB" w:rsidRPr="00061D40">
        <w:t xml:space="preserve"> </w:t>
      </w:r>
      <w:r w:rsidRPr="00061D40">
        <w:t>Subject to their BGA's agreement, schools may proceed to prepare working drawings and to call tenders prior to project approval, but the Commonwealth does not accept liability for the costs of doing so in the event of the project not being approved.</w:t>
      </w:r>
    </w:p>
    <w:p w14:paraId="7F4864D2" w14:textId="77777777" w:rsidR="001559D4" w:rsidRDefault="00F02ED7">
      <w:pPr>
        <w:pStyle w:val="Heading3"/>
      </w:pPr>
      <w:bookmarkStart w:id="117" w:name="_Toc211669155"/>
      <w:bookmarkStart w:id="118" w:name="_Toc246483072"/>
      <w:r w:rsidRPr="00F02ED7">
        <w:t>Commonwealth Right to Repayment</w:t>
      </w:r>
      <w:bookmarkEnd w:id="117"/>
      <w:bookmarkEnd w:id="118"/>
    </w:p>
    <w:p w14:paraId="7F4864D3" w14:textId="77777777" w:rsidR="00694903" w:rsidRPr="00061D40" w:rsidRDefault="00694903" w:rsidP="00261AA0">
      <w:pPr>
        <w:pStyle w:val="bodytextoutlinednumber"/>
      </w:pPr>
      <w:bookmarkStart w:id="119" w:name="_Ref214160934"/>
      <w:r w:rsidRPr="00061D40">
        <w:t>The Commonwealth retains a right to repayment from non-government bodies of grants of more than $75,000 for a designated period from the date of completion of a project as determined by the grant amount and the date of the BGA Agreement offering a grant to the school.</w:t>
      </w:r>
      <w:r w:rsidR="008E5ABB" w:rsidRPr="00061D40">
        <w:t xml:space="preserve"> </w:t>
      </w:r>
      <w:r w:rsidRPr="00061D40">
        <w:t>Schools may be required to repay the entire grant provided for facilities, or a portion of it, should they, within the designated period, sell or otherwise dispose of the facilities or cease to use the facilities principally for the purpose approved by the Commonwealth.</w:t>
      </w:r>
      <w:r w:rsidR="008E5ABB" w:rsidRPr="00061D40">
        <w:t xml:space="preserve"> </w:t>
      </w:r>
      <w:r w:rsidRPr="00061D40">
        <w:t>BGA participant schools should advise their BGA if these circumstances arise.</w:t>
      </w:r>
      <w:bookmarkEnd w:id="119"/>
      <w:r w:rsidR="008E5ABB" w:rsidRPr="00061D40">
        <w:t xml:space="preserve"> </w:t>
      </w:r>
    </w:p>
    <w:p w14:paraId="7F4864D4" w14:textId="77777777" w:rsidR="00694903" w:rsidRPr="00061D40" w:rsidRDefault="00694903" w:rsidP="00261AA0">
      <w:pPr>
        <w:pStyle w:val="bodytextoutlinednumber"/>
      </w:pPr>
      <w:r w:rsidRPr="00061D40">
        <w:t xml:space="preserve">The amount of funds repayable for projects is </w:t>
      </w:r>
      <w:r w:rsidR="00724D2F" w:rsidRPr="00061D40">
        <w:t>dependent on</w:t>
      </w:r>
      <w:r w:rsidRPr="00061D40">
        <w:t xml:space="preserve"> the grant amount, the date of the </w:t>
      </w:r>
      <w:bookmarkStart w:id="120" w:name="OLE_LINK25"/>
      <w:bookmarkStart w:id="121" w:name="OLE_LINK26"/>
      <w:r w:rsidRPr="00061D40">
        <w:t>BGA Agreement offering a grant to the school</w:t>
      </w:r>
      <w:bookmarkEnd w:id="120"/>
      <w:bookmarkEnd w:id="121"/>
      <w:r w:rsidRPr="00061D40">
        <w:t>, the value of equipment purchased under the grant and the number of years the facility was used for the purpose approved by the Commonwealth.</w:t>
      </w:r>
      <w:r w:rsidR="008E5ABB" w:rsidRPr="00061D40">
        <w:t xml:space="preserve"> </w:t>
      </w:r>
      <w:r w:rsidRPr="00061D40">
        <w:t xml:space="preserve">Refer to </w:t>
      </w:r>
      <w:r w:rsidR="00052406" w:rsidRPr="00061D40">
        <w:t>t</w:t>
      </w:r>
      <w:r w:rsidR="000E34CC" w:rsidRPr="00061D40">
        <w:t>he</w:t>
      </w:r>
      <w:r w:rsidRPr="00061D40">
        <w:t xml:space="preserve"> Administrative Arrangements for </w:t>
      </w:r>
      <w:r w:rsidR="00724D2F" w:rsidRPr="00061D40">
        <w:t>BGAs</w:t>
      </w:r>
      <w:r w:rsidR="000E34CC" w:rsidRPr="00061D40">
        <w:t xml:space="preserve"> document</w:t>
      </w:r>
      <w:r w:rsidR="00EE7401">
        <w:t>,</w:t>
      </w:r>
      <w:r w:rsidR="000E34CC" w:rsidRPr="00061D40">
        <w:t xml:space="preserve"> </w:t>
      </w:r>
      <w:r w:rsidRPr="00061D40">
        <w:t>under the section Commonwealth Right to Repayment for further details.</w:t>
      </w:r>
    </w:p>
    <w:p w14:paraId="7F4864D5" w14:textId="77777777" w:rsidR="00694903" w:rsidRPr="00061D40" w:rsidRDefault="00694903" w:rsidP="00261AA0">
      <w:pPr>
        <w:pStyle w:val="bodytextoutlinednumber"/>
      </w:pPr>
      <w:r w:rsidRPr="00061D40">
        <w:t>If there is evidence that a school has used grant money for facilities outside the scope of the approved project without BGA approval, the Minister may require the school to repay a portion of the grant to the Commonwealth.</w:t>
      </w:r>
      <w:r w:rsidR="008E5ABB" w:rsidRPr="00061D40">
        <w:t xml:space="preserve"> </w:t>
      </w:r>
      <w:r w:rsidR="00DE4A0A" w:rsidRPr="00061D40">
        <w:t>Repayment obligations will be set out in detail in the relevant funding agreements.</w:t>
      </w:r>
    </w:p>
    <w:p w14:paraId="7F4864D6" w14:textId="77777777" w:rsidR="00F87BC0" w:rsidRPr="00061D40" w:rsidRDefault="00F87BC0" w:rsidP="00261AA0">
      <w:pPr>
        <w:pStyle w:val="bodytextoutlinednumber"/>
      </w:pPr>
      <w:bookmarkStart w:id="122" w:name="_Ref214160960"/>
      <w:r w:rsidRPr="00061D40">
        <w:t xml:space="preserve">The </w:t>
      </w:r>
      <w:r w:rsidR="00724D2F" w:rsidRPr="00061D40">
        <w:t xml:space="preserve">agreement entered into with the BGA or other nominated authority under the </w:t>
      </w:r>
      <w:r w:rsidR="001E165B" w:rsidRPr="00061D40">
        <w:t>Act</w:t>
      </w:r>
      <w:r w:rsidR="001E165B" w:rsidRPr="00061D40">
        <w:rPr>
          <w:i/>
        </w:rPr>
        <w:t xml:space="preserve"> </w:t>
      </w:r>
      <w:r w:rsidR="00724D2F" w:rsidRPr="00061D40">
        <w:t>requires that if the BGA or other nominated authority does</w:t>
      </w:r>
      <w:r w:rsidRPr="00061D40">
        <w:t xml:space="preserve"> not fulfil an obligation under an agreement </w:t>
      </w:r>
      <w:r w:rsidR="00052406" w:rsidRPr="00061D40">
        <w:t xml:space="preserve">the Commonwealth </w:t>
      </w:r>
      <w:r w:rsidRPr="00061D40">
        <w:t>may recover funds, reduce further payments or delay any further payments.</w:t>
      </w:r>
      <w:bookmarkEnd w:id="122"/>
    </w:p>
    <w:p w14:paraId="7F4864D7" w14:textId="77777777" w:rsidR="00694903" w:rsidRPr="00061D40" w:rsidRDefault="00694903" w:rsidP="00C90DD5">
      <w:pPr>
        <w:pStyle w:val="Heading3"/>
      </w:pPr>
      <w:bookmarkStart w:id="123" w:name="_Toc211669156"/>
      <w:bookmarkStart w:id="124" w:name="_Toc246483073"/>
      <w:r w:rsidRPr="00061D40">
        <w:t>Applications</w:t>
      </w:r>
      <w:bookmarkEnd w:id="123"/>
      <w:bookmarkEnd w:id="124"/>
    </w:p>
    <w:p w14:paraId="7F4864D8" w14:textId="77777777" w:rsidR="00694903" w:rsidRPr="00061D40" w:rsidRDefault="00694903" w:rsidP="00C90DD5">
      <w:pPr>
        <w:pStyle w:val="Heading4"/>
      </w:pPr>
      <w:bookmarkStart w:id="125" w:name="_Toc211669157"/>
      <w:r w:rsidRPr="00061D40">
        <w:t>School Level</w:t>
      </w:r>
      <w:bookmarkEnd w:id="125"/>
    </w:p>
    <w:p w14:paraId="7F4864D9" w14:textId="77777777" w:rsidR="00CB68DF" w:rsidRPr="00CB68DF" w:rsidRDefault="00694903" w:rsidP="00B168FE">
      <w:pPr>
        <w:pStyle w:val="bodytextoutlinednumber"/>
        <w:rPr>
          <w:spacing w:val="-4"/>
        </w:rPr>
      </w:pPr>
      <w:r w:rsidRPr="00061D40">
        <w:t>Schools wishing to apply for capital grants should contact their BGA for application forms and information about closing dates.</w:t>
      </w:r>
      <w:r w:rsidR="008E5ABB" w:rsidRPr="00061D40">
        <w:t xml:space="preserve"> </w:t>
      </w:r>
      <w:r w:rsidRPr="00061D40">
        <w:t>A list of BGA</w:t>
      </w:r>
      <w:r w:rsidR="00A83C50">
        <w:t xml:space="preserve"> contact details </w:t>
      </w:r>
      <w:r w:rsidR="004341D3">
        <w:t>is</w:t>
      </w:r>
      <w:r w:rsidR="00AC6130" w:rsidRPr="00061D40">
        <w:t xml:space="preserve"> available at</w:t>
      </w:r>
      <w:r w:rsidR="00061D40" w:rsidRPr="00061D40">
        <w:t xml:space="preserve">: </w:t>
      </w:r>
      <w:hyperlink r:id="rId50" w:history="1">
        <w:r w:rsidR="00CB68DF" w:rsidRPr="00964CF2">
          <w:rPr>
            <w:rStyle w:val="Hyperlink"/>
            <w:rFonts w:cs="Garamond"/>
          </w:rPr>
          <w:t>http://www.deewr.gov.au/Schooling/Funding/CapitalGrantsProgram/Pages/BlockGrantAuthorityContactDetails.aspx</w:t>
        </w:r>
      </w:hyperlink>
      <w:r w:rsidR="00CB68DF">
        <w:t>.</w:t>
      </w:r>
    </w:p>
    <w:p w14:paraId="7F4864DA" w14:textId="77777777" w:rsidR="00694903" w:rsidRPr="00061D40" w:rsidRDefault="00694903" w:rsidP="00C90DD5">
      <w:pPr>
        <w:pStyle w:val="Heading3"/>
      </w:pPr>
      <w:bookmarkStart w:id="126" w:name="_Toc211669161"/>
      <w:bookmarkStart w:id="127" w:name="_Toc246483074"/>
      <w:r w:rsidRPr="00061D40">
        <w:t>Assessment of Applications</w:t>
      </w:r>
      <w:bookmarkEnd w:id="126"/>
      <w:bookmarkEnd w:id="127"/>
    </w:p>
    <w:p w14:paraId="7F4864DB" w14:textId="77777777" w:rsidR="00694903" w:rsidRPr="00061D40" w:rsidRDefault="00694903" w:rsidP="00C90DD5">
      <w:pPr>
        <w:pStyle w:val="Heading4"/>
      </w:pPr>
      <w:bookmarkStart w:id="128" w:name="_Toc211669162"/>
      <w:r w:rsidRPr="00061D40">
        <w:t>Block Grant Authority Level</w:t>
      </w:r>
      <w:bookmarkEnd w:id="128"/>
    </w:p>
    <w:p w14:paraId="7F4864DC" w14:textId="77777777" w:rsidR="00694903" w:rsidRPr="00061D40" w:rsidRDefault="00694903" w:rsidP="00261AA0">
      <w:pPr>
        <w:pStyle w:val="bodytextoutlinednumber"/>
      </w:pPr>
      <w:r w:rsidRPr="00061D40">
        <w:t>BGAs will assess applications for eligibility.</w:t>
      </w:r>
      <w:r w:rsidR="008E5ABB" w:rsidRPr="00061D40">
        <w:t xml:space="preserve"> </w:t>
      </w:r>
      <w:r w:rsidRPr="00061D40">
        <w:t>Eligible projects will then be placed in order of priority for funding on the basis of:</w:t>
      </w:r>
    </w:p>
    <w:p w14:paraId="7F4864DD" w14:textId="77777777" w:rsidR="00694903" w:rsidRPr="00061D40" w:rsidRDefault="007D3CD5" w:rsidP="00313AE7">
      <w:pPr>
        <w:pStyle w:val="bodytextoutlinednumber"/>
        <w:numPr>
          <w:ilvl w:val="1"/>
          <w:numId w:val="10"/>
        </w:numPr>
      </w:pPr>
      <w:r w:rsidRPr="00061D40">
        <w:t>p</w:t>
      </w:r>
      <w:r w:rsidR="00694903" w:rsidRPr="00061D40">
        <w:t>rimarily</w:t>
      </w:r>
      <w:r w:rsidR="00FF2793" w:rsidRPr="00061D40">
        <w:t>:</w:t>
      </w:r>
    </w:p>
    <w:p w14:paraId="7F4864DE" w14:textId="77777777" w:rsidR="00694903" w:rsidRPr="00061D40" w:rsidRDefault="00694903" w:rsidP="00313AE7">
      <w:pPr>
        <w:pStyle w:val="bodytextoutlinednumber"/>
        <w:numPr>
          <w:ilvl w:val="2"/>
          <w:numId w:val="10"/>
        </w:numPr>
        <w:rPr>
          <w:shd w:val="clear" w:color="auto" w:fill="FFFFFD"/>
        </w:rPr>
      </w:pPr>
      <w:r w:rsidRPr="00061D40">
        <w:rPr>
          <w:shd w:val="clear" w:color="auto" w:fill="FFFFFD"/>
        </w:rPr>
        <w:t>the relative educational disadvantage of students at the schools</w:t>
      </w:r>
    </w:p>
    <w:p w14:paraId="7F4864DF" w14:textId="77777777" w:rsidR="00694903" w:rsidRPr="00061D40" w:rsidRDefault="007D3CD5" w:rsidP="00313AE7">
      <w:pPr>
        <w:pStyle w:val="bodytextoutlinednumber"/>
        <w:numPr>
          <w:ilvl w:val="1"/>
          <w:numId w:val="10"/>
        </w:numPr>
        <w:rPr>
          <w:shd w:val="clear" w:color="auto" w:fill="FFFFFD"/>
        </w:rPr>
      </w:pPr>
      <w:r w:rsidRPr="00061D40">
        <w:rPr>
          <w:shd w:val="clear" w:color="auto" w:fill="FFFFFD"/>
        </w:rPr>
        <w:lastRenderedPageBreak/>
        <w:t>s</w:t>
      </w:r>
      <w:r w:rsidR="00694903" w:rsidRPr="00061D40">
        <w:rPr>
          <w:shd w:val="clear" w:color="auto" w:fill="FFFFFD"/>
        </w:rPr>
        <w:t>econdarily</w:t>
      </w:r>
      <w:r w:rsidR="00FF2793" w:rsidRPr="00061D40">
        <w:rPr>
          <w:shd w:val="clear" w:color="auto" w:fill="FFFFFD"/>
        </w:rPr>
        <w:t>:</w:t>
      </w:r>
    </w:p>
    <w:p w14:paraId="7F4864E0" w14:textId="77777777" w:rsidR="00694903" w:rsidRPr="00061D40" w:rsidRDefault="00694903" w:rsidP="00313AE7">
      <w:pPr>
        <w:pStyle w:val="bodytextoutlinednumber"/>
        <w:numPr>
          <w:ilvl w:val="2"/>
          <w:numId w:val="10"/>
        </w:numPr>
        <w:rPr>
          <w:shd w:val="clear" w:color="auto" w:fill="FFFFFD"/>
        </w:rPr>
      </w:pPr>
      <w:r w:rsidRPr="00061D40">
        <w:rPr>
          <w:shd w:val="clear" w:color="auto" w:fill="FFFFFD"/>
        </w:rPr>
        <w:t>the appropriateness of the cost, size and use of the facilities to be funded, in relation to sound educational planning.</w:t>
      </w:r>
      <w:r w:rsidR="008E5ABB" w:rsidRPr="00061D40">
        <w:rPr>
          <w:shd w:val="clear" w:color="auto" w:fill="FFFFFD"/>
        </w:rPr>
        <w:t xml:space="preserve"> </w:t>
      </w:r>
      <w:r w:rsidRPr="00061D40">
        <w:rPr>
          <w:shd w:val="clear" w:color="auto" w:fill="FFFFFD"/>
        </w:rPr>
        <w:t>In determining the ‘appropriateness’ of a proposed project, BGAs shall use a subjective assessment that may take into consideration geographic and future demographic trends, local area cost pressures and appropriate state</w:t>
      </w:r>
      <w:r w:rsidR="00F14F1A" w:rsidRPr="00061D40">
        <w:rPr>
          <w:shd w:val="clear" w:color="auto" w:fill="FFFFFD"/>
        </w:rPr>
        <w:t xml:space="preserve"> or territory area standards</w:t>
      </w:r>
    </w:p>
    <w:p w14:paraId="7F4864E1" w14:textId="77777777" w:rsidR="00694903" w:rsidRPr="00061D40" w:rsidRDefault="00694903" w:rsidP="00313AE7">
      <w:pPr>
        <w:pStyle w:val="bodytextoutlinednumber"/>
        <w:numPr>
          <w:ilvl w:val="2"/>
          <w:numId w:val="10"/>
        </w:numPr>
        <w:rPr>
          <w:shd w:val="clear" w:color="auto" w:fill="FFFFFD"/>
        </w:rPr>
      </w:pPr>
      <w:r w:rsidRPr="00061D40">
        <w:rPr>
          <w:shd w:val="clear" w:color="auto" w:fill="FFFFFD"/>
        </w:rPr>
        <w:t>the relative contributions of the projects to the Program’s objectives</w:t>
      </w:r>
    </w:p>
    <w:p w14:paraId="7F4864E2" w14:textId="77777777" w:rsidR="00694903" w:rsidRPr="00061D40" w:rsidRDefault="00694903" w:rsidP="00313AE7">
      <w:pPr>
        <w:pStyle w:val="bodytextoutlinednumber"/>
        <w:numPr>
          <w:ilvl w:val="2"/>
          <w:numId w:val="10"/>
        </w:numPr>
        <w:rPr>
          <w:shd w:val="clear" w:color="auto" w:fill="FFFFFD"/>
        </w:rPr>
      </w:pPr>
      <w:r w:rsidRPr="00061D40">
        <w:rPr>
          <w:shd w:val="clear" w:color="auto" w:fill="FFFFFD"/>
        </w:rPr>
        <w:t>the condition and suitability of existing facilities in relation to the level of facilities needed</w:t>
      </w:r>
    </w:p>
    <w:p w14:paraId="7F4864E3" w14:textId="77777777" w:rsidR="00694903" w:rsidRPr="00061D40" w:rsidRDefault="00694903" w:rsidP="00313AE7">
      <w:pPr>
        <w:pStyle w:val="bodytextoutlinednumber"/>
        <w:numPr>
          <w:ilvl w:val="2"/>
          <w:numId w:val="10"/>
        </w:numPr>
        <w:rPr>
          <w:shd w:val="clear" w:color="auto" w:fill="FFFFFD"/>
        </w:rPr>
      </w:pPr>
      <w:r w:rsidRPr="00061D40">
        <w:rPr>
          <w:shd w:val="clear" w:color="auto" w:fill="FFFFFD"/>
        </w:rPr>
        <w:t xml:space="preserve">where relevant, the extent to which the projects </w:t>
      </w:r>
      <w:r w:rsidR="00EE7401">
        <w:rPr>
          <w:shd w:val="clear" w:color="auto" w:fill="FFFFFD"/>
        </w:rPr>
        <w:t>are cost effective</w:t>
      </w:r>
      <w:r w:rsidRPr="00061D40">
        <w:rPr>
          <w:shd w:val="clear" w:color="auto" w:fill="FFFFFD"/>
        </w:rPr>
        <w:t xml:space="preserve"> through the shared provision of educational or recreational services otherwise provided independently by State governments, local governments and non-government schools</w:t>
      </w:r>
    </w:p>
    <w:p w14:paraId="7F4864E4" w14:textId="77777777" w:rsidR="00694903" w:rsidRPr="00061D40" w:rsidRDefault="00694903" w:rsidP="00313AE7">
      <w:pPr>
        <w:pStyle w:val="bodytextoutlinednumber"/>
        <w:numPr>
          <w:ilvl w:val="2"/>
          <w:numId w:val="10"/>
        </w:numPr>
        <w:rPr>
          <w:shd w:val="clear" w:color="auto" w:fill="FFFFFD"/>
        </w:rPr>
      </w:pPr>
      <w:r w:rsidRPr="00061D40">
        <w:rPr>
          <w:shd w:val="clear" w:color="auto" w:fill="FFFFFD"/>
        </w:rPr>
        <w:t>the extent to which the school is making adequate and regular provision for the upkeep of its facilities.</w:t>
      </w:r>
    </w:p>
    <w:p w14:paraId="7F4864E5" w14:textId="77777777" w:rsidR="00694903" w:rsidRPr="00061D40" w:rsidRDefault="00694903" w:rsidP="003A66D4">
      <w:pPr>
        <w:pStyle w:val="Paragraphindent2"/>
        <w:tabs>
          <w:tab w:val="clear" w:pos="2160"/>
        </w:tabs>
        <w:spacing w:after="0" w:line="240" w:lineRule="auto"/>
        <w:ind w:left="851" w:firstLine="0"/>
      </w:pPr>
      <w:r w:rsidRPr="00061D40">
        <w:t>* Note that facilities funded under the Commonwealth Local Schools Working Together initiative</w:t>
      </w:r>
      <w:r w:rsidR="00855229" w:rsidRPr="00061D40">
        <w:t>,</w:t>
      </w:r>
      <w:r w:rsidRPr="00061D40">
        <w:t xml:space="preserve"> the Trade Training Centres in Schools Program</w:t>
      </w:r>
      <w:r w:rsidR="00855229" w:rsidRPr="00061D40">
        <w:t xml:space="preserve"> and/or the Building the Education Revolution</w:t>
      </w:r>
      <w:r w:rsidRPr="00061D40">
        <w:t xml:space="preserve"> are not to be considered as part of any assessment o</w:t>
      </w:r>
      <w:r w:rsidR="002B7F57" w:rsidRPr="00061D40">
        <w:t>f</w:t>
      </w:r>
      <w:r w:rsidRPr="00061D40">
        <w:t xml:space="preserve"> the appropriateness or the size of a proposed facility to be funded under the Capital Grants Program.</w:t>
      </w:r>
    </w:p>
    <w:p w14:paraId="7F4864E6" w14:textId="77777777" w:rsidR="00694903" w:rsidRPr="00061D40" w:rsidRDefault="00694903" w:rsidP="00261AA0">
      <w:pPr>
        <w:pStyle w:val="bodytextoutlinednumber"/>
      </w:pPr>
      <w:r w:rsidRPr="00061D40">
        <w:t xml:space="preserve">For the purposes of the Capital Grants Program, </w:t>
      </w:r>
      <w:r w:rsidR="0063189C" w:rsidRPr="00061D40">
        <w:t>if the necessary data or methodologies to assess relative educational disadvantage are not available to a BGA, it may rely on assessment of student background variables, such as socioeconomic disadvantage, that are strongly correlated to relative educational disadvantage.</w:t>
      </w:r>
    </w:p>
    <w:p w14:paraId="7F4864E7" w14:textId="77777777" w:rsidR="000E34CC" w:rsidRPr="00061D40" w:rsidRDefault="000E34CC" w:rsidP="00261AA0">
      <w:pPr>
        <w:pStyle w:val="bodytextoutlinednumber"/>
      </w:pPr>
      <w:r w:rsidRPr="00061D40">
        <w:t>BGAs are required to submit to the National Office of the Department, by 30 September each year, recommendations for capital expenditure under the Program for the Minister's approval.</w:t>
      </w:r>
      <w:r w:rsidR="008E5ABB" w:rsidRPr="00061D40">
        <w:t xml:space="preserve"> </w:t>
      </w:r>
      <w:r w:rsidRPr="00061D40">
        <w:t>BGAs will normally be advised by the Department by early December which capital projects have been approved for funding.</w:t>
      </w:r>
      <w:r w:rsidR="008E5ABB" w:rsidRPr="00061D40">
        <w:t xml:space="preserve"> </w:t>
      </w:r>
      <w:r w:rsidRPr="00061D40">
        <w:t>While project recommendations must be submitted at this time as a general rule, urgent projects may be accepted out of round, where it is not practicable for the applicant to meet the normal timetable.</w:t>
      </w:r>
    </w:p>
    <w:p w14:paraId="7F4864E8" w14:textId="77777777" w:rsidR="00D32016" w:rsidRDefault="00694903">
      <w:pPr>
        <w:pStyle w:val="Heading3"/>
      </w:pPr>
      <w:bookmarkStart w:id="129" w:name="_Toc211669163"/>
      <w:bookmarkStart w:id="130" w:name="_Toc246483075"/>
      <w:r w:rsidRPr="00061D40">
        <w:t>Finalisation of Recommended Grants</w:t>
      </w:r>
      <w:bookmarkEnd w:id="129"/>
      <w:bookmarkEnd w:id="130"/>
    </w:p>
    <w:p w14:paraId="7F4864E9" w14:textId="77777777" w:rsidR="00694903" w:rsidRPr="00061D40" w:rsidRDefault="00694903" w:rsidP="00261AA0">
      <w:pPr>
        <w:pStyle w:val="bodytextoutlinednumber"/>
      </w:pPr>
      <w:r w:rsidRPr="00061D40">
        <w:t>In negotiating with applicants the nature of each project to be recommended for funding, BGAs should aim for a minimum viable project that:</w:t>
      </w:r>
    </w:p>
    <w:p w14:paraId="7F4864EA" w14:textId="77777777" w:rsidR="00694903" w:rsidRPr="00061D40" w:rsidRDefault="00694903" w:rsidP="00313AE7">
      <w:pPr>
        <w:pStyle w:val="bodytextoutlinednumber"/>
        <w:numPr>
          <w:ilvl w:val="1"/>
          <w:numId w:val="10"/>
        </w:numPr>
        <w:rPr>
          <w:shd w:val="clear" w:color="auto" w:fill="FFFFFD"/>
        </w:rPr>
      </w:pPr>
      <w:r w:rsidRPr="00061D40">
        <w:rPr>
          <w:shd w:val="clear" w:color="auto" w:fill="FFFFFD"/>
        </w:rPr>
        <w:t>is based on sound enrolment projections for the period closely following project completion</w:t>
      </w:r>
    </w:p>
    <w:p w14:paraId="7F4864EB" w14:textId="77777777" w:rsidR="00694903" w:rsidRPr="00061D40" w:rsidRDefault="00694903" w:rsidP="00313AE7">
      <w:pPr>
        <w:pStyle w:val="bodytextoutlinednumber"/>
        <w:numPr>
          <w:ilvl w:val="1"/>
          <w:numId w:val="10"/>
        </w:numPr>
        <w:rPr>
          <w:shd w:val="clear" w:color="auto" w:fill="FFFFFD"/>
        </w:rPr>
      </w:pPr>
      <w:r w:rsidRPr="00061D40">
        <w:rPr>
          <w:shd w:val="clear" w:color="auto" w:fill="FFFFFD"/>
        </w:rPr>
        <w:t>meets the major educational needs in a way that is cost effective over the life of the facilities</w:t>
      </w:r>
    </w:p>
    <w:p w14:paraId="7F4864EC" w14:textId="77777777" w:rsidR="00694903" w:rsidRPr="00061D40" w:rsidRDefault="00694903" w:rsidP="00313AE7">
      <w:pPr>
        <w:pStyle w:val="bodytextoutlinednumber"/>
        <w:numPr>
          <w:ilvl w:val="1"/>
          <w:numId w:val="10"/>
        </w:numPr>
        <w:rPr>
          <w:shd w:val="clear" w:color="auto" w:fill="FFFFFD"/>
        </w:rPr>
      </w:pPr>
      <w:r w:rsidRPr="00061D40">
        <w:rPr>
          <w:shd w:val="clear" w:color="auto" w:fill="FFFFFD"/>
        </w:rPr>
        <w:t>avoids design features (e</w:t>
      </w:r>
      <w:r w:rsidR="00AA2A91" w:rsidRPr="00061D40">
        <w:rPr>
          <w:shd w:val="clear" w:color="auto" w:fill="FFFFFD"/>
        </w:rPr>
        <w:t>.</w:t>
      </w:r>
      <w:r w:rsidRPr="00061D40">
        <w:rPr>
          <w:shd w:val="clear" w:color="auto" w:fill="FFFFFD"/>
        </w:rPr>
        <w:t>g. inefficient siting of buildings) that make no significant educational contribution and that may increase construction, maintenance or operating costs</w:t>
      </w:r>
    </w:p>
    <w:p w14:paraId="7F4864ED" w14:textId="77777777" w:rsidR="00694903" w:rsidRPr="00061D40" w:rsidRDefault="00694903" w:rsidP="00313AE7">
      <w:pPr>
        <w:pStyle w:val="bodytextoutlinednumber"/>
        <w:numPr>
          <w:ilvl w:val="1"/>
          <w:numId w:val="10"/>
        </w:numPr>
        <w:rPr>
          <w:shd w:val="clear" w:color="auto" w:fill="FFFFFD"/>
        </w:rPr>
      </w:pPr>
      <w:r w:rsidRPr="00061D40">
        <w:rPr>
          <w:shd w:val="clear" w:color="auto" w:fill="FFFFFD"/>
        </w:rPr>
        <w:lastRenderedPageBreak/>
        <w:t>takes appropriate account of the contribution which aesthetically pleasing design and good quality materials can make to school morale and to the care with which students treat their environment.</w:t>
      </w:r>
    </w:p>
    <w:p w14:paraId="7F4864EE" w14:textId="77777777" w:rsidR="00694903" w:rsidRPr="00061D40" w:rsidRDefault="00694903" w:rsidP="00261AA0">
      <w:pPr>
        <w:pStyle w:val="bodytextoutlinednumber"/>
      </w:pPr>
      <w:r w:rsidRPr="00061D40">
        <w:t>In determining the size of grants recommended, BGAs must assess all sources of funds available to schools (including funding available from their supporting communities and State governments) and require schools to make the maximum contribution possible (including through borrowings) without preventing the provision of an adequate level of recurrent resources nor jeopardising schools' financial viability.</w:t>
      </w:r>
    </w:p>
    <w:p w14:paraId="7F4864EF" w14:textId="77777777" w:rsidR="00D32016" w:rsidRDefault="00694903">
      <w:pPr>
        <w:pStyle w:val="Heading3"/>
      </w:pPr>
      <w:bookmarkStart w:id="131" w:name="_Toc211669164"/>
      <w:bookmarkStart w:id="132" w:name="_Toc246483076"/>
      <w:r w:rsidRPr="00061D40">
        <w:t>Appeal Process</w:t>
      </w:r>
      <w:bookmarkEnd w:id="131"/>
      <w:bookmarkEnd w:id="132"/>
    </w:p>
    <w:p w14:paraId="7F4864F0" w14:textId="77777777" w:rsidR="00694903" w:rsidRPr="00061D40" w:rsidRDefault="00694903" w:rsidP="00261AA0">
      <w:pPr>
        <w:pStyle w:val="bodytextoutlinednumber"/>
      </w:pPr>
      <w:r w:rsidRPr="00061D40">
        <w:t>Where applications are not recommended for approval, BGAs must provide reasons for rejection to the applicant schools and afford these schools the opportunity to have their applications reviewed by a process independent of the original assessment process and mutually acceptable to the BGA and its participating schools.</w:t>
      </w:r>
      <w:r w:rsidR="008E5ABB" w:rsidRPr="00061D40">
        <w:t xml:space="preserve"> </w:t>
      </w:r>
      <w:r w:rsidRPr="00061D40">
        <w:t>This may be done prior to, or in parallel with, submission of recommendations to the Department.</w:t>
      </w:r>
    </w:p>
    <w:p w14:paraId="7F4864F1" w14:textId="77777777" w:rsidR="00D32016" w:rsidRDefault="00694903">
      <w:pPr>
        <w:pStyle w:val="Heading3"/>
      </w:pPr>
      <w:bookmarkStart w:id="133" w:name="_Toc211669165"/>
      <w:bookmarkStart w:id="134" w:name="_Toc246483077"/>
      <w:bookmarkStart w:id="135" w:name="OLE_LINK4"/>
      <w:bookmarkStart w:id="136" w:name="OLE_LINK5"/>
      <w:r w:rsidRPr="00061D40">
        <w:t>National Code of Practice for the Construction Industry</w:t>
      </w:r>
      <w:bookmarkEnd w:id="133"/>
      <w:bookmarkEnd w:id="134"/>
    </w:p>
    <w:p w14:paraId="7F4864F2" w14:textId="77777777" w:rsidR="007D3CD5" w:rsidRPr="00061D40" w:rsidRDefault="007D3CD5" w:rsidP="002E4F66">
      <w:pPr>
        <w:pStyle w:val="bodytextoutlinednumber"/>
      </w:pPr>
      <w:r w:rsidRPr="00061D40">
        <w:t>It is Australian Government policy that the National Code of Practice for the Construction Industry (the Code) and the Australian Government Implementation Guidelines for the National Code of Practice for the Construction Industry (the Implementation Guidelines) will be applied to all construction projects indirectly funded by the Australian Government where:</w:t>
      </w:r>
    </w:p>
    <w:p w14:paraId="7F4864F3" w14:textId="77777777" w:rsidR="007D3CD5" w:rsidRPr="00061D40" w:rsidRDefault="007D3CD5" w:rsidP="006067EC">
      <w:pPr>
        <w:pStyle w:val="StyleStyledotpointAfter75ptLinespacingsingle"/>
      </w:pPr>
      <w:r w:rsidRPr="00061D40">
        <w:t>the value of Australian Government contribution to a project is at least $5 million and represents at least 50 per cent of the total construction project value</w:t>
      </w:r>
    </w:p>
    <w:p w14:paraId="7F4864F4" w14:textId="77777777" w:rsidR="007D3CD5" w:rsidRPr="00061D40" w:rsidRDefault="007D3CD5" w:rsidP="00583A06">
      <w:pPr>
        <w:spacing w:before="100"/>
        <w:ind w:left="850"/>
      </w:pPr>
      <w:r w:rsidRPr="00061D40">
        <w:t>or</w:t>
      </w:r>
    </w:p>
    <w:p w14:paraId="7F4864F5" w14:textId="77777777" w:rsidR="00694903" w:rsidRPr="00061D40" w:rsidRDefault="007D3CD5" w:rsidP="006067EC">
      <w:pPr>
        <w:pStyle w:val="StyleStyledotpointAfter75ptLinespacingsingle"/>
      </w:pPr>
      <w:r w:rsidRPr="00061D40">
        <w:t>the Australian Government contribution to a project is $10 million or more, irrespective of the proportion of Australian Government funding.</w:t>
      </w:r>
    </w:p>
    <w:p w14:paraId="7F4864F6" w14:textId="77777777" w:rsidR="00BE6C01" w:rsidRDefault="00F479A4" w:rsidP="00A5354A">
      <w:pPr>
        <w:pStyle w:val="bodytextoutlinednumber"/>
      </w:pPr>
      <w:r w:rsidRPr="00C90DD5">
        <w:t>BGAs must include with their schedule of recommended projects for funding a statement confirming that the Code and Implementation Guidelines are being applied (where appropriate) in respect of school construction projects indirectly funded by the Australian Government where the projects fall under the funding parameters above. Further information about the Code and Guidelines is available at:</w:t>
      </w:r>
      <w:r w:rsidR="001034BB" w:rsidRPr="00061D40">
        <w:t xml:space="preserve"> </w:t>
      </w:r>
      <w:hyperlink r:id="rId51" w:history="1">
        <w:r w:rsidR="00A5354A" w:rsidRPr="00CB55AB">
          <w:rPr>
            <w:rStyle w:val="Hyperlink"/>
            <w:rFonts w:cs="Garamond"/>
          </w:rPr>
          <w:t>http://www.fwbc.gov.au/national-code</w:t>
        </w:r>
      </w:hyperlink>
      <w:r w:rsidR="00A5354A">
        <w:t>.</w:t>
      </w:r>
      <w:bookmarkEnd w:id="135"/>
      <w:bookmarkEnd w:id="136"/>
    </w:p>
    <w:p w14:paraId="7F4864F7" w14:textId="77777777" w:rsidR="001559D4" w:rsidRDefault="00F02ED7">
      <w:pPr>
        <w:pStyle w:val="Heading3"/>
      </w:pPr>
      <w:bookmarkStart w:id="137" w:name="_Toc211669166"/>
      <w:bookmarkStart w:id="138" w:name="_Toc246483078"/>
      <w:r w:rsidRPr="00F02ED7">
        <w:t>Accountability</w:t>
      </w:r>
      <w:bookmarkEnd w:id="137"/>
      <w:bookmarkEnd w:id="138"/>
    </w:p>
    <w:p w14:paraId="7F4864F8" w14:textId="77777777" w:rsidR="002E3286" w:rsidRPr="00061D40" w:rsidRDefault="002E3286" w:rsidP="00261AA0">
      <w:pPr>
        <w:pStyle w:val="bodytextoutlinednumber"/>
        <w:rPr>
          <w:shd w:val="clear" w:color="auto" w:fill="FFFFFD"/>
        </w:rPr>
      </w:pPr>
      <w:bookmarkStart w:id="139" w:name="_Toc211669167"/>
      <w:r w:rsidRPr="00061D40">
        <w:rPr>
          <w:shd w:val="clear" w:color="auto" w:fill="FFFFFD"/>
        </w:rPr>
        <w:t xml:space="preserve">The Commonwealth is accountable to the Parliament and people of Australia for the expenditure of the public funds it provides for school education. To meet its accountability obligations, the Government requires that recipients account for </w:t>
      </w:r>
      <w:r w:rsidR="000803C9" w:rsidRPr="00061D40">
        <w:rPr>
          <w:shd w:val="clear" w:color="auto" w:fill="FFFFFD"/>
        </w:rPr>
        <w:t xml:space="preserve">their use of the </w:t>
      </w:r>
      <w:r w:rsidRPr="00061D40">
        <w:rPr>
          <w:shd w:val="clear" w:color="auto" w:fill="FFFFFD"/>
        </w:rPr>
        <w:t>grants financially.</w:t>
      </w:r>
    </w:p>
    <w:p w14:paraId="7F4864F9" w14:textId="77777777" w:rsidR="00336849" w:rsidRPr="00061D40" w:rsidRDefault="00336849" w:rsidP="00261AA0">
      <w:pPr>
        <w:pStyle w:val="bodytextoutlinednumber"/>
        <w:rPr>
          <w:shd w:val="clear" w:color="auto" w:fill="FFFFFD"/>
        </w:rPr>
      </w:pPr>
      <w:r w:rsidRPr="00061D40">
        <w:rPr>
          <w:shd w:val="clear" w:color="auto" w:fill="FFFFFD"/>
        </w:rPr>
        <w:t xml:space="preserve">Non-government schools must, within a specified period after a project has been completed, submit to the Block Grant Authority (BGA) documents prepared by architects and </w:t>
      </w:r>
      <w:r w:rsidR="00224E6A" w:rsidRPr="00061D40">
        <w:rPr>
          <w:shd w:val="clear" w:color="auto" w:fill="FFFFFD"/>
        </w:rPr>
        <w:t xml:space="preserve">an independent </w:t>
      </w:r>
      <w:r w:rsidRPr="00061D40">
        <w:rPr>
          <w:shd w:val="clear" w:color="auto" w:fill="FFFFFD"/>
        </w:rPr>
        <w:t xml:space="preserve">accountant confirming the final expenditure of the project, that the </w:t>
      </w:r>
      <w:r w:rsidRPr="00061D40">
        <w:rPr>
          <w:shd w:val="clear" w:color="auto" w:fill="FFFFFD"/>
        </w:rPr>
        <w:lastRenderedPageBreak/>
        <w:t>project was completed as approved and that the grant monies were spent only on the approved project.</w:t>
      </w:r>
    </w:p>
    <w:p w14:paraId="7F4864FA" w14:textId="77777777" w:rsidR="00336849" w:rsidRPr="00061D40" w:rsidRDefault="00336849" w:rsidP="00261AA0">
      <w:pPr>
        <w:pStyle w:val="bodytextoutlinednumber"/>
        <w:rPr>
          <w:shd w:val="clear" w:color="auto" w:fill="FFFFFD"/>
        </w:rPr>
      </w:pPr>
      <w:r w:rsidRPr="00061D40">
        <w:rPr>
          <w:shd w:val="clear" w:color="auto" w:fill="FFFFFD"/>
        </w:rPr>
        <w:t xml:space="preserve">Each </w:t>
      </w:r>
      <w:r w:rsidR="00D27D0E" w:rsidRPr="00061D40">
        <w:rPr>
          <w:shd w:val="clear" w:color="auto" w:fill="FFFFFD"/>
        </w:rPr>
        <w:t>BGA</w:t>
      </w:r>
      <w:r w:rsidRPr="00061D40">
        <w:rPr>
          <w:shd w:val="clear" w:color="auto" w:fill="FFFFFD"/>
        </w:rPr>
        <w:t xml:space="preserve"> is required to give the Commonwealth, </w:t>
      </w:r>
      <w:r w:rsidR="00D60C1C">
        <w:rPr>
          <w:shd w:val="clear" w:color="auto" w:fill="FFFFFD"/>
        </w:rPr>
        <w:t>by 30 June</w:t>
      </w:r>
      <w:r w:rsidR="001034BB" w:rsidRPr="00061D40">
        <w:rPr>
          <w:shd w:val="clear" w:color="auto" w:fill="FFFFFD"/>
        </w:rPr>
        <w:t xml:space="preserve"> in the next program </w:t>
      </w:r>
      <w:r w:rsidRPr="00061D40">
        <w:rPr>
          <w:shd w:val="clear" w:color="auto" w:fill="FFFFFD"/>
        </w:rPr>
        <w:t>year, the financial accountability and performance information documentation specified in the Administrative Arrangements for BGAs</w:t>
      </w:r>
      <w:r w:rsidR="000E34CC" w:rsidRPr="00061D40">
        <w:rPr>
          <w:shd w:val="clear" w:color="auto" w:fill="FFFFFD"/>
        </w:rPr>
        <w:t xml:space="preserve"> document</w:t>
      </w:r>
      <w:r w:rsidRPr="00061D40">
        <w:rPr>
          <w:shd w:val="clear" w:color="auto" w:fill="FFFFFD"/>
        </w:rPr>
        <w:t>. The Administrative Arrangements include a requirement for BGAs to provide at least those schools that have applied for funding within the last three years, with selected information about the distribution of grants. Other participant schools may obtain this information from their BGA upon request.</w:t>
      </w:r>
    </w:p>
    <w:p w14:paraId="7F4864FB" w14:textId="77777777" w:rsidR="00336849" w:rsidRPr="00061D40" w:rsidRDefault="00336849" w:rsidP="00261AA0">
      <w:pPr>
        <w:pStyle w:val="bodytextoutlinednumber"/>
      </w:pPr>
      <w:r w:rsidRPr="00061D40">
        <w:t>In addition, the Department may audit the administrative practices of any BGAs. Schools participating in a BGA should be able to view any final audit report on that BGA upon request to the BGA.</w:t>
      </w:r>
    </w:p>
    <w:p w14:paraId="7F4864FC" w14:textId="77777777" w:rsidR="00D32016" w:rsidRDefault="002E3286">
      <w:pPr>
        <w:pStyle w:val="Heading4"/>
      </w:pPr>
      <w:r w:rsidRPr="00061D40">
        <w:t>Financial Accountability</w:t>
      </w:r>
      <w:r w:rsidR="008E5ABB" w:rsidRPr="00061D40">
        <w:t xml:space="preserve"> </w:t>
      </w:r>
    </w:p>
    <w:p w14:paraId="7F4864FD" w14:textId="77777777" w:rsidR="00123F66" w:rsidRPr="00061D40" w:rsidRDefault="00724D2F" w:rsidP="00261AA0">
      <w:pPr>
        <w:pStyle w:val="bodytextoutlinednumber"/>
        <w:rPr>
          <w:shd w:val="clear" w:color="auto" w:fill="FFFFFD"/>
        </w:rPr>
      </w:pPr>
      <w:r w:rsidRPr="00061D40">
        <w:rPr>
          <w:shd w:val="clear" w:color="auto" w:fill="FFFFFD"/>
        </w:rPr>
        <w:t>BGAs</w:t>
      </w:r>
      <w:r w:rsidR="002E3286" w:rsidRPr="00061D40">
        <w:rPr>
          <w:shd w:val="clear" w:color="auto" w:fill="FFFFFD"/>
        </w:rPr>
        <w:t xml:space="preserve"> will meet their financial accountability for the program by submitting to the Department </w:t>
      </w:r>
      <w:r w:rsidR="00D60C1C">
        <w:rPr>
          <w:shd w:val="clear" w:color="auto" w:fill="FFFFFD"/>
        </w:rPr>
        <w:t xml:space="preserve">by 30 June </w:t>
      </w:r>
      <w:r w:rsidR="001034BB" w:rsidRPr="00061D40">
        <w:rPr>
          <w:shd w:val="clear" w:color="auto" w:fill="FFFFFD"/>
        </w:rPr>
        <w:t xml:space="preserve">in the next program </w:t>
      </w:r>
      <w:r w:rsidR="002E3286" w:rsidRPr="00061D40">
        <w:rPr>
          <w:shd w:val="clear" w:color="auto" w:fill="FFFFFD"/>
        </w:rPr>
        <w:t xml:space="preserve">year or such later date as the Minister approves, an electronic </w:t>
      </w:r>
      <w:r w:rsidR="00C85D48">
        <w:rPr>
          <w:shd w:val="clear" w:color="auto" w:fill="FFFFFD"/>
        </w:rPr>
        <w:t>f</w:t>
      </w:r>
      <w:r w:rsidR="002E3286" w:rsidRPr="00061D40">
        <w:rPr>
          <w:shd w:val="clear" w:color="auto" w:fill="FFFFFD"/>
        </w:rPr>
        <w:t xml:space="preserve">inancial </w:t>
      </w:r>
      <w:r w:rsidR="00C85D48">
        <w:rPr>
          <w:shd w:val="clear" w:color="auto" w:fill="FFFFFD"/>
        </w:rPr>
        <w:t>a</w:t>
      </w:r>
      <w:r w:rsidR="002E3286" w:rsidRPr="00061D40">
        <w:rPr>
          <w:shd w:val="clear" w:color="auto" w:fill="FFFFFD"/>
        </w:rPr>
        <w:t xml:space="preserve">ccountability certificate, in the name of </w:t>
      </w:r>
      <w:r w:rsidR="00123F66" w:rsidRPr="00061D40">
        <w:rPr>
          <w:shd w:val="clear" w:color="auto" w:fill="FFFFFD"/>
        </w:rPr>
        <w:t>a Qualified Accountant</w:t>
      </w:r>
      <w:r w:rsidR="00562478" w:rsidRPr="00061D40">
        <w:rPr>
          <w:shd w:val="clear" w:color="auto" w:fill="FFFFFD"/>
        </w:rPr>
        <w:t xml:space="preserve">. </w:t>
      </w:r>
      <w:r w:rsidR="00123F66" w:rsidRPr="00061D40">
        <w:rPr>
          <w:shd w:val="clear" w:color="auto" w:fill="FFFFFD"/>
        </w:rPr>
        <w:t>A Qualified Accountant is:</w:t>
      </w:r>
    </w:p>
    <w:p w14:paraId="7F4864FE" w14:textId="77777777" w:rsidR="000F13DC" w:rsidRDefault="00123F66" w:rsidP="00313AE7">
      <w:pPr>
        <w:pStyle w:val="bodytextoutlinednumber"/>
        <w:numPr>
          <w:ilvl w:val="1"/>
          <w:numId w:val="10"/>
        </w:numPr>
        <w:rPr>
          <w:shd w:val="clear" w:color="auto" w:fill="FFFFFD"/>
        </w:rPr>
      </w:pPr>
      <w:r w:rsidRPr="00061D40">
        <w:rPr>
          <w:shd w:val="clear" w:color="auto" w:fill="FFFFFD"/>
        </w:rPr>
        <w:t xml:space="preserve">a qualified accountant within the meaning of the </w:t>
      </w:r>
      <w:r w:rsidRPr="00061D40">
        <w:rPr>
          <w:i/>
          <w:shd w:val="clear" w:color="auto" w:fill="FFFFFD"/>
        </w:rPr>
        <w:t>Corporations Act 2001</w:t>
      </w:r>
    </w:p>
    <w:p w14:paraId="7F4864FF" w14:textId="77777777" w:rsidR="00123F66" w:rsidRPr="00061D40" w:rsidRDefault="00123F66" w:rsidP="000F13DC">
      <w:pPr>
        <w:pStyle w:val="bodytextoutlinednumber"/>
        <w:numPr>
          <w:ilvl w:val="0"/>
          <w:numId w:val="0"/>
        </w:numPr>
        <w:spacing w:before="100"/>
        <w:ind w:left="851"/>
        <w:rPr>
          <w:shd w:val="clear" w:color="auto" w:fill="FFFFFD"/>
        </w:rPr>
      </w:pPr>
      <w:r w:rsidRPr="00061D40">
        <w:rPr>
          <w:shd w:val="clear" w:color="auto" w:fill="FFFFFD"/>
        </w:rPr>
        <w:t>or</w:t>
      </w:r>
    </w:p>
    <w:p w14:paraId="7F486500" w14:textId="77777777" w:rsidR="001D102E" w:rsidRPr="00061D40" w:rsidRDefault="00123F66" w:rsidP="00313AE7">
      <w:pPr>
        <w:pStyle w:val="bodytextoutlinednumber"/>
        <w:numPr>
          <w:ilvl w:val="1"/>
          <w:numId w:val="10"/>
        </w:numPr>
        <w:rPr>
          <w:shd w:val="clear" w:color="auto" w:fill="FFFFFD"/>
        </w:rPr>
      </w:pPr>
      <w:r w:rsidRPr="00061D40">
        <w:rPr>
          <w:shd w:val="clear" w:color="auto" w:fill="FFFFFD"/>
        </w:rPr>
        <w:t xml:space="preserve">a person registered (or taken to be registered) as a company auditor under the </w:t>
      </w:r>
      <w:r w:rsidRPr="00061D40">
        <w:rPr>
          <w:i/>
          <w:shd w:val="clear" w:color="auto" w:fill="FFFFFD"/>
        </w:rPr>
        <w:t>Corporations Act 2001</w:t>
      </w:r>
    </w:p>
    <w:p w14:paraId="7F486501" w14:textId="77777777" w:rsidR="00123F66" w:rsidRPr="00061D40" w:rsidRDefault="00123F66" w:rsidP="000F13DC">
      <w:pPr>
        <w:pStyle w:val="bodytextoutlinednumber"/>
        <w:numPr>
          <w:ilvl w:val="0"/>
          <w:numId w:val="0"/>
        </w:numPr>
        <w:spacing w:before="100"/>
        <w:ind w:left="851"/>
        <w:rPr>
          <w:shd w:val="clear" w:color="auto" w:fill="FFFFFD"/>
        </w:rPr>
      </w:pPr>
      <w:r w:rsidRPr="00061D40">
        <w:rPr>
          <w:shd w:val="clear" w:color="auto" w:fill="FFFFFD"/>
        </w:rPr>
        <w:t>or</w:t>
      </w:r>
    </w:p>
    <w:p w14:paraId="7F486502" w14:textId="77777777" w:rsidR="00123F66" w:rsidRPr="00061D40" w:rsidRDefault="00123F66" w:rsidP="00313AE7">
      <w:pPr>
        <w:pStyle w:val="bodytextoutlinednumber"/>
        <w:numPr>
          <w:ilvl w:val="1"/>
          <w:numId w:val="10"/>
        </w:numPr>
        <w:rPr>
          <w:shd w:val="clear" w:color="auto" w:fill="FFFFFD"/>
        </w:rPr>
      </w:pPr>
      <w:r w:rsidRPr="00061D40">
        <w:rPr>
          <w:shd w:val="clear" w:color="auto" w:fill="FFFFFD"/>
        </w:rPr>
        <w:t>a person approved by the Minister as a qualified accountant for the purposes of the Act.</w:t>
      </w:r>
    </w:p>
    <w:p w14:paraId="7F486503" w14:textId="77777777" w:rsidR="00D32016" w:rsidRDefault="007A7E1A">
      <w:pPr>
        <w:pStyle w:val="Heading3"/>
      </w:pPr>
      <w:bookmarkStart w:id="140" w:name="_Toc211669171"/>
      <w:bookmarkStart w:id="141" w:name="_Toc246483079"/>
      <w:bookmarkEnd w:id="139"/>
      <w:r w:rsidRPr="00061D40">
        <w:t>Provision of Employment</w:t>
      </w:r>
      <w:r w:rsidR="001034BB" w:rsidRPr="00061D40">
        <w:t>,</w:t>
      </w:r>
      <w:r w:rsidRPr="00061D40">
        <w:t xml:space="preserve"> Training</w:t>
      </w:r>
      <w:r w:rsidR="00A83C50">
        <w:t xml:space="preserve"> and </w:t>
      </w:r>
      <w:r w:rsidR="001034BB" w:rsidRPr="00061D40">
        <w:t xml:space="preserve">Business </w:t>
      </w:r>
      <w:r w:rsidRPr="00061D40">
        <w:t xml:space="preserve">Opportunities for Indigenous Australians and the Involvement of Indigenous Australian Communities in </w:t>
      </w:r>
      <w:r w:rsidR="00212BF5">
        <w:t>Submission</w:t>
      </w:r>
      <w:r w:rsidRPr="00061D40">
        <w:t xml:space="preserve"> Evaluation</w:t>
      </w:r>
      <w:bookmarkEnd w:id="140"/>
      <w:bookmarkEnd w:id="141"/>
    </w:p>
    <w:p w14:paraId="7F486504" w14:textId="77777777" w:rsidR="001034BB" w:rsidRPr="00061D40" w:rsidRDefault="001034BB" w:rsidP="001034BB">
      <w:pPr>
        <w:pStyle w:val="bodytextoutlinednumber"/>
      </w:pPr>
      <w:r w:rsidRPr="00061D40">
        <w:t>The Indigenous Opportunities Policy states:</w:t>
      </w:r>
    </w:p>
    <w:p w14:paraId="7F486505" w14:textId="77777777" w:rsidR="001034BB" w:rsidRPr="00061D40" w:rsidRDefault="001034BB" w:rsidP="003E42C0">
      <w:pPr>
        <w:pStyle w:val="bodytextoutlinednumber"/>
        <w:numPr>
          <w:ilvl w:val="0"/>
          <w:numId w:val="0"/>
        </w:numPr>
        <w:ind w:left="567"/>
      </w:pPr>
      <w:r w:rsidRPr="00061D40">
        <w:t>For the purpose of promoting employment and training opportunities for Indigenous Australian</w:t>
      </w:r>
      <w:r w:rsidR="00935625">
        <w:t>s</w:t>
      </w:r>
      <w:r w:rsidRPr="00061D40">
        <w:t>, where projects involve expenditure over $5 million ($6 million for construction) in regions where there are significant Indigenous populations, officials must:</w:t>
      </w:r>
    </w:p>
    <w:p w14:paraId="7F486506" w14:textId="77777777" w:rsidR="001034BB" w:rsidRPr="00061D40" w:rsidRDefault="001034BB" w:rsidP="006067EC">
      <w:pPr>
        <w:pStyle w:val="StyleStyledotpointAfter75ptLinespacingsingle"/>
      </w:pPr>
      <w:r w:rsidRPr="00061D40">
        <w:t>Consult with the Department of Education, Employment and Workplace Relations, the Commonwealth Indigenous Coordination Centres or equivalent Commonwealth Office, and community council or group, as appropriate, in the planning stages of those projects.</w:t>
      </w:r>
    </w:p>
    <w:p w14:paraId="7F486507" w14:textId="77777777" w:rsidR="001034BB" w:rsidRPr="00061D40" w:rsidRDefault="001034BB" w:rsidP="006067EC">
      <w:pPr>
        <w:pStyle w:val="StyleStyledotpointAfter75ptLinespacingsingle"/>
      </w:pPr>
      <w:r w:rsidRPr="00061D40">
        <w:t>In each procurement process under those projects, require each tenderer to submit as part of their tender a plan for providing training and employment opportunities to local Indigenous communities</w:t>
      </w:r>
      <w:r w:rsidR="0008612F">
        <w:t>,</w:t>
      </w:r>
      <w:r w:rsidRPr="00061D40">
        <w:t xml:space="preserve"> and for the use of local Indigenous suppliers that are small and medium enterprises. </w:t>
      </w:r>
    </w:p>
    <w:p w14:paraId="7F486508" w14:textId="77777777" w:rsidR="00D32016" w:rsidRDefault="007A7E1A">
      <w:pPr>
        <w:pStyle w:val="Heading4"/>
      </w:pPr>
      <w:bookmarkStart w:id="142" w:name="_Toc211669173"/>
      <w:r w:rsidRPr="00061D40">
        <w:lastRenderedPageBreak/>
        <w:t>Employment and Training Opportunities</w:t>
      </w:r>
      <w:bookmarkEnd w:id="142"/>
    </w:p>
    <w:p w14:paraId="7F486509" w14:textId="77777777" w:rsidR="007A7E1A" w:rsidRPr="00061D40" w:rsidRDefault="007A7E1A" w:rsidP="00261AA0">
      <w:pPr>
        <w:pStyle w:val="bodytextoutlinednumber"/>
      </w:pPr>
      <w:r w:rsidRPr="00061D40">
        <w:t xml:space="preserve">Commonwealth capital grants for non-government schools are offered on the condition non-government schools receiving capital grants must allow DEEWR, and/or other relevant agencies wishing to encourage the provision of employment or training </w:t>
      </w:r>
      <w:r w:rsidR="001034BB" w:rsidRPr="00061D40">
        <w:t xml:space="preserve">or business </w:t>
      </w:r>
      <w:r w:rsidRPr="00061D40">
        <w:t xml:space="preserve">opportunities, or </w:t>
      </w:r>
      <w:r w:rsidR="001034BB" w:rsidRPr="00061D40">
        <w:t>all</w:t>
      </w:r>
      <w:r w:rsidRPr="00061D40">
        <w:t xml:space="preserve">, for </w:t>
      </w:r>
      <w:r w:rsidR="001034BB" w:rsidRPr="00061D40">
        <w:t>Aboriginal and Torres Strait Islander peoples</w:t>
      </w:r>
      <w:r w:rsidRPr="00061D40">
        <w:t>, access to those tendering for the work.</w:t>
      </w:r>
      <w:r w:rsidR="008E5ABB" w:rsidRPr="00061D40">
        <w:t xml:space="preserve"> </w:t>
      </w:r>
      <w:r w:rsidRPr="00061D40">
        <w:t>Grantees are not required to initiate contact in this regard, but if they are contacted must provide reasonable assistance including provision of the relevant project details and contact details about relevant tenderers.</w:t>
      </w:r>
      <w:r w:rsidR="008E5ABB" w:rsidRPr="00061D40">
        <w:t xml:space="preserve"> </w:t>
      </w:r>
      <w:r w:rsidRPr="00061D40">
        <w:t>Grantees should advise tenderers that they may be contacted by DEEWR o</w:t>
      </w:r>
      <w:r w:rsidR="00123F66" w:rsidRPr="00061D40">
        <w:t>r</w:t>
      </w:r>
      <w:r w:rsidRPr="00061D40">
        <w:t xml:space="preserve"> other relevant agencies in relation to </w:t>
      </w:r>
      <w:r w:rsidR="001034BB" w:rsidRPr="00061D40">
        <w:t xml:space="preserve">Aboriginal and Torres Strait Islander peoples’ </w:t>
      </w:r>
      <w:r w:rsidRPr="00061D40">
        <w:t>employment</w:t>
      </w:r>
      <w:r w:rsidR="001034BB" w:rsidRPr="00061D40">
        <w:t xml:space="preserve">, </w:t>
      </w:r>
      <w:r w:rsidRPr="00061D40">
        <w:t xml:space="preserve">training </w:t>
      </w:r>
      <w:r w:rsidR="001034BB" w:rsidRPr="00061D40">
        <w:t xml:space="preserve">and business </w:t>
      </w:r>
      <w:r w:rsidRPr="00061D40">
        <w:t xml:space="preserve">opportunities. </w:t>
      </w:r>
    </w:p>
    <w:p w14:paraId="7F48650A" w14:textId="77777777" w:rsidR="00D32016" w:rsidRDefault="007A7E1A">
      <w:pPr>
        <w:pStyle w:val="Heading4"/>
      </w:pPr>
      <w:bookmarkStart w:id="143" w:name="_Toc211669174"/>
      <w:r w:rsidRPr="00061D40">
        <w:t xml:space="preserve">Involvement of Indigenous Australian Communities in </w:t>
      </w:r>
      <w:r w:rsidR="00230AC1">
        <w:t>Submission</w:t>
      </w:r>
      <w:r w:rsidRPr="00061D40">
        <w:t xml:space="preserve"> Evaluation</w:t>
      </w:r>
      <w:bookmarkEnd w:id="143"/>
    </w:p>
    <w:p w14:paraId="7F48650B" w14:textId="77777777" w:rsidR="007A7E1A" w:rsidRPr="00061D40" w:rsidRDefault="007A7E1A" w:rsidP="00261AA0">
      <w:pPr>
        <w:pStyle w:val="bodytextoutlinednumber"/>
        <w:rPr>
          <w:shd w:val="clear" w:color="auto" w:fill="FFFFFD"/>
        </w:rPr>
      </w:pPr>
      <w:bookmarkStart w:id="144" w:name="_Ref214161093"/>
      <w:r w:rsidRPr="00061D40">
        <w:rPr>
          <w:shd w:val="clear" w:color="auto" w:fill="FFFFFD"/>
        </w:rPr>
        <w:t xml:space="preserve">Commonwealth capital grants for non-government schools are also offered on the condition that, where the capital works associated with the grant are undertaken specifically for an Indigenous Australian community, the grantee must use best endeavours to involve that community in the evaluation of quotations or </w:t>
      </w:r>
      <w:r w:rsidR="00230AC1">
        <w:rPr>
          <w:shd w:val="clear" w:color="auto" w:fill="FFFFFD"/>
        </w:rPr>
        <w:t>submissions</w:t>
      </w:r>
      <w:r w:rsidRPr="00061D40">
        <w:rPr>
          <w:shd w:val="clear" w:color="auto" w:fill="FFFFFD"/>
        </w:rPr>
        <w:t>.</w:t>
      </w:r>
      <w:r w:rsidR="008E5ABB" w:rsidRPr="00061D40">
        <w:rPr>
          <w:shd w:val="clear" w:color="auto" w:fill="FFFFFD"/>
        </w:rPr>
        <w:t xml:space="preserve"> </w:t>
      </w:r>
      <w:r w:rsidRPr="00061D40">
        <w:rPr>
          <w:shd w:val="clear" w:color="auto" w:fill="FFFFFD"/>
        </w:rPr>
        <w:t xml:space="preserve">The community should be encouraged and assisted to be involved in the planning, </w:t>
      </w:r>
      <w:r w:rsidR="00230AC1">
        <w:rPr>
          <w:shd w:val="clear" w:color="auto" w:fill="FFFFFD"/>
        </w:rPr>
        <w:t xml:space="preserve">submission </w:t>
      </w:r>
      <w:r w:rsidRPr="00061D40">
        <w:rPr>
          <w:shd w:val="clear" w:color="auto" w:fill="FFFFFD"/>
        </w:rPr>
        <w:t>process and execution of the projects so that there can be genuine community participation in the process.</w:t>
      </w:r>
      <w:r w:rsidR="008E5ABB" w:rsidRPr="00061D40">
        <w:rPr>
          <w:shd w:val="clear" w:color="auto" w:fill="FFFFFD"/>
        </w:rPr>
        <w:t xml:space="preserve"> </w:t>
      </w:r>
      <w:r w:rsidRPr="00061D40">
        <w:rPr>
          <w:shd w:val="clear" w:color="auto" w:fill="FFFFFD"/>
        </w:rPr>
        <w:t>In this context, the term 'Indigenous Australian community' signifies a group of Indigenous Australians who live in a distinct geographical location and interact on a day to day basis as a social group.</w:t>
      </w:r>
      <w:bookmarkEnd w:id="144"/>
    </w:p>
    <w:p w14:paraId="7F48650C" w14:textId="77777777" w:rsidR="00C051EA" w:rsidRPr="00061D40" w:rsidRDefault="007A7E1A" w:rsidP="00261AA0">
      <w:pPr>
        <w:pStyle w:val="bodytextoutlinednumber"/>
        <w:rPr>
          <w:shd w:val="clear" w:color="auto" w:fill="FFFFFD"/>
        </w:rPr>
      </w:pPr>
      <w:bookmarkStart w:id="145" w:name="_Ref214161127"/>
      <w:r w:rsidRPr="00061D40">
        <w:rPr>
          <w:shd w:val="clear" w:color="auto" w:fill="FFFFFD"/>
        </w:rPr>
        <w:t>Where members of an Indigenous Australian community wish to bid for a contract, conflict of interest must be avoided.</w:t>
      </w:r>
      <w:r w:rsidR="008E5ABB" w:rsidRPr="00061D40">
        <w:rPr>
          <w:shd w:val="clear" w:color="auto" w:fill="FFFFFD"/>
        </w:rPr>
        <w:t xml:space="preserve"> </w:t>
      </w:r>
      <w:r w:rsidRPr="00061D40">
        <w:rPr>
          <w:shd w:val="clear" w:color="auto" w:fill="FFFFFD"/>
        </w:rPr>
        <w:t>Where a community member participating in the evaluation of a bid has a conflict of interest, he or she must disclose the interest and may be required to divest themselves of the interest or to withdraw from the evaluation process.</w:t>
      </w:r>
      <w:r w:rsidR="008E5ABB" w:rsidRPr="00061D40">
        <w:rPr>
          <w:shd w:val="clear" w:color="auto" w:fill="FFFFFD"/>
        </w:rPr>
        <w:t xml:space="preserve"> </w:t>
      </w:r>
      <w:r w:rsidRPr="00061D40">
        <w:rPr>
          <w:shd w:val="clear" w:color="auto" w:fill="FFFFFD"/>
        </w:rPr>
        <w:t>The intention of involving the community is to ensure that the design and the construction of the project are appropriate to community needs</w:t>
      </w:r>
      <w:r w:rsidR="00052406" w:rsidRPr="00061D40">
        <w:rPr>
          <w:shd w:val="clear" w:color="auto" w:fill="FFFFFD"/>
        </w:rPr>
        <w:t>,</w:t>
      </w:r>
      <w:r w:rsidR="008E5ABB" w:rsidRPr="00061D40">
        <w:rPr>
          <w:shd w:val="clear" w:color="auto" w:fill="FFFFFD"/>
        </w:rPr>
        <w:t xml:space="preserve"> </w:t>
      </w:r>
      <w:r w:rsidR="00052406" w:rsidRPr="00061D40">
        <w:rPr>
          <w:shd w:val="clear" w:color="auto" w:fill="FFFFFD"/>
        </w:rPr>
        <w:t>however,</w:t>
      </w:r>
      <w:r w:rsidRPr="00061D40">
        <w:rPr>
          <w:shd w:val="clear" w:color="auto" w:fill="FFFFFD"/>
        </w:rPr>
        <w:t xml:space="preserve"> this does not overtake normal selection criteria and there is no conflict intended with standard procurement guidelines.</w:t>
      </w:r>
      <w:bookmarkEnd w:id="145"/>
    </w:p>
    <w:p w14:paraId="7F48650D" w14:textId="77777777" w:rsidR="001559D4" w:rsidRDefault="00D94BD5">
      <w:pPr>
        <w:pStyle w:val="Heading1"/>
      </w:pPr>
      <w:bookmarkStart w:id="146" w:name="DocumentIsMinute"/>
      <w:bookmarkStart w:id="147" w:name="_Toc246483080"/>
      <w:bookmarkStart w:id="148" w:name="_Toc246493725"/>
      <w:bookmarkEnd w:id="146"/>
      <w:r w:rsidRPr="00061D40">
        <w:br w:type="page"/>
      </w:r>
      <w:bookmarkStart w:id="149" w:name="_Toc346205322"/>
      <w:r w:rsidR="00F02ED7" w:rsidRPr="00F02ED7">
        <w:lastRenderedPageBreak/>
        <w:t>Part 4: Grants For Targeted Expenditure</w:t>
      </w:r>
      <w:bookmarkEnd w:id="147"/>
      <w:bookmarkEnd w:id="148"/>
      <w:bookmarkEnd w:id="149"/>
    </w:p>
    <w:p w14:paraId="7F48650E" w14:textId="77777777" w:rsidR="00DE4A0A" w:rsidRPr="00061D40" w:rsidRDefault="00D62C5C" w:rsidP="00170A4A">
      <w:pPr>
        <w:pStyle w:val="bodytextoutlinednumber"/>
      </w:pPr>
      <w:r w:rsidRPr="00061D40">
        <w:t>T</w:t>
      </w:r>
      <w:r w:rsidR="00DE4A0A" w:rsidRPr="00061D40">
        <w:t>argeted grants are</w:t>
      </w:r>
      <w:r w:rsidRPr="00061D40">
        <w:t xml:space="preserve"> provided for</w:t>
      </w:r>
      <w:r w:rsidR="00DE4A0A" w:rsidRPr="00061D40">
        <w:t xml:space="preserve">: </w:t>
      </w:r>
    </w:p>
    <w:p w14:paraId="7F48650F" w14:textId="77777777" w:rsidR="003B1652" w:rsidRDefault="003B1652" w:rsidP="006067EC">
      <w:pPr>
        <w:pStyle w:val="StyleStyledotpointAfter75ptLinespacingsingle"/>
      </w:pPr>
      <w:r>
        <w:t>short term emergency assistance</w:t>
      </w:r>
    </w:p>
    <w:p w14:paraId="7F486510" w14:textId="77777777" w:rsidR="003B1652" w:rsidRDefault="003B1652" w:rsidP="003B1652">
      <w:pPr>
        <w:pStyle w:val="StyleStyledotpointAfter75ptLinespacingsingle"/>
      </w:pPr>
      <w:r w:rsidRPr="00061D40" w:rsidDel="00DF4B97">
        <w:t>education in country areas</w:t>
      </w:r>
    </w:p>
    <w:p w14:paraId="7F486511" w14:textId="77777777" w:rsidR="00541D22" w:rsidRPr="00061D40" w:rsidDel="00DF4B97" w:rsidRDefault="00541D22" w:rsidP="003B1652">
      <w:pPr>
        <w:pStyle w:val="StyleStyledotpointAfter75ptLinespacingsingle"/>
      </w:pPr>
      <w:r>
        <w:t>languages education</w:t>
      </w:r>
    </w:p>
    <w:p w14:paraId="7F486512" w14:textId="77777777" w:rsidR="00D62C5C" w:rsidRPr="00061D40" w:rsidDel="00DF4B97" w:rsidRDefault="00D62C5C" w:rsidP="006067EC">
      <w:pPr>
        <w:pStyle w:val="StyleStyledotpointAfter75ptLinespacingsingle"/>
      </w:pPr>
      <w:r w:rsidRPr="00061D40" w:rsidDel="00DF4B97">
        <w:t>teaching English to new arrivals</w:t>
      </w:r>
    </w:p>
    <w:p w14:paraId="7F486513" w14:textId="77777777" w:rsidR="0064789D" w:rsidRPr="00061D40" w:rsidRDefault="003B1652" w:rsidP="006067EC">
      <w:pPr>
        <w:pStyle w:val="StyleStyledotpointAfter75ptLinespacingsingle"/>
      </w:pPr>
      <w:r w:rsidRPr="00061D40">
        <w:t>the literacy, numeracy and special learning needs of students who are educationally disadvantaged</w:t>
      </w:r>
      <w:r>
        <w:t>.</w:t>
      </w:r>
    </w:p>
    <w:p w14:paraId="7F486514" w14:textId="77777777" w:rsidR="007D3CD5" w:rsidRPr="00061D40" w:rsidRDefault="007D3CD5" w:rsidP="00170A4A">
      <w:pPr>
        <w:pStyle w:val="bodytextoutlinednumber"/>
      </w:pPr>
      <w:r w:rsidRPr="00061D40">
        <w:t>A requirement in a funding contract for targeted expenditure which requires the contracting authority to make payments to schools means, with respect to systemic schools, a payment to the approved authority for the relevant school system, and in respect of non-systemic schools, a payment to the approved authority for the school.</w:t>
      </w:r>
    </w:p>
    <w:p w14:paraId="7F486515" w14:textId="77777777" w:rsidR="00DE4A0A" w:rsidRPr="00061D40" w:rsidRDefault="00DE4A0A" w:rsidP="00170A4A">
      <w:pPr>
        <w:pStyle w:val="bodytextoutlinednumber"/>
      </w:pPr>
      <w:r w:rsidRPr="00061D40">
        <w:t xml:space="preserve">This part of the Guidelines sets out the </w:t>
      </w:r>
      <w:r w:rsidR="00D62C5C" w:rsidRPr="00061D40">
        <w:t xml:space="preserve">requirements for </w:t>
      </w:r>
      <w:r w:rsidRPr="00061D40">
        <w:t xml:space="preserve">each targeted program </w:t>
      </w:r>
      <w:r w:rsidR="00D62C5C" w:rsidRPr="00061D40">
        <w:t>above</w:t>
      </w:r>
      <w:r w:rsidR="008841C3" w:rsidRPr="00061D40">
        <w:t>.</w:t>
      </w:r>
    </w:p>
    <w:p w14:paraId="7F486516" w14:textId="77777777" w:rsidR="00D32016" w:rsidRDefault="00B8112B">
      <w:pPr>
        <w:pStyle w:val="Heading2"/>
      </w:pPr>
      <w:bookmarkStart w:id="150" w:name="_Toc346205323"/>
      <w:bookmarkStart w:id="151" w:name="_Toc246483081"/>
      <w:bookmarkStart w:id="152" w:name="_Toc246493726"/>
      <w:r>
        <w:t>4.1 Short Term Emergency Assistance</w:t>
      </w:r>
      <w:bookmarkEnd w:id="150"/>
    </w:p>
    <w:p w14:paraId="7F486517" w14:textId="77777777" w:rsidR="00D32016" w:rsidRDefault="00B8112B">
      <w:pPr>
        <w:pStyle w:val="Heading3"/>
      </w:pPr>
      <w:r w:rsidRPr="00061D40">
        <w:t>Legislative Authority</w:t>
      </w:r>
    </w:p>
    <w:p w14:paraId="7F486518" w14:textId="77777777" w:rsidR="00B8112B" w:rsidRPr="00061D40" w:rsidRDefault="00B8112B" w:rsidP="00B8112B">
      <w:pPr>
        <w:pStyle w:val="bodytextoutlinednumber"/>
      </w:pPr>
      <w:r w:rsidRPr="00061D40">
        <w:t>Short Term Emergency Assistance (STEA) funding for non-government schools for the 2009-201</w:t>
      </w:r>
      <w:r>
        <w:t>3</w:t>
      </w:r>
      <w:r w:rsidRPr="00061D40">
        <w:t xml:space="preserve"> funding period is provided under Part 6, Division 2 of the Act. Non-government schools and school systems in each state and territory which receive STEA funding must comply with all the requirements of the Act.</w:t>
      </w:r>
    </w:p>
    <w:p w14:paraId="7F486519" w14:textId="77777777" w:rsidR="00D32016" w:rsidRDefault="00B8112B">
      <w:pPr>
        <w:pStyle w:val="Heading3"/>
      </w:pPr>
      <w:r w:rsidRPr="00061D40">
        <w:t>Objectives</w:t>
      </w:r>
    </w:p>
    <w:p w14:paraId="7F48651A" w14:textId="77777777" w:rsidR="00B8112B" w:rsidRPr="00061D40" w:rsidRDefault="00B8112B" w:rsidP="00B8112B">
      <w:pPr>
        <w:pStyle w:val="bodytextoutlinednumber"/>
      </w:pPr>
      <w:r w:rsidRPr="00061D40">
        <w:t>T</w:t>
      </w:r>
      <w:r w:rsidRPr="00061D40">
        <w:rPr>
          <w:rStyle w:val="bodytextoutlinednumberCharChar"/>
          <w:shd w:val="clear" w:color="auto" w:fill="FFFFFD"/>
        </w:rPr>
        <w:t>h</w:t>
      </w:r>
      <w:r w:rsidRPr="00061D40">
        <w:t xml:space="preserve">e purpose of this part of the </w:t>
      </w:r>
      <w:r w:rsidR="000C6BB2">
        <w:t>G</w:t>
      </w:r>
      <w:r w:rsidRPr="00061D40">
        <w:t>uidelines is to provide prospective STEA applicants with information and a better understanding in relation to:</w:t>
      </w:r>
    </w:p>
    <w:p w14:paraId="7F48651B" w14:textId="77777777" w:rsidR="00B8112B" w:rsidRPr="00061D40" w:rsidRDefault="00B8112B" w:rsidP="00B8112B">
      <w:pPr>
        <w:pStyle w:val="bodytextoutlinednumber"/>
        <w:numPr>
          <w:ilvl w:val="1"/>
          <w:numId w:val="10"/>
        </w:numPr>
        <w:rPr>
          <w:shd w:val="clear" w:color="auto" w:fill="FFFFFD"/>
        </w:rPr>
      </w:pPr>
      <w:r w:rsidRPr="00061D40">
        <w:rPr>
          <w:shd w:val="clear" w:color="auto" w:fill="FFFFFD"/>
        </w:rPr>
        <w:t>the STEA application process, including indicative timeframes</w:t>
      </w:r>
    </w:p>
    <w:p w14:paraId="7F48651C" w14:textId="77777777" w:rsidR="00B467A6" w:rsidRDefault="00B8112B" w:rsidP="00B8112B">
      <w:pPr>
        <w:pStyle w:val="bodytextoutlinednumber"/>
        <w:numPr>
          <w:ilvl w:val="1"/>
          <w:numId w:val="10"/>
        </w:numPr>
        <w:rPr>
          <w:shd w:val="clear" w:color="auto" w:fill="FFFFFD"/>
        </w:rPr>
      </w:pPr>
      <w:r w:rsidRPr="00061D40">
        <w:rPr>
          <w:shd w:val="clear" w:color="auto" w:fill="FFFFFD"/>
        </w:rPr>
        <w:t xml:space="preserve">the STEA Application Form, available on the Department’s website: </w:t>
      </w:r>
      <w:hyperlink r:id="rId52" w:history="1">
        <w:r w:rsidR="00B467A6" w:rsidRPr="00964CF2">
          <w:rPr>
            <w:rStyle w:val="Hyperlink"/>
            <w:rFonts w:cs="Garamond"/>
            <w:shd w:val="clear" w:color="auto" w:fill="FFFFFD"/>
          </w:rPr>
          <w:t>http://www.deewr.gov.au/Schooling/Funding/Pages/ShortTermEmergencyAssistance.aspx</w:t>
        </w:r>
      </w:hyperlink>
      <w:r w:rsidR="00B467A6">
        <w:rPr>
          <w:shd w:val="clear" w:color="auto" w:fill="FFFFFD"/>
        </w:rPr>
        <w:t>.</w:t>
      </w:r>
    </w:p>
    <w:p w14:paraId="7F48651D" w14:textId="77777777" w:rsidR="00B8112B" w:rsidRPr="00061D40" w:rsidRDefault="00B8112B" w:rsidP="00B8112B">
      <w:pPr>
        <w:pStyle w:val="bodytextoutlinednumber"/>
        <w:numPr>
          <w:ilvl w:val="1"/>
          <w:numId w:val="10"/>
        </w:numPr>
        <w:rPr>
          <w:shd w:val="clear" w:color="auto" w:fill="FFFFFD"/>
        </w:rPr>
      </w:pPr>
      <w:r w:rsidRPr="00061D40">
        <w:rPr>
          <w:shd w:val="clear" w:color="auto" w:fill="FFFFFD"/>
        </w:rPr>
        <w:t>the need for supporting documents</w:t>
      </w:r>
    </w:p>
    <w:p w14:paraId="7F48651E" w14:textId="77777777" w:rsidR="00B8112B" w:rsidRPr="00061D40" w:rsidRDefault="00B8112B" w:rsidP="00B8112B">
      <w:pPr>
        <w:pStyle w:val="bodytextoutlinednumber"/>
        <w:numPr>
          <w:ilvl w:val="1"/>
          <w:numId w:val="10"/>
        </w:numPr>
        <w:rPr>
          <w:shd w:val="clear" w:color="auto" w:fill="FFFFFD"/>
        </w:rPr>
      </w:pPr>
      <w:r w:rsidRPr="00061D40">
        <w:rPr>
          <w:shd w:val="clear" w:color="auto" w:fill="FFFFFD"/>
        </w:rPr>
        <w:t>how the information in the STEA Application Form and the supporting documents will be used to determine the outcome of the application.</w:t>
      </w:r>
    </w:p>
    <w:p w14:paraId="7F48651F" w14:textId="77777777" w:rsidR="00B8112B" w:rsidRPr="00061D40" w:rsidRDefault="00B8112B" w:rsidP="00B8112B">
      <w:pPr>
        <w:pStyle w:val="bodytextoutlinednumber"/>
      </w:pPr>
      <w:r w:rsidRPr="00061D40">
        <w:t xml:space="preserve">Provision of STEA funding requires schools to demonstrate eligibility to apply and to satisfy all four specific </w:t>
      </w:r>
      <w:r w:rsidRPr="00061D40">
        <w:rPr>
          <w:b/>
        </w:rPr>
        <w:t>STEA criteria</w:t>
      </w:r>
      <w:r w:rsidRPr="00061D40">
        <w:t xml:space="preserve"> which ensure that the provision of STEA funding is in accordance with the purpose of the program. Applicants must demonstrate that:</w:t>
      </w:r>
    </w:p>
    <w:p w14:paraId="7F486520" w14:textId="77777777" w:rsidR="00B8112B" w:rsidRPr="00061D40" w:rsidRDefault="00B8112B" w:rsidP="00B8112B">
      <w:pPr>
        <w:pStyle w:val="bodytextoutlinednumber"/>
        <w:numPr>
          <w:ilvl w:val="1"/>
          <w:numId w:val="10"/>
        </w:numPr>
        <w:rPr>
          <w:shd w:val="clear" w:color="auto" w:fill="FFFFFD"/>
        </w:rPr>
      </w:pPr>
      <w:r w:rsidRPr="00061D40">
        <w:rPr>
          <w:shd w:val="clear" w:color="auto" w:fill="FFFFFD"/>
        </w:rPr>
        <w:lastRenderedPageBreak/>
        <w:t xml:space="preserve">the circumstance was </w:t>
      </w:r>
      <w:r w:rsidRPr="00061D40">
        <w:rPr>
          <w:u w:val="single"/>
          <w:shd w:val="clear" w:color="auto" w:fill="FFFFFD"/>
        </w:rPr>
        <w:t>unexpected</w:t>
      </w:r>
      <w:r w:rsidRPr="00061D40">
        <w:rPr>
          <w:shd w:val="clear" w:color="auto" w:fill="FFFFFD"/>
        </w:rPr>
        <w:t xml:space="preserve"> such that it could not reasonably have been foreseen by a competent school administration</w:t>
      </w:r>
    </w:p>
    <w:p w14:paraId="7F486521" w14:textId="77777777" w:rsidR="00B8112B" w:rsidRPr="00061D40" w:rsidRDefault="00B8112B" w:rsidP="00B8112B">
      <w:pPr>
        <w:pStyle w:val="bodytextoutlinednumber"/>
        <w:numPr>
          <w:ilvl w:val="1"/>
          <w:numId w:val="10"/>
        </w:numPr>
        <w:rPr>
          <w:shd w:val="clear" w:color="auto" w:fill="FFFFFD"/>
        </w:rPr>
      </w:pPr>
      <w:r w:rsidRPr="00061D40">
        <w:rPr>
          <w:shd w:val="clear" w:color="auto" w:fill="FFFFFD"/>
        </w:rPr>
        <w:t xml:space="preserve">the circumstance has led to </w:t>
      </w:r>
      <w:r w:rsidRPr="00061D40">
        <w:rPr>
          <w:u w:val="single"/>
          <w:shd w:val="clear" w:color="auto" w:fill="FFFFFD"/>
        </w:rPr>
        <w:t>severe financial difficulty</w:t>
      </w:r>
      <w:r w:rsidRPr="00061D40">
        <w:rPr>
          <w:shd w:val="clear" w:color="auto" w:fill="FFFFFD"/>
        </w:rPr>
        <w:t xml:space="preserve"> such that the school will have to cease a major part of its educational activities or significantly lower the quality of its educational services</w:t>
      </w:r>
    </w:p>
    <w:p w14:paraId="7F486522" w14:textId="77777777" w:rsidR="00B8112B" w:rsidRPr="00061D40" w:rsidRDefault="00B8112B" w:rsidP="00B8112B">
      <w:pPr>
        <w:pStyle w:val="bodytextoutlinednumber"/>
        <w:numPr>
          <w:ilvl w:val="1"/>
          <w:numId w:val="10"/>
        </w:numPr>
        <w:rPr>
          <w:shd w:val="clear" w:color="auto" w:fill="FFFFFD"/>
        </w:rPr>
      </w:pPr>
      <w:r w:rsidRPr="00061D40">
        <w:rPr>
          <w:shd w:val="clear" w:color="auto" w:fill="FFFFFD"/>
        </w:rPr>
        <w:t xml:space="preserve">the financial difficulty is </w:t>
      </w:r>
      <w:r w:rsidRPr="00061D40">
        <w:rPr>
          <w:u w:val="single"/>
          <w:shd w:val="clear" w:color="auto" w:fill="FFFFFD"/>
        </w:rPr>
        <w:t>short-term</w:t>
      </w:r>
      <w:r w:rsidRPr="00061D40">
        <w:rPr>
          <w:shd w:val="clear" w:color="auto" w:fill="FFFFFD"/>
        </w:rPr>
        <w:t xml:space="preserve"> such that the school will be able to resume operating satisfactorily within two years of receiving STEA funding</w:t>
      </w:r>
    </w:p>
    <w:p w14:paraId="7F486523" w14:textId="77777777" w:rsidR="00B8112B" w:rsidRPr="00061D40" w:rsidRDefault="00B8112B" w:rsidP="00B8112B">
      <w:pPr>
        <w:pStyle w:val="bodytextoutlinednumber"/>
        <w:numPr>
          <w:ilvl w:val="1"/>
          <w:numId w:val="10"/>
        </w:numPr>
        <w:rPr>
          <w:shd w:val="clear" w:color="auto" w:fill="FFFFFD"/>
        </w:rPr>
      </w:pPr>
      <w:r w:rsidRPr="00061D40">
        <w:rPr>
          <w:shd w:val="clear" w:color="auto" w:fill="FFFFFD"/>
        </w:rPr>
        <w:t xml:space="preserve">the school’s requirement for assistance qualifies as </w:t>
      </w:r>
      <w:r w:rsidRPr="00061D40">
        <w:rPr>
          <w:u w:val="single"/>
          <w:shd w:val="clear" w:color="auto" w:fill="FFFFFD"/>
        </w:rPr>
        <w:t>special need</w:t>
      </w:r>
      <w:r w:rsidRPr="00061D40">
        <w:rPr>
          <w:shd w:val="clear" w:color="auto" w:fill="FFFFFD"/>
        </w:rPr>
        <w:t xml:space="preserve"> in that all other options for financial remediation, including alternative sources of funding have been exhausted and there is still a need for Australian Government funding to address the school’s immediate financial difficulties.</w:t>
      </w:r>
    </w:p>
    <w:p w14:paraId="7F486524" w14:textId="77777777" w:rsidR="00B8112B" w:rsidRPr="00061D40" w:rsidRDefault="00B8112B" w:rsidP="00B8112B">
      <w:pPr>
        <w:pStyle w:val="bodytextoutlinednumber"/>
        <w:rPr>
          <w:shd w:val="clear" w:color="auto" w:fill="FFFFFD"/>
        </w:rPr>
      </w:pPr>
      <w:r w:rsidRPr="00061D40">
        <w:rPr>
          <w:shd w:val="clear" w:color="auto" w:fill="FFFFFD"/>
        </w:rPr>
        <w:t>To be considered for STEA funding, the school must submit a written application which will be assessed by DEEWR. In addition to satisfying all four STEA criteria, the school needs to provide an estimate and justification for the amount of STEA funding sought, as well as a Business and Recovery Plan which outlines the school’s strategy for addressing the financial difficulty. Other supporting information on the school’s governance, financial management, enrolments and staffing will be assessed to determine the extent to which it:</w:t>
      </w:r>
    </w:p>
    <w:p w14:paraId="7F486525" w14:textId="77777777" w:rsidR="00B8112B" w:rsidRPr="00061D40" w:rsidRDefault="00B8112B" w:rsidP="00B8112B">
      <w:pPr>
        <w:pStyle w:val="bodytextoutlinednumber"/>
        <w:numPr>
          <w:ilvl w:val="1"/>
          <w:numId w:val="10"/>
        </w:numPr>
        <w:rPr>
          <w:shd w:val="clear" w:color="auto" w:fill="FFFFFD"/>
        </w:rPr>
      </w:pPr>
      <w:r w:rsidRPr="00061D40">
        <w:rPr>
          <w:shd w:val="clear" w:color="auto" w:fill="FFFFFD"/>
        </w:rPr>
        <w:t>substantiates the school’s claims against the STEA criteria</w:t>
      </w:r>
    </w:p>
    <w:p w14:paraId="7F486526" w14:textId="77777777" w:rsidR="00B8112B" w:rsidRPr="00061D40" w:rsidRDefault="00B8112B" w:rsidP="00B8112B">
      <w:pPr>
        <w:pStyle w:val="bodytextoutlinednumber"/>
        <w:numPr>
          <w:ilvl w:val="1"/>
          <w:numId w:val="10"/>
        </w:numPr>
        <w:rPr>
          <w:shd w:val="clear" w:color="auto" w:fill="FFFFFD"/>
        </w:rPr>
      </w:pPr>
      <w:r w:rsidRPr="00061D40">
        <w:rPr>
          <w:shd w:val="clear" w:color="auto" w:fill="FFFFFD"/>
        </w:rPr>
        <w:t xml:space="preserve">enables DEEWR to develop a thorough understanding of the school’s financial situation and the underlying causes of the school’s financial difficulty </w:t>
      </w:r>
    </w:p>
    <w:p w14:paraId="7F486527" w14:textId="77777777" w:rsidR="00B8112B" w:rsidRPr="00061D40" w:rsidRDefault="00B8112B" w:rsidP="00B8112B">
      <w:pPr>
        <w:pStyle w:val="bodytextoutlinednumber"/>
        <w:numPr>
          <w:ilvl w:val="1"/>
          <w:numId w:val="10"/>
        </w:numPr>
        <w:rPr>
          <w:shd w:val="clear" w:color="auto" w:fill="FFFFFD"/>
        </w:rPr>
      </w:pPr>
      <w:r w:rsidRPr="00061D40">
        <w:rPr>
          <w:shd w:val="clear" w:color="auto" w:fill="FFFFFD"/>
        </w:rPr>
        <w:t xml:space="preserve">validates the school’s Business and Recovery Plan. </w:t>
      </w:r>
    </w:p>
    <w:p w14:paraId="7F486528" w14:textId="77777777" w:rsidR="00D32016" w:rsidRDefault="00B8112B">
      <w:pPr>
        <w:pStyle w:val="Heading3"/>
      </w:pPr>
      <w:r w:rsidRPr="00061D40">
        <w:t>Eligibility</w:t>
      </w:r>
    </w:p>
    <w:p w14:paraId="7F486529" w14:textId="77777777" w:rsidR="00B8112B" w:rsidRPr="00061D40" w:rsidRDefault="00B8112B" w:rsidP="00B8112B">
      <w:pPr>
        <w:pStyle w:val="bodytextoutlinednumber"/>
        <w:rPr>
          <w:shd w:val="clear" w:color="auto" w:fill="FFFFFD"/>
        </w:rPr>
      </w:pPr>
      <w:r w:rsidRPr="00061D40">
        <w:rPr>
          <w:shd w:val="clear" w:color="auto" w:fill="FFFFFD"/>
        </w:rPr>
        <w:t xml:space="preserve">STEA funding is available to both systemic and non-systemic non-government schools. In the case of systemic schools, however, it is expected that applicants have advised their system about their financial difficulty prior to applying for STEA funding. The substantial resources available to a system make it more likely that a systemic school could obtain alternative assistance without need to resort to the Australian Government for STEA funding. </w:t>
      </w:r>
    </w:p>
    <w:p w14:paraId="7F48652A" w14:textId="77777777" w:rsidR="00B8112B" w:rsidRPr="00061D40" w:rsidRDefault="00B8112B" w:rsidP="00B8112B">
      <w:pPr>
        <w:pStyle w:val="bodytextoutlinednumber"/>
        <w:rPr>
          <w:shd w:val="clear" w:color="auto" w:fill="FFFFFD"/>
        </w:rPr>
      </w:pPr>
      <w:r w:rsidRPr="00061D40">
        <w:rPr>
          <w:shd w:val="clear" w:color="auto" w:fill="FFFFFD"/>
        </w:rPr>
        <w:t xml:space="preserve">Similarly, it is expected that those non-systemic schools that are members of a peak body have advised the relevant peak body prior to applying for STEA funding and sought appropriate financial information and advice. </w:t>
      </w:r>
    </w:p>
    <w:p w14:paraId="7F48652B" w14:textId="77777777" w:rsidR="00B8112B" w:rsidRPr="00061D40" w:rsidRDefault="00B8112B" w:rsidP="00B8112B">
      <w:pPr>
        <w:pStyle w:val="bodytextoutlinednumber"/>
        <w:rPr>
          <w:shd w:val="clear" w:color="auto" w:fill="FFFFFD"/>
        </w:rPr>
      </w:pPr>
      <w:r w:rsidRPr="00061D40">
        <w:rPr>
          <w:shd w:val="clear" w:color="auto" w:fill="FFFFFD"/>
        </w:rPr>
        <w:t>The applicant must be the approved school authority for a non-systemic school or the approved authority for the school system for a systemic school.</w:t>
      </w:r>
    </w:p>
    <w:p w14:paraId="7F48652C" w14:textId="77777777" w:rsidR="00D32016" w:rsidRDefault="00B8112B">
      <w:pPr>
        <w:pStyle w:val="Heading3"/>
      </w:pPr>
      <w:r w:rsidRPr="00061D40">
        <w:t>Exclusions</w:t>
      </w:r>
    </w:p>
    <w:p w14:paraId="7F48652D" w14:textId="77777777" w:rsidR="00B8112B" w:rsidRPr="00061D40" w:rsidRDefault="00B8112B" w:rsidP="00B8112B">
      <w:pPr>
        <w:pStyle w:val="bodytextoutlinednumber"/>
        <w:rPr>
          <w:snapToGrid w:val="0"/>
          <w:shd w:val="clear" w:color="auto" w:fill="FFFFFD"/>
        </w:rPr>
      </w:pPr>
      <w:r w:rsidRPr="00061D40">
        <w:rPr>
          <w:snapToGrid w:val="0"/>
          <w:shd w:val="clear" w:color="auto" w:fill="FFFFFD"/>
        </w:rPr>
        <w:t>Schools will not be eligible for assistance under the STEA Program where:</w:t>
      </w:r>
    </w:p>
    <w:p w14:paraId="7F48652E" w14:textId="77777777" w:rsidR="00B8112B" w:rsidRPr="00061D40" w:rsidRDefault="00B8112B" w:rsidP="00B8112B">
      <w:pPr>
        <w:pStyle w:val="bodytextoutlinednumber"/>
        <w:numPr>
          <w:ilvl w:val="1"/>
          <w:numId w:val="10"/>
        </w:numPr>
        <w:rPr>
          <w:snapToGrid w:val="0"/>
          <w:shd w:val="clear" w:color="auto" w:fill="FFFFFD"/>
        </w:rPr>
      </w:pPr>
      <w:r w:rsidRPr="00061D40">
        <w:rPr>
          <w:snapToGrid w:val="0"/>
          <w:shd w:val="clear" w:color="auto" w:fill="FFFFFD"/>
        </w:rPr>
        <w:t>the school is not fully compliant with all requirements of its current funding agreement for the provision of recurrent funding under the Act</w:t>
      </w:r>
    </w:p>
    <w:p w14:paraId="7F48652F" w14:textId="77777777" w:rsidR="00B8112B" w:rsidRPr="00061D40" w:rsidRDefault="00B8112B" w:rsidP="00B8112B">
      <w:pPr>
        <w:pStyle w:val="bodytextoutlinednumber"/>
        <w:numPr>
          <w:ilvl w:val="1"/>
          <w:numId w:val="10"/>
        </w:numPr>
        <w:rPr>
          <w:snapToGrid w:val="0"/>
          <w:shd w:val="clear" w:color="auto" w:fill="FFFFFD"/>
        </w:rPr>
      </w:pPr>
      <w:r w:rsidRPr="00061D40">
        <w:rPr>
          <w:snapToGrid w:val="0"/>
          <w:shd w:val="clear" w:color="auto" w:fill="FFFFFD"/>
        </w:rPr>
        <w:t>the school proposes to use the STEA funds to cover unpaid Australian Taxation Office debts, including Pay As You Go (PAYG) or Goods and Services Tax (GST)</w:t>
      </w:r>
    </w:p>
    <w:p w14:paraId="7F486530" w14:textId="77777777" w:rsidR="00B8112B" w:rsidRPr="00061D40" w:rsidRDefault="00B8112B" w:rsidP="00B8112B">
      <w:pPr>
        <w:pStyle w:val="bodytextoutlinednumber"/>
        <w:numPr>
          <w:ilvl w:val="1"/>
          <w:numId w:val="10"/>
        </w:numPr>
        <w:rPr>
          <w:snapToGrid w:val="0"/>
          <w:shd w:val="clear" w:color="auto" w:fill="FFFFFD"/>
        </w:rPr>
      </w:pPr>
      <w:r w:rsidRPr="00061D40">
        <w:rPr>
          <w:snapToGrid w:val="0"/>
          <w:shd w:val="clear" w:color="auto" w:fill="FFFFFD"/>
        </w:rPr>
        <w:lastRenderedPageBreak/>
        <w:t>the school proposes to use the STEA funds to assist with the establishment of a school which has been operating for less than five years</w:t>
      </w:r>
    </w:p>
    <w:p w14:paraId="7F486531" w14:textId="77777777" w:rsidR="00B8112B" w:rsidRPr="00061D40" w:rsidRDefault="00B8112B" w:rsidP="00B8112B">
      <w:pPr>
        <w:pStyle w:val="bodytextoutlinednumber"/>
        <w:numPr>
          <w:ilvl w:val="1"/>
          <w:numId w:val="10"/>
        </w:numPr>
        <w:rPr>
          <w:snapToGrid w:val="0"/>
          <w:shd w:val="clear" w:color="auto" w:fill="FFFFFD"/>
        </w:rPr>
      </w:pPr>
      <w:r w:rsidRPr="00061D40">
        <w:rPr>
          <w:snapToGrid w:val="0"/>
          <w:shd w:val="clear" w:color="auto" w:fill="FFFFFD"/>
        </w:rPr>
        <w:t>the school intends to use STEA funding solely to lower its level of indebtedness</w:t>
      </w:r>
    </w:p>
    <w:p w14:paraId="7F486532" w14:textId="77777777" w:rsidR="00B8112B" w:rsidRPr="00061D40" w:rsidRDefault="00B8112B" w:rsidP="00B8112B">
      <w:pPr>
        <w:pStyle w:val="bodytextoutlinednumber"/>
        <w:numPr>
          <w:ilvl w:val="1"/>
          <w:numId w:val="10"/>
        </w:numPr>
        <w:rPr>
          <w:snapToGrid w:val="0"/>
          <w:shd w:val="clear" w:color="auto" w:fill="FFFFFD"/>
        </w:rPr>
      </w:pPr>
      <w:r w:rsidRPr="00061D40">
        <w:rPr>
          <w:snapToGrid w:val="0"/>
          <w:shd w:val="clear" w:color="auto" w:fill="FFFFFD"/>
        </w:rPr>
        <w:t>the school intends to use STEA funding for expenditure of a capital nature,</w:t>
      </w:r>
      <w:r w:rsidRPr="00061D40">
        <w:rPr>
          <w:shd w:val="clear" w:color="auto" w:fill="FFFFFD"/>
        </w:rPr>
        <w:t xml:space="preserve"> </w:t>
      </w:r>
      <w:r w:rsidRPr="00061D40">
        <w:rPr>
          <w:snapToGrid w:val="0"/>
          <w:shd w:val="clear" w:color="auto" w:fill="FFFFFD"/>
        </w:rPr>
        <w:t>or where a loss results from inadequate insurance cover for capital facilities</w:t>
      </w:r>
    </w:p>
    <w:p w14:paraId="7F486533" w14:textId="77777777" w:rsidR="00B8112B" w:rsidRPr="00061D40" w:rsidRDefault="00B8112B" w:rsidP="00B8112B">
      <w:pPr>
        <w:pStyle w:val="bodytextoutlinednumber"/>
        <w:numPr>
          <w:ilvl w:val="1"/>
          <w:numId w:val="10"/>
        </w:numPr>
        <w:rPr>
          <w:snapToGrid w:val="0"/>
          <w:shd w:val="clear" w:color="auto" w:fill="FFFFFD"/>
        </w:rPr>
      </w:pPr>
      <w:r w:rsidRPr="00061D40">
        <w:rPr>
          <w:snapToGrid w:val="0"/>
          <w:shd w:val="clear" w:color="auto" w:fill="FFFFFD"/>
        </w:rPr>
        <w:t>the school is likely to experience long-term financial difficulties</w:t>
      </w:r>
    </w:p>
    <w:p w14:paraId="7F486534" w14:textId="77777777" w:rsidR="00B8112B" w:rsidRPr="00061D40" w:rsidRDefault="00B8112B" w:rsidP="00B8112B">
      <w:pPr>
        <w:pStyle w:val="NumberedParagraph"/>
        <w:spacing w:before="100" w:line="240" w:lineRule="auto"/>
        <w:ind w:left="851"/>
        <w:rPr>
          <w:snapToGrid w:val="0"/>
        </w:rPr>
      </w:pPr>
      <w:r w:rsidRPr="00061D40">
        <w:rPr>
          <w:snapToGrid w:val="0"/>
        </w:rPr>
        <w:t>or</w:t>
      </w:r>
    </w:p>
    <w:p w14:paraId="7F486535" w14:textId="77777777" w:rsidR="00B8112B" w:rsidRPr="00061D40" w:rsidRDefault="00B8112B" w:rsidP="00B8112B">
      <w:pPr>
        <w:pStyle w:val="bodytextoutlinednumber"/>
        <w:numPr>
          <w:ilvl w:val="1"/>
          <w:numId w:val="10"/>
        </w:numPr>
      </w:pPr>
      <w:r w:rsidRPr="00061D40">
        <w:rPr>
          <w:snapToGrid w:val="0"/>
        </w:rPr>
        <w:t>the school is likely to close or is in the process of winding down. However, where a school can demonstrate that the educational welfare of the students is likely to suffer severely if they could not stay until the end of the school year, and there is no other educationally adequate, alternative school or service available to them, STEA may be available for a school to continue to operate until the end of the current school year.</w:t>
      </w:r>
    </w:p>
    <w:p w14:paraId="7F486536" w14:textId="77777777" w:rsidR="00D32016" w:rsidRDefault="00B8112B">
      <w:pPr>
        <w:pStyle w:val="Heading3"/>
      </w:pPr>
      <w:r w:rsidRPr="00061D40">
        <w:t>The Application</w:t>
      </w:r>
    </w:p>
    <w:p w14:paraId="7F486537" w14:textId="77777777" w:rsidR="00B8112B" w:rsidRPr="00061D40" w:rsidRDefault="00B8112B" w:rsidP="00B8112B">
      <w:pPr>
        <w:pStyle w:val="bodytextoutlinednumber"/>
        <w:rPr>
          <w:shd w:val="clear" w:color="auto" w:fill="FFFFFD"/>
        </w:rPr>
      </w:pPr>
      <w:r w:rsidRPr="00061D40">
        <w:rPr>
          <w:shd w:val="clear" w:color="auto" w:fill="FFFFFD"/>
        </w:rPr>
        <w:t xml:space="preserve">Each application for funding must demonstrate that it is from an eligible applicant, that the requirement for STEA funding is in accordance with the purpose of the program and provide documentation as specified which substantiates the school’s circumstance and claims. The following information is provided as a guide to preparing an application for funding under the STEA Program. </w:t>
      </w:r>
    </w:p>
    <w:p w14:paraId="7F486538" w14:textId="77777777" w:rsidR="00B467A6" w:rsidRDefault="00B8112B" w:rsidP="00B8112B">
      <w:pPr>
        <w:pStyle w:val="bodytextoutlinednumber"/>
        <w:rPr>
          <w:shd w:val="clear" w:color="auto" w:fill="FFFFFD"/>
        </w:rPr>
      </w:pPr>
      <w:r w:rsidRPr="00061D40">
        <w:rPr>
          <w:shd w:val="clear" w:color="auto" w:fill="FFFFFD"/>
        </w:rPr>
        <w:t xml:space="preserve">The application for STEA must be made by the approved authority for a non-systemic school, or the approved authority for the school system for a systemic school. All applications for STEA must be made be in writing using the pro-forma STEA Application Form available on the Department’s website: </w:t>
      </w:r>
      <w:hyperlink r:id="rId53" w:history="1">
        <w:r w:rsidR="00B467A6" w:rsidRPr="00964CF2">
          <w:rPr>
            <w:rStyle w:val="Hyperlink"/>
            <w:rFonts w:cs="Garamond"/>
            <w:shd w:val="clear" w:color="auto" w:fill="FFFFFD"/>
          </w:rPr>
          <w:t>http://www.deewr.gov.au/Schooling/Funding/Pages/ShortTermEmergencyAssistance.aspx</w:t>
        </w:r>
      </w:hyperlink>
    </w:p>
    <w:p w14:paraId="7F486539" w14:textId="77777777" w:rsidR="00800307" w:rsidRPr="006B2909" w:rsidRDefault="00324317" w:rsidP="00800307">
      <w:pPr>
        <w:pStyle w:val="bodytextoutlinednumber"/>
        <w:rPr>
          <w:color w:val="auto"/>
          <w:shd w:val="clear" w:color="auto" w:fill="FFFFFD"/>
        </w:rPr>
      </w:pPr>
      <w:r w:rsidRPr="00324317">
        <w:rPr>
          <w:color w:val="auto"/>
        </w:rPr>
        <w:t>Before assessment can commence, the applicant must provide the Department with the complete application (the signed original plus one copy, both unbound) as outlined in the Application Requirements</w:t>
      </w:r>
      <w:r w:rsidR="00294BCD">
        <w:rPr>
          <w:color w:val="auto"/>
        </w:rPr>
        <w:t xml:space="preserve"> </w:t>
      </w:r>
      <w:r w:rsidRPr="00324317">
        <w:rPr>
          <w:color w:val="auto"/>
        </w:rPr>
        <w:t>section below.</w:t>
      </w:r>
    </w:p>
    <w:p w14:paraId="7F48653A" w14:textId="77777777" w:rsidR="00B8112B" w:rsidRPr="00061D40" w:rsidRDefault="00B8112B" w:rsidP="00B8112B">
      <w:pPr>
        <w:pStyle w:val="bodytextoutlinednumber"/>
        <w:rPr>
          <w:shd w:val="clear" w:color="auto" w:fill="FFFFFD"/>
        </w:rPr>
      </w:pPr>
      <w:r w:rsidRPr="00061D40">
        <w:rPr>
          <w:shd w:val="clear" w:color="auto" w:fill="FFFFFD"/>
        </w:rPr>
        <w:t xml:space="preserve">Failure to provide DEEWR with a complete application within three months of initial lodgement, will result in the application lapsing. Under this circumstance, the Department will advise applicants in writing that the application has lapsed. </w:t>
      </w:r>
    </w:p>
    <w:p w14:paraId="7F48653B" w14:textId="77777777" w:rsidR="00B8112B" w:rsidRPr="00061D40" w:rsidRDefault="00B8112B" w:rsidP="00B8112B">
      <w:pPr>
        <w:pStyle w:val="bodytextoutlinednumber"/>
        <w:rPr>
          <w:shd w:val="clear" w:color="auto" w:fill="FFFFFD"/>
        </w:rPr>
      </w:pPr>
      <w:r w:rsidRPr="00061D40">
        <w:rPr>
          <w:shd w:val="clear" w:color="auto" w:fill="FFFFFD"/>
        </w:rPr>
        <w:t>Applicants should note that in providing the Department with any reports, certificates, statements, acquittals or any other information pursuant to the requirements of this program, giving false or misleading information is a serious offence.</w:t>
      </w:r>
    </w:p>
    <w:p w14:paraId="7F48653C" w14:textId="77777777" w:rsidR="00D32016" w:rsidRDefault="00B8112B">
      <w:pPr>
        <w:pStyle w:val="Heading4"/>
      </w:pPr>
      <w:r w:rsidRPr="00061D40">
        <w:t>Application Requirements</w:t>
      </w:r>
    </w:p>
    <w:p w14:paraId="7F48653D" w14:textId="77777777" w:rsidR="00B8112B" w:rsidRPr="00061D40" w:rsidRDefault="00B8112B" w:rsidP="00B8112B">
      <w:pPr>
        <w:pStyle w:val="bodytextoutlinednumber"/>
      </w:pPr>
      <w:r w:rsidRPr="00061D40">
        <w:t>Applicants for STEA funding should read and comply with the guidelines below to ensure that their application includes all of the information required by the Department for assessment. A complete application for STEA must comprise of a completed and signed Application Form and supporting documents detailed in Item (i) of the Application form.</w:t>
      </w:r>
    </w:p>
    <w:p w14:paraId="7F48653E" w14:textId="77777777" w:rsidR="00B8112B" w:rsidRPr="00061D40" w:rsidRDefault="00B8112B" w:rsidP="00B8112B">
      <w:pPr>
        <w:pStyle w:val="bodytextoutlinednumber"/>
        <w:numPr>
          <w:ilvl w:val="1"/>
          <w:numId w:val="10"/>
        </w:numPr>
        <w:rPr>
          <w:b/>
          <w:shd w:val="clear" w:color="auto" w:fill="FFFFFD"/>
        </w:rPr>
      </w:pPr>
      <w:r w:rsidRPr="00061D40">
        <w:rPr>
          <w:b/>
          <w:shd w:val="clear" w:color="auto" w:fill="FFFFFD"/>
        </w:rPr>
        <w:t>Applicant details</w:t>
      </w:r>
    </w:p>
    <w:p w14:paraId="7F48653F"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lastRenderedPageBreak/>
        <w:t>Details relating to the school including contact information</w:t>
      </w:r>
    </w:p>
    <w:p w14:paraId="7F486540"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Authority for the Department to communicate with the listed contact person if they are not an authorised signatory of the approved authority. If required, this authority must be signed by an authorised signatory.</w:t>
      </w:r>
    </w:p>
    <w:p w14:paraId="7F486541" w14:textId="77777777" w:rsidR="00B8112B" w:rsidRPr="00061D40" w:rsidRDefault="00B8112B" w:rsidP="00B8112B">
      <w:pPr>
        <w:pStyle w:val="bodytextoutlinednumber"/>
        <w:numPr>
          <w:ilvl w:val="1"/>
          <w:numId w:val="10"/>
        </w:numPr>
        <w:rPr>
          <w:shd w:val="clear" w:color="auto" w:fill="FFFFFD"/>
        </w:rPr>
      </w:pPr>
      <w:r w:rsidRPr="00061D40">
        <w:rPr>
          <w:b/>
          <w:shd w:val="clear" w:color="auto" w:fill="FFFFFD"/>
        </w:rPr>
        <w:t>Amount of STEA funding sought</w:t>
      </w:r>
      <w:r w:rsidRPr="00061D40">
        <w:rPr>
          <w:shd w:val="clear" w:color="auto" w:fill="FFFFFD"/>
        </w:rPr>
        <w:t xml:space="preserve"> – an estimate of the total amount of STEA funding sought to address the financial difficulty must be provided. The estimate must:</w:t>
      </w:r>
    </w:p>
    <w:p w14:paraId="7F486542"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be soundly calculated, itemise all major components and reflect as nearly as possible the anticipated sum required</w:t>
      </w:r>
    </w:p>
    <w:p w14:paraId="7F486543"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be accompanied by a narrative which outlines the basis of the estimation and provides a justification for the amount sought</w:t>
      </w:r>
    </w:p>
    <w:p w14:paraId="7F486544" w14:textId="77777777" w:rsidR="00B8112B" w:rsidRPr="00061D40" w:rsidRDefault="00B8112B" w:rsidP="00B8112B">
      <w:pPr>
        <w:pStyle w:val="bodytextoutlinednumber"/>
        <w:numPr>
          <w:ilvl w:val="1"/>
          <w:numId w:val="10"/>
        </w:numPr>
        <w:rPr>
          <w:shd w:val="clear" w:color="auto" w:fill="FFFFFD"/>
        </w:rPr>
      </w:pPr>
      <w:r w:rsidRPr="00061D40">
        <w:rPr>
          <w:b/>
          <w:shd w:val="clear" w:color="auto" w:fill="FFFFFD"/>
        </w:rPr>
        <w:t xml:space="preserve">Statement addressing the STEA criteria </w:t>
      </w:r>
      <w:r w:rsidRPr="00061D40">
        <w:rPr>
          <w:shd w:val="clear" w:color="auto" w:fill="FFFFFD"/>
        </w:rPr>
        <w:t xml:space="preserve">– a statement outlining how </w:t>
      </w:r>
      <w:r w:rsidRPr="00061D40">
        <w:rPr>
          <w:u w:val="single"/>
          <w:shd w:val="clear" w:color="auto" w:fill="FFFFFD"/>
        </w:rPr>
        <w:t>each</w:t>
      </w:r>
      <w:r w:rsidRPr="00061D40">
        <w:rPr>
          <w:shd w:val="clear" w:color="auto" w:fill="FFFFFD"/>
        </w:rPr>
        <w:t xml:space="preserve"> of the four STEA criteria applies specifically to the present circumstance. All </w:t>
      </w:r>
      <w:r w:rsidRPr="00061D40">
        <w:rPr>
          <w:u w:val="single"/>
          <w:shd w:val="clear" w:color="auto" w:fill="FFFFFD"/>
        </w:rPr>
        <w:t>four</w:t>
      </w:r>
      <w:r w:rsidRPr="00061D40">
        <w:rPr>
          <w:shd w:val="clear" w:color="auto" w:fill="FFFFFD"/>
        </w:rPr>
        <w:t xml:space="preserve"> criteria must be addressed by applicants.</w:t>
      </w:r>
    </w:p>
    <w:p w14:paraId="7F486545" w14:textId="77777777" w:rsidR="00B8112B" w:rsidRPr="00061D40" w:rsidRDefault="00B8112B" w:rsidP="00B8112B">
      <w:pPr>
        <w:pStyle w:val="bodytextoutlinednumber"/>
        <w:numPr>
          <w:ilvl w:val="2"/>
          <w:numId w:val="10"/>
        </w:numPr>
        <w:rPr>
          <w:shd w:val="clear" w:color="auto" w:fill="FFFFFD"/>
        </w:rPr>
      </w:pPr>
      <w:r w:rsidRPr="00061D40">
        <w:rPr>
          <w:b/>
          <w:i/>
          <w:shd w:val="clear" w:color="auto" w:fill="FFFFFD"/>
        </w:rPr>
        <w:t>Unexpected</w:t>
      </w:r>
      <w:r w:rsidRPr="00061D40">
        <w:rPr>
          <w:shd w:val="clear" w:color="auto" w:fill="FFFFFD"/>
        </w:rPr>
        <w:t xml:space="preserve"> – description of the nature of the unexpected circumstance that has affected the school and led to the application for STEA. A circumstance is only considered unexpected where it could not have been foreseen by a competent school administration. A competent school administration is expected to be alert to prevailing social, demographic and economic conditions that may affect the school’s viability and overall operation.</w:t>
      </w:r>
    </w:p>
    <w:p w14:paraId="7F486546" w14:textId="77777777" w:rsidR="00B8112B" w:rsidRPr="00061D40" w:rsidRDefault="00B8112B" w:rsidP="00B8112B">
      <w:pPr>
        <w:pStyle w:val="bodytextoutlinednumber"/>
        <w:numPr>
          <w:ilvl w:val="2"/>
          <w:numId w:val="10"/>
        </w:numPr>
        <w:rPr>
          <w:shd w:val="clear" w:color="auto" w:fill="FFFFFD"/>
        </w:rPr>
      </w:pPr>
      <w:r w:rsidRPr="00061D40">
        <w:rPr>
          <w:b/>
          <w:i/>
          <w:shd w:val="clear" w:color="auto" w:fill="FFFFFD"/>
        </w:rPr>
        <w:t>Severe Financial Difficulty</w:t>
      </w:r>
      <w:r w:rsidRPr="00061D40">
        <w:rPr>
          <w:shd w:val="clear" w:color="auto" w:fill="FFFFFD"/>
        </w:rPr>
        <w:t xml:space="preserve"> – detailed description of how the unexpected circumstance has led to severe financial difficulty for the school and how this impacts on one or both of the following: </w:t>
      </w:r>
    </w:p>
    <w:p w14:paraId="7F486547" w14:textId="77777777" w:rsidR="00B8112B" w:rsidRPr="00061D40" w:rsidRDefault="00B8112B" w:rsidP="00B8112B">
      <w:pPr>
        <w:pStyle w:val="DotPointIndent3"/>
      </w:pPr>
      <w:r w:rsidRPr="00061D40">
        <w:t>delivery of the school curriculum and other educational activities; and/or</w:t>
      </w:r>
    </w:p>
    <w:p w14:paraId="7F486548" w14:textId="77777777" w:rsidR="00B8112B" w:rsidRPr="00061D40" w:rsidRDefault="00B8112B" w:rsidP="00B8112B">
      <w:pPr>
        <w:pStyle w:val="DotPointIndent3"/>
      </w:pPr>
      <w:r w:rsidRPr="00061D40">
        <w:t xml:space="preserve">the quality of its educational services. </w:t>
      </w:r>
    </w:p>
    <w:p w14:paraId="7F486549" w14:textId="77777777" w:rsidR="00B8112B" w:rsidRPr="00061D40" w:rsidRDefault="00B8112B" w:rsidP="00B8112B">
      <w:pPr>
        <w:ind w:left="1247"/>
      </w:pPr>
      <w:r w:rsidRPr="00061D40">
        <w:t>Severe financial difficulty is only considered to exist where a school is facing the real prospect of having to cease a major part of its educational activities or lower the quality of its education services to a level where it would be in breach of its obligations under the relevant State/Territory legislation, regulations and/or policy.</w:t>
      </w:r>
    </w:p>
    <w:p w14:paraId="7F48654A" w14:textId="77777777" w:rsidR="00B8112B" w:rsidRPr="00061D40" w:rsidRDefault="00B8112B" w:rsidP="00B8112B">
      <w:pPr>
        <w:pStyle w:val="bodytextoutlinednumber"/>
        <w:numPr>
          <w:ilvl w:val="2"/>
          <w:numId w:val="10"/>
        </w:numPr>
      </w:pPr>
      <w:r w:rsidRPr="00061D40">
        <w:rPr>
          <w:b/>
          <w:i/>
        </w:rPr>
        <w:t>Special Need</w:t>
      </w:r>
      <w:r w:rsidRPr="00061D40">
        <w:rPr>
          <w:i/>
        </w:rPr>
        <w:t xml:space="preserve"> </w:t>
      </w:r>
      <w:r w:rsidRPr="00061D40">
        <w:t>– detailed description of the options that the school has considered, implemented or pursued in an attempt to address the current severe financial difficulty (e.g. rescheduling payment of debts/capital expenditure, seeking alternative sources of funding from State, Federal or commercial entities, sponsors, parents etc and other means of income generation such as increased fees or fund raising activities).</w:t>
      </w:r>
    </w:p>
    <w:p w14:paraId="7F48654B" w14:textId="77777777" w:rsidR="00B8112B" w:rsidRPr="00061D40" w:rsidRDefault="00B8112B" w:rsidP="00B8112B">
      <w:pPr>
        <w:ind w:left="1247"/>
      </w:pPr>
      <w:r w:rsidRPr="00061D40">
        <w:t xml:space="preserve">To satisfy this criterion, applicants must </w:t>
      </w:r>
      <w:r w:rsidRPr="00061D40">
        <w:rPr>
          <w:u w:val="single"/>
        </w:rPr>
        <w:t>demonstrate</w:t>
      </w:r>
      <w:r w:rsidRPr="00061D40">
        <w:t xml:space="preserve"> that they have exhausted all alternative financial remediation options and yet there is still a need for STEA funding from the Australian Government. </w:t>
      </w:r>
    </w:p>
    <w:p w14:paraId="7F48654C" w14:textId="77777777" w:rsidR="00B8112B" w:rsidRPr="00061D40" w:rsidRDefault="00B8112B" w:rsidP="00B8112B">
      <w:pPr>
        <w:pStyle w:val="DotPointIndent3"/>
      </w:pPr>
      <w:r w:rsidRPr="00061D40">
        <w:t xml:space="preserve">Applicants must provide documentary </w:t>
      </w:r>
      <w:r w:rsidRPr="00061D40">
        <w:rPr>
          <w:u w:val="single"/>
        </w:rPr>
        <w:t>evidence</w:t>
      </w:r>
      <w:r w:rsidRPr="00061D40">
        <w:t xml:space="preserve"> (e.g. copies of letters/ e-mails etc seeking assistance and responses) that support the applicant’s claims that all other options for financial assistance have been exhausted.</w:t>
      </w:r>
    </w:p>
    <w:p w14:paraId="7F48654D" w14:textId="77777777" w:rsidR="00B8112B" w:rsidRPr="00061D40" w:rsidRDefault="00B8112B" w:rsidP="00B8112B">
      <w:pPr>
        <w:pStyle w:val="NumberedParagraph"/>
        <w:spacing w:line="240" w:lineRule="auto"/>
        <w:ind w:left="1247"/>
      </w:pPr>
      <w:r w:rsidRPr="00061D40">
        <w:lastRenderedPageBreak/>
        <w:t xml:space="preserve">Systemic Schools Only: In addition to addressing the STEA Special Need criterion, applications from systemic schools must also include a statement from their system authority explaining why assistance for the present financial difficulty is not available from within the system and which substantiates the need for STEA funding from the Commonwealth. </w:t>
      </w:r>
    </w:p>
    <w:p w14:paraId="7F48654E" w14:textId="77777777" w:rsidR="00B8112B" w:rsidRPr="00061D40" w:rsidRDefault="00B8112B" w:rsidP="00B8112B">
      <w:pPr>
        <w:pStyle w:val="bodytextoutlinednumber"/>
        <w:numPr>
          <w:ilvl w:val="2"/>
          <w:numId w:val="10"/>
        </w:numPr>
        <w:rPr>
          <w:bCs/>
        </w:rPr>
      </w:pPr>
      <w:r w:rsidRPr="00061D40">
        <w:rPr>
          <w:b/>
          <w:bCs/>
          <w:i/>
        </w:rPr>
        <w:t>Short-term</w:t>
      </w:r>
      <w:r w:rsidRPr="00061D40">
        <w:rPr>
          <w:bCs/>
        </w:rPr>
        <w:t xml:space="preserve"> – Explanation of how, </w:t>
      </w:r>
      <w:r w:rsidRPr="00061D40">
        <w:t>with STEA funding, the school can overcome its severe financial difficulty and resume satisfactory operations within a two year timeframe.</w:t>
      </w:r>
    </w:p>
    <w:p w14:paraId="7F48654F" w14:textId="77777777" w:rsidR="00B8112B" w:rsidRPr="00061D40" w:rsidRDefault="00B8112B" w:rsidP="00B8112B">
      <w:pPr>
        <w:pStyle w:val="DotPointIndent3"/>
      </w:pPr>
      <w:r w:rsidRPr="00061D40">
        <w:t>Applicants must provide a 5 year Business and Recovery Plan which must detail the steps that the school has taken, and will take, to address the severe financial difficulty and its underlying causes. The plan should cover a minimum five year period following on from the most recently available audited financial statements and show that the school is able to recover from its financial difficulty within two years of receiving STEA funding and that the school is sustainable in the longer term.</w:t>
      </w:r>
    </w:p>
    <w:p w14:paraId="7F486550" w14:textId="77777777" w:rsidR="00B8112B" w:rsidRPr="00061D40" w:rsidRDefault="00B8112B" w:rsidP="00B8112B">
      <w:pPr>
        <w:pStyle w:val="bodytextoutlinednumber"/>
        <w:numPr>
          <w:ilvl w:val="1"/>
          <w:numId w:val="10"/>
        </w:numPr>
        <w:rPr>
          <w:b/>
        </w:rPr>
      </w:pPr>
      <w:r w:rsidRPr="00061D40">
        <w:rPr>
          <w:b/>
        </w:rPr>
        <w:t>Financial Viability Questionnaire</w:t>
      </w:r>
    </w:p>
    <w:p w14:paraId="7F486551"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Organisational details are required to ensure that, if the Department determines eligibility and proceeds to enter into a contract, it can identify and contract with the correct legal entity. For example, if the school operates with a trust structure then it is necessary to provide the names of both the trust and trustees. The Department may use and/or disclose this information to obtain further information about the organisation or any named office bearers from the Department’s own records and databases or from publicly available records of the Australian Securities and Investment Commission and/or a credit rating agency.</w:t>
      </w:r>
    </w:p>
    <w:p w14:paraId="7F486552"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The purpose of the Questionnaire is to obtain information in order to assess, in the opinion of the Department, the school’s financial viability and ability to meet project obligations should STEA funding be awarded. This Financial Viability Questionnaire will assist identification of whether the requirements of the Act for payment of STEA have been met.</w:t>
      </w:r>
    </w:p>
    <w:p w14:paraId="7F486553" w14:textId="77777777" w:rsidR="00B8112B" w:rsidRPr="00061D40" w:rsidRDefault="00B8112B" w:rsidP="00B8112B">
      <w:pPr>
        <w:pStyle w:val="bodytextoutlinednumber"/>
        <w:numPr>
          <w:ilvl w:val="1"/>
          <w:numId w:val="10"/>
        </w:numPr>
      </w:pPr>
      <w:r w:rsidRPr="00061D40">
        <w:rPr>
          <w:b/>
        </w:rPr>
        <w:t xml:space="preserve">Governance and financial management </w:t>
      </w:r>
      <w:r w:rsidRPr="00061D40">
        <w:t>– the governance and financial management information will assist DEEWR to develop an understanding of the school’s governance structures and internal financial management procedures. It should include:</w:t>
      </w:r>
    </w:p>
    <w:p w14:paraId="7F486554"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a description of the school’s governance structure</w:t>
      </w:r>
    </w:p>
    <w:p w14:paraId="7F486555"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membership of the school board</w:t>
      </w:r>
    </w:p>
    <w:p w14:paraId="7F486556"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eligibility criteria for membership of the school board</w:t>
      </w:r>
    </w:p>
    <w:p w14:paraId="7F486557"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how often the board meets</w:t>
      </w:r>
    </w:p>
    <w:p w14:paraId="7F486558"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a description of the board’s role and responsibilities</w:t>
      </w:r>
    </w:p>
    <w:p w14:paraId="7F486559"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a description of the school’s internal financial control mechanisms</w:t>
      </w:r>
    </w:p>
    <w:p w14:paraId="7F48655A"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a description of how the school budgets are determined</w:t>
      </w:r>
    </w:p>
    <w:p w14:paraId="7F48655B"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lastRenderedPageBreak/>
        <w:t xml:space="preserve">a description of the procedures in place to monitor the school’s financial performance. </w:t>
      </w:r>
    </w:p>
    <w:p w14:paraId="7F48655C" w14:textId="77777777" w:rsidR="00B8112B" w:rsidRPr="00061D40" w:rsidRDefault="00B8112B" w:rsidP="00B8112B">
      <w:pPr>
        <w:pStyle w:val="bodytextoutlinednumber"/>
        <w:numPr>
          <w:ilvl w:val="1"/>
          <w:numId w:val="10"/>
        </w:numPr>
      </w:pPr>
      <w:r w:rsidRPr="00061D40">
        <w:rPr>
          <w:b/>
        </w:rPr>
        <w:t>School financial information</w:t>
      </w:r>
      <w:r w:rsidRPr="00061D40">
        <w:t xml:space="preserve"> – Information and supporting documentation relating to the school’s finances will assist DEEWR to assess the validity of the school’s claims against the STEA criteria and the robustness and feasibility of the school’s Business and Recovery Plan. This documentation must include each of the following:</w:t>
      </w:r>
    </w:p>
    <w:p w14:paraId="7F48655D"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 xml:space="preserve">School Fee Collection Rates for the current year and preceding three years. Applicants must complete the table in the Application Form and expand on the reasons for any differences between total possible fees and actual fees collected (e.g. unpaid fees, number of students on reduced fees, family discounts etc). </w:t>
      </w:r>
    </w:p>
    <w:p w14:paraId="7F48655E"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Summary of Loans Outstanding and Other Liabilities. Applicants must complete the table in the Application Form, including details of any liabilities to the Australian Tax Office or other Government Agencies and payment arrangements.</w:t>
      </w:r>
    </w:p>
    <w:p w14:paraId="7F48655F"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All current and forecast capital works and associated costs. Applicants must provide a list of all current and forecast capital works in the Application Form. The Department will also access its own database to identify any existing BGA capital works projects.</w:t>
      </w:r>
    </w:p>
    <w:p w14:paraId="7F486560"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Two sets of projected financial statements for the next two years</w:t>
      </w:r>
      <w:r>
        <w:rPr>
          <w:shd w:val="clear" w:color="auto" w:fill="FFFFFD"/>
        </w:rPr>
        <w:t>:</w:t>
      </w:r>
    </w:p>
    <w:p w14:paraId="7F486561" w14:textId="77777777" w:rsidR="00B8112B" w:rsidRPr="00061D40" w:rsidRDefault="00B8112B" w:rsidP="00B8112B">
      <w:pPr>
        <w:pStyle w:val="DotPointIndent3"/>
      </w:pPr>
      <w:r w:rsidRPr="00061D40">
        <w:t>One set based on receipt of STEA funding and another set based on no STEA funding.</w:t>
      </w:r>
    </w:p>
    <w:p w14:paraId="7F486562" w14:textId="77777777" w:rsidR="00B8112B" w:rsidRPr="00061D40" w:rsidRDefault="00B8112B" w:rsidP="00B8112B">
      <w:pPr>
        <w:pStyle w:val="DotPointIndent3"/>
      </w:pPr>
      <w:r w:rsidRPr="00061D40">
        <w:t>Statements should include projected monthly budgets or cash flow statements and must incorporate actual data where this is available.</w:t>
      </w:r>
    </w:p>
    <w:p w14:paraId="7F486563"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Audited Financial Statements conforming to Australian Accounting Standards for the preceding three years. Audited Financial Statements should include:</w:t>
      </w:r>
    </w:p>
    <w:p w14:paraId="7F486564" w14:textId="77777777" w:rsidR="00B8112B" w:rsidRPr="00061D40" w:rsidRDefault="00B8112B" w:rsidP="00B8112B">
      <w:pPr>
        <w:pStyle w:val="DotPointIndent3"/>
      </w:pPr>
      <w:r w:rsidRPr="00061D40">
        <w:t>Balance Sheet (or Statement of Financial Position)</w:t>
      </w:r>
    </w:p>
    <w:p w14:paraId="7F486565" w14:textId="77777777" w:rsidR="00B8112B" w:rsidRPr="00061D40" w:rsidRDefault="00B8112B" w:rsidP="00B8112B">
      <w:pPr>
        <w:pStyle w:val="DotPointIndent3"/>
      </w:pPr>
      <w:r w:rsidRPr="00061D40">
        <w:t>Income and Expenditure Statement (or Statement of Financial Performance)</w:t>
      </w:r>
    </w:p>
    <w:p w14:paraId="7F486566" w14:textId="77777777" w:rsidR="00B8112B" w:rsidRPr="00061D40" w:rsidRDefault="00B8112B" w:rsidP="00B8112B">
      <w:pPr>
        <w:pStyle w:val="DotPointIndent3"/>
      </w:pPr>
      <w:r w:rsidRPr="00061D40">
        <w:t>Statement of Cash Flows</w:t>
      </w:r>
    </w:p>
    <w:p w14:paraId="7F486567" w14:textId="77777777" w:rsidR="00B8112B" w:rsidRPr="00061D40" w:rsidRDefault="00B8112B" w:rsidP="00B8112B">
      <w:pPr>
        <w:pStyle w:val="DotPointIndent3"/>
      </w:pPr>
      <w:r w:rsidRPr="00061D40">
        <w:t>Notes to and forming part of the Financial Statements (including details of all investments held by the school)</w:t>
      </w:r>
    </w:p>
    <w:p w14:paraId="7F486568" w14:textId="77777777" w:rsidR="00B8112B" w:rsidRPr="00061D40" w:rsidRDefault="00B8112B" w:rsidP="00B8112B">
      <w:pPr>
        <w:pStyle w:val="DotPointIndent3"/>
      </w:pPr>
      <w:r w:rsidRPr="00061D40">
        <w:t>Full disclosure of all related party transactions</w:t>
      </w:r>
    </w:p>
    <w:p w14:paraId="7F486569" w14:textId="77777777" w:rsidR="00B8112B" w:rsidRPr="00061D40" w:rsidRDefault="00B8112B" w:rsidP="00B8112B">
      <w:pPr>
        <w:pStyle w:val="DotPointIndent3"/>
      </w:pPr>
      <w:r w:rsidRPr="00061D40">
        <w:t>Directors' Statement</w:t>
      </w:r>
    </w:p>
    <w:p w14:paraId="7F48656A" w14:textId="77777777" w:rsidR="00B8112B" w:rsidRPr="00061D40" w:rsidRDefault="00B8112B" w:rsidP="00B8112B">
      <w:pPr>
        <w:pStyle w:val="DotPointIndent3"/>
      </w:pPr>
      <w:r w:rsidRPr="00061D40">
        <w:t>Directors' Report</w:t>
      </w:r>
    </w:p>
    <w:p w14:paraId="7F48656B" w14:textId="77777777" w:rsidR="00B8112B" w:rsidRPr="00061D40" w:rsidRDefault="00B8112B" w:rsidP="00B8112B">
      <w:pPr>
        <w:pStyle w:val="DotPointIndent3"/>
      </w:pPr>
      <w:r w:rsidRPr="00061D40">
        <w:t>Auditor's Report</w:t>
      </w:r>
    </w:p>
    <w:p w14:paraId="7F48656C"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t>Interim management style financial statements including a balance sheet and profit and loss statement must be provided for the current year. These statements are not required to be audited.</w:t>
      </w:r>
    </w:p>
    <w:p w14:paraId="7F48656D" w14:textId="77777777" w:rsidR="00B8112B" w:rsidRPr="00061D40" w:rsidRDefault="00B8112B" w:rsidP="00B8112B">
      <w:pPr>
        <w:pStyle w:val="bodytextoutlinednumber"/>
        <w:numPr>
          <w:ilvl w:val="2"/>
          <w:numId w:val="10"/>
        </w:numPr>
        <w:rPr>
          <w:shd w:val="clear" w:color="auto" w:fill="FFFFFD"/>
        </w:rPr>
      </w:pPr>
      <w:r w:rsidRPr="00061D40">
        <w:rPr>
          <w:shd w:val="clear" w:color="auto" w:fill="FFFFFD"/>
        </w:rPr>
        <w:lastRenderedPageBreak/>
        <w:t xml:space="preserve">Approved School Budgets for the current year and preceding three years. Budgets should include breakdowns for curriculum, recurrent, capital and maintenance, and details of loans and repayments. </w:t>
      </w:r>
    </w:p>
    <w:p w14:paraId="7F48656E" w14:textId="77777777" w:rsidR="00B8112B" w:rsidRPr="00061D40" w:rsidRDefault="00B8112B" w:rsidP="00B8112B">
      <w:pPr>
        <w:pStyle w:val="bodytextoutlinednumber"/>
        <w:numPr>
          <w:ilvl w:val="1"/>
          <w:numId w:val="10"/>
        </w:numPr>
      </w:pPr>
      <w:r w:rsidRPr="00061D40">
        <w:rPr>
          <w:b/>
        </w:rPr>
        <w:t>Staffing and enrolments</w:t>
      </w:r>
      <w:r w:rsidRPr="00061D40">
        <w:t xml:space="preserve"> – this information will assist the Department to determine the longer-term sustainability of the school by examining staffing levels and trends in pupil enrolments.</w:t>
      </w:r>
    </w:p>
    <w:p w14:paraId="7F48656F" w14:textId="77777777" w:rsidR="00B8112B" w:rsidRPr="00061D40" w:rsidRDefault="00B8112B" w:rsidP="00B8112B">
      <w:pPr>
        <w:pStyle w:val="bodytextoutlinednumber"/>
        <w:numPr>
          <w:ilvl w:val="2"/>
          <w:numId w:val="10"/>
        </w:numPr>
      </w:pPr>
      <w:r w:rsidRPr="00061D40">
        <w:t xml:space="preserve">An itemised list of all employees of the school including information on annual positions, salaries, fringe benefits and allowances. </w:t>
      </w:r>
    </w:p>
    <w:p w14:paraId="7F486570" w14:textId="77777777" w:rsidR="00B8112B" w:rsidRPr="00061D40" w:rsidRDefault="00B8112B" w:rsidP="00B8112B">
      <w:pPr>
        <w:pStyle w:val="DotPointIndent3"/>
      </w:pPr>
      <w:r w:rsidRPr="00061D40">
        <w:t xml:space="preserve">This list must </w:t>
      </w:r>
      <w:r w:rsidRPr="00061D40">
        <w:rPr>
          <w:u w:val="single"/>
        </w:rPr>
        <w:t>not</w:t>
      </w:r>
      <w:r w:rsidRPr="00061D40">
        <w:t xml:space="preserve"> contain the names of employees, but applicants should ensure that they can identify each employee if requested to do so by the Department.</w:t>
      </w:r>
    </w:p>
    <w:p w14:paraId="7F486571" w14:textId="77777777" w:rsidR="00B8112B" w:rsidRPr="00061D40" w:rsidRDefault="00B8112B" w:rsidP="00B8112B">
      <w:pPr>
        <w:pStyle w:val="bodytextoutlinednumber"/>
        <w:numPr>
          <w:ilvl w:val="2"/>
          <w:numId w:val="10"/>
        </w:numPr>
      </w:pPr>
      <w:r w:rsidRPr="00061D40">
        <w:t xml:space="preserve">Actual and projected enrolments. Applicants must complete the table in the Enrolment Form showing enrolments for the current year, preceding three years and projected enrolments for the next four years. Applicants should expand on any issues affecting enrolments and reasons for any differences in actual and projected enrolment figures. </w:t>
      </w:r>
    </w:p>
    <w:p w14:paraId="7F486572" w14:textId="77777777" w:rsidR="00B8112B" w:rsidRPr="00061D40" w:rsidRDefault="00B8112B" w:rsidP="00B8112B">
      <w:pPr>
        <w:pStyle w:val="DotPointIndent3"/>
      </w:pPr>
      <w:r w:rsidRPr="00061D40">
        <w:t>In addition to reviewing general trends in projected and actual student enrolments to gauge the accuracy of historical enrolment projections and add weight to future projections, the Department will use information from its own annual school Census to estimate pupil/teacher ratios (PTRs).</w:t>
      </w:r>
    </w:p>
    <w:p w14:paraId="7F486573" w14:textId="77777777" w:rsidR="00B8112B" w:rsidRPr="00061D40" w:rsidRDefault="00B8112B" w:rsidP="00B8112B">
      <w:pPr>
        <w:pStyle w:val="bodytextoutlinednumber"/>
        <w:numPr>
          <w:ilvl w:val="1"/>
          <w:numId w:val="10"/>
        </w:numPr>
      </w:pPr>
      <w:r w:rsidRPr="00061D40">
        <w:rPr>
          <w:b/>
        </w:rPr>
        <w:t>Signed declaration</w:t>
      </w:r>
      <w:r w:rsidRPr="00061D40">
        <w:t xml:space="preserve"> – each application must be accompanied by the declaration at Item (h) of the Application Form. It must be signed by an authorised signatory of the applicant’s approved authority in the presence of another person.</w:t>
      </w:r>
    </w:p>
    <w:p w14:paraId="7F486574" w14:textId="77777777" w:rsidR="00B8112B" w:rsidRPr="00061D40" w:rsidRDefault="00B8112B" w:rsidP="00B8112B">
      <w:pPr>
        <w:pStyle w:val="bodytextoutlinednumber"/>
        <w:numPr>
          <w:ilvl w:val="1"/>
          <w:numId w:val="10"/>
        </w:numPr>
      </w:pPr>
      <w:r w:rsidRPr="00061D40">
        <w:rPr>
          <w:b/>
        </w:rPr>
        <w:t>Attachments</w:t>
      </w:r>
      <w:r w:rsidRPr="00061D40">
        <w:t xml:space="preserve"> – the completed and signed Application Form must be accompanied by supporting documentation. These documents are listed at Item (i) of the Application Form.</w:t>
      </w:r>
    </w:p>
    <w:p w14:paraId="7F486575" w14:textId="77777777" w:rsidR="00B8112B" w:rsidRPr="00061D40" w:rsidRDefault="00B8112B" w:rsidP="00B8112B">
      <w:pPr>
        <w:pStyle w:val="bodytextoutlinednumber"/>
        <w:numPr>
          <w:ilvl w:val="1"/>
          <w:numId w:val="10"/>
        </w:numPr>
      </w:pPr>
      <w:r w:rsidRPr="00061D40">
        <w:rPr>
          <w:b/>
        </w:rPr>
        <w:t>Signed application checklist</w:t>
      </w:r>
      <w:r w:rsidRPr="00061D40">
        <w:t xml:space="preserve"> – Applicants must complete the STEA Program Application Checklist located at Item (j) of the Application Form. The form must be signed to verify that all required information and supporting documents have been included with the application.</w:t>
      </w:r>
    </w:p>
    <w:p w14:paraId="7F486576" w14:textId="77777777" w:rsidR="00D32016" w:rsidRDefault="00B8112B">
      <w:pPr>
        <w:pStyle w:val="Heading4"/>
      </w:pPr>
      <w:r w:rsidRPr="00061D40">
        <w:t>Submission of Application</w:t>
      </w:r>
    </w:p>
    <w:p w14:paraId="7F486577" w14:textId="77777777" w:rsidR="00B8112B" w:rsidRPr="00061D40" w:rsidRDefault="00B8112B" w:rsidP="00B8112B">
      <w:pPr>
        <w:pStyle w:val="bodytextoutlinednumber"/>
      </w:pPr>
      <w:r w:rsidRPr="00061D40">
        <w:t>Completed applications (</w:t>
      </w:r>
      <w:r w:rsidRPr="00061D40">
        <w:rPr>
          <w:b/>
        </w:rPr>
        <w:t>original plus one copy, both unbound</w:t>
      </w:r>
      <w:r w:rsidRPr="00061D40">
        <w:t>) should be addressed to:</w:t>
      </w:r>
    </w:p>
    <w:p w14:paraId="7F486578" w14:textId="77777777" w:rsidR="00B8112B" w:rsidRPr="00061D40" w:rsidRDefault="00B8112B" w:rsidP="00B8112B">
      <w:pPr>
        <w:spacing w:line="240" w:lineRule="auto"/>
        <w:ind w:left="567"/>
        <w:rPr>
          <w:rFonts w:cs="Arial"/>
          <w:szCs w:val="22"/>
        </w:rPr>
      </w:pPr>
      <w:r w:rsidRPr="00061D40">
        <w:rPr>
          <w:rFonts w:cs="Arial"/>
          <w:szCs w:val="22"/>
        </w:rPr>
        <w:t>STEA Program Manager</w:t>
      </w:r>
      <w:r w:rsidRPr="00061D40">
        <w:rPr>
          <w:rFonts w:cs="Arial"/>
          <w:szCs w:val="22"/>
        </w:rPr>
        <w:br/>
        <w:t xml:space="preserve">Schools Assurance Section (Location </w:t>
      </w:r>
      <w:r w:rsidR="00151C8B" w:rsidRPr="00061D40">
        <w:rPr>
          <w:rFonts w:cs="Arial"/>
          <w:szCs w:val="22"/>
        </w:rPr>
        <w:t>C</w:t>
      </w:r>
      <w:r w:rsidR="00151C8B">
        <w:rPr>
          <w:rFonts w:cs="Arial"/>
          <w:szCs w:val="22"/>
        </w:rPr>
        <w:t>50MA9</w:t>
      </w:r>
      <w:r w:rsidRPr="00061D40">
        <w:rPr>
          <w:rFonts w:cs="Arial"/>
          <w:szCs w:val="22"/>
        </w:rPr>
        <w:t>)</w:t>
      </w:r>
      <w:r w:rsidRPr="00061D40">
        <w:rPr>
          <w:rFonts w:cs="Arial"/>
          <w:szCs w:val="22"/>
        </w:rPr>
        <w:br/>
        <w:t>Department of Education, Employment and Workplace Relations</w:t>
      </w:r>
      <w:r w:rsidRPr="00061D40">
        <w:rPr>
          <w:rFonts w:cs="Arial"/>
          <w:szCs w:val="22"/>
        </w:rPr>
        <w:br/>
        <w:t>GPO Box 9880</w:t>
      </w:r>
      <w:r w:rsidRPr="00061D40">
        <w:rPr>
          <w:rFonts w:cs="Arial"/>
          <w:szCs w:val="22"/>
        </w:rPr>
        <w:br/>
        <w:t>CAN</w:t>
      </w:r>
      <w:r w:rsidR="004C6557">
        <w:rPr>
          <w:rFonts w:cs="Arial"/>
          <w:szCs w:val="22"/>
        </w:rPr>
        <w:t>BERRA  ACT  2601</w:t>
      </w:r>
      <w:r w:rsidR="004C6557">
        <w:rPr>
          <w:rFonts w:cs="Arial"/>
          <w:szCs w:val="22"/>
        </w:rPr>
        <w:br/>
        <w:t xml:space="preserve">Fax: (02) 6250 </w:t>
      </w:r>
      <w:r w:rsidRPr="00061D40">
        <w:rPr>
          <w:rFonts w:cs="Arial"/>
          <w:szCs w:val="22"/>
        </w:rPr>
        <w:t>4445</w:t>
      </w:r>
    </w:p>
    <w:p w14:paraId="7F486579" w14:textId="77777777" w:rsidR="00B8112B" w:rsidRPr="00061D40" w:rsidRDefault="00B8112B" w:rsidP="00B8112B">
      <w:pPr>
        <w:pStyle w:val="bodytextoutlinednumber"/>
      </w:pPr>
      <w:r w:rsidRPr="00061D40">
        <w:t xml:space="preserve">The Department may disclose information and documentation contained in an STEA application to a State/Territory registration authority and/or peak body and consult with the </w:t>
      </w:r>
      <w:r w:rsidRPr="00061D40">
        <w:lastRenderedPageBreak/>
        <w:t>authority or body regarding the applicant’s registration status, financial viability or other relevant matters.</w:t>
      </w:r>
    </w:p>
    <w:p w14:paraId="7F48657A" w14:textId="77777777" w:rsidR="00B8112B" w:rsidRPr="00061D40" w:rsidRDefault="00B8112B" w:rsidP="00B8112B">
      <w:pPr>
        <w:pStyle w:val="bodytextoutlinednumber"/>
      </w:pPr>
      <w:r w:rsidRPr="00061D40">
        <w:t>It is probable that personal information about individuals will be collected for the STEA Program. For example, the STEA Application Form requires the provision of details of all directors, partners, office bearers and other relevant persons in the organisation. DEEWR may use information provided in the STEA Application to obtain further information about the organisation and/or any named individuals from DEEWR’s own records and databases, publicly available records of the Australian Securities and Investment Commission and/or a credit rating agency. This information will only be used by DEEWR for the purpose of verifying information provided by the applicant and to identify any adverse information that has not been disclosed, or that may adversely affect the organisation’s ability to meet its contractual obligations should STEA funding be awarded.</w:t>
      </w:r>
    </w:p>
    <w:p w14:paraId="7F48657B" w14:textId="77777777" w:rsidR="00B8112B" w:rsidRPr="00061D40" w:rsidRDefault="00B8112B" w:rsidP="00B8112B">
      <w:pPr>
        <w:pStyle w:val="bodytextoutlinednumber"/>
      </w:pPr>
      <w:r w:rsidRPr="00061D40">
        <w:t xml:space="preserve">In administering the STEA Program DEEWR is bound by the provisions of the </w:t>
      </w:r>
      <w:r w:rsidRPr="00061D40">
        <w:rPr>
          <w:i/>
        </w:rPr>
        <w:t>Privacy Act 1988</w:t>
      </w:r>
      <w:r w:rsidRPr="00061D40">
        <w:t xml:space="preserve">. Section 14 of the Privacy Act contains the Information Privacy Principles (IPPs) which prescribe the rules for handling personal information. </w:t>
      </w:r>
    </w:p>
    <w:p w14:paraId="7F48657C" w14:textId="77777777" w:rsidR="00D32016" w:rsidRDefault="00B8112B">
      <w:pPr>
        <w:pStyle w:val="Heading3"/>
      </w:pPr>
      <w:r w:rsidRPr="00061D40">
        <w:t>Assessment and Notification of Outcome</w:t>
      </w:r>
    </w:p>
    <w:p w14:paraId="7F48657D" w14:textId="77777777" w:rsidR="00B8112B" w:rsidRPr="00061D40" w:rsidRDefault="00B8112B" w:rsidP="00B8112B">
      <w:pPr>
        <w:pStyle w:val="bodytextoutlinednumber"/>
      </w:pPr>
      <w:r w:rsidRPr="00061D40">
        <w:t>The assessment process commences only once the complete application has been received by the Department. The case for STEA funding is assessed on the basis of the information provided by the applicant with regard to satisfying all four of the STEA criteria and an assessment of the Business and Recovery Plan which is made in the context of the supporting information relating to the school’s governance, financial management and longer term viability. Following this assessment, a recommendation is made to the Minister or the Minister’s delegate with regard to the provision of STEA funding. Apart from payment of the assistance amount sought, or refusal of STEA funding, the scope of the recommendations may include:</w:t>
      </w:r>
    </w:p>
    <w:p w14:paraId="7F48657E" w14:textId="77777777" w:rsidR="00B8112B" w:rsidRPr="00061D40" w:rsidRDefault="00B8112B" w:rsidP="00B8112B">
      <w:pPr>
        <w:pStyle w:val="bodytextoutlinednumber"/>
        <w:numPr>
          <w:ilvl w:val="1"/>
          <w:numId w:val="10"/>
        </w:numPr>
      </w:pPr>
      <w:r w:rsidRPr="00061D40">
        <w:t>payment of a lesser amount; and/or</w:t>
      </w:r>
    </w:p>
    <w:p w14:paraId="7F48657F" w14:textId="77777777" w:rsidR="00B8112B" w:rsidRPr="00061D40" w:rsidRDefault="00B8112B" w:rsidP="00B8112B">
      <w:pPr>
        <w:pStyle w:val="bodytextoutlinednumber"/>
        <w:numPr>
          <w:ilvl w:val="1"/>
          <w:numId w:val="10"/>
        </w:numPr>
      </w:pPr>
      <w:r w:rsidRPr="00061D40">
        <w:t xml:space="preserve">staged payments to ensure satisfactory progress and attainment of key milestones; and/or </w:t>
      </w:r>
    </w:p>
    <w:p w14:paraId="7F486580" w14:textId="77777777" w:rsidR="00B8112B" w:rsidRPr="00061D40" w:rsidRDefault="00B8112B" w:rsidP="00B8112B">
      <w:pPr>
        <w:pStyle w:val="bodytextoutlinednumber"/>
        <w:numPr>
          <w:ilvl w:val="1"/>
          <w:numId w:val="10"/>
        </w:numPr>
      </w:pPr>
      <w:r w:rsidRPr="00061D40">
        <w:t>the provision of funding to contract a financial consultant or other professional to provide assistance with the development and implementation of a school financial recovery plan.</w:t>
      </w:r>
    </w:p>
    <w:p w14:paraId="7F486581" w14:textId="77777777" w:rsidR="00B8112B" w:rsidRPr="00061D40" w:rsidRDefault="00B8112B" w:rsidP="00B8112B">
      <w:pPr>
        <w:pStyle w:val="bodytextoutlinednumber"/>
      </w:pPr>
      <w:r w:rsidRPr="00061D40">
        <w:t>The final decision on whether to approve funding of a STEA application is made by the Minister or the Minister’s delegate.</w:t>
      </w:r>
    </w:p>
    <w:p w14:paraId="7F486582" w14:textId="77777777" w:rsidR="00B8112B" w:rsidRPr="00061D40" w:rsidRDefault="00B8112B" w:rsidP="00B8112B">
      <w:pPr>
        <w:pStyle w:val="bodytextoutlinednumber"/>
      </w:pPr>
      <w:r w:rsidRPr="00061D40">
        <w:t xml:space="preserve">On completion of the assessment and approval process, all applicants for STEA funding will be advised of the outcome in writing. Successful applicants will receive information relating to the amount of STEA funding offered and conditions with regard to its use and acquittal (see below for more information). Unsuccessful applicants will receive feedback on the reason(s) that their application for STEA funding was not successful. </w:t>
      </w:r>
    </w:p>
    <w:p w14:paraId="7F486583" w14:textId="77777777" w:rsidR="00B8112B" w:rsidRPr="00061D40" w:rsidRDefault="00B8112B" w:rsidP="00B8112B">
      <w:pPr>
        <w:pStyle w:val="bodytextoutlinednumber"/>
      </w:pPr>
      <w:r w:rsidRPr="00061D40">
        <w:t xml:space="preserve">The time taken for completion of the STEA assessment process varies and is to a large extent dependent on the complexity of the individual school’s circumstance. Typically however, applicants are advised of the outcome of their application for STEA funding within 12 weeks of receipt of the completed application by DEEWR. When the information </w:t>
      </w:r>
      <w:r w:rsidRPr="00061D40">
        <w:lastRenderedPageBreak/>
        <w:t>provided by the applicant is incomplete, or the school’s circumstance is particularly complex and requires verification of information provided or additional information, the time taken to assess the application may be extended. The Department will advise applicants of the progress of their application in writing if the assessment process extends beyond 12 weeks.</w:t>
      </w:r>
    </w:p>
    <w:p w14:paraId="7F486584" w14:textId="77777777" w:rsidR="00D32016" w:rsidRDefault="00B8112B">
      <w:pPr>
        <w:pStyle w:val="Heading4"/>
      </w:pPr>
      <w:r w:rsidRPr="00061D40">
        <w:t>Information for successful applicants</w:t>
      </w:r>
    </w:p>
    <w:p w14:paraId="7F486585" w14:textId="77777777" w:rsidR="00B8112B" w:rsidRPr="00061D40" w:rsidRDefault="00B8112B" w:rsidP="00B8112B">
      <w:pPr>
        <w:pStyle w:val="bodytextoutlinednumber"/>
      </w:pPr>
      <w:r w:rsidRPr="00061D40">
        <w:t>In order to receive STEA funding, the applicant must enter into an agreement with the Commonwealth (through the Department) by way of a Schedule which will be an attachment to the school’s existing Funding Agreement for the Provision of Funding under the Act for</w:t>
      </w:r>
      <w:r w:rsidRPr="00061D40">
        <w:rPr>
          <w:i/>
        </w:rPr>
        <w:t xml:space="preserve"> </w:t>
      </w:r>
      <w:r w:rsidRPr="00061D40">
        <w:t>2009-</w:t>
      </w:r>
      <w:r>
        <w:t>2013</w:t>
      </w:r>
      <w:r w:rsidRPr="00061D40">
        <w:t>. The conditions associated with the award of STEA funding will vary depending on the individual circumstances of the applicant, but will include such conditions as the Minister or the Minister's delegate consider appropriate.</w:t>
      </w:r>
    </w:p>
    <w:p w14:paraId="7F486586" w14:textId="77777777" w:rsidR="00B8112B" w:rsidRPr="00061D40" w:rsidRDefault="00B8112B" w:rsidP="00B8112B">
      <w:pPr>
        <w:pStyle w:val="bodytextoutlinednumber"/>
      </w:pPr>
      <w:r w:rsidRPr="00061D40">
        <w:t>Schedules will detail the appropriate use of STEA funding, reporting processes and STEA expenditure monitoring and acquittal requirements. In those cases where an STEA recipient’s recovery is staged, an assessment of the success of the first stage may be required before funds are committed to a second or subsequent stage.</w:t>
      </w:r>
    </w:p>
    <w:p w14:paraId="7F486587" w14:textId="77777777" w:rsidR="00B8112B" w:rsidRPr="00061D40" w:rsidRDefault="00B8112B" w:rsidP="00B8112B">
      <w:pPr>
        <w:pStyle w:val="bodytextoutlinednumber"/>
      </w:pPr>
      <w:r w:rsidRPr="00061D40">
        <w:t xml:space="preserve">While STEA funding is not a loan and therefore does not need to be repaid, the funding agreement will make provision for suspension or recovery of funds if conditions of the funding agreement are not met. If appropriate, recovery of funds may be effected through offsets against </w:t>
      </w:r>
      <w:r w:rsidR="00C1042D">
        <w:t>r</w:t>
      </w:r>
      <w:r w:rsidRPr="00061D40">
        <w:t xml:space="preserve">ecurrent </w:t>
      </w:r>
      <w:r w:rsidR="00C1042D">
        <w:t>f</w:t>
      </w:r>
      <w:r w:rsidRPr="00061D40">
        <w:t>unding entitlements. Residual or unspent funds will also be recovered.</w:t>
      </w:r>
    </w:p>
    <w:p w14:paraId="7F486588" w14:textId="77777777" w:rsidR="00D32016" w:rsidRDefault="00B8112B">
      <w:pPr>
        <w:pStyle w:val="Heading3"/>
      </w:pPr>
      <w:r w:rsidRPr="00061D40">
        <w:t>Financial Accountability</w:t>
      </w:r>
    </w:p>
    <w:p w14:paraId="7F486589" w14:textId="77777777" w:rsidR="00B8112B" w:rsidRPr="00061D40" w:rsidRDefault="00B8112B" w:rsidP="00B8112B">
      <w:pPr>
        <w:pStyle w:val="bodytextoutlinednumber"/>
        <w:rPr>
          <w:shd w:val="clear" w:color="auto" w:fill="FFFFFD"/>
        </w:rPr>
      </w:pPr>
      <w:r w:rsidRPr="00061D40">
        <w:rPr>
          <w:shd w:val="clear" w:color="auto" w:fill="FFFFFD"/>
        </w:rPr>
        <w:t>Approved authorities will meet their financial accountability requirements for STEA with respect to a program year by having a Qualified Accountant submit to the Department on or before 30 June of the following year or such other date as the Minister approves, an electronic Financial Accountability certificate.</w:t>
      </w:r>
    </w:p>
    <w:p w14:paraId="7F48658A" w14:textId="77777777" w:rsidR="00B8112B" w:rsidRPr="00061D40" w:rsidRDefault="00B8112B" w:rsidP="00B8112B">
      <w:pPr>
        <w:pStyle w:val="bodytextoutlinednumber"/>
        <w:rPr>
          <w:shd w:val="clear" w:color="auto" w:fill="FFFFFD"/>
        </w:rPr>
      </w:pPr>
      <w:r w:rsidRPr="00061D40">
        <w:rPr>
          <w:shd w:val="clear" w:color="auto" w:fill="FFFFFD"/>
        </w:rPr>
        <w:t>A Qualified Accountant is:</w:t>
      </w:r>
    </w:p>
    <w:p w14:paraId="7F48658B" w14:textId="77777777" w:rsidR="00B8112B" w:rsidRPr="00061D40" w:rsidRDefault="00B8112B" w:rsidP="00B8112B">
      <w:pPr>
        <w:pStyle w:val="StyleStyledotpointAfter75ptLinespacingsingle"/>
      </w:pPr>
      <w:r w:rsidRPr="00061D40">
        <w:t xml:space="preserve">a qualified accountant within the meaning of the </w:t>
      </w:r>
      <w:r w:rsidRPr="00061D40">
        <w:rPr>
          <w:i/>
        </w:rPr>
        <w:t>Corporations Act 2001</w:t>
      </w:r>
    </w:p>
    <w:p w14:paraId="7F48658C" w14:textId="77777777" w:rsidR="00B8112B" w:rsidRPr="00061D40" w:rsidRDefault="00B8112B" w:rsidP="00B8112B">
      <w:pPr>
        <w:spacing w:before="100"/>
        <w:ind w:left="851"/>
      </w:pPr>
      <w:r w:rsidRPr="00061D40">
        <w:rPr>
          <w:shd w:val="clear" w:color="auto" w:fill="FFFFFD"/>
        </w:rPr>
        <w:t>or</w:t>
      </w:r>
    </w:p>
    <w:p w14:paraId="7F48658D" w14:textId="77777777" w:rsidR="00B8112B" w:rsidRPr="00061D40" w:rsidRDefault="00B8112B" w:rsidP="00B8112B">
      <w:pPr>
        <w:pStyle w:val="StyleStyledotpointAfter75ptLinespacingsingle"/>
      </w:pPr>
      <w:r w:rsidRPr="00061D40">
        <w:t xml:space="preserve">a person registered (or taken to be registered) as a company auditor under the </w:t>
      </w:r>
      <w:r w:rsidRPr="00061D40">
        <w:rPr>
          <w:i/>
        </w:rPr>
        <w:t>Corporations Act 2001</w:t>
      </w:r>
      <w:r w:rsidRPr="00061D40">
        <w:t xml:space="preserve"> </w:t>
      </w:r>
    </w:p>
    <w:p w14:paraId="7F48658E" w14:textId="77777777" w:rsidR="00B8112B" w:rsidRPr="00061D40" w:rsidRDefault="00B8112B" w:rsidP="00B8112B">
      <w:pPr>
        <w:spacing w:before="100"/>
        <w:ind w:left="851"/>
      </w:pPr>
      <w:r w:rsidRPr="00061D40">
        <w:t>or</w:t>
      </w:r>
    </w:p>
    <w:p w14:paraId="7F48658F" w14:textId="77777777" w:rsidR="00B8112B" w:rsidRPr="00061D40" w:rsidRDefault="00B8112B" w:rsidP="00B8112B">
      <w:pPr>
        <w:pStyle w:val="StyleStyledotpointAfter75ptLinespacingsingle"/>
      </w:pPr>
      <w:r w:rsidRPr="00061D40">
        <w:t xml:space="preserve">a person approved by the Minister as a qualified accountant for the purposes of the </w:t>
      </w:r>
      <w:r w:rsidRPr="00061D40">
        <w:rPr>
          <w:i/>
        </w:rPr>
        <w:t>Schools Assistance Act 2008</w:t>
      </w:r>
      <w:r w:rsidRPr="00061D40">
        <w:t>.</w:t>
      </w:r>
    </w:p>
    <w:p w14:paraId="7F486590" w14:textId="77777777" w:rsidR="00D32016" w:rsidRDefault="00B8112B">
      <w:pPr>
        <w:pStyle w:val="Heading3"/>
      </w:pPr>
      <w:r w:rsidRPr="00061D40">
        <w:t>Further Information and Enquiries</w:t>
      </w:r>
    </w:p>
    <w:p w14:paraId="7F486591" w14:textId="77777777" w:rsidR="00B8112B" w:rsidRPr="00061D40" w:rsidRDefault="00B8112B" w:rsidP="00B8112B">
      <w:pPr>
        <w:pStyle w:val="bodytextoutlinednumber"/>
      </w:pPr>
      <w:r w:rsidRPr="00061D40">
        <w:t xml:space="preserve">Enquiries about the program should be directed to the STEA Program Manager on 1800 677 </w:t>
      </w:r>
      <w:r>
        <w:t>027, option 1, then</w:t>
      </w:r>
      <w:r w:rsidRPr="00061D40">
        <w:t xml:space="preserve"> option 2 or by emailing: </w:t>
      </w:r>
      <w:hyperlink r:id="rId54" w:history="1">
        <w:r w:rsidR="00C1042D" w:rsidRPr="004855B1">
          <w:rPr>
            <w:rStyle w:val="Hyperlink"/>
          </w:rPr>
          <w:t>schools.assurance@deewr.gov.au</w:t>
        </w:r>
      </w:hyperlink>
      <w:r w:rsidRPr="00061D40">
        <w:t>.</w:t>
      </w:r>
    </w:p>
    <w:p w14:paraId="7F486592" w14:textId="77777777" w:rsidR="005218BF" w:rsidRDefault="005218BF">
      <w:pPr>
        <w:spacing w:before="0" w:line="240" w:lineRule="auto"/>
        <w:rPr>
          <w:b/>
          <w:bCs/>
          <w:color w:val="000000"/>
          <w:sz w:val="36"/>
          <w:szCs w:val="20"/>
          <w:lang w:val="en-GB"/>
        </w:rPr>
      </w:pPr>
      <w:r>
        <w:br w:type="page"/>
      </w:r>
    </w:p>
    <w:p w14:paraId="7F486593" w14:textId="77777777" w:rsidR="00D32016" w:rsidRDefault="005218BF">
      <w:pPr>
        <w:pStyle w:val="Heading2"/>
      </w:pPr>
      <w:bookmarkStart w:id="153" w:name="_Toc346205324"/>
      <w:r w:rsidRPr="00061D40">
        <w:lastRenderedPageBreak/>
        <w:t>4.</w:t>
      </w:r>
      <w:r>
        <w:t>2</w:t>
      </w:r>
      <w:r w:rsidRPr="00061D40">
        <w:t xml:space="preserve"> Country Areas Program</w:t>
      </w:r>
      <w:bookmarkEnd w:id="153"/>
    </w:p>
    <w:p w14:paraId="7F486594" w14:textId="77777777" w:rsidR="00D32016" w:rsidRDefault="005218BF">
      <w:pPr>
        <w:pStyle w:val="Heading3"/>
      </w:pPr>
      <w:r w:rsidRPr="00061D40">
        <w:t>Legislative Authority</w:t>
      </w:r>
    </w:p>
    <w:p w14:paraId="7F486595" w14:textId="77777777" w:rsidR="005218BF" w:rsidRPr="00061D40" w:rsidRDefault="005218BF" w:rsidP="005218BF">
      <w:pPr>
        <w:pStyle w:val="bodytextoutlinednumber"/>
      </w:pPr>
      <w:r w:rsidRPr="00061D40">
        <w:t>Country Areas Program (CAP) funding for non-government schools for the 2009-201</w:t>
      </w:r>
      <w:r>
        <w:t>3</w:t>
      </w:r>
      <w:r w:rsidRPr="00061D40">
        <w:t xml:space="preserve"> funding period is provided under Part 6, Division 3 of the Act. Non-government schools and school systems in each state and territory which receive CAP funding must comply with all the requirements of the Act.</w:t>
      </w:r>
    </w:p>
    <w:p w14:paraId="7F486596" w14:textId="77777777" w:rsidR="00D32016" w:rsidRDefault="005218BF">
      <w:pPr>
        <w:pStyle w:val="Heading3"/>
      </w:pPr>
      <w:r w:rsidRPr="00061D40">
        <w:t>Program Objectives</w:t>
      </w:r>
    </w:p>
    <w:p w14:paraId="7F486597" w14:textId="77777777" w:rsidR="005218BF" w:rsidRPr="00061D40" w:rsidRDefault="005218BF" w:rsidP="005218BF">
      <w:pPr>
        <w:pStyle w:val="bodytextoutlinednumber"/>
        <w:rPr>
          <w:shd w:val="clear" w:color="auto" w:fill="FFFFFD"/>
        </w:rPr>
      </w:pPr>
      <w:r w:rsidRPr="00061D40">
        <w:rPr>
          <w:shd w:val="clear" w:color="auto" w:fill="FFFFFD"/>
        </w:rPr>
        <w:t>CAP funds help schools and school communities improve the educational outcomes and opportunities of students who are educationally disadvantaged because of their geographic isolation. CAP helps isolated students to obtain similar learning outcomes to those students in less isolated areas.</w:t>
      </w:r>
    </w:p>
    <w:p w14:paraId="7F486598" w14:textId="77777777" w:rsidR="005218BF" w:rsidRPr="00061D40" w:rsidRDefault="005218BF" w:rsidP="005218BF">
      <w:pPr>
        <w:pStyle w:val="bodytextoutlinednumber"/>
        <w:rPr>
          <w:shd w:val="clear" w:color="auto" w:fill="FFFFFD"/>
        </w:rPr>
      </w:pPr>
      <w:r w:rsidRPr="00061D40">
        <w:rPr>
          <w:shd w:val="clear" w:color="auto" w:fill="FFFFFD"/>
        </w:rPr>
        <w:t xml:space="preserve">CAP funding will be provided to non-government education authorities in the states and the Northern Territory for distribution to eligible schools. </w:t>
      </w:r>
    </w:p>
    <w:p w14:paraId="7F486599" w14:textId="77777777" w:rsidR="00D32016" w:rsidRDefault="005218BF">
      <w:pPr>
        <w:pStyle w:val="Heading3"/>
      </w:pPr>
      <w:r w:rsidRPr="00061D40">
        <w:t>Eligibility</w:t>
      </w:r>
    </w:p>
    <w:p w14:paraId="7F48659A" w14:textId="77777777" w:rsidR="005218BF" w:rsidRPr="00061D40" w:rsidRDefault="005218BF" w:rsidP="005218BF">
      <w:pPr>
        <w:pStyle w:val="bodytextoutlinednumber"/>
        <w:rPr>
          <w:shd w:val="clear" w:color="auto" w:fill="FFFFFD"/>
        </w:rPr>
      </w:pPr>
      <w:r w:rsidRPr="00061D40">
        <w:rPr>
          <w:shd w:val="clear" w:color="auto" w:fill="FFFFFD"/>
        </w:rPr>
        <w:t xml:space="preserve">State and Northern Territory non-government education authorities are eligible for funding under CAP. </w:t>
      </w:r>
    </w:p>
    <w:p w14:paraId="7F48659B" w14:textId="77777777" w:rsidR="005218BF" w:rsidRPr="00061D40" w:rsidRDefault="005218BF" w:rsidP="005218BF">
      <w:pPr>
        <w:pStyle w:val="bodytextoutlinednumber"/>
        <w:rPr>
          <w:shd w:val="clear" w:color="auto" w:fill="FFFFFD"/>
        </w:rPr>
      </w:pPr>
      <w:r w:rsidRPr="00061D40">
        <w:rPr>
          <w:shd w:val="clear" w:color="auto" w:fill="FFFFFD"/>
        </w:rPr>
        <w:t>CAP funding is available for projects which enhance the educational achievements and increase the opportunities and choice available to students disadvantaged by geographic isolation. These students are located in the following institutions:</w:t>
      </w:r>
    </w:p>
    <w:p w14:paraId="7F48659C"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non-government primary and secondary schools located in geographically isolated areas, or non-government distance education facilities servicing these areas</w:t>
      </w:r>
    </w:p>
    <w:p w14:paraId="7F48659D" w14:textId="77777777" w:rsidR="005218BF" w:rsidRPr="00061D40" w:rsidRDefault="005218BF" w:rsidP="005218BF">
      <w:pPr>
        <w:pStyle w:val="bodytextoutlinednumber"/>
        <w:numPr>
          <w:ilvl w:val="0"/>
          <w:numId w:val="0"/>
        </w:numPr>
        <w:spacing w:before="100"/>
        <w:ind w:left="851"/>
        <w:rPr>
          <w:shd w:val="clear" w:color="auto" w:fill="FFFFFD"/>
        </w:rPr>
      </w:pPr>
      <w:r w:rsidRPr="00061D40">
        <w:rPr>
          <w:shd w:val="clear" w:color="auto" w:fill="FFFFFD"/>
        </w:rPr>
        <w:t xml:space="preserve">and/or </w:t>
      </w:r>
    </w:p>
    <w:p w14:paraId="7F48659E"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 xml:space="preserve">non-government special schools or non-government schools with special units for students with disabilities that meet the above criteria are eligible for support. </w:t>
      </w:r>
    </w:p>
    <w:p w14:paraId="7F48659F" w14:textId="77777777" w:rsidR="005218BF" w:rsidRPr="00061D40" w:rsidRDefault="005218BF" w:rsidP="005218BF">
      <w:pPr>
        <w:pStyle w:val="bodytextoutlinednumber"/>
        <w:rPr>
          <w:shd w:val="clear" w:color="auto" w:fill="FFFFFD"/>
        </w:rPr>
      </w:pPr>
      <w:r w:rsidRPr="00061D40">
        <w:rPr>
          <w:shd w:val="clear" w:color="auto" w:fill="FFFFFD"/>
        </w:rPr>
        <w:t>Note: Boarding schools which are not located in geographically isolated areas are not eligible for support.</w:t>
      </w:r>
    </w:p>
    <w:p w14:paraId="7F4865A0" w14:textId="77777777" w:rsidR="00D32016" w:rsidRDefault="005218BF">
      <w:pPr>
        <w:pStyle w:val="Heading3"/>
      </w:pPr>
      <w:r w:rsidRPr="00061D40">
        <w:t>Use of Funding</w:t>
      </w:r>
    </w:p>
    <w:p w14:paraId="7F4865A1" w14:textId="77777777" w:rsidR="005218BF" w:rsidRPr="00061D40" w:rsidRDefault="005218BF" w:rsidP="005218BF">
      <w:pPr>
        <w:pStyle w:val="bodytextoutlinednumber"/>
        <w:rPr>
          <w:shd w:val="clear" w:color="auto" w:fill="FFFFFD"/>
        </w:rPr>
      </w:pPr>
      <w:r w:rsidRPr="00061D40">
        <w:rPr>
          <w:shd w:val="clear" w:color="auto" w:fill="FFFFFD"/>
        </w:rPr>
        <w:t>CAP funds are intended to enable projects to be conducted to meet the particular needs of geographically isolated students.</w:t>
      </w:r>
    </w:p>
    <w:p w14:paraId="7F4865A2" w14:textId="77777777" w:rsidR="005218BF" w:rsidRPr="00061D40" w:rsidRDefault="005218BF" w:rsidP="005218BF">
      <w:pPr>
        <w:pStyle w:val="bodytextoutlinednumber"/>
        <w:rPr>
          <w:shd w:val="clear" w:color="auto" w:fill="FFFFFD"/>
        </w:rPr>
      </w:pPr>
      <w:r w:rsidRPr="00061D40">
        <w:rPr>
          <w:shd w:val="clear" w:color="auto" w:fill="FFFFFD"/>
        </w:rPr>
        <w:t xml:space="preserve">CAP funds are not to be used as a substitute for funding resources or services, which are the responsibility of education systems, other agencies or providers. </w:t>
      </w:r>
    </w:p>
    <w:p w14:paraId="7F4865A3" w14:textId="77777777" w:rsidR="005218BF" w:rsidRPr="00061D40" w:rsidRDefault="005218BF" w:rsidP="005218BF">
      <w:pPr>
        <w:pStyle w:val="bodytextoutlinednumber"/>
        <w:rPr>
          <w:shd w:val="clear" w:color="auto" w:fill="FFFFFD"/>
        </w:rPr>
      </w:pPr>
      <w:r w:rsidRPr="00061D40">
        <w:rPr>
          <w:shd w:val="clear" w:color="auto" w:fill="FFFFFD"/>
        </w:rPr>
        <w:t>State and Northern Territory non-government education authorities must only use CAP funds for projects that support:</w:t>
      </w:r>
    </w:p>
    <w:p w14:paraId="7F4865A4"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curriculum enhancement</w:t>
      </w:r>
    </w:p>
    <w:p w14:paraId="7F4865A5"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information and communication technology</w:t>
      </w:r>
    </w:p>
    <w:p w14:paraId="7F4865A6"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lastRenderedPageBreak/>
        <w:t>professional development</w:t>
      </w:r>
    </w:p>
    <w:p w14:paraId="7F4865A7"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 xml:space="preserve">promotion of CAP </w:t>
      </w:r>
    </w:p>
    <w:p w14:paraId="7F4865A8"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school support.</w:t>
      </w:r>
    </w:p>
    <w:p w14:paraId="7F4865A9" w14:textId="77777777" w:rsidR="00D32016" w:rsidRDefault="005218BF">
      <w:pPr>
        <w:pStyle w:val="Heading4"/>
      </w:pPr>
      <w:r w:rsidRPr="00061D40">
        <w:t>Curriculum enhancement</w:t>
      </w:r>
    </w:p>
    <w:p w14:paraId="7F4865AA" w14:textId="77777777" w:rsidR="005218BF" w:rsidRPr="00061D40" w:rsidRDefault="005218BF" w:rsidP="005218BF">
      <w:pPr>
        <w:pStyle w:val="bodytextoutlinednumber"/>
        <w:rPr>
          <w:shd w:val="clear" w:color="auto" w:fill="FFFFFD"/>
        </w:rPr>
      </w:pPr>
      <w:r w:rsidRPr="00061D40">
        <w:rPr>
          <w:shd w:val="clear" w:color="auto" w:fill="FFFFFD"/>
        </w:rPr>
        <w:t xml:space="preserve">Funds can be used for activities which complement, support and enrich the curriculum for geographically isolated non-government primary and secondary school students such as: </w:t>
      </w:r>
    </w:p>
    <w:p w14:paraId="7F4865AB"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Excursions and hosting visits where the costs associated with excursions and visits are greater because of geographic isolation</w:t>
      </w:r>
    </w:p>
    <w:p w14:paraId="7F4865AC"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Provision of support for subjects such as languages, music and attendance at sporting events</w:t>
      </w:r>
    </w:p>
    <w:p w14:paraId="7F4865AD"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Additional costs associated with activities which support secondary students in making the transition to further education, training and work (post school pathways) including VET in schools and work experience.</w:t>
      </w:r>
    </w:p>
    <w:p w14:paraId="7F4865AE" w14:textId="77777777" w:rsidR="00D32016" w:rsidRDefault="005218BF">
      <w:pPr>
        <w:pStyle w:val="Heading4"/>
      </w:pPr>
      <w:r w:rsidRPr="00061D40">
        <w:t>Information and Communication Technology</w:t>
      </w:r>
    </w:p>
    <w:p w14:paraId="7F4865AF" w14:textId="77777777" w:rsidR="005218BF" w:rsidRPr="00061D40" w:rsidRDefault="005218BF" w:rsidP="005218BF">
      <w:pPr>
        <w:pStyle w:val="bodytextoutlinednumber"/>
      </w:pPr>
      <w:r w:rsidRPr="00061D40">
        <w:t>In respect of Information and Communication Technology (ICT), funds can be applied to enable geographically isolated students to be confident, creative and productive users of new technologies, particularly ICT and understand the impact of these technologies on society. CAP’s role is to enhance education system responsibilities in the application of technology to teaching and learning. Where non-government education authorities have made a commitment to roll out ICT equipment to all schools over several years, projects purchasing ICT equipment would need to clearly demonstrate that they are a necessary addition within the long-term planning of the sector’s rollout.</w:t>
      </w:r>
    </w:p>
    <w:p w14:paraId="7F4865B0" w14:textId="77777777" w:rsidR="00D32016" w:rsidRDefault="005218BF">
      <w:pPr>
        <w:pStyle w:val="Heading4"/>
      </w:pPr>
      <w:r w:rsidRPr="00061D40">
        <w:t>Professional Development</w:t>
      </w:r>
    </w:p>
    <w:p w14:paraId="7F4865B1" w14:textId="77777777" w:rsidR="005218BF" w:rsidRPr="00061D40" w:rsidRDefault="005218BF" w:rsidP="005218BF">
      <w:pPr>
        <w:pStyle w:val="bodytextoutlinednumber"/>
      </w:pPr>
      <w:r w:rsidRPr="00061D40">
        <w:t>Professional development and support involves addressing particular development needs of teachers in geographically isolated areas. The provision of professional support may help to attract and retain teachers. CAP funds may be used to cover course costs, the supply of relief staff and travel costs. Given that responsibility for professional development of teachers rests with non-government education authorities and schools and that the Commonwealth makes a significant contribution to the professional development of teachers through the Commonwealth’s Quality Teacher Program, projects in this area would need to demonstrate they are a necessary addition to what is the usual responsibility of the education authority/school. Projects of this type should keep in mind what would be normal for teachers in metropolitan areas and only address any additional costs to teachers due to their rural location.</w:t>
      </w:r>
    </w:p>
    <w:p w14:paraId="7F4865B2" w14:textId="77777777" w:rsidR="00D32016" w:rsidRDefault="005218BF">
      <w:pPr>
        <w:pStyle w:val="Heading4"/>
      </w:pPr>
      <w:r w:rsidRPr="00061D40">
        <w:t>Promotion of CAP</w:t>
      </w:r>
    </w:p>
    <w:p w14:paraId="7F4865B3" w14:textId="77777777" w:rsidR="005218BF" w:rsidRPr="00061D40" w:rsidRDefault="005218BF" w:rsidP="005218BF">
      <w:pPr>
        <w:pStyle w:val="bodytextoutlinednumber"/>
      </w:pPr>
      <w:r w:rsidRPr="00061D40">
        <w:t xml:space="preserve">Funds can also be used for the promotion of information to inform CAP school communities including the evaluation, documentation and dissemination of information regarding program activities with emphasis, as appropriate, on best practice. Note that it is a requirement that all information dissemination, including information on non-government </w:t>
      </w:r>
      <w:r w:rsidRPr="00061D40">
        <w:lastRenderedPageBreak/>
        <w:t>education authority websites, include acknowledgement that CAP is a Commonwealth initiative.</w:t>
      </w:r>
    </w:p>
    <w:p w14:paraId="7F4865B4" w14:textId="77777777" w:rsidR="00D32016" w:rsidRDefault="005218BF">
      <w:pPr>
        <w:pStyle w:val="Heading4"/>
      </w:pPr>
      <w:r w:rsidRPr="00061D40">
        <w:t>School Support</w:t>
      </w:r>
    </w:p>
    <w:p w14:paraId="7F4865B5" w14:textId="77777777" w:rsidR="005218BF" w:rsidRPr="00061D40" w:rsidRDefault="005218BF" w:rsidP="005218BF">
      <w:pPr>
        <w:pStyle w:val="bodytextoutlinednumber"/>
      </w:pPr>
      <w:r w:rsidRPr="00061D40">
        <w:t>Where sectoral costs associated with CAP program development and delivery (for example, salary costs of professional staff such as CAP co-ordinators and advisers) are necessary for the effective delivery of CAP, these should be treated as projects.</w:t>
      </w:r>
    </w:p>
    <w:p w14:paraId="7F4865B6" w14:textId="77777777" w:rsidR="00D32016" w:rsidRDefault="005218BF">
      <w:pPr>
        <w:pStyle w:val="Heading4"/>
      </w:pPr>
      <w:r w:rsidRPr="00061D40">
        <w:t>Purchase of Tangible Items</w:t>
      </w:r>
    </w:p>
    <w:p w14:paraId="7F4865B7" w14:textId="77777777" w:rsidR="005218BF" w:rsidRPr="00061D40" w:rsidRDefault="005218BF" w:rsidP="005218BF">
      <w:pPr>
        <w:pStyle w:val="bodytextoutlinednumber"/>
      </w:pPr>
      <w:r w:rsidRPr="00061D40">
        <w:t xml:space="preserve">Where a school can satisfy itself that the purchase of equipment (such as a computer, musical instruments, tools, library books etc) is consistent with the purpose of the Program, it may expend up to $5,000 on such items. </w:t>
      </w:r>
    </w:p>
    <w:p w14:paraId="7F4865B8" w14:textId="77777777" w:rsidR="005218BF" w:rsidRPr="00061D40" w:rsidRDefault="005218BF" w:rsidP="005218BF">
      <w:pPr>
        <w:pStyle w:val="bodytextoutlinednumber"/>
        <w:spacing w:after="150"/>
      </w:pPr>
      <w:r w:rsidRPr="00061D40">
        <w:t>CAP funds may be used for the purchase of capital items. For items of $5,000 or over, recipients must keep a register of assets in the following form.</w:t>
      </w:r>
    </w:p>
    <w:tbl>
      <w:tblPr>
        <w:tblW w:w="916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9"/>
        <w:gridCol w:w="1309"/>
        <w:gridCol w:w="1309"/>
        <w:gridCol w:w="1310"/>
        <w:gridCol w:w="1309"/>
        <w:gridCol w:w="1309"/>
        <w:gridCol w:w="1310"/>
      </w:tblGrid>
      <w:tr w:rsidR="005218BF" w:rsidRPr="00061D40" w14:paraId="7F4865C0" w14:textId="77777777" w:rsidTr="005218BF">
        <w:tc>
          <w:tcPr>
            <w:tcW w:w="1309" w:type="dxa"/>
            <w:shd w:val="clear" w:color="auto" w:fill="999999"/>
          </w:tcPr>
          <w:p w14:paraId="7F4865B9" w14:textId="77777777" w:rsidR="005218BF" w:rsidRPr="00061D40" w:rsidRDefault="005218BF" w:rsidP="005218BF">
            <w:pPr>
              <w:pStyle w:val="TableHeading2"/>
              <w:spacing w:line="240" w:lineRule="auto"/>
            </w:pPr>
            <w:r w:rsidRPr="00061D40">
              <w:t>Asset No.</w:t>
            </w:r>
          </w:p>
        </w:tc>
        <w:tc>
          <w:tcPr>
            <w:tcW w:w="1309" w:type="dxa"/>
            <w:shd w:val="clear" w:color="auto" w:fill="999999"/>
          </w:tcPr>
          <w:p w14:paraId="7F4865BA" w14:textId="77777777" w:rsidR="005218BF" w:rsidRPr="00061D40" w:rsidRDefault="005218BF" w:rsidP="005218BF">
            <w:pPr>
              <w:pStyle w:val="TableHeading2"/>
              <w:spacing w:line="240" w:lineRule="auto"/>
            </w:pPr>
            <w:r w:rsidRPr="00061D40">
              <w:t>Details of Asset</w:t>
            </w:r>
          </w:p>
        </w:tc>
        <w:tc>
          <w:tcPr>
            <w:tcW w:w="1309" w:type="dxa"/>
            <w:shd w:val="clear" w:color="auto" w:fill="999999"/>
          </w:tcPr>
          <w:p w14:paraId="7F4865BB" w14:textId="77777777" w:rsidR="005218BF" w:rsidRPr="00061D40" w:rsidRDefault="005218BF" w:rsidP="005218BF">
            <w:pPr>
              <w:pStyle w:val="TableHeading2"/>
              <w:spacing w:line="240" w:lineRule="auto"/>
              <w:rPr>
                <w:rFonts w:cs="Arial"/>
              </w:rPr>
            </w:pPr>
            <w:r w:rsidRPr="00061D40">
              <w:rPr>
                <w:rFonts w:cs="Arial"/>
              </w:rPr>
              <w:t>Purchase Price</w:t>
            </w:r>
          </w:p>
        </w:tc>
        <w:tc>
          <w:tcPr>
            <w:tcW w:w="1310" w:type="dxa"/>
            <w:shd w:val="clear" w:color="auto" w:fill="999999"/>
          </w:tcPr>
          <w:p w14:paraId="7F4865BC" w14:textId="77777777" w:rsidR="005218BF" w:rsidRPr="00061D40" w:rsidRDefault="005218BF" w:rsidP="005218BF">
            <w:pPr>
              <w:pStyle w:val="TableHeading2"/>
              <w:spacing w:line="240" w:lineRule="auto"/>
              <w:rPr>
                <w:rFonts w:cs="Arial"/>
              </w:rPr>
            </w:pPr>
            <w:r w:rsidRPr="00061D40">
              <w:rPr>
                <w:rFonts w:cs="Arial"/>
              </w:rPr>
              <w:t>Date of Purchase</w:t>
            </w:r>
          </w:p>
        </w:tc>
        <w:tc>
          <w:tcPr>
            <w:tcW w:w="1309" w:type="dxa"/>
            <w:shd w:val="clear" w:color="auto" w:fill="999999"/>
          </w:tcPr>
          <w:p w14:paraId="7F4865BD" w14:textId="77777777" w:rsidR="005218BF" w:rsidRPr="00061D40" w:rsidRDefault="005218BF" w:rsidP="005218BF">
            <w:pPr>
              <w:pStyle w:val="TableHeading2"/>
              <w:spacing w:line="240" w:lineRule="auto"/>
              <w:rPr>
                <w:rFonts w:cs="Arial"/>
              </w:rPr>
            </w:pPr>
            <w:r w:rsidRPr="00061D40">
              <w:rPr>
                <w:rFonts w:cs="Arial"/>
              </w:rPr>
              <w:t>Disposal Date</w:t>
            </w:r>
          </w:p>
        </w:tc>
        <w:tc>
          <w:tcPr>
            <w:tcW w:w="1309" w:type="dxa"/>
            <w:shd w:val="clear" w:color="auto" w:fill="999999"/>
          </w:tcPr>
          <w:p w14:paraId="7F4865BE" w14:textId="77777777" w:rsidR="005218BF" w:rsidRPr="00061D40" w:rsidRDefault="005218BF" w:rsidP="005218BF">
            <w:pPr>
              <w:pStyle w:val="TableHeading2"/>
              <w:spacing w:line="240" w:lineRule="auto"/>
            </w:pPr>
            <w:r w:rsidRPr="00061D40">
              <w:t>Sale Price</w:t>
            </w:r>
          </w:p>
        </w:tc>
        <w:tc>
          <w:tcPr>
            <w:tcW w:w="1310" w:type="dxa"/>
            <w:shd w:val="clear" w:color="auto" w:fill="999999"/>
          </w:tcPr>
          <w:p w14:paraId="7F4865BF" w14:textId="77777777" w:rsidR="005218BF" w:rsidRPr="00061D40" w:rsidRDefault="005218BF" w:rsidP="005218BF">
            <w:pPr>
              <w:pStyle w:val="TableHeading2"/>
              <w:spacing w:line="240" w:lineRule="auto"/>
              <w:rPr>
                <w:rFonts w:cs="Arial"/>
              </w:rPr>
            </w:pPr>
            <w:r w:rsidRPr="00061D40">
              <w:rPr>
                <w:rFonts w:cs="Arial"/>
              </w:rPr>
              <w:t>Depreciation Rate</w:t>
            </w:r>
          </w:p>
        </w:tc>
      </w:tr>
      <w:tr w:rsidR="005218BF" w:rsidRPr="00061D40" w14:paraId="7F4865C8" w14:textId="77777777" w:rsidTr="005218BF">
        <w:trPr>
          <w:trHeight w:val="70"/>
        </w:trPr>
        <w:tc>
          <w:tcPr>
            <w:tcW w:w="1309" w:type="dxa"/>
          </w:tcPr>
          <w:p w14:paraId="7F4865C1" w14:textId="77777777" w:rsidR="005218BF" w:rsidRPr="00061D40" w:rsidRDefault="005218BF" w:rsidP="005218BF">
            <w:pPr>
              <w:pStyle w:val="TableText"/>
              <w:spacing w:line="240" w:lineRule="auto"/>
            </w:pPr>
          </w:p>
        </w:tc>
        <w:tc>
          <w:tcPr>
            <w:tcW w:w="1309" w:type="dxa"/>
          </w:tcPr>
          <w:p w14:paraId="7F4865C2" w14:textId="77777777" w:rsidR="005218BF" w:rsidRPr="00061D40" w:rsidRDefault="005218BF" w:rsidP="005218BF">
            <w:pPr>
              <w:pStyle w:val="TableText"/>
              <w:spacing w:line="240" w:lineRule="auto"/>
            </w:pPr>
          </w:p>
        </w:tc>
        <w:tc>
          <w:tcPr>
            <w:tcW w:w="1309" w:type="dxa"/>
          </w:tcPr>
          <w:p w14:paraId="7F4865C3" w14:textId="77777777" w:rsidR="005218BF" w:rsidRPr="00061D40" w:rsidRDefault="005218BF" w:rsidP="005218BF">
            <w:pPr>
              <w:pStyle w:val="TableText"/>
              <w:spacing w:line="240" w:lineRule="auto"/>
            </w:pPr>
          </w:p>
        </w:tc>
        <w:tc>
          <w:tcPr>
            <w:tcW w:w="1310" w:type="dxa"/>
          </w:tcPr>
          <w:p w14:paraId="7F4865C4" w14:textId="77777777" w:rsidR="005218BF" w:rsidRPr="00061D40" w:rsidRDefault="005218BF" w:rsidP="005218BF">
            <w:pPr>
              <w:pStyle w:val="TableText"/>
              <w:spacing w:line="240" w:lineRule="auto"/>
            </w:pPr>
          </w:p>
        </w:tc>
        <w:tc>
          <w:tcPr>
            <w:tcW w:w="1309" w:type="dxa"/>
          </w:tcPr>
          <w:p w14:paraId="7F4865C5" w14:textId="77777777" w:rsidR="005218BF" w:rsidRPr="00061D40" w:rsidRDefault="005218BF" w:rsidP="005218BF">
            <w:pPr>
              <w:pStyle w:val="TableText"/>
              <w:spacing w:line="240" w:lineRule="auto"/>
            </w:pPr>
          </w:p>
        </w:tc>
        <w:tc>
          <w:tcPr>
            <w:tcW w:w="1309" w:type="dxa"/>
          </w:tcPr>
          <w:p w14:paraId="7F4865C6" w14:textId="77777777" w:rsidR="005218BF" w:rsidRPr="00061D40" w:rsidRDefault="005218BF" w:rsidP="005218BF">
            <w:pPr>
              <w:pStyle w:val="TableText"/>
              <w:spacing w:line="240" w:lineRule="auto"/>
            </w:pPr>
          </w:p>
        </w:tc>
        <w:tc>
          <w:tcPr>
            <w:tcW w:w="1310" w:type="dxa"/>
          </w:tcPr>
          <w:p w14:paraId="7F4865C7" w14:textId="77777777" w:rsidR="005218BF" w:rsidRPr="00061D40" w:rsidRDefault="005218BF" w:rsidP="005218BF">
            <w:pPr>
              <w:pStyle w:val="TableText"/>
              <w:spacing w:line="240" w:lineRule="auto"/>
            </w:pPr>
          </w:p>
        </w:tc>
      </w:tr>
      <w:tr w:rsidR="005218BF" w:rsidRPr="00061D40" w14:paraId="7F4865D0" w14:textId="77777777" w:rsidTr="005218BF">
        <w:trPr>
          <w:trHeight w:val="70"/>
        </w:trPr>
        <w:tc>
          <w:tcPr>
            <w:tcW w:w="1309" w:type="dxa"/>
          </w:tcPr>
          <w:p w14:paraId="7F4865C9" w14:textId="77777777" w:rsidR="005218BF" w:rsidRPr="00061D40" w:rsidRDefault="005218BF" w:rsidP="005218BF">
            <w:pPr>
              <w:pStyle w:val="TableText"/>
              <w:spacing w:line="240" w:lineRule="auto"/>
            </w:pPr>
          </w:p>
        </w:tc>
        <w:tc>
          <w:tcPr>
            <w:tcW w:w="1309" w:type="dxa"/>
          </w:tcPr>
          <w:p w14:paraId="7F4865CA" w14:textId="77777777" w:rsidR="005218BF" w:rsidRPr="00061D40" w:rsidRDefault="005218BF" w:rsidP="005218BF">
            <w:pPr>
              <w:pStyle w:val="TableText"/>
              <w:spacing w:line="240" w:lineRule="auto"/>
            </w:pPr>
          </w:p>
        </w:tc>
        <w:tc>
          <w:tcPr>
            <w:tcW w:w="1309" w:type="dxa"/>
          </w:tcPr>
          <w:p w14:paraId="7F4865CB" w14:textId="77777777" w:rsidR="005218BF" w:rsidRPr="00061D40" w:rsidRDefault="005218BF" w:rsidP="005218BF">
            <w:pPr>
              <w:pStyle w:val="TableText"/>
              <w:spacing w:line="240" w:lineRule="auto"/>
            </w:pPr>
          </w:p>
        </w:tc>
        <w:tc>
          <w:tcPr>
            <w:tcW w:w="1310" w:type="dxa"/>
          </w:tcPr>
          <w:p w14:paraId="7F4865CC" w14:textId="77777777" w:rsidR="005218BF" w:rsidRPr="00061D40" w:rsidRDefault="005218BF" w:rsidP="005218BF">
            <w:pPr>
              <w:pStyle w:val="TableText"/>
              <w:spacing w:line="240" w:lineRule="auto"/>
            </w:pPr>
          </w:p>
        </w:tc>
        <w:tc>
          <w:tcPr>
            <w:tcW w:w="1309" w:type="dxa"/>
          </w:tcPr>
          <w:p w14:paraId="7F4865CD" w14:textId="77777777" w:rsidR="005218BF" w:rsidRPr="00061D40" w:rsidRDefault="005218BF" w:rsidP="005218BF">
            <w:pPr>
              <w:pStyle w:val="TableText"/>
              <w:spacing w:line="240" w:lineRule="auto"/>
            </w:pPr>
          </w:p>
        </w:tc>
        <w:tc>
          <w:tcPr>
            <w:tcW w:w="1309" w:type="dxa"/>
          </w:tcPr>
          <w:p w14:paraId="7F4865CE" w14:textId="77777777" w:rsidR="005218BF" w:rsidRPr="00061D40" w:rsidRDefault="005218BF" w:rsidP="005218BF">
            <w:pPr>
              <w:pStyle w:val="TableText"/>
              <w:spacing w:line="240" w:lineRule="auto"/>
            </w:pPr>
          </w:p>
        </w:tc>
        <w:tc>
          <w:tcPr>
            <w:tcW w:w="1310" w:type="dxa"/>
          </w:tcPr>
          <w:p w14:paraId="7F4865CF" w14:textId="77777777" w:rsidR="005218BF" w:rsidRPr="00061D40" w:rsidRDefault="005218BF" w:rsidP="005218BF">
            <w:pPr>
              <w:pStyle w:val="TableText"/>
              <w:spacing w:line="240" w:lineRule="auto"/>
            </w:pPr>
          </w:p>
        </w:tc>
      </w:tr>
    </w:tbl>
    <w:p w14:paraId="7F4865D1" w14:textId="77777777" w:rsidR="005218BF" w:rsidRPr="00061D40" w:rsidRDefault="005218BF" w:rsidP="005218BF">
      <w:pPr>
        <w:pStyle w:val="Tablefootnote"/>
      </w:pPr>
      <w:r w:rsidRPr="00061D40">
        <w:t>Note: sufficient detail must be included under ‘Details of Asset’ to enable identification of the Asset, e.g. make, model, colour, serial number, engine number, registration number etc.</w:t>
      </w:r>
    </w:p>
    <w:p w14:paraId="7F4865D2" w14:textId="77777777" w:rsidR="005218BF" w:rsidRPr="00061D40" w:rsidRDefault="005218BF" w:rsidP="005218BF">
      <w:pPr>
        <w:pStyle w:val="bodytextoutlinednumber"/>
        <w:rPr>
          <w:shd w:val="clear" w:color="auto" w:fill="FFFFFD"/>
        </w:rPr>
      </w:pPr>
      <w:r w:rsidRPr="00061D40">
        <w:rPr>
          <w:shd w:val="clear" w:color="auto" w:fill="FFFFFD"/>
        </w:rPr>
        <w:t xml:space="preserve">The register must be available for inspection by DEEWR, if requested. </w:t>
      </w:r>
    </w:p>
    <w:p w14:paraId="7F4865D3" w14:textId="77777777" w:rsidR="005218BF" w:rsidRPr="00061D40" w:rsidRDefault="005218BF" w:rsidP="005218BF">
      <w:pPr>
        <w:pStyle w:val="bodytextoutlinednumber"/>
        <w:rPr>
          <w:shd w:val="clear" w:color="auto" w:fill="FFFFFD"/>
        </w:rPr>
      </w:pPr>
      <w:r w:rsidRPr="00061D40">
        <w:rPr>
          <w:shd w:val="clear" w:color="auto" w:fill="FFFFFD"/>
        </w:rPr>
        <w:t xml:space="preserve">CAP supplementation funds may be used for any projects that are consistent with the objectives and purposes of the CAP program as set out in the Act and Guidelines. </w:t>
      </w:r>
    </w:p>
    <w:p w14:paraId="7F4865D4" w14:textId="77777777" w:rsidR="00D32016" w:rsidRDefault="00F02ED7">
      <w:pPr>
        <w:pStyle w:val="Heading3"/>
      </w:pPr>
      <w:r w:rsidRPr="00F02ED7">
        <w:t>Assessment for the allocation of CAP Funds</w:t>
      </w:r>
    </w:p>
    <w:p w14:paraId="7F4865D5" w14:textId="77777777" w:rsidR="005218BF" w:rsidRPr="00061D40" w:rsidRDefault="005218BF" w:rsidP="005218BF">
      <w:pPr>
        <w:pStyle w:val="bodytextoutlinednumber"/>
      </w:pPr>
      <w:r w:rsidRPr="00061D40">
        <w:t>The non-government education authorities in each state and the Northern Territory may allocate CAP funds as they deem most appropriate. To ensure maximum use of Commonwealth funding, administrators need to consider the following principles:</w:t>
      </w:r>
    </w:p>
    <w:p w14:paraId="7F4865D6"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to ensure flexibility, projects may vary in size according to the number and needs of students</w:t>
      </w:r>
    </w:p>
    <w:p w14:paraId="7F4865D7"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projects should be regularly reviewed to ensure effectiveness. A balance must be achieved between new and recurrent projects so that CAP remains innovative and dynamic, building on existing best practice and developing innovative approaches</w:t>
      </w:r>
    </w:p>
    <w:p w14:paraId="7F4865D8"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projects should be complementary to the curricula and be part of an integrated approach to improving learning outcomes</w:t>
      </w:r>
    </w:p>
    <w:p w14:paraId="7F4865D9"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projects should promote the importance of education to parent and community groups and foster the involvement of parents, communities and community agencies</w:t>
      </w:r>
    </w:p>
    <w:p w14:paraId="7F4865DA" w14:textId="77777777" w:rsidR="005218BF" w:rsidRPr="00061D40" w:rsidRDefault="005218BF" w:rsidP="005218BF">
      <w:pPr>
        <w:pStyle w:val="bodytextoutlinednumber"/>
        <w:numPr>
          <w:ilvl w:val="1"/>
          <w:numId w:val="10"/>
        </w:numPr>
        <w:rPr>
          <w:shd w:val="clear" w:color="auto" w:fill="FFFFFD"/>
        </w:rPr>
      </w:pPr>
      <w:r w:rsidRPr="00061D40">
        <w:rPr>
          <w:shd w:val="clear" w:color="auto" w:fill="FFFFFD"/>
        </w:rPr>
        <w:t xml:space="preserve">where possible, the funds should be maximised by the effective utilisation and sharing of local resources across school communities to supplement, complement and develop CAP initiatives. </w:t>
      </w:r>
    </w:p>
    <w:p w14:paraId="7F4865DB" w14:textId="77777777" w:rsidR="005218BF" w:rsidRPr="00061D40" w:rsidRDefault="005218BF" w:rsidP="005218BF">
      <w:pPr>
        <w:pStyle w:val="bodytextoutlinednumber"/>
      </w:pPr>
      <w:r w:rsidRPr="00061D40">
        <w:lastRenderedPageBreak/>
        <w:t>CAP funds provided for administration purposes must not exceed 5 per cent of the total annual CAP allocation to non-government education authority in each State or the Northern Territory.</w:t>
      </w:r>
    </w:p>
    <w:p w14:paraId="7F4865DC" w14:textId="77777777" w:rsidR="005218BF" w:rsidRPr="00061D40" w:rsidRDefault="005218BF" w:rsidP="005218BF">
      <w:pPr>
        <w:pStyle w:val="bodytextoutlinednumber"/>
      </w:pPr>
      <w:r w:rsidRPr="00061D40">
        <w:t>Assessment and disbursement of CAP projects must be undertaken on a transparent basis and with appropriate targeting, including arrangements for consulting with and ensuring the participation of key stakeholders in the planning and delivery of the program. State and Northern Territory non-government education authorities are encouraged to consult and cooperate with each other in the administration and operations of the program.</w:t>
      </w:r>
    </w:p>
    <w:p w14:paraId="7F4865DD" w14:textId="77777777" w:rsidR="00D32016" w:rsidRDefault="00132EEF">
      <w:pPr>
        <w:pStyle w:val="Heading3"/>
      </w:pPr>
      <w:r w:rsidRPr="00061D40">
        <w:t>Project Management and Accountability of CAP Funds</w:t>
      </w:r>
    </w:p>
    <w:p w14:paraId="7F4865DE" w14:textId="77777777" w:rsidR="00132EEF" w:rsidRPr="00061D40" w:rsidRDefault="00132EEF" w:rsidP="00132EEF">
      <w:pPr>
        <w:pStyle w:val="bodytextoutlinednumber"/>
        <w:rPr>
          <w:shd w:val="clear" w:color="auto" w:fill="FFFFFD"/>
        </w:rPr>
      </w:pPr>
      <w:r w:rsidRPr="00BC5AF1">
        <w:rPr>
          <w:shd w:val="clear" w:color="auto" w:fill="FFFFFD"/>
        </w:rPr>
        <w:t>Funding of $</w:t>
      </w:r>
      <w:r w:rsidR="00204535">
        <w:rPr>
          <w:shd w:val="clear" w:color="auto" w:fill="FFFFFD"/>
        </w:rPr>
        <w:t>6.</w:t>
      </w:r>
      <w:r w:rsidR="00F15AE9">
        <w:rPr>
          <w:shd w:val="clear" w:color="auto" w:fill="FFFFFD"/>
        </w:rPr>
        <w:t>278</w:t>
      </w:r>
      <w:r w:rsidRPr="00BC5AF1">
        <w:rPr>
          <w:shd w:val="clear" w:color="auto" w:fill="FFFFFD"/>
        </w:rPr>
        <w:t xml:space="preserve"> million in 201</w:t>
      </w:r>
      <w:r w:rsidR="007F0178">
        <w:rPr>
          <w:shd w:val="clear" w:color="auto" w:fill="FFFFFD"/>
        </w:rPr>
        <w:t>3</w:t>
      </w:r>
      <w:r w:rsidRPr="00BC5AF1">
        <w:rPr>
          <w:shd w:val="clear" w:color="auto" w:fill="FFFFFD"/>
        </w:rPr>
        <w:t xml:space="preserve"> is provided for CAP, under section 88 of the Act.</w:t>
      </w:r>
      <w:r w:rsidRPr="00061D40">
        <w:rPr>
          <w:shd w:val="clear" w:color="auto" w:fill="FFFFFD"/>
        </w:rPr>
        <w:t xml:space="preserve"> Funding is supplemented annually in line with movements in the Average Government School Recurrent Costs (AGSRC) Index. Refer to </w:t>
      </w:r>
      <w:hyperlink w:anchor="_Appendix_K:_Supplementation" w:history="1">
        <w:r w:rsidRPr="00061D40">
          <w:rPr>
            <w:rStyle w:val="Hyperlink"/>
            <w:rFonts w:cs="Garamond"/>
            <w:shd w:val="clear" w:color="auto" w:fill="FFFFFD"/>
          </w:rPr>
          <w:t>Appendix</w:t>
        </w:r>
        <w:r>
          <w:rPr>
            <w:rStyle w:val="Hyperlink"/>
            <w:rFonts w:cs="Garamond"/>
            <w:shd w:val="clear" w:color="auto" w:fill="FFFFFD"/>
          </w:rPr>
          <w:t xml:space="preserve"> </w:t>
        </w:r>
        <w:r w:rsidRPr="00061D40">
          <w:rPr>
            <w:rStyle w:val="Hyperlink"/>
            <w:rFonts w:cs="Garamond"/>
            <w:shd w:val="clear" w:color="auto" w:fill="FFFFFD"/>
          </w:rPr>
          <w:t>K</w:t>
        </w:r>
      </w:hyperlink>
      <w:r w:rsidRPr="00061D40">
        <w:rPr>
          <w:shd w:val="clear" w:color="auto" w:fill="FFFFFD"/>
        </w:rPr>
        <w:t>.</w:t>
      </w:r>
    </w:p>
    <w:p w14:paraId="7F4865DF" w14:textId="77777777" w:rsidR="00132EEF" w:rsidRPr="00061D40" w:rsidRDefault="00132EEF" w:rsidP="00132EEF">
      <w:pPr>
        <w:pStyle w:val="bodytextoutlinednumber"/>
        <w:rPr>
          <w:shd w:val="clear" w:color="auto" w:fill="FFFFFD"/>
        </w:rPr>
      </w:pPr>
      <w:r w:rsidRPr="00061D40">
        <w:rPr>
          <w:shd w:val="clear" w:color="auto" w:fill="FFFFFD"/>
        </w:rPr>
        <w:t>In 201</w:t>
      </w:r>
      <w:r w:rsidR="007F0178">
        <w:rPr>
          <w:shd w:val="clear" w:color="auto" w:fill="FFFFFD"/>
        </w:rPr>
        <w:t>3</w:t>
      </w:r>
      <w:r w:rsidR="00204535">
        <w:rPr>
          <w:shd w:val="clear" w:color="auto" w:fill="FFFFFD"/>
        </w:rPr>
        <w:t>,</w:t>
      </w:r>
      <w:r w:rsidRPr="00061D40">
        <w:rPr>
          <w:shd w:val="clear" w:color="auto" w:fill="FFFFFD"/>
        </w:rPr>
        <w:t xml:space="preserve"> CAP funds will be distributed as follows:</w:t>
      </w:r>
    </w:p>
    <w:p w14:paraId="7F4865E0" w14:textId="77777777" w:rsidR="00132EEF" w:rsidRDefault="00132EEF" w:rsidP="00132EEF">
      <w:pPr>
        <w:pStyle w:val="TablefigureHeading1"/>
        <w:spacing w:before="120" w:after="60" w:line="240" w:lineRule="auto"/>
      </w:pPr>
      <w:r w:rsidRPr="00061D40">
        <w:t>Table 4.</w:t>
      </w:r>
      <w:r w:rsidR="00BD3092">
        <w:t>1</w:t>
      </w:r>
      <w:r w:rsidRPr="00061D40">
        <w:t>: Country Areas Program Funding Allocations for 201</w:t>
      </w:r>
      <w:r w:rsidR="00776863">
        <w:t>3</w:t>
      </w:r>
    </w:p>
    <w:tbl>
      <w:tblPr>
        <w:tblStyle w:val="TableGrid"/>
        <w:tblW w:w="0" w:type="auto"/>
        <w:tblInd w:w="142" w:type="dxa"/>
        <w:tblLook w:val="04A0" w:firstRow="1" w:lastRow="0" w:firstColumn="1" w:lastColumn="0" w:noHBand="0" w:noVBand="1"/>
      </w:tblPr>
      <w:tblGrid>
        <w:gridCol w:w="2463"/>
        <w:gridCol w:w="2171"/>
        <w:gridCol w:w="2171"/>
      </w:tblGrid>
      <w:tr w:rsidR="00B72999" w:rsidRPr="00061D40" w14:paraId="7F4865E4" w14:textId="77777777" w:rsidTr="00B72999">
        <w:tc>
          <w:tcPr>
            <w:tcW w:w="2463" w:type="dxa"/>
            <w:shd w:val="clear" w:color="auto" w:fill="A6A6A6" w:themeFill="background1" w:themeFillShade="A6"/>
          </w:tcPr>
          <w:p w14:paraId="7F4865E1" w14:textId="77777777" w:rsidR="00B72999" w:rsidRPr="00B72999" w:rsidRDefault="00B72999" w:rsidP="00B72999">
            <w:pPr>
              <w:pStyle w:val="TableHeading2"/>
              <w:spacing w:line="240" w:lineRule="auto"/>
              <w:jc w:val="left"/>
              <w:rPr>
                <w:color w:val="FFFFFF" w:themeColor="background1"/>
              </w:rPr>
            </w:pPr>
            <w:r w:rsidRPr="00B72999">
              <w:rPr>
                <w:color w:val="FFFFFF" w:themeColor="background1"/>
              </w:rPr>
              <w:t>STATE</w:t>
            </w:r>
          </w:p>
        </w:tc>
        <w:tc>
          <w:tcPr>
            <w:tcW w:w="2171" w:type="dxa"/>
            <w:shd w:val="clear" w:color="auto" w:fill="A6A6A6" w:themeFill="background1" w:themeFillShade="A6"/>
          </w:tcPr>
          <w:p w14:paraId="7F4865E2" w14:textId="77777777" w:rsidR="00B72999" w:rsidRPr="00B72999" w:rsidRDefault="00B72999" w:rsidP="00B72999">
            <w:pPr>
              <w:pStyle w:val="TableHeading2"/>
              <w:spacing w:line="240" w:lineRule="auto"/>
              <w:jc w:val="left"/>
              <w:rPr>
                <w:color w:val="FFFFFF" w:themeColor="background1"/>
              </w:rPr>
            </w:pPr>
            <w:r w:rsidRPr="00B72999">
              <w:rPr>
                <w:color w:val="FFFFFF" w:themeColor="background1"/>
              </w:rPr>
              <w:t>CATHOLIC SECTOR</w:t>
            </w:r>
          </w:p>
        </w:tc>
        <w:tc>
          <w:tcPr>
            <w:tcW w:w="2171" w:type="dxa"/>
            <w:shd w:val="clear" w:color="auto" w:fill="A6A6A6" w:themeFill="background1" w:themeFillShade="A6"/>
          </w:tcPr>
          <w:p w14:paraId="7F4865E3" w14:textId="77777777" w:rsidR="00B72999" w:rsidRPr="00B72999" w:rsidRDefault="00B72999" w:rsidP="00B72999">
            <w:pPr>
              <w:pStyle w:val="TableHeading2"/>
              <w:spacing w:line="240" w:lineRule="auto"/>
              <w:jc w:val="left"/>
              <w:rPr>
                <w:color w:val="FFFFFF" w:themeColor="background1"/>
              </w:rPr>
            </w:pPr>
            <w:r w:rsidRPr="00B72999">
              <w:rPr>
                <w:color w:val="FFFFFF" w:themeColor="background1"/>
              </w:rPr>
              <w:t>INDEPENDENT SECTOR</w:t>
            </w:r>
          </w:p>
        </w:tc>
      </w:tr>
      <w:tr w:rsidR="00B72999" w:rsidRPr="00061D40" w14:paraId="7F4865E8" w14:textId="77777777" w:rsidTr="00B72999">
        <w:tc>
          <w:tcPr>
            <w:tcW w:w="2463" w:type="dxa"/>
          </w:tcPr>
          <w:p w14:paraId="7F4865E5" w14:textId="77777777" w:rsidR="00B72999" w:rsidRPr="00EA693E" w:rsidRDefault="00B72999" w:rsidP="00707A29">
            <w:pPr>
              <w:pStyle w:val="TableText"/>
              <w:spacing w:line="240" w:lineRule="auto"/>
            </w:pPr>
            <w:r w:rsidRPr="00EA693E">
              <w:t>NSW</w:t>
            </w:r>
          </w:p>
        </w:tc>
        <w:tc>
          <w:tcPr>
            <w:tcW w:w="2171" w:type="dxa"/>
          </w:tcPr>
          <w:p w14:paraId="7F4865E6" w14:textId="77777777" w:rsidR="00B72999" w:rsidRPr="00904283" w:rsidRDefault="00B72999" w:rsidP="00BC1460">
            <w:pPr>
              <w:pStyle w:val="TableText"/>
              <w:spacing w:line="240" w:lineRule="auto"/>
            </w:pPr>
            <w:r w:rsidRPr="00904283">
              <w:t>$</w:t>
            </w:r>
            <w:r w:rsidR="00BC1460" w:rsidRPr="00904283">
              <w:t>1,656,101</w:t>
            </w:r>
          </w:p>
        </w:tc>
        <w:tc>
          <w:tcPr>
            <w:tcW w:w="2171" w:type="dxa"/>
          </w:tcPr>
          <w:p w14:paraId="7F4865E7" w14:textId="77777777" w:rsidR="00B72999" w:rsidRPr="00904283" w:rsidRDefault="00B72999" w:rsidP="00BC1460">
            <w:pPr>
              <w:pStyle w:val="TableText"/>
              <w:spacing w:line="240" w:lineRule="auto"/>
            </w:pPr>
            <w:r w:rsidRPr="00904283">
              <w:t>$</w:t>
            </w:r>
            <w:r w:rsidR="00BC1460" w:rsidRPr="00904283">
              <w:t>696,868</w:t>
            </w:r>
          </w:p>
        </w:tc>
      </w:tr>
      <w:tr w:rsidR="00B72999" w:rsidRPr="00061D40" w14:paraId="7F4865EC" w14:textId="77777777" w:rsidTr="00B72999">
        <w:tc>
          <w:tcPr>
            <w:tcW w:w="2463" w:type="dxa"/>
          </w:tcPr>
          <w:p w14:paraId="7F4865E9" w14:textId="77777777" w:rsidR="00B72999" w:rsidRPr="00EA693E" w:rsidRDefault="00B72999" w:rsidP="00707A29">
            <w:pPr>
              <w:pStyle w:val="TableText"/>
              <w:spacing w:line="240" w:lineRule="auto"/>
            </w:pPr>
            <w:r w:rsidRPr="00EA693E">
              <w:t>VIC</w:t>
            </w:r>
          </w:p>
        </w:tc>
        <w:tc>
          <w:tcPr>
            <w:tcW w:w="2171" w:type="dxa"/>
          </w:tcPr>
          <w:p w14:paraId="7F4865EA" w14:textId="77777777" w:rsidR="00B72999" w:rsidRPr="00904283" w:rsidRDefault="00B72999" w:rsidP="00BC1460">
            <w:pPr>
              <w:pStyle w:val="TableText"/>
              <w:spacing w:line="240" w:lineRule="auto"/>
            </w:pPr>
            <w:r w:rsidRPr="00904283">
              <w:t>$</w:t>
            </w:r>
            <w:r w:rsidR="00BC1460" w:rsidRPr="00904283">
              <w:t>684,750</w:t>
            </w:r>
          </w:p>
        </w:tc>
        <w:tc>
          <w:tcPr>
            <w:tcW w:w="2171" w:type="dxa"/>
          </w:tcPr>
          <w:p w14:paraId="7F4865EB" w14:textId="77777777" w:rsidR="00B72999" w:rsidRPr="00904283" w:rsidRDefault="00B72999" w:rsidP="00BC1460">
            <w:pPr>
              <w:pStyle w:val="TableText"/>
              <w:spacing w:line="240" w:lineRule="auto"/>
            </w:pPr>
            <w:r w:rsidRPr="00904283">
              <w:t>$</w:t>
            </w:r>
            <w:r w:rsidR="00BC1460" w:rsidRPr="00904283">
              <w:t>336,195</w:t>
            </w:r>
          </w:p>
        </w:tc>
      </w:tr>
      <w:tr w:rsidR="00B72999" w:rsidRPr="00061D40" w14:paraId="7F4865F0" w14:textId="77777777" w:rsidTr="00B72999">
        <w:tc>
          <w:tcPr>
            <w:tcW w:w="2463" w:type="dxa"/>
          </w:tcPr>
          <w:p w14:paraId="7F4865ED" w14:textId="77777777" w:rsidR="00B72999" w:rsidRPr="00EA693E" w:rsidRDefault="00B72999" w:rsidP="00707A29">
            <w:pPr>
              <w:pStyle w:val="TableText"/>
              <w:spacing w:line="240" w:lineRule="auto"/>
            </w:pPr>
            <w:r w:rsidRPr="00EA693E">
              <w:t>QLD</w:t>
            </w:r>
          </w:p>
        </w:tc>
        <w:tc>
          <w:tcPr>
            <w:tcW w:w="2171" w:type="dxa"/>
          </w:tcPr>
          <w:p w14:paraId="7F4865EE" w14:textId="77777777" w:rsidR="00B72999" w:rsidRPr="00904283" w:rsidRDefault="00B72999" w:rsidP="00BC1460">
            <w:pPr>
              <w:pStyle w:val="TableText"/>
              <w:spacing w:line="240" w:lineRule="auto"/>
            </w:pPr>
            <w:r w:rsidRPr="00904283">
              <w:t>$</w:t>
            </w:r>
            <w:r w:rsidR="00BC1460" w:rsidRPr="00904283">
              <w:t>857,315</w:t>
            </w:r>
          </w:p>
        </w:tc>
        <w:tc>
          <w:tcPr>
            <w:tcW w:w="2171" w:type="dxa"/>
          </w:tcPr>
          <w:p w14:paraId="7F4865EF" w14:textId="77777777" w:rsidR="00B72999" w:rsidRPr="00904283" w:rsidRDefault="00277D58" w:rsidP="00BC1460">
            <w:pPr>
              <w:pStyle w:val="TableText"/>
              <w:spacing w:line="240" w:lineRule="auto"/>
            </w:pPr>
            <w:r w:rsidRPr="00904283">
              <w:t>$</w:t>
            </w:r>
            <w:r w:rsidR="00BC1460" w:rsidRPr="00904283">
              <w:t>289,525</w:t>
            </w:r>
          </w:p>
        </w:tc>
      </w:tr>
      <w:tr w:rsidR="00B72999" w:rsidRPr="00061D40" w14:paraId="7F4865F4" w14:textId="77777777" w:rsidTr="00B72999">
        <w:tc>
          <w:tcPr>
            <w:tcW w:w="2463" w:type="dxa"/>
          </w:tcPr>
          <w:p w14:paraId="7F4865F1" w14:textId="77777777" w:rsidR="00B72999" w:rsidRPr="00EA693E" w:rsidRDefault="00B72999" w:rsidP="00707A29">
            <w:pPr>
              <w:pStyle w:val="TableText"/>
              <w:spacing w:line="240" w:lineRule="auto"/>
            </w:pPr>
            <w:r w:rsidRPr="00EA693E">
              <w:t>WA</w:t>
            </w:r>
          </w:p>
        </w:tc>
        <w:tc>
          <w:tcPr>
            <w:tcW w:w="2171" w:type="dxa"/>
          </w:tcPr>
          <w:p w14:paraId="7F4865F2" w14:textId="77777777" w:rsidR="00B72999" w:rsidRPr="00904283" w:rsidRDefault="00B72999" w:rsidP="00BC1460">
            <w:pPr>
              <w:pStyle w:val="TableText"/>
              <w:spacing w:line="240" w:lineRule="auto"/>
            </w:pPr>
            <w:r w:rsidRPr="00904283">
              <w:t>$</w:t>
            </w:r>
            <w:r w:rsidR="00BC1460" w:rsidRPr="00904283">
              <w:t>507,559</w:t>
            </w:r>
          </w:p>
        </w:tc>
        <w:tc>
          <w:tcPr>
            <w:tcW w:w="2171" w:type="dxa"/>
          </w:tcPr>
          <w:p w14:paraId="7F4865F3" w14:textId="77777777" w:rsidR="00B72999" w:rsidRPr="00904283" w:rsidRDefault="00277D58" w:rsidP="00BC1460">
            <w:pPr>
              <w:pStyle w:val="TableText"/>
              <w:spacing w:line="240" w:lineRule="auto"/>
            </w:pPr>
            <w:r w:rsidRPr="00904283">
              <w:t>$</w:t>
            </w:r>
            <w:r w:rsidR="00BC1460" w:rsidRPr="00904283">
              <w:t>248,895</w:t>
            </w:r>
          </w:p>
        </w:tc>
      </w:tr>
      <w:tr w:rsidR="00B72999" w:rsidRPr="00061D40" w14:paraId="7F4865F8" w14:textId="77777777" w:rsidTr="00B72999">
        <w:tc>
          <w:tcPr>
            <w:tcW w:w="2463" w:type="dxa"/>
          </w:tcPr>
          <w:p w14:paraId="7F4865F5" w14:textId="77777777" w:rsidR="00B72999" w:rsidRPr="00EA693E" w:rsidRDefault="00B72999" w:rsidP="00707A29">
            <w:pPr>
              <w:pStyle w:val="TableText"/>
              <w:spacing w:line="240" w:lineRule="auto"/>
            </w:pPr>
            <w:r w:rsidRPr="00EA693E">
              <w:t>SA</w:t>
            </w:r>
          </w:p>
        </w:tc>
        <w:tc>
          <w:tcPr>
            <w:tcW w:w="2171" w:type="dxa"/>
          </w:tcPr>
          <w:p w14:paraId="7F4865F6" w14:textId="77777777" w:rsidR="00B72999" w:rsidRPr="00904283" w:rsidRDefault="00B72999" w:rsidP="00BC1460">
            <w:pPr>
              <w:pStyle w:val="TableText"/>
              <w:spacing w:line="240" w:lineRule="auto"/>
            </w:pPr>
            <w:r w:rsidRPr="00904283">
              <w:t>$</w:t>
            </w:r>
            <w:r w:rsidR="00BC1460" w:rsidRPr="00904283">
              <w:t>253,955</w:t>
            </w:r>
          </w:p>
        </w:tc>
        <w:tc>
          <w:tcPr>
            <w:tcW w:w="2171" w:type="dxa"/>
          </w:tcPr>
          <w:p w14:paraId="7F4865F7" w14:textId="77777777" w:rsidR="00B72999" w:rsidRPr="00904283" w:rsidRDefault="009E5576" w:rsidP="00BC1460">
            <w:pPr>
              <w:pStyle w:val="TableText"/>
              <w:spacing w:line="240" w:lineRule="auto"/>
            </w:pPr>
            <w:r w:rsidRPr="00904283">
              <w:t>$</w:t>
            </w:r>
            <w:r w:rsidR="00BC1460" w:rsidRPr="00904283">
              <w:t>243,558</w:t>
            </w:r>
          </w:p>
        </w:tc>
      </w:tr>
      <w:tr w:rsidR="00B72999" w:rsidRPr="00061D40" w14:paraId="7F4865FC" w14:textId="77777777" w:rsidTr="00B72999">
        <w:tc>
          <w:tcPr>
            <w:tcW w:w="2463" w:type="dxa"/>
          </w:tcPr>
          <w:p w14:paraId="7F4865F9" w14:textId="77777777" w:rsidR="00B72999" w:rsidRPr="00EA693E" w:rsidRDefault="00B72999" w:rsidP="00707A29">
            <w:pPr>
              <w:pStyle w:val="TableText"/>
              <w:spacing w:line="240" w:lineRule="auto"/>
            </w:pPr>
            <w:r w:rsidRPr="00EA693E">
              <w:t>TAS</w:t>
            </w:r>
          </w:p>
        </w:tc>
        <w:tc>
          <w:tcPr>
            <w:tcW w:w="2171" w:type="dxa"/>
          </w:tcPr>
          <w:p w14:paraId="7F4865FA" w14:textId="77777777" w:rsidR="00B72999" w:rsidRPr="00904283" w:rsidRDefault="00277D58" w:rsidP="00BC1460">
            <w:pPr>
              <w:pStyle w:val="TableText"/>
              <w:spacing w:line="240" w:lineRule="auto"/>
            </w:pPr>
            <w:r w:rsidRPr="00904283">
              <w:t>$</w:t>
            </w:r>
            <w:r w:rsidR="00BC1460" w:rsidRPr="00904283">
              <w:t>145,359</w:t>
            </w:r>
          </w:p>
        </w:tc>
        <w:tc>
          <w:tcPr>
            <w:tcW w:w="2171" w:type="dxa"/>
          </w:tcPr>
          <w:p w14:paraId="7F4865FB" w14:textId="77777777" w:rsidR="00B72999" w:rsidRPr="00904283" w:rsidRDefault="009E5576" w:rsidP="00BC1460">
            <w:pPr>
              <w:pStyle w:val="TableText"/>
              <w:spacing w:line="240" w:lineRule="auto"/>
            </w:pPr>
            <w:r w:rsidRPr="00904283">
              <w:t>$</w:t>
            </w:r>
            <w:r w:rsidR="00BC1460" w:rsidRPr="00904283">
              <w:t>74,938</w:t>
            </w:r>
          </w:p>
        </w:tc>
      </w:tr>
      <w:tr w:rsidR="00B72999" w:rsidRPr="00061D40" w14:paraId="7F486600" w14:textId="77777777" w:rsidTr="00B72999">
        <w:tc>
          <w:tcPr>
            <w:tcW w:w="2463" w:type="dxa"/>
          </w:tcPr>
          <w:p w14:paraId="7F4865FD" w14:textId="77777777" w:rsidR="00B72999" w:rsidRPr="00EA693E" w:rsidRDefault="00B72999" w:rsidP="00707A29">
            <w:pPr>
              <w:pStyle w:val="TableText"/>
              <w:spacing w:line="240" w:lineRule="auto"/>
            </w:pPr>
            <w:r w:rsidRPr="00EA693E">
              <w:t>NT</w:t>
            </w:r>
          </w:p>
        </w:tc>
        <w:tc>
          <w:tcPr>
            <w:tcW w:w="2171" w:type="dxa"/>
          </w:tcPr>
          <w:p w14:paraId="7F4865FE" w14:textId="77777777" w:rsidR="00B72999" w:rsidRPr="00904283" w:rsidRDefault="00B72999" w:rsidP="00BC1460">
            <w:pPr>
              <w:pStyle w:val="TableText"/>
              <w:spacing w:line="240" w:lineRule="auto"/>
            </w:pPr>
            <w:r w:rsidRPr="00904283">
              <w:t>$</w:t>
            </w:r>
            <w:r w:rsidR="00BC1460" w:rsidRPr="00904283">
              <w:t>371,372</w:t>
            </w:r>
          </w:p>
        </w:tc>
        <w:tc>
          <w:tcPr>
            <w:tcW w:w="2171" w:type="dxa"/>
          </w:tcPr>
          <w:p w14:paraId="7F4865FF" w14:textId="77777777" w:rsidR="00B72999" w:rsidRPr="00904283" w:rsidRDefault="009E5576" w:rsidP="00BC1460">
            <w:pPr>
              <w:pStyle w:val="TableText"/>
              <w:spacing w:line="240" w:lineRule="auto"/>
            </w:pPr>
            <w:r w:rsidRPr="00904283">
              <w:t>$</w:t>
            </w:r>
            <w:r w:rsidR="00BC1460" w:rsidRPr="00904283">
              <w:t>112,610</w:t>
            </w:r>
          </w:p>
        </w:tc>
      </w:tr>
      <w:tr w:rsidR="00B72999" w:rsidRPr="00061D40" w14:paraId="7F486604" w14:textId="77777777" w:rsidTr="00B72999">
        <w:tc>
          <w:tcPr>
            <w:tcW w:w="2463" w:type="dxa"/>
          </w:tcPr>
          <w:p w14:paraId="7F486601" w14:textId="77777777" w:rsidR="00B72999" w:rsidRPr="00EA693E" w:rsidRDefault="00B72999" w:rsidP="00707A29">
            <w:pPr>
              <w:pStyle w:val="TableText"/>
              <w:spacing w:line="240" w:lineRule="auto"/>
              <w:rPr>
                <w:b/>
                <w:bCs/>
              </w:rPr>
            </w:pPr>
            <w:r w:rsidRPr="00EA693E">
              <w:rPr>
                <w:b/>
                <w:bCs/>
              </w:rPr>
              <w:t>Sub Total</w:t>
            </w:r>
          </w:p>
        </w:tc>
        <w:tc>
          <w:tcPr>
            <w:tcW w:w="2171" w:type="dxa"/>
          </w:tcPr>
          <w:p w14:paraId="7F486602" w14:textId="77777777" w:rsidR="00B72999" w:rsidRPr="00904283" w:rsidRDefault="00B72999" w:rsidP="0044552D">
            <w:pPr>
              <w:pStyle w:val="TableText"/>
              <w:spacing w:line="240" w:lineRule="auto"/>
              <w:rPr>
                <w:b/>
              </w:rPr>
            </w:pPr>
            <w:r w:rsidRPr="00904283">
              <w:rPr>
                <w:b/>
              </w:rPr>
              <w:t>$</w:t>
            </w:r>
            <w:r w:rsidR="0044552D" w:rsidRPr="00904283">
              <w:rPr>
                <w:b/>
              </w:rPr>
              <w:t>4,476,411</w:t>
            </w:r>
          </w:p>
        </w:tc>
        <w:tc>
          <w:tcPr>
            <w:tcW w:w="2171" w:type="dxa"/>
          </w:tcPr>
          <w:p w14:paraId="7F486603" w14:textId="77777777" w:rsidR="00B72999" w:rsidRPr="00904283" w:rsidRDefault="00277D58" w:rsidP="0044552D">
            <w:pPr>
              <w:pStyle w:val="TableText"/>
              <w:spacing w:line="240" w:lineRule="auto"/>
              <w:rPr>
                <w:b/>
                <w:bCs/>
              </w:rPr>
            </w:pPr>
            <w:r w:rsidRPr="00904283">
              <w:rPr>
                <w:b/>
                <w:bCs/>
              </w:rPr>
              <w:t>$</w:t>
            </w:r>
            <w:r w:rsidR="0044552D" w:rsidRPr="00904283">
              <w:rPr>
                <w:b/>
                <w:bCs/>
              </w:rPr>
              <w:t>2,002,589</w:t>
            </w:r>
          </w:p>
        </w:tc>
      </w:tr>
      <w:tr w:rsidR="00B72999" w14:paraId="7F486607" w14:textId="77777777" w:rsidTr="00B72999">
        <w:tc>
          <w:tcPr>
            <w:tcW w:w="2463" w:type="dxa"/>
          </w:tcPr>
          <w:p w14:paraId="7F486605" w14:textId="77777777" w:rsidR="00B72999" w:rsidRPr="00B72999" w:rsidRDefault="00B72999" w:rsidP="00B72999">
            <w:pPr>
              <w:pStyle w:val="TableText"/>
              <w:spacing w:line="240" w:lineRule="auto"/>
              <w:rPr>
                <w:b/>
                <w:bCs/>
              </w:rPr>
            </w:pPr>
            <w:r w:rsidRPr="00B72999">
              <w:rPr>
                <w:b/>
                <w:bCs/>
              </w:rPr>
              <w:t>Grand Total</w:t>
            </w:r>
          </w:p>
        </w:tc>
        <w:tc>
          <w:tcPr>
            <w:tcW w:w="4342" w:type="dxa"/>
            <w:gridSpan w:val="2"/>
          </w:tcPr>
          <w:p w14:paraId="7F486606" w14:textId="77777777" w:rsidR="00B72999" w:rsidRPr="00B72999" w:rsidRDefault="009E5576" w:rsidP="00464171">
            <w:pPr>
              <w:pStyle w:val="TableText"/>
              <w:spacing w:line="240" w:lineRule="auto"/>
              <w:jc w:val="center"/>
              <w:rPr>
                <w:b/>
                <w:bCs/>
              </w:rPr>
            </w:pPr>
            <w:r>
              <w:rPr>
                <w:b/>
                <w:bCs/>
              </w:rPr>
              <w:t>$</w:t>
            </w:r>
            <w:r w:rsidR="00151C8B">
              <w:rPr>
                <w:b/>
                <w:bCs/>
              </w:rPr>
              <w:t>6,</w:t>
            </w:r>
            <w:r w:rsidR="00464171">
              <w:rPr>
                <w:b/>
                <w:bCs/>
              </w:rPr>
              <w:t>479</w:t>
            </w:r>
            <w:r w:rsidR="00151C8B">
              <w:rPr>
                <w:b/>
                <w:bCs/>
              </w:rPr>
              <w:t>,000</w:t>
            </w:r>
          </w:p>
        </w:tc>
      </w:tr>
    </w:tbl>
    <w:p w14:paraId="7F486608" w14:textId="77777777" w:rsidR="00132EEF" w:rsidRPr="00061D40" w:rsidRDefault="00132EEF" w:rsidP="00132EEF">
      <w:pPr>
        <w:pStyle w:val="bodytextoutlinednumber"/>
      </w:pPr>
      <w:r w:rsidRPr="00061D40">
        <w:t xml:space="preserve">State and Northern Territory non-government education authorities will receive four payments over the period January-December. </w:t>
      </w:r>
    </w:p>
    <w:p w14:paraId="7F486609" w14:textId="77777777" w:rsidR="00132EEF" w:rsidRPr="00061D40" w:rsidRDefault="00132EEF" w:rsidP="00132EEF">
      <w:pPr>
        <w:pStyle w:val="TablefigureHeading1"/>
        <w:spacing w:after="60" w:line="240" w:lineRule="auto"/>
      </w:pPr>
      <w:r w:rsidRPr="00061D40">
        <w:t>Table 4.</w:t>
      </w:r>
      <w:r w:rsidR="00BD3092">
        <w:t>2</w:t>
      </w:r>
      <w:r w:rsidRPr="00061D40">
        <w:t>: Payment Schedule 201</w:t>
      </w:r>
      <w:r w:rsidR="00776863">
        <w:t>3</w:t>
      </w:r>
      <w:r w:rsidRPr="00061D40">
        <w:t xml:space="preserve"> - Country Areas Program - State and Northern Territory non-government education authorities </w:t>
      </w:r>
    </w:p>
    <w:tbl>
      <w:tblPr>
        <w:tblW w:w="85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900"/>
        <w:gridCol w:w="4700"/>
      </w:tblGrid>
      <w:tr w:rsidR="00132EEF" w:rsidRPr="00061D40" w14:paraId="7F48660D" w14:textId="77777777" w:rsidTr="00132EEF">
        <w:tc>
          <w:tcPr>
            <w:tcW w:w="1900" w:type="dxa"/>
            <w:shd w:val="clear" w:color="auto" w:fill="999999"/>
          </w:tcPr>
          <w:p w14:paraId="7F48660A" w14:textId="77777777" w:rsidR="00132EEF" w:rsidRPr="00061D40" w:rsidRDefault="00132EEF" w:rsidP="00132EEF">
            <w:pPr>
              <w:pStyle w:val="TableHeading2"/>
              <w:spacing w:line="240" w:lineRule="auto"/>
            </w:pPr>
            <w:r w:rsidRPr="00061D40">
              <w:t>Payment</w:t>
            </w:r>
          </w:p>
        </w:tc>
        <w:tc>
          <w:tcPr>
            <w:tcW w:w="1900" w:type="dxa"/>
            <w:shd w:val="clear" w:color="auto" w:fill="999999"/>
          </w:tcPr>
          <w:p w14:paraId="7F48660B" w14:textId="77777777" w:rsidR="00132EEF" w:rsidRPr="00061D40" w:rsidRDefault="00132EEF" w:rsidP="00132EEF">
            <w:pPr>
              <w:pStyle w:val="TableHeading2"/>
              <w:spacing w:line="240" w:lineRule="auto"/>
            </w:pPr>
            <w:r w:rsidRPr="00061D40">
              <w:t>Month</w:t>
            </w:r>
          </w:p>
        </w:tc>
        <w:tc>
          <w:tcPr>
            <w:tcW w:w="4700" w:type="dxa"/>
            <w:shd w:val="clear" w:color="auto" w:fill="999999"/>
          </w:tcPr>
          <w:p w14:paraId="7F48660C" w14:textId="77777777" w:rsidR="00132EEF" w:rsidRPr="00061D40" w:rsidRDefault="00132EEF" w:rsidP="00132EEF">
            <w:pPr>
              <w:pStyle w:val="TableHeading2"/>
              <w:spacing w:line="240" w:lineRule="auto"/>
            </w:pPr>
            <w:r w:rsidRPr="00061D40">
              <w:t>Proportion of grant paid</w:t>
            </w:r>
          </w:p>
        </w:tc>
      </w:tr>
      <w:tr w:rsidR="00132EEF" w:rsidRPr="00061D40" w14:paraId="7F486611" w14:textId="77777777" w:rsidTr="00132EEF">
        <w:tc>
          <w:tcPr>
            <w:tcW w:w="1900" w:type="dxa"/>
          </w:tcPr>
          <w:p w14:paraId="7F48660E" w14:textId="77777777" w:rsidR="00132EEF" w:rsidRPr="00061D40" w:rsidRDefault="00132EEF" w:rsidP="00132EEF">
            <w:pPr>
              <w:pStyle w:val="TableText"/>
              <w:spacing w:line="240" w:lineRule="auto"/>
            </w:pPr>
            <w:r w:rsidRPr="00061D40">
              <w:t>1</w:t>
            </w:r>
          </w:p>
        </w:tc>
        <w:tc>
          <w:tcPr>
            <w:tcW w:w="1900" w:type="dxa"/>
          </w:tcPr>
          <w:p w14:paraId="7F48660F" w14:textId="77777777" w:rsidR="00132EEF" w:rsidRPr="00061D40" w:rsidRDefault="00132EEF" w:rsidP="00132EEF">
            <w:pPr>
              <w:pStyle w:val="TableText"/>
              <w:spacing w:line="240" w:lineRule="auto"/>
            </w:pPr>
            <w:r w:rsidRPr="00061D40">
              <w:t>January</w:t>
            </w:r>
          </w:p>
        </w:tc>
        <w:tc>
          <w:tcPr>
            <w:tcW w:w="4700" w:type="dxa"/>
          </w:tcPr>
          <w:p w14:paraId="7F486610" w14:textId="77777777" w:rsidR="00132EEF" w:rsidRPr="00061D40" w:rsidRDefault="00132EEF" w:rsidP="00132EEF">
            <w:pPr>
              <w:pStyle w:val="TableText"/>
              <w:spacing w:line="240" w:lineRule="auto"/>
            </w:pPr>
            <w:r w:rsidRPr="00061D40">
              <w:t>Payment is one quarter of entitlement</w:t>
            </w:r>
          </w:p>
        </w:tc>
      </w:tr>
      <w:tr w:rsidR="00132EEF" w:rsidRPr="00061D40" w14:paraId="7F486615" w14:textId="77777777" w:rsidTr="00132EEF">
        <w:tc>
          <w:tcPr>
            <w:tcW w:w="1900" w:type="dxa"/>
          </w:tcPr>
          <w:p w14:paraId="7F486612" w14:textId="77777777" w:rsidR="00132EEF" w:rsidRPr="00061D40" w:rsidRDefault="00132EEF" w:rsidP="00132EEF">
            <w:pPr>
              <w:pStyle w:val="TableText"/>
              <w:spacing w:line="240" w:lineRule="auto"/>
            </w:pPr>
            <w:r w:rsidRPr="00061D40">
              <w:t>2</w:t>
            </w:r>
          </w:p>
        </w:tc>
        <w:tc>
          <w:tcPr>
            <w:tcW w:w="1900" w:type="dxa"/>
          </w:tcPr>
          <w:p w14:paraId="7F486613" w14:textId="77777777" w:rsidR="00132EEF" w:rsidRPr="00061D40" w:rsidRDefault="00132EEF" w:rsidP="00132EEF">
            <w:pPr>
              <w:pStyle w:val="TableText"/>
              <w:spacing w:line="240" w:lineRule="auto"/>
            </w:pPr>
            <w:r w:rsidRPr="00061D40">
              <w:t>April</w:t>
            </w:r>
          </w:p>
        </w:tc>
        <w:tc>
          <w:tcPr>
            <w:tcW w:w="4700" w:type="dxa"/>
          </w:tcPr>
          <w:p w14:paraId="7F486614" w14:textId="77777777" w:rsidR="00132EEF" w:rsidRPr="00061D40" w:rsidRDefault="00132EEF" w:rsidP="00132EEF">
            <w:pPr>
              <w:pStyle w:val="TableText"/>
              <w:spacing w:line="240" w:lineRule="auto"/>
            </w:pPr>
            <w:r w:rsidRPr="00061D40">
              <w:t>Payment is one quarter of entitlement</w:t>
            </w:r>
          </w:p>
        </w:tc>
      </w:tr>
      <w:tr w:rsidR="00132EEF" w:rsidRPr="00061D40" w14:paraId="7F486619" w14:textId="77777777" w:rsidTr="00132EEF">
        <w:tc>
          <w:tcPr>
            <w:tcW w:w="1900" w:type="dxa"/>
          </w:tcPr>
          <w:p w14:paraId="7F486616" w14:textId="77777777" w:rsidR="00132EEF" w:rsidRPr="00061D40" w:rsidRDefault="00132EEF" w:rsidP="00132EEF">
            <w:pPr>
              <w:pStyle w:val="TableText"/>
              <w:spacing w:line="240" w:lineRule="auto"/>
            </w:pPr>
            <w:r w:rsidRPr="00061D40">
              <w:t>3</w:t>
            </w:r>
          </w:p>
        </w:tc>
        <w:tc>
          <w:tcPr>
            <w:tcW w:w="1900" w:type="dxa"/>
          </w:tcPr>
          <w:p w14:paraId="7F486617" w14:textId="77777777" w:rsidR="00132EEF" w:rsidRPr="00061D40" w:rsidRDefault="00132EEF" w:rsidP="00132EEF">
            <w:pPr>
              <w:pStyle w:val="TableText"/>
              <w:spacing w:line="240" w:lineRule="auto"/>
            </w:pPr>
            <w:r w:rsidRPr="00061D40">
              <w:t>July</w:t>
            </w:r>
          </w:p>
        </w:tc>
        <w:tc>
          <w:tcPr>
            <w:tcW w:w="4700" w:type="dxa"/>
          </w:tcPr>
          <w:p w14:paraId="7F486618" w14:textId="77777777" w:rsidR="00132EEF" w:rsidRPr="00061D40" w:rsidRDefault="00132EEF" w:rsidP="00132EEF">
            <w:pPr>
              <w:pStyle w:val="TableText"/>
              <w:spacing w:line="240" w:lineRule="auto"/>
            </w:pPr>
            <w:r w:rsidRPr="00061D40">
              <w:t>Payment is one quarter of entitlement</w:t>
            </w:r>
          </w:p>
        </w:tc>
      </w:tr>
      <w:tr w:rsidR="00132EEF" w:rsidRPr="00061D40" w14:paraId="7F48661D" w14:textId="77777777" w:rsidTr="00132EEF">
        <w:tc>
          <w:tcPr>
            <w:tcW w:w="1900" w:type="dxa"/>
          </w:tcPr>
          <w:p w14:paraId="7F48661A" w14:textId="77777777" w:rsidR="00132EEF" w:rsidRPr="00061D40" w:rsidRDefault="00132EEF" w:rsidP="00132EEF">
            <w:pPr>
              <w:pStyle w:val="TableText"/>
              <w:spacing w:line="240" w:lineRule="auto"/>
            </w:pPr>
            <w:r w:rsidRPr="00061D40">
              <w:t>4</w:t>
            </w:r>
          </w:p>
        </w:tc>
        <w:tc>
          <w:tcPr>
            <w:tcW w:w="1900" w:type="dxa"/>
          </w:tcPr>
          <w:p w14:paraId="7F48661B" w14:textId="77777777" w:rsidR="00132EEF" w:rsidRPr="00061D40" w:rsidRDefault="00132EEF" w:rsidP="00132EEF">
            <w:pPr>
              <w:pStyle w:val="TableText"/>
              <w:spacing w:line="240" w:lineRule="auto"/>
            </w:pPr>
            <w:r w:rsidRPr="00061D40">
              <w:t>October</w:t>
            </w:r>
          </w:p>
        </w:tc>
        <w:tc>
          <w:tcPr>
            <w:tcW w:w="4700" w:type="dxa"/>
          </w:tcPr>
          <w:p w14:paraId="7F48661C" w14:textId="77777777" w:rsidR="00132EEF" w:rsidRPr="00061D40" w:rsidRDefault="00132EEF" w:rsidP="00132EEF">
            <w:pPr>
              <w:pStyle w:val="TableText"/>
              <w:spacing w:line="240" w:lineRule="auto"/>
            </w:pPr>
            <w:r w:rsidRPr="00061D40">
              <w:t>Payment is one quarter of entitlement</w:t>
            </w:r>
          </w:p>
        </w:tc>
      </w:tr>
    </w:tbl>
    <w:p w14:paraId="7F48661E" w14:textId="77777777" w:rsidR="00132EEF" w:rsidRPr="00061D40" w:rsidRDefault="00132EEF" w:rsidP="00132EEF">
      <w:pPr>
        <w:pStyle w:val="bodytextoutlinednumber"/>
        <w:rPr>
          <w:shd w:val="clear" w:color="auto" w:fill="FFFFFD"/>
        </w:rPr>
      </w:pPr>
      <w:r w:rsidRPr="00061D40">
        <w:rPr>
          <w:shd w:val="clear" w:color="auto" w:fill="FFFFFD"/>
        </w:rPr>
        <w:t xml:space="preserve">CAP funding is supplemented annually in line with movements in the AGSRC Index. Supplementation will be paid as soon as possible following the making of a regulation under the Act (refer to </w:t>
      </w:r>
      <w:hyperlink w:anchor="_Appendix_K:_Supplementation" w:history="1">
        <w:r w:rsidRPr="00061D40">
          <w:rPr>
            <w:rStyle w:val="Hyperlink"/>
            <w:rFonts w:cs="Garamond"/>
            <w:shd w:val="clear" w:color="auto" w:fill="FFFFFD"/>
          </w:rPr>
          <w:t>Appendix K</w:t>
        </w:r>
      </w:hyperlink>
      <w:r w:rsidRPr="00061D40">
        <w:rPr>
          <w:shd w:val="clear" w:color="auto" w:fill="FFFFFD"/>
        </w:rPr>
        <w:t>).</w:t>
      </w:r>
    </w:p>
    <w:p w14:paraId="7F48661F" w14:textId="77777777" w:rsidR="006B2909" w:rsidRDefault="006B2909">
      <w:pPr>
        <w:spacing w:before="0" w:line="240" w:lineRule="auto"/>
        <w:rPr>
          <w:rFonts w:cs="Arial Narrow"/>
          <w:color w:val="165788"/>
          <w:sz w:val="28"/>
          <w:szCs w:val="28"/>
          <w:lang w:val="en-GB"/>
        </w:rPr>
      </w:pPr>
      <w:r>
        <w:br w:type="page"/>
      </w:r>
    </w:p>
    <w:p w14:paraId="7F486620" w14:textId="77777777" w:rsidR="00D32016" w:rsidRDefault="00132EEF">
      <w:pPr>
        <w:pStyle w:val="Heading4"/>
      </w:pPr>
      <w:r w:rsidRPr="00061D40">
        <w:lastRenderedPageBreak/>
        <w:t>Financial accountability</w:t>
      </w:r>
    </w:p>
    <w:p w14:paraId="7F486621" w14:textId="77777777" w:rsidR="00132EEF" w:rsidRPr="00061D40" w:rsidRDefault="00132EEF" w:rsidP="00132EEF">
      <w:pPr>
        <w:pStyle w:val="bodytextoutlinednumber"/>
        <w:rPr>
          <w:color w:val="auto"/>
          <w:shd w:val="clear" w:color="auto" w:fill="FFFFFD"/>
        </w:rPr>
      </w:pPr>
      <w:r w:rsidRPr="00061D40">
        <w:rPr>
          <w:color w:val="auto"/>
          <w:shd w:val="clear" w:color="auto" w:fill="FFFFFD"/>
        </w:rPr>
        <w:t>Authorities will meet their financial accountability for the Country Areas Program for a program year by submitting to the Department on or before 30 June each subsequent (or following) year or such other date as the Minister approves, an electronic Financial Accountability certificate.</w:t>
      </w:r>
    </w:p>
    <w:p w14:paraId="7F486622" w14:textId="77777777" w:rsidR="00132EEF" w:rsidRPr="00061D40" w:rsidRDefault="00132EEF" w:rsidP="00132EEF">
      <w:pPr>
        <w:pStyle w:val="bodytextoutlinednumber"/>
        <w:rPr>
          <w:shd w:val="clear" w:color="auto" w:fill="FFFFFD"/>
        </w:rPr>
      </w:pPr>
      <w:r w:rsidRPr="00061D40">
        <w:rPr>
          <w:shd w:val="clear" w:color="auto" w:fill="FFFFFD"/>
        </w:rPr>
        <w:t>The certificate is to be submitted by a Qualified Accountant. A Qualified Accountant is:</w:t>
      </w:r>
    </w:p>
    <w:p w14:paraId="7F486623" w14:textId="77777777" w:rsidR="00132EEF" w:rsidRPr="00061D40" w:rsidRDefault="00132EEF" w:rsidP="00132EEF">
      <w:pPr>
        <w:pStyle w:val="bodytextoutlinednumber"/>
        <w:numPr>
          <w:ilvl w:val="1"/>
          <w:numId w:val="10"/>
        </w:numPr>
        <w:rPr>
          <w:shd w:val="clear" w:color="auto" w:fill="FFFFFD"/>
        </w:rPr>
      </w:pPr>
      <w:r w:rsidRPr="00061D40">
        <w:rPr>
          <w:shd w:val="clear" w:color="auto" w:fill="FFFFFD"/>
        </w:rPr>
        <w:t xml:space="preserve">a qualified accountant within the meaning of the </w:t>
      </w:r>
      <w:r w:rsidRPr="00061D40">
        <w:rPr>
          <w:i/>
          <w:shd w:val="clear" w:color="auto" w:fill="FFFFFD"/>
        </w:rPr>
        <w:t>Corporations Act 2001</w:t>
      </w:r>
    </w:p>
    <w:p w14:paraId="7F486624" w14:textId="77777777" w:rsidR="00132EEF" w:rsidRPr="00061D40" w:rsidRDefault="00132EEF" w:rsidP="00132EEF">
      <w:pPr>
        <w:suppressAutoHyphens/>
        <w:autoSpaceDE w:val="0"/>
        <w:autoSpaceDN w:val="0"/>
        <w:adjustRightInd w:val="0"/>
        <w:spacing w:before="100"/>
        <w:ind w:left="851"/>
        <w:textAlignment w:val="center"/>
      </w:pPr>
      <w:r w:rsidRPr="00061D40">
        <w:t>or</w:t>
      </w:r>
    </w:p>
    <w:p w14:paraId="7F486625" w14:textId="77777777" w:rsidR="00132EEF" w:rsidRPr="00061D40" w:rsidRDefault="00132EEF" w:rsidP="00132EEF">
      <w:pPr>
        <w:pStyle w:val="bodytextoutlinednumber"/>
        <w:numPr>
          <w:ilvl w:val="1"/>
          <w:numId w:val="10"/>
        </w:numPr>
        <w:rPr>
          <w:shd w:val="clear" w:color="auto" w:fill="FFFFFD"/>
        </w:rPr>
      </w:pPr>
      <w:r w:rsidRPr="00061D40">
        <w:rPr>
          <w:shd w:val="clear" w:color="auto" w:fill="FFFFFD"/>
        </w:rPr>
        <w:t xml:space="preserve">a person registered (or taken to be registered) as a company auditor under the </w:t>
      </w:r>
      <w:r w:rsidRPr="00061D40">
        <w:rPr>
          <w:i/>
          <w:shd w:val="clear" w:color="auto" w:fill="FFFFFD"/>
        </w:rPr>
        <w:t>Corporations Act 2001</w:t>
      </w:r>
      <w:r w:rsidRPr="00061D40">
        <w:rPr>
          <w:shd w:val="clear" w:color="auto" w:fill="FFFFFD"/>
        </w:rPr>
        <w:t xml:space="preserve"> </w:t>
      </w:r>
    </w:p>
    <w:p w14:paraId="7F486626" w14:textId="77777777" w:rsidR="00132EEF" w:rsidRPr="00061D40" w:rsidRDefault="00132EEF" w:rsidP="00132EEF">
      <w:pPr>
        <w:suppressAutoHyphens/>
        <w:autoSpaceDE w:val="0"/>
        <w:autoSpaceDN w:val="0"/>
        <w:adjustRightInd w:val="0"/>
        <w:spacing w:before="100"/>
        <w:ind w:left="851"/>
        <w:textAlignment w:val="center"/>
      </w:pPr>
      <w:r w:rsidRPr="00061D40">
        <w:t>or</w:t>
      </w:r>
    </w:p>
    <w:p w14:paraId="7F486627" w14:textId="77777777" w:rsidR="00132EEF" w:rsidRPr="00061D40" w:rsidRDefault="00132EEF" w:rsidP="00132EEF">
      <w:pPr>
        <w:pStyle w:val="bodytextoutlinednumber"/>
        <w:numPr>
          <w:ilvl w:val="1"/>
          <w:numId w:val="10"/>
        </w:numPr>
        <w:rPr>
          <w:shd w:val="clear" w:color="auto" w:fill="FFFFFD"/>
        </w:rPr>
      </w:pPr>
      <w:r w:rsidRPr="00061D40">
        <w:rPr>
          <w:shd w:val="clear" w:color="auto" w:fill="FFFFFD"/>
        </w:rPr>
        <w:t xml:space="preserve">a person approved by the Minister as a qualified accountant for the purposes of the </w:t>
      </w:r>
      <w:r w:rsidRPr="00061D40">
        <w:rPr>
          <w:i/>
          <w:shd w:val="clear" w:color="auto" w:fill="FFFFFD"/>
        </w:rPr>
        <w:t>Schools Assistance Act 2008</w:t>
      </w:r>
      <w:r w:rsidRPr="00061D40">
        <w:rPr>
          <w:shd w:val="clear" w:color="auto" w:fill="FFFFFD"/>
        </w:rPr>
        <w:t>.</w:t>
      </w:r>
    </w:p>
    <w:p w14:paraId="7F486628" w14:textId="77777777" w:rsidR="00132EEF" w:rsidRPr="00061D40" w:rsidRDefault="00132EEF" w:rsidP="00132EEF">
      <w:pPr>
        <w:pStyle w:val="bodytextoutlinednumber"/>
        <w:rPr>
          <w:shd w:val="clear" w:color="auto" w:fill="FFFFFD"/>
        </w:rPr>
      </w:pPr>
      <w:r w:rsidRPr="00061D40">
        <w:rPr>
          <w:shd w:val="clear" w:color="auto" w:fill="FFFFFD"/>
        </w:rPr>
        <w:t xml:space="preserve">Where an authority submits an overall financial accountability certificate </w:t>
      </w:r>
      <w:r>
        <w:rPr>
          <w:shd w:val="clear" w:color="auto" w:fill="FFFFFD"/>
        </w:rPr>
        <w:t>as required in their Funding Agreement with</w:t>
      </w:r>
      <w:r w:rsidRPr="00061D40">
        <w:rPr>
          <w:shd w:val="clear" w:color="auto" w:fill="FFFFFD"/>
        </w:rPr>
        <w:t xml:space="preserve"> the Department, detailing funding across multiple programs, it does not then need to provide an individual financial accountability certificate to each targeted program area.</w:t>
      </w:r>
    </w:p>
    <w:p w14:paraId="7F486629" w14:textId="77777777" w:rsidR="00D32016" w:rsidRDefault="00132EEF">
      <w:pPr>
        <w:pStyle w:val="Heading3"/>
      </w:pPr>
      <w:r w:rsidRPr="00061D40">
        <w:t>Further Information and Enquiries</w:t>
      </w:r>
    </w:p>
    <w:p w14:paraId="7F48662A" w14:textId="77777777" w:rsidR="00132EEF" w:rsidRPr="00061D40" w:rsidRDefault="00132EEF" w:rsidP="00132EEF">
      <w:pPr>
        <w:pStyle w:val="bodytextoutlinednumber"/>
      </w:pPr>
      <w:r w:rsidRPr="00061D40">
        <w:t>For additional information about the Country Areas Program, please use one of the following media:</w:t>
      </w:r>
    </w:p>
    <w:p w14:paraId="7F48662B" w14:textId="77777777" w:rsidR="00132EEF" w:rsidRPr="00061D40" w:rsidRDefault="00132EEF" w:rsidP="00132EEF">
      <w:pPr>
        <w:spacing w:line="240" w:lineRule="auto"/>
        <w:ind w:left="567"/>
        <w:rPr>
          <w:rFonts w:cs="Arial"/>
          <w:b/>
        </w:rPr>
      </w:pPr>
      <w:r w:rsidRPr="00061D40">
        <w:rPr>
          <w:rFonts w:cs="Arial"/>
          <w:b/>
        </w:rPr>
        <w:t xml:space="preserve">Written correspondence: </w:t>
      </w:r>
    </w:p>
    <w:p w14:paraId="7F48662C" w14:textId="77777777" w:rsidR="00132EEF" w:rsidRPr="00061D40" w:rsidRDefault="00132EEF" w:rsidP="00132EEF">
      <w:pPr>
        <w:spacing w:before="0" w:line="240" w:lineRule="auto"/>
        <w:ind w:left="567"/>
        <w:rPr>
          <w:rFonts w:cs="Arial"/>
          <w:szCs w:val="22"/>
        </w:rPr>
      </w:pPr>
      <w:r w:rsidRPr="00061D40">
        <w:rPr>
          <w:rFonts w:cs="Arial"/>
          <w:szCs w:val="22"/>
        </w:rPr>
        <w:t>Director</w:t>
      </w:r>
      <w:r w:rsidRPr="00061D40">
        <w:rPr>
          <w:rFonts w:cs="Arial"/>
          <w:szCs w:val="22"/>
        </w:rPr>
        <w:br/>
      </w:r>
      <w:r w:rsidR="006A6B64">
        <w:rPr>
          <w:rFonts w:cs="Arial"/>
          <w:szCs w:val="22"/>
        </w:rPr>
        <w:t xml:space="preserve">Education </w:t>
      </w:r>
      <w:r>
        <w:rPr>
          <w:rFonts w:cs="Arial"/>
          <w:szCs w:val="22"/>
        </w:rPr>
        <w:t>Access</w:t>
      </w:r>
      <w:r w:rsidR="006A6B64">
        <w:rPr>
          <w:rFonts w:cs="Arial"/>
          <w:szCs w:val="22"/>
        </w:rPr>
        <w:t xml:space="preserve"> and Engagement</w:t>
      </w:r>
      <w:r w:rsidRPr="00061D40">
        <w:rPr>
          <w:rFonts w:cs="Arial"/>
          <w:szCs w:val="22"/>
        </w:rPr>
        <w:t xml:space="preserve"> Team</w:t>
      </w:r>
      <w:r w:rsidRPr="00061D40">
        <w:rPr>
          <w:rFonts w:cs="Arial"/>
          <w:szCs w:val="22"/>
        </w:rPr>
        <w:br/>
      </w:r>
      <w:r w:rsidR="006A6B64">
        <w:rPr>
          <w:rFonts w:cs="Arial"/>
          <w:szCs w:val="22"/>
        </w:rPr>
        <w:t xml:space="preserve">Student and Parental </w:t>
      </w:r>
      <w:r w:rsidRPr="00061D40">
        <w:rPr>
          <w:rFonts w:cs="Arial"/>
          <w:szCs w:val="22"/>
        </w:rPr>
        <w:t>Engagement Branch</w:t>
      </w:r>
      <w:r w:rsidRPr="00061D40">
        <w:rPr>
          <w:rFonts w:cs="Arial"/>
          <w:szCs w:val="22"/>
        </w:rPr>
        <w:br/>
      </w:r>
      <w:r w:rsidR="006A6B64">
        <w:rPr>
          <w:rFonts w:cs="Arial"/>
          <w:szCs w:val="22"/>
        </w:rPr>
        <w:t xml:space="preserve">Youth and Inclusive Education </w:t>
      </w:r>
      <w:r w:rsidRPr="00061D40">
        <w:rPr>
          <w:rFonts w:cs="Arial"/>
          <w:szCs w:val="22"/>
        </w:rPr>
        <w:t>Group</w:t>
      </w:r>
      <w:r w:rsidRPr="00061D40">
        <w:rPr>
          <w:rFonts w:cs="Arial"/>
          <w:szCs w:val="22"/>
        </w:rPr>
        <w:br/>
        <w:t>Department of Education, Employment and Workplace Relations</w:t>
      </w:r>
      <w:r w:rsidRPr="00061D40">
        <w:rPr>
          <w:rFonts w:cs="Arial"/>
          <w:szCs w:val="22"/>
        </w:rPr>
        <w:br/>
        <w:t>GPO Box 9880</w:t>
      </w:r>
      <w:r w:rsidRPr="00061D40">
        <w:rPr>
          <w:rFonts w:cs="Arial"/>
          <w:szCs w:val="22"/>
        </w:rPr>
        <w:br/>
        <w:t xml:space="preserve">CANBERRA ACT 2601 </w:t>
      </w:r>
    </w:p>
    <w:p w14:paraId="7F48662D" w14:textId="77777777" w:rsidR="00132EEF" w:rsidRPr="00061D40" w:rsidRDefault="00132EEF" w:rsidP="004C6557">
      <w:pPr>
        <w:spacing w:before="0" w:line="240" w:lineRule="auto"/>
        <w:ind w:left="567"/>
      </w:pPr>
      <w:r w:rsidRPr="00061D40">
        <w:rPr>
          <w:b/>
        </w:rPr>
        <w:t>Website</w:t>
      </w:r>
      <w:r w:rsidRPr="00061D40">
        <w:t xml:space="preserve">: </w:t>
      </w:r>
      <w:hyperlink r:id="rId55" w:history="1">
        <w:r w:rsidR="004C6557" w:rsidRPr="004C66CD">
          <w:rPr>
            <w:rStyle w:val="Hyperlink"/>
          </w:rPr>
          <w:t>http://deewr.gov.au/country-areas-program</w:t>
        </w:r>
      </w:hyperlink>
      <w:r w:rsidR="004C6557">
        <w:t xml:space="preserve"> </w:t>
      </w:r>
      <w:r w:rsidRPr="00061D40">
        <w:rPr>
          <w:b/>
          <w:bCs/>
        </w:rPr>
        <w:br w:type="page"/>
      </w:r>
    </w:p>
    <w:p w14:paraId="7F48662E" w14:textId="77777777" w:rsidR="001559D4" w:rsidRDefault="00F02ED7">
      <w:pPr>
        <w:pStyle w:val="Heading2"/>
      </w:pPr>
      <w:bookmarkStart w:id="154" w:name="_Toc246483096"/>
      <w:bookmarkStart w:id="155" w:name="_Toc246493728"/>
      <w:bookmarkStart w:id="156" w:name="_Toc346205325"/>
      <w:bookmarkEnd w:id="151"/>
      <w:bookmarkEnd w:id="152"/>
      <w:r w:rsidRPr="00F02ED7">
        <w:lastRenderedPageBreak/>
        <w:t>4.3 School Languages Program</w:t>
      </w:r>
      <w:bookmarkEnd w:id="154"/>
      <w:bookmarkEnd w:id="155"/>
      <w:bookmarkEnd w:id="156"/>
    </w:p>
    <w:p w14:paraId="7F48662F" w14:textId="77777777" w:rsidR="00D32016" w:rsidRDefault="00716E9A">
      <w:pPr>
        <w:pStyle w:val="Heading3"/>
      </w:pPr>
      <w:bookmarkStart w:id="157" w:name="_Toc246483097"/>
      <w:r w:rsidRPr="00061D40">
        <w:t>Legislative Authority</w:t>
      </w:r>
      <w:bookmarkEnd w:id="157"/>
    </w:p>
    <w:p w14:paraId="7F486630" w14:textId="77777777" w:rsidR="00716E9A" w:rsidRPr="00061D40" w:rsidRDefault="00716E9A" w:rsidP="000942E9">
      <w:pPr>
        <w:pStyle w:val="bodytextoutlinednumber"/>
      </w:pPr>
      <w:r w:rsidRPr="00061D40">
        <w:t xml:space="preserve">School Languages Program </w:t>
      </w:r>
      <w:r w:rsidR="00E449A3">
        <w:t xml:space="preserve">(SLP) </w:t>
      </w:r>
      <w:r w:rsidRPr="00061D40">
        <w:t>funding for non-government schools for the 2009-</w:t>
      </w:r>
      <w:r w:rsidR="008067F6">
        <w:t>2013</w:t>
      </w:r>
      <w:r w:rsidRPr="00061D40">
        <w:t xml:space="preserve"> </w:t>
      </w:r>
      <w:r w:rsidR="001B6202" w:rsidRPr="00061D40">
        <w:t>funding period</w:t>
      </w:r>
      <w:r w:rsidRPr="00061D40">
        <w:t xml:space="preserve"> is provided under Part 6, Division 4 of the Act.</w:t>
      </w:r>
      <w:r w:rsidR="008E5ABB" w:rsidRPr="00061D40">
        <w:t xml:space="preserve"> </w:t>
      </w:r>
      <w:r w:rsidRPr="00061D40">
        <w:t xml:space="preserve">Non-government schools and school systems in each state and territory which receive </w:t>
      </w:r>
      <w:r w:rsidR="00E449A3">
        <w:t>SLP</w:t>
      </w:r>
      <w:r w:rsidRPr="00061D40">
        <w:t xml:space="preserve"> funding must comply with all the requirements of the Act.</w:t>
      </w:r>
    </w:p>
    <w:p w14:paraId="7F486631" w14:textId="77777777" w:rsidR="00D32016" w:rsidRDefault="00694903">
      <w:pPr>
        <w:pStyle w:val="Heading3"/>
      </w:pPr>
      <w:bookmarkStart w:id="158" w:name="_Toc246483098"/>
      <w:r w:rsidRPr="00061D40">
        <w:t>Objective</w:t>
      </w:r>
      <w:bookmarkEnd w:id="158"/>
      <w:r w:rsidRPr="00061D40">
        <w:t xml:space="preserve"> </w:t>
      </w:r>
    </w:p>
    <w:p w14:paraId="7F486632" w14:textId="77777777" w:rsidR="00306BEF" w:rsidRPr="00061D40" w:rsidRDefault="00E449A3" w:rsidP="000942E9">
      <w:pPr>
        <w:pStyle w:val="bodytextoutlinednumber"/>
      </w:pPr>
      <w:r>
        <w:t>SLP</w:t>
      </w:r>
      <w:r w:rsidR="00694903" w:rsidRPr="00061D40">
        <w:t xml:space="preserve"> funding is payable to help non-government schools improve the learning outcomes of students who are learni</w:t>
      </w:r>
      <w:r w:rsidR="001B6202" w:rsidRPr="00061D40">
        <w:t>ng languages other than English</w:t>
      </w:r>
      <w:r w:rsidR="00306BEF" w:rsidRPr="00061D40">
        <w:t>.</w:t>
      </w:r>
    </w:p>
    <w:p w14:paraId="7F486633" w14:textId="77777777" w:rsidR="00D32016" w:rsidRDefault="00694903">
      <w:pPr>
        <w:pStyle w:val="Heading3"/>
      </w:pPr>
      <w:bookmarkStart w:id="159" w:name="_Toc246483099"/>
      <w:r w:rsidRPr="00061D40">
        <w:t>Eligibility</w:t>
      </w:r>
      <w:bookmarkEnd w:id="159"/>
    </w:p>
    <w:p w14:paraId="7F486634" w14:textId="77777777" w:rsidR="00A64ADD" w:rsidRPr="00061D40" w:rsidRDefault="00A64ADD" w:rsidP="000942E9">
      <w:pPr>
        <w:pStyle w:val="bodytextoutlinednumber"/>
        <w:rPr>
          <w:shd w:val="clear" w:color="auto" w:fill="FFFFFD"/>
        </w:rPr>
      </w:pPr>
      <w:r w:rsidRPr="00061D40">
        <w:rPr>
          <w:shd w:val="clear" w:color="auto" w:fill="FFFFFD"/>
        </w:rPr>
        <w:t xml:space="preserve">School students from </w:t>
      </w:r>
      <w:r w:rsidR="005B58B4" w:rsidRPr="00061D40">
        <w:rPr>
          <w:shd w:val="clear" w:color="auto" w:fill="FFFFFD"/>
        </w:rPr>
        <w:t>K</w:t>
      </w:r>
      <w:r w:rsidR="00FB42C0" w:rsidRPr="00061D40">
        <w:rPr>
          <w:shd w:val="clear" w:color="auto" w:fill="FFFFFD"/>
        </w:rPr>
        <w:t xml:space="preserve">indergarten </w:t>
      </w:r>
      <w:r w:rsidR="009C0395" w:rsidRPr="00061D40">
        <w:rPr>
          <w:shd w:val="clear" w:color="auto" w:fill="FFFFFD"/>
        </w:rPr>
        <w:t>(or equivalent) to</w:t>
      </w:r>
      <w:r w:rsidR="00FB42C0" w:rsidRPr="00061D40">
        <w:rPr>
          <w:shd w:val="clear" w:color="auto" w:fill="FFFFFD"/>
        </w:rPr>
        <w:t xml:space="preserve"> Year </w:t>
      </w:r>
      <w:r w:rsidRPr="00061D40">
        <w:rPr>
          <w:shd w:val="clear" w:color="auto" w:fill="FFFFFD"/>
        </w:rPr>
        <w:t>12 in non-government schools.</w:t>
      </w:r>
    </w:p>
    <w:p w14:paraId="7F486635" w14:textId="77777777" w:rsidR="00694903" w:rsidRPr="00061D40" w:rsidRDefault="00694903" w:rsidP="000942E9">
      <w:pPr>
        <w:pStyle w:val="bodytextoutlinednumber"/>
        <w:rPr>
          <w:shd w:val="clear" w:color="auto" w:fill="FFFFFD"/>
        </w:rPr>
      </w:pPr>
      <w:r w:rsidRPr="00061D40">
        <w:rPr>
          <w:shd w:val="clear" w:color="auto" w:fill="FFFFFD"/>
        </w:rPr>
        <w:t xml:space="preserve">To benefit from </w:t>
      </w:r>
      <w:r w:rsidR="00E449A3">
        <w:rPr>
          <w:shd w:val="clear" w:color="auto" w:fill="FFFFFD"/>
        </w:rPr>
        <w:t>SLP</w:t>
      </w:r>
      <w:r w:rsidRPr="00061D40">
        <w:rPr>
          <w:shd w:val="clear" w:color="auto" w:fill="FFFFFD"/>
        </w:rPr>
        <w:t xml:space="preserve"> funding, students must be enrolled in a non-government school which attracts </w:t>
      </w:r>
      <w:r w:rsidR="00C1042D">
        <w:rPr>
          <w:shd w:val="clear" w:color="auto" w:fill="FFFFFD"/>
        </w:rPr>
        <w:t>r</w:t>
      </w:r>
      <w:r w:rsidR="005828E9" w:rsidRPr="00061D40">
        <w:rPr>
          <w:shd w:val="clear" w:color="auto" w:fill="FFFFFD"/>
        </w:rPr>
        <w:t xml:space="preserve">ecurrent </w:t>
      </w:r>
      <w:r w:rsidRPr="00061D40">
        <w:rPr>
          <w:shd w:val="clear" w:color="auto" w:fill="FFFFFD"/>
        </w:rPr>
        <w:t>funding.</w:t>
      </w:r>
    </w:p>
    <w:p w14:paraId="7F486636" w14:textId="77777777" w:rsidR="00694903" w:rsidRPr="00061D40" w:rsidRDefault="00DA06E6" w:rsidP="000942E9">
      <w:pPr>
        <w:pStyle w:val="bodytextoutlinednumber"/>
        <w:rPr>
          <w:shd w:val="clear" w:color="auto" w:fill="FFFFFD"/>
        </w:rPr>
      </w:pPr>
      <w:r w:rsidRPr="00061D40">
        <w:rPr>
          <w:shd w:val="clear" w:color="auto" w:fill="FFFFFD"/>
        </w:rPr>
        <w:t xml:space="preserve">Final eligibility for </w:t>
      </w:r>
      <w:r w:rsidR="00E449A3">
        <w:rPr>
          <w:shd w:val="clear" w:color="auto" w:fill="FFFFFD"/>
        </w:rPr>
        <w:t xml:space="preserve">SLP </w:t>
      </w:r>
      <w:r w:rsidRPr="00061D40">
        <w:rPr>
          <w:shd w:val="clear" w:color="auto" w:fill="FFFFFD"/>
        </w:rPr>
        <w:t>funding is determined by the non-government school education authorities in each state and territory.</w:t>
      </w:r>
    </w:p>
    <w:p w14:paraId="7F486637" w14:textId="77777777" w:rsidR="00D32016" w:rsidRDefault="00694903">
      <w:pPr>
        <w:pStyle w:val="Heading3"/>
      </w:pPr>
      <w:bookmarkStart w:id="160" w:name="_Toc246483100"/>
      <w:r w:rsidRPr="00061D40">
        <w:t>Funding</w:t>
      </w:r>
      <w:bookmarkEnd w:id="160"/>
      <w:r w:rsidRPr="00061D40">
        <w:t xml:space="preserve"> </w:t>
      </w:r>
    </w:p>
    <w:p w14:paraId="7F486638" w14:textId="77777777" w:rsidR="00202348" w:rsidRPr="00061D40" w:rsidRDefault="009509B2" w:rsidP="000942E9">
      <w:pPr>
        <w:pStyle w:val="bodytextoutlinednumber"/>
        <w:rPr>
          <w:shd w:val="clear" w:color="auto" w:fill="FFFFFD"/>
        </w:rPr>
      </w:pPr>
      <w:r>
        <w:rPr>
          <w:shd w:val="clear" w:color="auto" w:fill="FFFFFD"/>
        </w:rPr>
        <w:t>Initial f</w:t>
      </w:r>
      <w:r w:rsidR="00202348" w:rsidRPr="00470755">
        <w:rPr>
          <w:shd w:val="clear" w:color="auto" w:fill="FFFFFD"/>
        </w:rPr>
        <w:t>unding of $</w:t>
      </w:r>
      <w:r>
        <w:rPr>
          <w:shd w:val="clear" w:color="auto" w:fill="FFFFFD"/>
        </w:rPr>
        <w:t>14.</w:t>
      </w:r>
      <w:r w:rsidR="00151C8B">
        <w:rPr>
          <w:shd w:val="clear" w:color="auto" w:fill="FFFFFD"/>
        </w:rPr>
        <w:t>762</w:t>
      </w:r>
      <w:r w:rsidR="00151C8B" w:rsidRPr="00470755">
        <w:rPr>
          <w:shd w:val="clear" w:color="auto" w:fill="FFFFFD"/>
        </w:rPr>
        <w:t xml:space="preserve"> </w:t>
      </w:r>
      <w:r w:rsidR="00202348" w:rsidRPr="00470755">
        <w:rPr>
          <w:shd w:val="clear" w:color="auto" w:fill="FFFFFD"/>
        </w:rPr>
        <w:t xml:space="preserve">million in </w:t>
      </w:r>
      <w:r>
        <w:rPr>
          <w:shd w:val="clear" w:color="auto" w:fill="FFFFFD"/>
        </w:rPr>
        <w:t>201</w:t>
      </w:r>
      <w:r w:rsidR="00776863">
        <w:rPr>
          <w:shd w:val="clear" w:color="auto" w:fill="FFFFFD"/>
        </w:rPr>
        <w:t>3</w:t>
      </w:r>
      <w:r>
        <w:rPr>
          <w:shd w:val="clear" w:color="auto" w:fill="FFFFFD"/>
        </w:rPr>
        <w:t xml:space="preserve"> will be</w:t>
      </w:r>
      <w:r w:rsidR="004B7AF9">
        <w:rPr>
          <w:shd w:val="clear" w:color="auto" w:fill="FFFFFD"/>
        </w:rPr>
        <w:t xml:space="preserve"> </w:t>
      </w:r>
      <w:r w:rsidR="00202348" w:rsidRPr="00470755">
        <w:rPr>
          <w:shd w:val="clear" w:color="auto" w:fill="FFFFFD"/>
        </w:rPr>
        <w:t xml:space="preserve">provided for the </w:t>
      </w:r>
      <w:r w:rsidR="00E449A3">
        <w:rPr>
          <w:shd w:val="clear" w:color="auto" w:fill="FFFFFD"/>
        </w:rPr>
        <w:t>SLP</w:t>
      </w:r>
      <w:r w:rsidR="00202348" w:rsidRPr="00061D40">
        <w:rPr>
          <w:shd w:val="clear" w:color="auto" w:fill="FFFFFD"/>
        </w:rPr>
        <w:t>, under section 91 of the Act.</w:t>
      </w:r>
      <w:r w:rsidR="008E5ABB" w:rsidRPr="00061D40">
        <w:rPr>
          <w:shd w:val="clear" w:color="auto" w:fill="FFFFFD"/>
        </w:rPr>
        <w:t xml:space="preserve"> </w:t>
      </w:r>
      <w:r w:rsidR="00202348" w:rsidRPr="00061D40">
        <w:rPr>
          <w:shd w:val="clear" w:color="auto" w:fill="FFFFFD"/>
        </w:rPr>
        <w:t>Funding is supplemented annually in line with movements in the AGSRC Index.</w:t>
      </w:r>
      <w:r w:rsidR="008E5ABB" w:rsidRPr="00061D40">
        <w:rPr>
          <w:shd w:val="clear" w:color="auto" w:fill="FFFFFD"/>
        </w:rPr>
        <w:t xml:space="preserve"> </w:t>
      </w:r>
      <w:r w:rsidR="00202348" w:rsidRPr="00061D40">
        <w:rPr>
          <w:shd w:val="clear" w:color="auto" w:fill="FFFFFD"/>
        </w:rPr>
        <w:t>Refer to</w:t>
      </w:r>
      <w:r w:rsidR="00340417" w:rsidRPr="00061D40">
        <w:rPr>
          <w:shd w:val="clear" w:color="auto" w:fill="FFFFFD"/>
        </w:rPr>
        <w:t xml:space="preserve"> </w:t>
      </w:r>
      <w:hyperlink w:anchor="_Appendix_K:_Supplementation" w:history="1">
        <w:r w:rsidR="00340417" w:rsidRPr="00061D40">
          <w:rPr>
            <w:rStyle w:val="Hyperlink"/>
            <w:rFonts w:cs="Garamond"/>
            <w:shd w:val="clear" w:color="auto" w:fill="FFFFFD"/>
          </w:rPr>
          <w:t>Appendix K</w:t>
        </w:r>
      </w:hyperlink>
      <w:r w:rsidR="00202348" w:rsidRPr="00061D40">
        <w:rPr>
          <w:shd w:val="clear" w:color="auto" w:fill="FFFFFD"/>
        </w:rPr>
        <w:t>.</w:t>
      </w:r>
    </w:p>
    <w:p w14:paraId="7F486639" w14:textId="77777777" w:rsidR="00306BEF" w:rsidRPr="00061D40" w:rsidRDefault="000175F7" w:rsidP="000942E9">
      <w:pPr>
        <w:pStyle w:val="bodytextoutlinednumber"/>
        <w:rPr>
          <w:shd w:val="clear" w:color="auto" w:fill="FFFFFD"/>
        </w:rPr>
      </w:pPr>
      <w:r w:rsidRPr="00061D40">
        <w:rPr>
          <w:shd w:val="clear" w:color="auto" w:fill="FFFFFD"/>
        </w:rPr>
        <w:t xml:space="preserve">A </w:t>
      </w:r>
      <w:r w:rsidR="00421C6C" w:rsidRPr="00061D40">
        <w:rPr>
          <w:shd w:val="clear" w:color="auto" w:fill="FFFFFD"/>
        </w:rPr>
        <w:t>proportion</w:t>
      </w:r>
      <w:r w:rsidR="00694903" w:rsidRPr="00061D40">
        <w:rPr>
          <w:shd w:val="clear" w:color="auto" w:fill="FFFFFD"/>
        </w:rPr>
        <w:t xml:space="preserve"> of non-government </w:t>
      </w:r>
      <w:r w:rsidR="00E449A3">
        <w:rPr>
          <w:shd w:val="clear" w:color="auto" w:fill="FFFFFD"/>
        </w:rPr>
        <w:t>SLP</w:t>
      </w:r>
      <w:r w:rsidR="00694903" w:rsidRPr="00061D40">
        <w:rPr>
          <w:shd w:val="clear" w:color="auto" w:fill="FFFFFD"/>
        </w:rPr>
        <w:t xml:space="preserve"> funds will be set aside for national projects, where the sole or principal object of a project is to foster the learning of languages other than English.</w:t>
      </w:r>
      <w:r w:rsidR="008E5ABB" w:rsidRPr="00061D40">
        <w:rPr>
          <w:shd w:val="clear" w:color="auto" w:fill="FFFFFD"/>
        </w:rPr>
        <w:t xml:space="preserve"> </w:t>
      </w:r>
    </w:p>
    <w:p w14:paraId="7F48663A" w14:textId="77777777" w:rsidR="00694903" w:rsidRPr="00061D40" w:rsidRDefault="00694903" w:rsidP="000942E9">
      <w:pPr>
        <w:pStyle w:val="bodytextoutlinednumber"/>
        <w:rPr>
          <w:shd w:val="clear" w:color="auto" w:fill="FFFFFD"/>
        </w:rPr>
      </w:pPr>
      <w:r w:rsidRPr="00061D40">
        <w:rPr>
          <w:shd w:val="clear" w:color="auto" w:fill="FFFFFD"/>
        </w:rPr>
        <w:t xml:space="preserve">The </w:t>
      </w:r>
      <w:r w:rsidR="0098188B" w:rsidRPr="00061D40">
        <w:rPr>
          <w:shd w:val="clear" w:color="auto" w:fill="FFFFFD"/>
        </w:rPr>
        <w:t xml:space="preserve">majority </w:t>
      </w:r>
      <w:r w:rsidRPr="00061D40">
        <w:rPr>
          <w:shd w:val="clear" w:color="auto" w:fill="FFFFFD"/>
        </w:rPr>
        <w:t xml:space="preserve">of funding for the </w:t>
      </w:r>
      <w:r w:rsidR="00E449A3">
        <w:rPr>
          <w:shd w:val="clear" w:color="auto" w:fill="FFFFFD"/>
        </w:rPr>
        <w:t>SLP</w:t>
      </w:r>
      <w:r w:rsidRPr="00061D40">
        <w:rPr>
          <w:shd w:val="clear" w:color="auto" w:fill="FFFFFD"/>
        </w:rPr>
        <w:t xml:space="preserve"> is paid to non-government school education authorities in each state and territory</w:t>
      </w:r>
      <w:r w:rsidR="00306BEF" w:rsidRPr="00061D40">
        <w:rPr>
          <w:shd w:val="clear" w:color="auto" w:fill="FFFFFD"/>
        </w:rPr>
        <w:t>, which are responsible for administering program funds</w:t>
      </w:r>
      <w:r w:rsidRPr="00061D40">
        <w:rPr>
          <w:shd w:val="clear" w:color="auto" w:fill="FFFFFD"/>
        </w:rPr>
        <w:t>.</w:t>
      </w:r>
      <w:r w:rsidR="008E5ABB" w:rsidRPr="00061D40">
        <w:rPr>
          <w:shd w:val="clear" w:color="auto" w:fill="FFFFFD"/>
        </w:rPr>
        <w:t xml:space="preserve"> </w:t>
      </w:r>
    </w:p>
    <w:p w14:paraId="7F48663B" w14:textId="77777777" w:rsidR="00694903" w:rsidRPr="00061D40" w:rsidRDefault="00694903" w:rsidP="000942E9">
      <w:pPr>
        <w:pStyle w:val="bodytextoutlinednumber"/>
        <w:rPr>
          <w:shd w:val="clear" w:color="auto" w:fill="FFFFFD"/>
        </w:rPr>
      </w:pPr>
      <w:r w:rsidRPr="00061D40">
        <w:rPr>
          <w:shd w:val="clear" w:color="auto" w:fill="FFFFFD"/>
        </w:rPr>
        <w:t xml:space="preserve">The distribution of annual supplementation will be based on a non-government school authority’s student per capita entitlement, according to </w:t>
      </w:r>
      <w:r w:rsidR="00330F5D">
        <w:rPr>
          <w:shd w:val="clear" w:color="auto" w:fill="FFFFFD"/>
        </w:rPr>
        <w:t xml:space="preserve">current </w:t>
      </w:r>
      <w:r w:rsidRPr="00061D40">
        <w:rPr>
          <w:shd w:val="clear" w:color="auto" w:fill="FFFFFD"/>
        </w:rPr>
        <w:t>ABS school enrolment data.</w:t>
      </w:r>
      <w:r w:rsidR="008E5ABB" w:rsidRPr="00061D40">
        <w:rPr>
          <w:shd w:val="clear" w:color="auto" w:fill="FFFFFD"/>
        </w:rPr>
        <w:t xml:space="preserve"> </w:t>
      </w:r>
      <w:r w:rsidRPr="00061D40">
        <w:rPr>
          <w:shd w:val="clear" w:color="auto" w:fill="FFFFFD"/>
        </w:rPr>
        <w:t>Supplementation will be distributed to education authorities as follows:</w:t>
      </w:r>
    </w:p>
    <w:p w14:paraId="7F48663C" w14:textId="77777777" w:rsidR="00694903" w:rsidRPr="00061D40" w:rsidRDefault="00694903" w:rsidP="00313AE7">
      <w:pPr>
        <w:pStyle w:val="bodytextoutlinednumber"/>
        <w:numPr>
          <w:ilvl w:val="1"/>
          <w:numId w:val="10"/>
        </w:numPr>
        <w:rPr>
          <w:shd w:val="clear" w:color="auto" w:fill="FFFFFD"/>
        </w:rPr>
      </w:pPr>
      <w:r w:rsidRPr="00061D40">
        <w:rPr>
          <w:shd w:val="clear" w:color="auto" w:fill="FFFFFD"/>
        </w:rPr>
        <w:t xml:space="preserve">Non-government school education authorities currently receiving </w:t>
      </w:r>
      <w:r w:rsidR="00A816EB" w:rsidRPr="00061D40">
        <w:rPr>
          <w:shd w:val="clear" w:color="auto" w:fill="FFFFFD"/>
        </w:rPr>
        <w:t>the</w:t>
      </w:r>
      <w:r w:rsidRPr="00061D40">
        <w:rPr>
          <w:shd w:val="clear" w:color="auto" w:fill="FFFFFD"/>
        </w:rPr>
        <w:t xml:space="preserve"> per capita entitlement of </w:t>
      </w:r>
      <w:r w:rsidR="00E449A3">
        <w:rPr>
          <w:shd w:val="clear" w:color="auto" w:fill="FFFFFD"/>
        </w:rPr>
        <w:t>SLP</w:t>
      </w:r>
      <w:r w:rsidRPr="00061D40">
        <w:rPr>
          <w:shd w:val="clear" w:color="auto" w:fill="FFFFFD"/>
        </w:rPr>
        <w:t xml:space="preserve"> funds will be maintained at their initial 2009 level until their per capita entitlement is reached.</w:t>
      </w:r>
      <w:r w:rsidR="008E5ABB" w:rsidRPr="00061D40">
        <w:rPr>
          <w:shd w:val="clear" w:color="auto" w:fill="FFFFFD"/>
        </w:rPr>
        <w:t xml:space="preserve"> </w:t>
      </w:r>
      <w:r w:rsidRPr="00061D40">
        <w:rPr>
          <w:shd w:val="clear" w:color="auto" w:fill="FFFFFD"/>
        </w:rPr>
        <w:t>They will then receive supplementation consistent with their entitlement, proportional to the supplementation available</w:t>
      </w:r>
    </w:p>
    <w:p w14:paraId="7F48663D" w14:textId="77777777" w:rsidR="00694903" w:rsidRPr="00061D40" w:rsidRDefault="00694903" w:rsidP="00313AE7">
      <w:pPr>
        <w:pStyle w:val="bodytextoutlinednumber"/>
        <w:numPr>
          <w:ilvl w:val="1"/>
          <w:numId w:val="10"/>
        </w:numPr>
        <w:rPr>
          <w:shd w:val="clear" w:color="auto" w:fill="FFFFFD"/>
        </w:rPr>
      </w:pPr>
      <w:r w:rsidRPr="00061D40">
        <w:rPr>
          <w:shd w:val="clear" w:color="auto" w:fill="FFFFFD"/>
        </w:rPr>
        <w:t xml:space="preserve">Non-government school education authorities currently receiving less than a per capita entitlement of </w:t>
      </w:r>
      <w:r w:rsidR="00E449A3">
        <w:rPr>
          <w:shd w:val="clear" w:color="auto" w:fill="FFFFFD"/>
        </w:rPr>
        <w:t>SLP</w:t>
      </w:r>
      <w:r w:rsidRPr="00061D40">
        <w:rPr>
          <w:shd w:val="clear" w:color="auto" w:fill="FFFFFD"/>
        </w:rPr>
        <w:t xml:space="preserve"> funds will receive annual supplementation based on their per capita entitlement proportional to the supplementation available.</w:t>
      </w:r>
    </w:p>
    <w:p w14:paraId="7F48663E" w14:textId="77777777" w:rsidR="00D32016" w:rsidRDefault="00694903">
      <w:pPr>
        <w:pStyle w:val="Heading3"/>
      </w:pPr>
      <w:r w:rsidRPr="00061D40">
        <w:lastRenderedPageBreak/>
        <w:t xml:space="preserve">Use of Funding </w:t>
      </w:r>
    </w:p>
    <w:p w14:paraId="7F48663F" w14:textId="77777777" w:rsidR="00DA06E6" w:rsidRPr="00061D40" w:rsidRDefault="00E449A3" w:rsidP="000942E9">
      <w:pPr>
        <w:pStyle w:val="bodytextoutlinednumber"/>
        <w:rPr>
          <w:shd w:val="clear" w:color="auto" w:fill="FFFFFD"/>
        </w:rPr>
      </w:pPr>
      <w:r>
        <w:rPr>
          <w:shd w:val="clear" w:color="auto" w:fill="FFFFFD"/>
        </w:rPr>
        <w:t>SLP</w:t>
      </w:r>
      <w:r w:rsidR="00DA06E6" w:rsidRPr="00061D40">
        <w:rPr>
          <w:shd w:val="clear" w:color="auto" w:fill="FFFFFD"/>
        </w:rPr>
        <w:t xml:space="preserve"> funding may be used to support languages education at any level from </w:t>
      </w:r>
      <w:r w:rsidR="00FA2A85" w:rsidRPr="00061D40">
        <w:rPr>
          <w:shd w:val="clear" w:color="auto" w:fill="FFFFFD"/>
        </w:rPr>
        <w:t>K</w:t>
      </w:r>
      <w:r w:rsidR="00FB42C0" w:rsidRPr="00061D40">
        <w:rPr>
          <w:shd w:val="clear" w:color="auto" w:fill="FFFFFD"/>
        </w:rPr>
        <w:t xml:space="preserve">indergarten </w:t>
      </w:r>
      <w:r w:rsidR="009C0395" w:rsidRPr="00061D40">
        <w:rPr>
          <w:shd w:val="clear" w:color="auto" w:fill="FFFFFD"/>
        </w:rPr>
        <w:t>(or equivalent) to</w:t>
      </w:r>
      <w:r w:rsidR="00FB42C0" w:rsidRPr="00061D40">
        <w:rPr>
          <w:shd w:val="clear" w:color="auto" w:fill="FFFFFD"/>
        </w:rPr>
        <w:t xml:space="preserve"> Year </w:t>
      </w:r>
      <w:r w:rsidR="00DA06E6" w:rsidRPr="00061D40">
        <w:rPr>
          <w:shd w:val="clear" w:color="auto" w:fill="FFFFFD"/>
        </w:rPr>
        <w:t>12, including Asian, European,</w:t>
      </w:r>
      <w:r w:rsidR="004B7AF9">
        <w:rPr>
          <w:shd w:val="clear" w:color="auto" w:fill="FFFFFD"/>
        </w:rPr>
        <w:t xml:space="preserve"> </w:t>
      </w:r>
      <w:r w:rsidR="00A706B1">
        <w:rPr>
          <w:shd w:val="clear" w:color="auto" w:fill="FFFFFD"/>
        </w:rPr>
        <w:t>Aboriginal and Torres Strait Islander</w:t>
      </w:r>
      <w:r w:rsidR="004B7AF9">
        <w:rPr>
          <w:shd w:val="clear" w:color="auto" w:fill="FFFFFD"/>
        </w:rPr>
        <w:t xml:space="preserve"> </w:t>
      </w:r>
      <w:r w:rsidR="00DA06E6" w:rsidRPr="00061D40">
        <w:rPr>
          <w:shd w:val="clear" w:color="auto" w:fill="FFFFFD"/>
        </w:rPr>
        <w:t xml:space="preserve">languages and Auslan. </w:t>
      </w:r>
    </w:p>
    <w:p w14:paraId="7F486640" w14:textId="77777777" w:rsidR="007E4A42" w:rsidRPr="00061D40" w:rsidRDefault="007E4A42" w:rsidP="000942E9">
      <w:pPr>
        <w:pStyle w:val="bodytextoutlinednumber"/>
        <w:rPr>
          <w:shd w:val="clear" w:color="auto" w:fill="FFFFFD"/>
        </w:rPr>
      </w:pPr>
      <w:r w:rsidRPr="00061D40">
        <w:rPr>
          <w:shd w:val="clear" w:color="auto" w:fill="FFFFFD"/>
        </w:rPr>
        <w:t>Funds may be used for the purchase of minor capital items (which may include, but not limited to, items such as interactive whiteboards, language specific software, DVD players, TVs etc) up to $5,000 per school for explicit use in the delivery of languages education programs.</w:t>
      </w:r>
    </w:p>
    <w:p w14:paraId="7F486641" w14:textId="77777777" w:rsidR="00694903" w:rsidRPr="00061D40" w:rsidRDefault="00694903" w:rsidP="000942E9">
      <w:pPr>
        <w:pStyle w:val="bodytextoutlinednumber"/>
        <w:rPr>
          <w:shd w:val="clear" w:color="auto" w:fill="FFFFFD"/>
        </w:rPr>
      </w:pPr>
      <w:r w:rsidRPr="00061D40">
        <w:rPr>
          <w:shd w:val="clear" w:color="auto" w:fill="FFFFFD"/>
        </w:rPr>
        <w:t>Funds may not be used for:</w:t>
      </w:r>
    </w:p>
    <w:p w14:paraId="7F486642" w14:textId="77777777" w:rsidR="00694903" w:rsidRPr="00061D40" w:rsidRDefault="00BD6143" w:rsidP="00313AE7">
      <w:pPr>
        <w:pStyle w:val="bodytextoutlinednumber"/>
        <w:numPr>
          <w:ilvl w:val="1"/>
          <w:numId w:val="10"/>
        </w:numPr>
        <w:rPr>
          <w:shd w:val="clear" w:color="auto" w:fill="FFFFFD"/>
        </w:rPr>
      </w:pPr>
      <w:r w:rsidRPr="00061D40">
        <w:rPr>
          <w:shd w:val="clear" w:color="auto" w:fill="FFFFFD"/>
        </w:rPr>
        <w:t xml:space="preserve">major </w:t>
      </w:r>
      <w:r w:rsidR="00694903" w:rsidRPr="00061D40">
        <w:rPr>
          <w:shd w:val="clear" w:color="auto" w:fill="FFFFFD"/>
        </w:rPr>
        <w:t>capital purposes</w:t>
      </w:r>
    </w:p>
    <w:p w14:paraId="7F486643" w14:textId="77777777" w:rsidR="00694903" w:rsidRPr="00061D40" w:rsidRDefault="00306BEF" w:rsidP="00313AE7">
      <w:pPr>
        <w:pStyle w:val="bodytextoutlinednumber"/>
        <w:numPr>
          <w:ilvl w:val="1"/>
          <w:numId w:val="10"/>
        </w:numPr>
        <w:rPr>
          <w:shd w:val="clear" w:color="auto" w:fill="FFFFFD"/>
        </w:rPr>
      </w:pPr>
      <w:r w:rsidRPr="00061D40">
        <w:rPr>
          <w:shd w:val="clear" w:color="auto" w:fill="FFFFFD"/>
        </w:rPr>
        <w:t>programs</w:t>
      </w:r>
      <w:r w:rsidR="00694903" w:rsidRPr="00061D40">
        <w:rPr>
          <w:shd w:val="clear" w:color="auto" w:fill="FFFFFD"/>
        </w:rPr>
        <w:t xml:space="preserve"> which are predominantly religious or political.</w:t>
      </w:r>
    </w:p>
    <w:p w14:paraId="7F486644" w14:textId="77777777" w:rsidR="00D32016" w:rsidRDefault="00694903">
      <w:pPr>
        <w:pStyle w:val="Heading3"/>
      </w:pPr>
      <w:bookmarkStart w:id="161" w:name="_Toc246483101"/>
      <w:r w:rsidRPr="00061D40">
        <w:t xml:space="preserve">Administration and </w:t>
      </w:r>
      <w:r w:rsidR="00734A9B" w:rsidRPr="00061D40">
        <w:t>R</w:t>
      </w:r>
      <w:r w:rsidRPr="00061D40">
        <w:t>eporting</w:t>
      </w:r>
      <w:bookmarkEnd w:id="161"/>
    </w:p>
    <w:p w14:paraId="7F486645" w14:textId="77777777" w:rsidR="00694903" w:rsidRPr="00061D40" w:rsidRDefault="00694903" w:rsidP="000942E9">
      <w:pPr>
        <w:pStyle w:val="bodytextoutlinednumber"/>
        <w:rPr>
          <w:shd w:val="clear" w:color="auto" w:fill="FFFFFD"/>
        </w:rPr>
      </w:pPr>
      <w:r w:rsidRPr="00061D40">
        <w:rPr>
          <w:shd w:val="clear" w:color="auto" w:fill="FFFFFD"/>
        </w:rPr>
        <w:t xml:space="preserve">Non-government education authorities are required to submit a report by 31 January each year that provides the </w:t>
      </w:r>
      <w:r w:rsidR="00E77D71" w:rsidRPr="00061D40">
        <w:rPr>
          <w:rFonts w:cs="Calibri"/>
          <w:shd w:val="clear" w:color="auto" w:fill="FFFFFD"/>
        </w:rPr>
        <w:t>information with respect to the languages activities conducted within their sectors in the preceding calendar year.</w:t>
      </w:r>
    </w:p>
    <w:p w14:paraId="7F486646" w14:textId="77777777" w:rsidR="00D32016" w:rsidRDefault="00A706B1">
      <w:pPr>
        <w:pStyle w:val="bodytextoutlinednumber"/>
        <w:rPr>
          <w:shd w:val="clear" w:color="auto" w:fill="FFFFFD"/>
        </w:rPr>
      </w:pPr>
      <w:r>
        <w:rPr>
          <w:shd w:val="clear" w:color="auto" w:fill="FFFFFD"/>
        </w:rPr>
        <w:t>Reporting on 201</w:t>
      </w:r>
      <w:r w:rsidR="00151C8B">
        <w:rPr>
          <w:shd w:val="clear" w:color="auto" w:fill="FFFFFD"/>
        </w:rPr>
        <w:t>2</w:t>
      </w:r>
      <w:r>
        <w:rPr>
          <w:shd w:val="clear" w:color="auto" w:fill="FFFFFD"/>
        </w:rPr>
        <w:t xml:space="preserve"> SLP activities is to be done in accordance with the following template:</w:t>
      </w:r>
    </w:p>
    <w:p w14:paraId="7F486647" w14:textId="77777777" w:rsidR="00527B7E" w:rsidRPr="00331312" w:rsidRDefault="00527B7E" w:rsidP="00527B7E">
      <w:pPr>
        <w:autoSpaceDE w:val="0"/>
        <w:autoSpaceDN w:val="0"/>
        <w:adjustRightInd w:val="0"/>
        <w:spacing w:before="400" w:after="160"/>
        <w:rPr>
          <w:rFonts w:cs="Calibri"/>
          <w:b/>
          <w:color w:val="0070C0"/>
          <w:sz w:val="28"/>
          <w:szCs w:val="28"/>
        </w:rPr>
      </w:pPr>
      <w:r w:rsidRPr="00331312">
        <w:rPr>
          <w:rFonts w:cs="Calibri"/>
          <w:b/>
          <w:color w:val="0070C0"/>
          <w:sz w:val="28"/>
          <w:szCs w:val="28"/>
        </w:rPr>
        <w:t>Contact Details:</w:t>
      </w:r>
    </w:p>
    <w:tbl>
      <w:tblPr>
        <w:tblW w:w="0" w:type="auto"/>
        <w:jc w:val="center"/>
        <w:tblInd w:w="-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4925"/>
      </w:tblGrid>
      <w:tr w:rsidR="00527B7E" w:rsidRPr="00331312" w14:paraId="7F48664A" w14:textId="77777777" w:rsidTr="00527B7E">
        <w:trPr>
          <w:jc w:val="center"/>
        </w:trPr>
        <w:tc>
          <w:tcPr>
            <w:tcW w:w="2999" w:type="dxa"/>
            <w:tcBorders>
              <w:top w:val="single" w:sz="4" w:space="0" w:color="auto"/>
              <w:left w:val="single" w:sz="4" w:space="0" w:color="auto"/>
              <w:bottom w:val="single" w:sz="4" w:space="0" w:color="auto"/>
              <w:right w:val="single" w:sz="4" w:space="0" w:color="auto"/>
            </w:tcBorders>
          </w:tcPr>
          <w:p w14:paraId="7F486648" w14:textId="77777777" w:rsidR="00527B7E" w:rsidRPr="00331312" w:rsidRDefault="00527B7E" w:rsidP="00527B7E">
            <w:pPr>
              <w:autoSpaceDE w:val="0"/>
              <w:autoSpaceDN w:val="0"/>
              <w:adjustRightInd w:val="0"/>
              <w:spacing w:before="60" w:after="60"/>
              <w:rPr>
                <w:rFonts w:cs="Calibri"/>
                <w:bCs/>
                <w:sz w:val="22"/>
                <w:szCs w:val="22"/>
              </w:rPr>
            </w:pPr>
            <w:r w:rsidRPr="00331312">
              <w:rPr>
                <w:rFonts w:cs="Calibri"/>
                <w:bCs/>
                <w:sz w:val="22"/>
                <w:szCs w:val="22"/>
              </w:rPr>
              <w:t>Education Authority</w:t>
            </w:r>
          </w:p>
        </w:tc>
        <w:tc>
          <w:tcPr>
            <w:tcW w:w="4925" w:type="dxa"/>
            <w:tcBorders>
              <w:top w:val="single" w:sz="4" w:space="0" w:color="auto"/>
              <w:left w:val="single" w:sz="4" w:space="0" w:color="auto"/>
              <w:bottom w:val="single" w:sz="4" w:space="0" w:color="auto"/>
              <w:right w:val="single" w:sz="4" w:space="0" w:color="auto"/>
            </w:tcBorders>
          </w:tcPr>
          <w:p w14:paraId="7F486649" w14:textId="77777777" w:rsidR="00527B7E" w:rsidRPr="00331312" w:rsidRDefault="00527B7E" w:rsidP="00527B7E">
            <w:pPr>
              <w:autoSpaceDE w:val="0"/>
              <w:autoSpaceDN w:val="0"/>
              <w:adjustRightInd w:val="0"/>
              <w:spacing w:before="60" w:after="60"/>
              <w:rPr>
                <w:rFonts w:cs="Calibri"/>
                <w:sz w:val="22"/>
                <w:szCs w:val="22"/>
              </w:rPr>
            </w:pPr>
          </w:p>
        </w:tc>
      </w:tr>
      <w:tr w:rsidR="00527B7E" w:rsidRPr="00331312" w14:paraId="7F48664D" w14:textId="77777777" w:rsidTr="00527B7E">
        <w:trPr>
          <w:jc w:val="center"/>
        </w:trPr>
        <w:tc>
          <w:tcPr>
            <w:tcW w:w="2999" w:type="dxa"/>
            <w:tcBorders>
              <w:top w:val="single" w:sz="4" w:space="0" w:color="auto"/>
              <w:left w:val="single" w:sz="4" w:space="0" w:color="auto"/>
              <w:bottom w:val="single" w:sz="4" w:space="0" w:color="auto"/>
              <w:right w:val="single" w:sz="4" w:space="0" w:color="auto"/>
            </w:tcBorders>
          </w:tcPr>
          <w:p w14:paraId="7F48664B" w14:textId="77777777" w:rsidR="00527B7E" w:rsidRPr="00331312" w:rsidRDefault="00527B7E" w:rsidP="00527B7E">
            <w:pPr>
              <w:autoSpaceDE w:val="0"/>
              <w:autoSpaceDN w:val="0"/>
              <w:adjustRightInd w:val="0"/>
              <w:spacing w:before="60" w:after="60"/>
              <w:rPr>
                <w:rFonts w:cs="Calibri"/>
                <w:bCs/>
                <w:sz w:val="22"/>
                <w:szCs w:val="22"/>
              </w:rPr>
            </w:pPr>
            <w:r w:rsidRPr="00331312">
              <w:rPr>
                <w:rFonts w:cs="Calibri"/>
                <w:bCs/>
                <w:sz w:val="22"/>
                <w:szCs w:val="22"/>
              </w:rPr>
              <w:t>SLP Contact Officer:</w:t>
            </w:r>
          </w:p>
        </w:tc>
        <w:tc>
          <w:tcPr>
            <w:tcW w:w="4925" w:type="dxa"/>
            <w:tcBorders>
              <w:top w:val="single" w:sz="4" w:space="0" w:color="auto"/>
              <w:left w:val="single" w:sz="4" w:space="0" w:color="auto"/>
              <w:bottom w:val="single" w:sz="4" w:space="0" w:color="auto"/>
              <w:right w:val="single" w:sz="4" w:space="0" w:color="auto"/>
            </w:tcBorders>
          </w:tcPr>
          <w:p w14:paraId="7F48664C" w14:textId="77777777" w:rsidR="00527B7E" w:rsidRPr="00331312" w:rsidRDefault="00527B7E" w:rsidP="00527B7E">
            <w:pPr>
              <w:autoSpaceDE w:val="0"/>
              <w:autoSpaceDN w:val="0"/>
              <w:adjustRightInd w:val="0"/>
              <w:spacing w:before="60" w:after="60"/>
              <w:rPr>
                <w:rFonts w:cs="Calibri"/>
                <w:sz w:val="22"/>
                <w:szCs w:val="22"/>
              </w:rPr>
            </w:pPr>
          </w:p>
        </w:tc>
      </w:tr>
      <w:tr w:rsidR="00527B7E" w:rsidRPr="00331312" w14:paraId="7F486650" w14:textId="77777777" w:rsidTr="00527B7E">
        <w:trPr>
          <w:jc w:val="center"/>
        </w:trPr>
        <w:tc>
          <w:tcPr>
            <w:tcW w:w="2999" w:type="dxa"/>
            <w:tcBorders>
              <w:top w:val="single" w:sz="4" w:space="0" w:color="auto"/>
              <w:left w:val="single" w:sz="4" w:space="0" w:color="auto"/>
              <w:bottom w:val="single" w:sz="4" w:space="0" w:color="auto"/>
              <w:right w:val="single" w:sz="4" w:space="0" w:color="auto"/>
            </w:tcBorders>
          </w:tcPr>
          <w:p w14:paraId="7F48664E" w14:textId="77777777" w:rsidR="00527B7E" w:rsidRPr="00331312" w:rsidRDefault="00527B7E" w:rsidP="00527B7E">
            <w:pPr>
              <w:autoSpaceDE w:val="0"/>
              <w:autoSpaceDN w:val="0"/>
              <w:adjustRightInd w:val="0"/>
              <w:spacing w:before="60" w:after="60"/>
              <w:rPr>
                <w:rFonts w:cs="Calibri"/>
                <w:bCs/>
                <w:sz w:val="22"/>
                <w:szCs w:val="22"/>
              </w:rPr>
            </w:pPr>
            <w:r w:rsidRPr="00331312">
              <w:rPr>
                <w:rFonts w:cs="Calibri"/>
                <w:bCs/>
                <w:sz w:val="22"/>
                <w:szCs w:val="22"/>
              </w:rPr>
              <w:t>Telephone:</w:t>
            </w:r>
          </w:p>
        </w:tc>
        <w:tc>
          <w:tcPr>
            <w:tcW w:w="4925" w:type="dxa"/>
            <w:tcBorders>
              <w:top w:val="single" w:sz="4" w:space="0" w:color="auto"/>
              <w:left w:val="single" w:sz="4" w:space="0" w:color="auto"/>
              <w:bottom w:val="single" w:sz="4" w:space="0" w:color="auto"/>
              <w:right w:val="single" w:sz="4" w:space="0" w:color="auto"/>
            </w:tcBorders>
          </w:tcPr>
          <w:p w14:paraId="7F48664F" w14:textId="77777777" w:rsidR="00527B7E" w:rsidRPr="00331312" w:rsidRDefault="00527B7E" w:rsidP="00527B7E">
            <w:pPr>
              <w:autoSpaceDE w:val="0"/>
              <w:autoSpaceDN w:val="0"/>
              <w:adjustRightInd w:val="0"/>
              <w:spacing w:before="60" w:after="60"/>
              <w:rPr>
                <w:rFonts w:cs="Calibri"/>
                <w:sz w:val="22"/>
                <w:szCs w:val="22"/>
              </w:rPr>
            </w:pPr>
          </w:p>
        </w:tc>
      </w:tr>
      <w:tr w:rsidR="00527B7E" w:rsidRPr="00331312" w14:paraId="7F486653" w14:textId="77777777" w:rsidTr="00527B7E">
        <w:trPr>
          <w:jc w:val="center"/>
        </w:trPr>
        <w:tc>
          <w:tcPr>
            <w:tcW w:w="2999" w:type="dxa"/>
            <w:tcBorders>
              <w:top w:val="single" w:sz="4" w:space="0" w:color="auto"/>
              <w:left w:val="single" w:sz="4" w:space="0" w:color="auto"/>
              <w:bottom w:val="single" w:sz="4" w:space="0" w:color="auto"/>
              <w:right w:val="single" w:sz="4" w:space="0" w:color="auto"/>
            </w:tcBorders>
          </w:tcPr>
          <w:p w14:paraId="7F486651" w14:textId="77777777" w:rsidR="00527B7E" w:rsidRPr="00331312" w:rsidRDefault="00527B7E" w:rsidP="00527B7E">
            <w:pPr>
              <w:autoSpaceDE w:val="0"/>
              <w:autoSpaceDN w:val="0"/>
              <w:adjustRightInd w:val="0"/>
              <w:spacing w:before="60" w:after="60"/>
              <w:rPr>
                <w:rFonts w:cs="Calibri"/>
                <w:bCs/>
                <w:sz w:val="22"/>
                <w:szCs w:val="22"/>
              </w:rPr>
            </w:pPr>
            <w:r w:rsidRPr="00331312">
              <w:rPr>
                <w:rFonts w:cs="Calibri"/>
                <w:bCs/>
                <w:sz w:val="22"/>
                <w:szCs w:val="22"/>
              </w:rPr>
              <w:t>Email address:</w:t>
            </w:r>
          </w:p>
        </w:tc>
        <w:tc>
          <w:tcPr>
            <w:tcW w:w="4925" w:type="dxa"/>
            <w:tcBorders>
              <w:top w:val="single" w:sz="4" w:space="0" w:color="auto"/>
              <w:left w:val="single" w:sz="4" w:space="0" w:color="auto"/>
              <w:bottom w:val="single" w:sz="4" w:space="0" w:color="auto"/>
              <w:right w:val="single" w:sz="4" w:space="0" w:color="auto"/>
            </w:tcBorders>
          </w:tcPr>
          <w:p w14:paraId="7F486652" w14:textId="77777777" w:rsidR="00527B7E" w:rsidRPr="00331312" w:rsidRDefault="00527B7E" w:rsidP="00527B7E">
            <w:pPr>
              <w:autoSpaceDE w:val="0"/>
              <w:autoSpaceDN w:val="0"/>
              <w:adjustRightInd w:val="0"/>
              <w:spacing w:before="60" w:after="60"/>
              <w:rPr>
                <w:rFonts w:cs="Calibri"/>
                <w:sz w:val="22"/>
                <w:szCs w:val="22"/>
              </w:rPr>
            </w:pPr>
          </w:p>
        </w:tc>
      </w:tr>
    </w:tbl>
    <w:p w14:paraId="7F486654" w14:textId="77777777" w:rsidR="00527B7E" w:rsidRPr="00331312" w:rsidRDefault="00527B7E" w:rsidP="00527B7E">
      <w:pPr>
        <w:autoSpaceDE w:val="0"/>
        <w:autoSpaceDN w:val="0"/>
        <w:adjustRightInd w:val="0"/>
        <w:spacing w:before="320" w:after="160"/>
        <w:rPr>
          <w:rFonts w:cs="Calibri"/>
          <w:b/>
          <w:color w:val="0070C0"/>
          <w:sz w:val="28"/>
          <w:szCs w:val="28"/>
        </w:rPr>
      </w:pPr>
      <w:r w:rsidRPr="00331312">
        <w:rPr>
          <w:rFonts w:cs="Calibri"/>
          <w:b/>
          <w:color w:val="0070C0"/>
          <w:sz w:val="28"/>
          <w:szCs w:val="28"/>
        </w:rPr>
        <w:t>Funding</w:t>
      </w:r>
    </w:p>
    <w:tbl>
      <w:tblPr>
        <w:tblW w:w="0" w:type="auto"/>
        <w:jc w:val="center"/>
        <w:tblInd w:w="-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4925"/>
      </w:tblGrid>
      <w:tr w:rsidR="00527B7E" w:rsidRPr="00331312" w14:paraId="7F486657" w14:textId="77777777" w:rsidTr="00527B7E">
        <w:trPr>
          <w:jc w:val="center"/>
        </w:trPr>
        <w:tc>
          <w:tcPr>
            <w:tcW w:w="2999" w:type="dxa"/>
            <w:tcBorders>
              <w:top w:val="single" w:sz="4" w:space="0" w:color="auto"/>
              <w:left w:val="single" w:sz="4" w:space="0" w:color="auto"/>
              <w:bottom w:val="single" w:sz="4" w:space="0" w:color="auto"/>
              <w:right w:val="single" w:sz="4" w:space="0" w:color="auto"/>
            </w:tcBorders>
          </w:tcPr>
          <w:p w14:paraId="7F486655" w14:textId="77777777" w:rsidR="00527B7E" w:rsidRPr="00331312" w:rsidRDefault="00527B7E" w:rsidP="00527B7E">
            <w:pPr>
              <w:autoSpaceDE w:val="0"/>
              <w:autoSpaceDN w:val="0"/>
              <w:adjustRightInd w:val="0"/>
              <w:spacing w:before="60" w:after="60"/>
              <w:rPr>
                <w:rFonts w:cs="Calibri"/>
                <w:sz w:val="22"/>
                <w:szCs w:val="22"/>
              </w:rPr>
            </w:pPr>
            <w:r w:rsidRPr="00331312">
              <w:rPr>
                <w:rFonts w:cs="Calibri"/>
                <w:bCs/>
                <w:sz w:val="22"/>
                <w:szCs w:val="22"/>
              </w:rPr>
              <w:t>SLP Program Year</w:t>
            </w:r>
          </w:p>
        </w:tc>
        <w:tc>
          <w:tcPr>
            <w:tcW w:w="4925" w:type="dxa"/>
            <w:tcBorders>
              <w:top w:val="single" w:sz="4" w:space="0" w:color="auto"/>
              <w:left w:val="single" w:sz="4" w:space="0" w:color="auto"/>
              <w:bottom w:val="single" w:sz="4" w:space="0" w:color="auto"/>
              <w:right w:val="single" w:sz="4" w:space="0" w:color="auto"/>
            </w:tcBorders>
          </w:tcPr>
          <w:p w14:paraId="7F486656" w14:textId="77777777" w:rsidR="00527B7E" w:rsidRPr="00331312" w:rsidRDefault="00527B7E" w:rsidP="00151C8B">
            <w:pPr>
              <w:autoSpaceDE w:val="0"/>
              <w:autoSpaceDN w:val="0"/>
              <w:adjustRightInd w:val="0"/>
              <w:spacing w:before="60" w:after="60"/>
              <w:rPr>
                <w:rFonts w:cs="Calibri"/>
                <w:sz w:val="22"/>
                <w:szCs w:val="22"/>
              </w:rPr>
            </w:pPr>
            <w:r w:rsidRPr="00331312">
              <w:rPr>
                <w:rFonts w:cs="Calibri"/>
                <w:sz w:val="22"/>
                <w:szCs w:val="22"/>
              </w:rPr>
              <w:t>201</w:t>
            </w:r>
            <w:r w:rsidR="00151C8B">
              <w:rPr>
                <w:rFonts w:cs="Calibri"/>
                <w:sz w:val="22"/>
                <w:szCs w:val="22"/>
              </w:rPr>
              <w:t>2</w:t>
            </w:r>
          </w:p>
        </w:tc>
      </w:tr>
      <w:tr w:rsidR="00527B7E" w:rsidRPr="00331312" w14:paraId="7F48665A" w14:textId="77777777" w:rsidTr="00527B7E">
        <w:trPr>
          <w:jc w:val="center"/>
        </w:trPr>
        <w:tc>
          <w:tcPr>
            <w:tcW w:w="2999" w:type="dxa"/>
            <w:tcBorders>
              <w:top w:val="single" w:sz="4" w:space="0" w:color="auto"/>
              <w:left w:val="single" w:sz="4" w:space="0" w:color="auto"/>
              <w:bottom w:val="single" w:sz="4" w:space="0" w:color="auto"/>
              <w:right w:val="single" w:sz="4" w:space="0" w:color="auto"/>
            </w:tcBorders>
          </w:tcPr>
          <w:p w14:paraId="7F486658" w14:textId="77777777" w:rsidR="00527B7E" w:rsidRPr="00331312" w:rsidDel="00571211" w:rsidRDefault="00527B7E" w:rsidP="00151C8B">
            <w:pPr>
              <w:autoSpaceDE w:val="0"/>
              <w:autoSpaceDN w:val="0"/>
              <w:adjustRightInd w:val="0"/>
              <w:spacing w:before="60" w:after="60"/>
              <w:rPr>
                <w:rFonts w:cs="Calibri"/>
                <w:bCs/>
                <w:sz w:val="22"/>
                <w:szCs w:val="22"/>
              </w:rPr>
            </w:pPr>
            <w:r w:rsidRPr="00331312">
              <w:rPr>
                <w:rFonts w:cs="Calibri"/>
                <w:bCs/>
                <w:sz w:val="22"/>
                <w:szCs w:val="22"/>
              </w:rPr>
              <w:t>Total 201</w:t>
            </w:r>
            <w:r w:rsidR="00151C8B">
              <w:rPr>
                <w:rFonts w:cs="Calibri"/>
                <w:bCs/>
                <w:sz w:val="22"/>
                <w:szCs w:val="22"/>
              </w:rPr>
              <w:t>2</w:t>
            </w:r>
            <w:r w:rsidRPr="00331312">
              <w:rPr>
                <w:rFonts w:cs="Calibri"/>
                <w:bCs/>
                <w:sz w:val="22"/>
                <w:szCs w:val="22"/>
              </w:rPr>
              <w:t xml:space="preserve"> Funds received</w:t>
            </w:r>
          </w:p>
        </w:tc>
        <w:tc>
          <w:tcPr>
            <w:tcW w:w="4925" w:type="dxa"/>
            <w:tcBorders>
              <w:top w:val="single" w:sz="4" w:space="0" w:color="auto"/>
              <w:left w:val="single" w:sz="4" w:space="0" w:color="auto"/>
              <w:bottom w:val="single" w:sz="4" w:space="0" w:color="auto"/>
              <w:right w:val="single" w:sz="4" w:space="0" w:color="auto"/>
            </w:tcBorders>
          </w:tcPr>
          <w:p w14:paraId="7F486659" w14:textId="77777777" w:rsidR="00527B7E" w:rsidRPr="00331312" w:rsidRDefault="00527B7E" w:rsidP="00527B7E">
            <w:pPr>
              <w:autoSpaceDE w:val="0"/>
              <w:autoSpaceDN w:val="0"/>
              <w:adjustRightInd w:val="0"/>
              <w:spacing w:before="60" w:after="60"/>
              <w:rPr>
                <w:rFonts w:cs="Calibri"/>
                <w:sz w:val="22"/>
                <w:szCs w:val="22"/>
              </w:rPr>
            </w:pPr>
          </w:p>
        </w:tc>
      </w:tr>
      <w:tr w:rsidR="00527B7E" w:rsidRPr="00331312" w14:paraId="7F48665D" w14:textId="77777777" w:rsidTr="00527B7E">
        <w:trPr>
          <w:jc w:val="center"/>
        </w:trPr>
        <w:tc>
          <w:tcPr>
            <w:tcW w:w="2999" w:type="dxa"/>
            <w:tcBorders>
              <w:top w:val="single" w:sz="4" w:space="0" w:color="auto"/>
              <w:left w:val="single" w:sz="4" w:space="0" w:color="auto"/>
              <w:bottom w:val="single" w:sz="4" w:space="0" w:color="auto"/>
              <w:right w:val="single" w:sz="4" w:space="0" w:color="auto"/>
            </w:tcBorders>
          </w:tcPr>
          <w:p w14:paraId="7F48665B" w14:textId="77777777" w:rsidR="00527B7E" w:rsidRPr="00331312" w:rsidRDefault="00527B7E" w:rsidP="00151C8B">
            <w:pPr>
              <w:autoSpaceDE w:val="0"/>
              <w:autoSpaceDN w:val="0"/>
              <w:adjustRightInd w:val="0"/>
              <w:spacing w:before="60" w:after="60"/>
              <w:rPr>
                <w:rFonts w:cs="Calibri"/>
                <w:bCs/>
                <w:sz w:val="22"/>
                <w:szCs w:val="22"/>
              </w:rPr>
            </w:pPr>
            <w:r w:rsidRPr="00331312">
              <w:rPr>
                <w:rFonts w:cs="Calibri"/>
                <w:bCs/>
                <w:sz w:val="22"/>
                <w:szCs w:val="22"/>
              </w:rPr>
              <w:t>Total 201</w:t>
            </w:r>
            <w:r w:rsidR="00151C8B">
              <w:rPr>
                <w:rFonts w:cs="Calibri"/>
                <w:bCs/>
                <w:sz w:val="22"/>
                <w:szCs w:val="22"/>
              </w:rPr>
              <w:t>2</w:t>
            </w:r>
            <w:r w:rsidRPr="00331312">
              <w:rPr>
                <w:rFonts w:cs="Calibri"/>
                <w:bCs/>
                <w:sz w:val="22"/>
                <w:szCs w:val="22"/>
              </w:rPr>
              <w:t xml:space="preserve"> Funds spent</w:t>
            </w:r>
          </w:p>
        </w:tc>
        <w:tc>
          <w:tcPr>
            <w:tcW w:w="4925" w:type="dxa"/>
            <w:tcBorders>
              <w:top w:val="single" w:sz="4" w:space="0" w:color="auto"/>
              <w:left w:val="single" w:sz="4" w:space="0" w:color="auto"/>
              <w:bottom w:val="single" w:sz="4" w:space="0" w:color="auto"/>
              <w:right w:val="single" w:sz="4" w:space="0" w:color="auto"/>
            </w:tcBorders>
          </w:tcPr>
          <w:p w14:paraId="7F48665C" w14:textId="77777777" w:rsidR="00527B7E" w:rsidRPr="00331312" w:rsidRDefault="00527B7E" w:rsidP="00527B7E">
            <w:pPr>
              <w:autoSpaceDE w:val="0"/>
              <w:autoSpaceDN w:val="0"/>
              <w:adjustRightInd w:val="0"/>
              <w:spacing w:before="60" w:after="60"/>
              <w:rPr>
                <w:rFonts w:cs="Calibri"/>
                <w:sz w:val="22"/>
                <w:szCs w:val="22"/>
              </w:rPr>
            </w:pPr>
          </w:p>
        </w:tc>
      </w:tr>
      <w:tr w:rsidR="00527B7E" w:rsidRPr="00331312" w14:paraId="7F486660" w14:textId="77777777" w:rsidTr="00527B7E">
        <w:trPr>
          <w:jc w:val="center"/>
        </w:trPr>
        <w:tc>
          <w:tcPr>
            <w:tcW w:w="2999" w:type="dxa"/>
            <w:tcBorders>
              <w:top w:val="single" w:sz="4" w:space="0" w:color="auto"/>
              <w:left w:val="single" w:sz="4" w:space="0" w:color="auto"/>
              <w:bottom w:val="single" w:sz="4" w:space="0" w:color="auto"/>
              <w:right w:val="single" w:sz="4" w:space="0" w:color="auto"/>
            </w:tcBorders>
          </w:tcPr>
          <w:p w14:paraId="7F48665E" w14:textId="77777777" w:rsidR="00527B7E" w:rsidRPr="00331312" w:rsidRDefault="00527B7E" w:rsidP="00151C8B">
            <w:pPr>
              <w:autoSpaceDE w:val="0"/>
              <w:autoSpaceDN w:val="0"/>
              <w:adjustRightInd w:val="0"/>
              <w:spacing w:before="60" w:after="60"/>
              <w:rPr>
                <w:rFonts w:cs="Calibri"/>
                <w:bCs/>
                <w:sz w:val="22"/>
                <w:szCs w:val="22"/>
              </w:rPr>
            </w:pPr>
            <w:r w:rsidRPr="00331312">
              <w:rPr>
                <w:rFonts w:cs="Calibri"/>
                <w:bCs/>
                <w:sz w:val="22"/>
                <w:szCs w:val="22"/>
              </w:rPr>
              <w:t>Total 201</w:t>
            </w:r>
            <w:r w:rsidR="00151C8B">
              <w:rPr>
                <w:rFonts w:cs="Calibri"/>
                <w:bCs/>
                <w:sz w:val="22"/>
                <w:szCs w:val="22"/>
              </w:rPr>
              <w:t>2</w:t>
            </w:r>
            <w:r w:rsidRPr="00331312">
              <w:rPr>
                <w:rFonts w:cs="Calibri"/>
                <w:bCs/>
                <w:sz w:val="22"/>
                <w:szCs w:val="22"/>
              </w:rPr>
              <w:t xml:space="preserve"> Funds committed</w:t>
            </w:r>
          </w:p>
        </w:tc>
        <w:tc>
          <w:tcPr>
            <w:tcW w:w="4925" w:type="dxa"/>
            <w:tcBorders>
              <w:top w:val="single" w:sz="4" w:space="0" w:color="auto"/>
              <w:left w:val="single" w:sz="4" w:space="0" w:color="auto"/>
              <w:bottom w:val="single" w:sz="4" w:space="0" w:color="auto"/>
              <w:right w:val="single" w:sz="4" w:space="0" w:color="auto"/>
            </w:tcBorders>
          </w:tcPr>
          <w:p w14:paraId="7F48665F" w14:textId="77777777" w:rsidR="00527B7E" w:rsidRPr="00331312" w:rsidRDefault="00527B7E" w:rsidP="00527B7E">
            <w:pPr>
              <w:autoSpaceDE w:val="0"/>
              <w:autoSpaceDN w:val="0"/>
              <w:adjustRightInd w:val="0"/>
              <w:spacing w:before="60" w:after="60"/>
              <w:rPr>
                <w:rFonts w:cs="Calibri"/>
                <w:sz w:val="22"/>
                <w:szCs w:val="22"/>
              </w:rPr>
            </w:pPr>
          </w:p>
        </w:tc>
      </w:tr>
    </w:tbl>
    <w:p w14:paraId="7F486661" w14:textId="77777777" w:rsidR="00527B7E" w:rsidRPr="00331312" w:rsidRDefault="00527B7E" w:rsidP="00527B7E">
      <w:pPr>
        <w:autoSpaceDE w:val="0"/>
        <w:autoSpaceDN w:val="0"/>
        <w:adjustRightInd w:val="0"/>
        <w:spacing w:before="400" w:after="160"/>
        <w:rPr>
          <w:rFonts w:cs="Calibri"/>
          <w:b/>
          <w:color w:val="0070C0"/>
          <w:sz w:val="28"/>
          <w:szCs w:val="28"/>
        </w:rPr>
      </w:pPr>
      <w:r w:rsidRPr="00331312">
        <w:rPr>
          <w:rFonts w:cs="Calibri"/>
          <w:b/>
          <w:color w:val="0070C0"/>
          <w:sz w:val="28"/>
          <w:szCs w:val="28"/>
        </w:rPr>
        <w:t>Program Activities supported through 201</w:t>
      </w:r>
      <w:r w:rsidR="00151C8B">
        <w:rPr>
          <w:rFonts w:cs="Calibri"/>
          <w:b/>
          <w:color w:val="0070C0"/>
          <w:sz w:val="28"/>
          <w:szCs w:val="28"/>
        </w:rPr>
        <w:t>2</w:t>
      </w:r>
      <w:r w:rsidRPr="00331312">
        <w:rPr>
          <w:rFonts w:cs="Calibri"/>
          <w:b/>
          <w:color w:val="0070C0"/>
          <w:sz w:val="28"/>
          <w:szCs w:val="28"/>
        </w:rPr>
        <w:t xml:space="preserve"> SLP funds</w:t>
      </w:r>
    </w:p>
    <w:p w14:paraId="7F486662" w14:textId="77777777" w:rsidR="00527B7E" w:rsidRDefault="00527B7E" w:rsidP="00527B7E">
      <w:pPr>
        <w:numPr>
          <w:ilvl w:val="0"/>
          <w:numId w:val="137"/>
        </w:numPr>
        <w:autoSpaceDE w:val="0"/>
        <w:autoSpaceDN w:val="0"/>
        <w:adjustRightInd w:val="0"/>
        <w:spacing w:before="0" w:after="240" w:line="240" w:lineRule="auto"/>
        <w:ind w:left="425" w:hanging="425"/>
        <w:rPr>
          <w:rFonts w:cs="Calibri"/>
          <w:color w:val="000000"/>
          <w:sz w:val="22"/>
          <w:szCs w:val="22"/>
        </w:rPr>
      </w:pPr>
      <w:r w:rsidRPr="006B2909">
        <w:rPr>
          <w:rFonts w:cs="Calibri"/>
          <w:color w:val="000000"/>
          <w:sz w:val="22"/>
          <w:szCs w:val="22"/>
        </w:rPr>
        <w:t>How much School Languages Program funding was used to support Aboriginal and Torres Strait Islander languages</w:t>
      </w:r>
      <w:r w:rsidRPr="006B2909" w:rsidDel="005C2B2D">
        <w:rPr>
          <w:rFonts w:cs="Calibri"/>
          <w:color w:val="000000"/>
          <w:sz w:val="22"/>
          <w:szCs w:val="22"/>
        </w:rPr>
        <w:t xml:space="preserve"> </w:t>
      </w:r>
      <w:r w:rsidRPr="006B2909">
        <w:rPr>
          <w:rFonts w:cs="Calibri"/>
          <w:color w:val="000000"/>
          <w:sz w:val="22"/>
          <w:szCs w:val="22"/>
        </w:rPr>
        <w:t>programs and activities;</w:t>
      </w:r>
      <w:r w:rsidR="00324317">
        <w:rPr>
          <w:rFonts w:cs="Calibri"/>
          <w:color w:val="000000"/>
          <w:sz w:val="22"/>
          <w:szCs w:val="22"/>
        </w:rPr>
        <w:t xml:space="preserve"> how the funds were used and the outcomes of those activities</w:t>
      </w:r>
      <w:r w:rsidR="00EA693E">
        <w:rPr>
          <w:rFonts w:cs="Calibri"/>
          <w:color w:val="000000"/>
          <w:sz w:val="22"/>
          <w:szCs w:val="22"/>
        </w:rPr>
        <w:t>.</w:t>
      </w:r>
    </w:p>
    <w:p w14:paraId="7F486663" w14:textId="77777777" w:rsidR="00EA693E" w:rsidRPr="006B2909" w:rsidRDefault="00EA693E" w:rsidP="00904283">
      <w:pPr>
        <w:autoSpaceDE w:val="0"/>
        <w:autoSpaceDN w:val="0"/>
        <w:adjustRightInd w:val="0"/>
        <w:spacing w:before="0" w:after="240" w:line="240" w:lineRule="auto"/>
        <w:ind w:left="425"/>
        <w:rPr>
          <w:rFonts w:cs="Calibri"/>
          <w:color w:val="000000"/>
          <w:sz w:val="22"/>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2584"/>
        <w:gridCol w:w="2977"/>
      </w:tblGrid>
      <w:tr w:rsidR="00527B7E" w:rsidRPr="00E84266" w14:paraId="7F486668" w14:textId="77777777" w:rsidTr="00527B7E">
        <w:tc>
          <w:tcPr>
            <w:tcW w:w="2769" w:type="dxa"/>
            <w:tcBorders>
              <w:top w:val="single" w:sz="4" w:space="0" w:color="auto"/>
              <w:left w:val="single" w:sz="4" w:space="0" w:color="auto"/>
              <w:bottom w:val="single" w:sz="4" w:space="0" w:color="auto"/>
              <w:right w:val="single" w:sz="4" w:space="0" w:color="auto"/>
            </w:tcBorders>
            <w:vAlign w:val="center"/>
          </w:tcPr>
          <w:p w14:paraId="7F486664" w14:textId="77777777" w:rsidR="00527B7E" w:rsidRPr="00E84266" w:rsidRDefault="00527B7E" w:rsidP="00527B7E">
            <w:pPr>
              <w:jc w:val="center"/>
              <w:rPr>
                <w:rFonts w:cs="Calibri"/>
                <w:bCs/>
                <w:sz w:val="22"/>
                <w:szCs w:val="22"/>
              </w:rPr>
            </w:pPr>
            <w:r w:rsidRPr="00E84266">
              <w:rPr>
                <w:rFonts w:cs="Calibri"/>
                <w:bCs/>
                <w:sz w:val="22"/>
                <w:szCs w:val="22"/>
              </w:rPr>
              <w:lastRenderedPageBreak/>
              <w:t xml:space="preserve">Funding used to support </w:t>
            </w:r>
            <w:r w:rsidRPr="00E84266">
              <w:rPr>
                <w:rFonts w:cs="Calibri"/>
                <w:color w:val="000000"/>
                <w:sz w:val="22"/>
                <w:szCs w:val="22"/>
              </w:rPr>
              <w:t>Aboriginal and Torres Strait Islander languages</w:t>
            </w:r>
            <w:r w:rsidRPr="00E84266" w:rsidDel="005C2B2D">
              <w:rPr>
                <w:rFonts w:cs="Calibri"/>
                <w:bCs/>
                <w:sz w:val="22"/>
                <w:szCs w:val="22"/>
              </w:rPr>
              <w:t xml:space="preserve"> </w:t>
            </w:r>
            <w:r w:rsidRPr="00E84266">
              <w:rPr>
                <w:rFonts w:cs="Calibri"/>
                <w:bCs/>
                <w:sz w:val="22"/>
                <w:szCs w:val="22"/>
              </w:rPr>
              <w:t>programs and activities</w:t>
            </w:r>
          </w:p>
          <w:p w14:paraId="7F486665" w14:textId="77777777" w:rsidR="00527B7E" w:rsidRPr="00E84266" w:rsidRDefault="00527B7E" w:rsidP="00527B7E">
            <w:pPr>
              <w:jc w:val="center"/>
              <w:rPr>
                <w:rFonts w:cs="Calibri"/>
                <w:bCs/>
                <w:sz w:val="22"/>
                <w:szCs w:val="22"/>
              </w:rPr>
            </w:pPr>
            <w:r w:rsidRPr="00E84266">
              <w:rPr>
                <w:rFonts w:cs="Calibri"/>
                <w:bCs/>
                <w:sz w:val="22"/>
                <w:szCs w:val="22"/>
              </w:rPr>
              <w:t>($)</w:t>
            </w:r>
          </w:p>
        </w:tc>
        <w:tc>
          <w:tcPr>
            <w:tcW w:w="2584" w:type="dxa"/>
            <w:tcBorders>
              <w:top w:val="single" w:sz="4" w:space="0" w:color="auto"/>
              <w:left w:val="single" w:sz="4" w:space="0" w:color="auto"/>
              <w:bottom w:val="single" w:sz="4" w:space="0" w:color="auto"/>
              <w:right w:val="single" w:sz="4" w:space="0" w:color="auto"/>
            </w:tcBorders>
            <w:vAlign w:val="center"/>
          </w:tcPr>
          <w:p w14:paraId="7F486666" w14:textId="77777777" w:rsidR="00527B7E" w:rsidRPr="00E84266" w:rsidRDefault="00527B7E" w:rsidP="00527B7E">
            <w:pPr>
              <w:jc w:val="center"/>
              <w:rPr>
                <w:rFonts w:cs="Calibri"/>
                <w:bCs/>
                <w:sz w:val="22"/>
                <w:szCs w:val="22"/>
              </w:rPr>
            </w:pPr>
            <w:r w:rsidRPr="00E84266">
              <w:rPr>
                <w:rFonts w:cs="Calibri"/>
                <w:bCs/>
                <w:sz w:val="22"/>
                <w:szCs w:val="22"/>
              </w:rPr>
              <w:t>How the funds were used</w:t>
            </w:r>
          </w:p>
        </w:tc>
        <w:tc>
          <w:tcPr>
            <w:tcW w:w="2977" w:type="dxa"/>
            <w:tcBorders>
              <w:top w:val="single" w:sz="4" w:space="0" w:color="auto"/>
              <w:left w:val="single" w:sz="4" w:space="0" w:color="auto"/>
              <w:bottom w:val="single" w:sz="4" w:space="0" w:color="auto"/>
              <w:right w:val="single" w:sz="4" w:space="0" w:color="auto"/>
            </w:tcBorders>
            <w:vAlign w:val="center"/>
          </w:tcPr>
          <w:p w14:paraId="7F486667" w14:textId="77777777" w:rsidR="00527B7E" w:rsidRPr="00E84266" w:rsidRDefault="00527B7E" w:rsidP="00527B7E">
            <w:pPr>
              <w:jc w:val="center"/>
              <w:rPr>
                <w:rFonts w:cs="Calibri"/>
                <w:bCs/>
                <w:sz w:val="22"/>
                <w:szCs w:val="22"/>
              </w:rPr>
            </w:pPr>
            <w:r w:rsidRPr="00E84266">
              <w:rPr>
                <w:rFonts w:cs="Calibri"/>
                <w:bCs/>
                <w:sz w:val="22"/>
                <w:szCs w:val="22"/>
              </w:rPr>
              <w:t>Outcomes</w:t>
            </w:r>
          </w:p>
        </w:tc>
      </w:tr>
      <w:tr w:rsidR="00527B7E" w:rsidRPr="00331312" w14:paraId="7F48666C" w14:textId="77777777" w:rsidTr="00527B7E">
        <w:tc>
          <w:tcPr>
            <w:tcW w:w="2769" w:type="dxa"/>
            <w:tcBorders>
              <w:top w:val="single" w:sz="4" w:space="0" w:color="auto"/>
              <w:left w:val="single" w:sz="4" w:space="0" w:color="auto"/>
              <w:bottom w:val="single" w:sz="4" w:space="0" w:color="auto"/>
              <w:right w:val="single" w:sz="4" w:space="0" w:color="auto"/>
            </w:tcBorders>
          </w:tcPr>
          <w:p w14:paraId="7F486669" w14:textId="77777777" w:rsidR="00527B7E" w:rsidRPr="00331312" w:rsidRDefault="00527B7E" w:rsidP="00527B7E">
            <w:pPr>
              <w:rPr>
                <w:rFonts w:cs="Calibri"/>
                <w:sz w:val="22"/>
                <w:szCs w:val="22"/>
              </w:rPr>
            </w:pPr>
          </w:p>
        </w:tc>
        <w:tc>
          <w:tcPr>
            <w:tcW w:w="2584" w:type="dxa"/>
            <w:tcBorders>
              <w:top w:val="single" w:sz="4" w:space="0" w:color="auto"/>
              <w:left w:val="single" w:sz="4" w:space="0" w:color="auto"/>
              <w:bottom w:val="single" w:sz="4" w:space="0" w:color="auto"/>
              <w:right w:val="single" w:sz="4" w:space="0" w:color="auto"/>
            </w:tcBorders>
          </w:tcPr>
          <w:p w14:paraId="7F48666A" w14:textId="77777777" w:rsidR="00527B7E" w:rsidRPr="00331312" w:rsidRDefault="00527B7E" w:rsidP="00527B7E">
            <w:pPr>
              <w:rPr>
                <w:rFonts w:cs="Calibr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F48666B" w14:textId="77777777" w:rsidR="00527B7E" w:rsidRPr="00331312" w:rsidRDefault="00527B7E" w:rsidP="00527B7E">
            <w:pPr>
              <w:rPr>
                <w:rFonts w:cs="Calibri"/>
                <w:sz w:val="22"/>
                <w:szCs w:val="22"/>
              </w:rPr>
            </w:pPr>
          </w:p>
        </w:tc>
      </w:tr>
      <w:tr w:rsidR="00527B7E" w:rsidRPr="00331312" w14:paraId="7F486670" w14:textId="77777777" w:rsidTr="00527B7E">
        <w:tc>
          <w:tcPr>
            <w:tcW w:w="2769" w:type="dxa"/>
            <w:tcBorders>
              <w:top w:val="single" w:sz="4" w:space="0" w:color="auto"/>
              <w:left w:val="single" w:sz="4" w:space="0" w:color="auto"/>
              <w:bottom w:val="single" w:sz="4" w:space="0" w:color="auto"/>
              <w:right w:val="single" w:sz="4" w:space="0" w:color="auto"/>
            </w:tcBorders>
          </w:tcPr>
          <w:p w14:paraId="7F48666D" w14:textId="77777777" w:rsidR="00527B7E" w:rsidRPr="00331312" w:rsidRDefault="00527B7E" w:rsidP="00527B7E">
            <w:pPr>
              <w:rPr>
                <w:rFonts w:cs="Calibri"/>
                <w:sz w:val="22"/>
                <w:szCs w:val="22"/>
              </w:rPr>
            </w:pPr>
          </w:p>
        </w:tc>
        <w:tc>
          <w:tcPr>
            <w:tcW w:w="2584" w:type="dxa"/>
            <w:tcBorders>
              <w:top w:val="single" w:sz="4" w:space="0" w:color="auto"/>
              <w:left w:val="single" w:sz="4" w:space="0" w:color="auto"/>
              <w:bottom w:val="single" w:sz="4" w:space="0" w:color="auto"/>
              <w:right w:val="single" w:sz="4" w:space="0" w:color="auto"/>
            </w:tcBorders>
          </w:tcPr>
          <w:p w14:paraId="7F48666E" w14:textId="77777777" w:rsidR="00527B7E" w:rsidRPr="00331312" w:rsidRDefault="00527B7E" w:rsidP="00527B7E">
            <w:pPr>
              <w:rPr>
                <w:rFonts w:cs="Calibr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F48666F" w14:textId="77777777" w:rsidR="00527B7E" w:rsidRPr="00331312" w:rsidRDefault="00527B7E" w:rsidP="00527B7E">
            <w:pPr>
              <w:rPr>
                <w:rFonts w:cs="Calibri"/>
                <w:sz w:val="22"/>
                <w:szCs w:val="22"/>
              </w:rPr>
            </w:pPr>
          </w:p>
        </w:tc>
      </w:tr>
      <w:tr w:rsidR="00527B7E" w:rsidRPr="00331312" w14:paraId="7F486674" w14:textId="77777777" w:rsidTr="00527B7E">
        <w:tc>
          <w:tcPr>
            <w:tcW w:w="2769" w:type="dxa"/>
            <w:tcBorders>
              <w:top w:val="single" w:sz="4" w:space="0" w:color="auto"/>
              <w:left w:val="single" w:sz="4" w:space="0" w:color="auto"/>
              <w:bottom w:val="single" w:sz="4" w:space="0" w:color="auto"/>
              <w:right w:val="single" w:sz="4" w:space="0" w:color="auto"/>
            </w:tcBorders>
          </w:tcPr>
          <w:p w14:paraId="7F486671" w14:textId="77777777" w:rsidR="00527B7E" w:rsidRPr="00331312" w:rsidRDefault="00527B7E" w:rsidP="00527B7E">
            <w:pPr>
              <w:rPr>
                <w:rFonts w:cs="Calibri"/>
                <w:sz w:val="22"/>
                <w:szCs w:val="22"/>
              </w:rPr>
            </w:pPr>
          </w:p>
        </w:tc>
        <w:tc>
          <w:tcPr>
            <w:tcW w:w="2584" w:type="dxa"/>
            <w:tcBorders>
              <w:top w:val="single" w:sz="4" w:space="0" w:color="auto"/>
              <w:left w:val="single" w:sz="4" w:space="0" w:color="auto"/>
              <w:bottom w:val="single" w:sz="4" w:space="0" w:color="auto"/>
              <w:right w:val="single" w:sz="4" w:space="0" w:color="auto"/>
            </w:tcBorders>
          </w:tcPr>
          <w:p w14:paraId="7F486672" w14:textId="77777777" w:rsidR="00527B7E" w:rsidRPr="00331312" w:rsidRDefault="00527B7E" w:rsidP="00527B7E">
            <w:pPr>
              <w:rPr>
                <w:rFonts w:cs="Calibr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F486673" w14:textId="77777777" w:rsidR="00527B7E" w:rsidRPr="00331312" w:rsidRDefault="00527B7E" w:rsidP="00527B7E">
            <w:pPr>
              <w:rPr>
                <w:rFonts w:cs="Calibri"/>
                <w:sz w:val="22"/>
                <w:szCs w:val="22"/>
              </w:rPr>
            </w:pPr>
          </w:p>
        </w:tc>
      </w:tr>
      <w:tr w:rsidR="00527B7E" w:rsidRPr="00331312" w14:paraId="7F486678" w14:textId="77777777" w:rsidTr="00527B7E">
        <w:tc>
          <w:tcPr>
            <w:tcW w:w="2769" w:type="dxa"/>
            <w:tcBorders>
              <w:top w:val="single" w:sz="4" w:space="0" w:color="auto"/>
              <w:left w:val="single" w:sz="4" w:space="0" w:color="auto"/>
              <w:bottom w:val="single" w:sz="4" w:space="0" w:color="auto"/>
              <w:right w:val="single" w:sz="4" w:space="0" w:color="auto"/>
            </w:tcBorders>
          </w:tcPr>
          <w:p w14:paraId="7F486675" w14:textId="77777777" w:rsidR="00527B7E" w:rsidRPr="00331312" w:rsidRDefault="00527B7E" w:rsidP="00527B7E">
            <w:pPr>
              <w:rPr>
                <w:rFonts w:cs="Calibri"/>
                <w:sz w:val="22"/>
                <w:szCs w:val="22"/>
              </w:rPr>
            </w:pPr>
          </w:p>
        </w:tc>
        <w:tc>
          <w:tcPr>
            <w:tcW w:w="2584" w:type="dxa"/>
            <w:tcBorders>
              <w:top w:val="single" w:sz="4" w:space="0" w:color="auto"/>
              <w:left w:val="single" w:sz="4" w:space="0" w:color="auto"/>
              <w:bottom w:val="single" w:sz="4" w:space="0" w:color="auto"/>
              <w:right w:val="single" w:sz="4" w:space="0" w:color="auto"/>
            </w:tcBorders>
          </w:tcPr>
          <w:p w14:paraId="7F486676" w14:textId="77777777" w:rsidR="00527B7E" w:rsidRPr="00331312" w:rsidRDefault="00527B7E" w:rsidP="00527B7E">
            <w:pPr>
              <w:rPr>
                <w:rFonts w:cs="Calibr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F486677" w14:textId="77777777" w:rsidR="00527B7E" w:rsidRPr="00331312" w:rsidRDefault="00527B7E" w:rsidP="00527B7E">
            <w:pPr>
              <w:rPr>
                <w:rFonts w:cs="Calibri"/>
                <w:sz w:val="22"/>
                <w:szCs w:val="22"/>
              </w:rPr>
            </w:pPr>
          </w:p>
        </w:tc>
      </w:tr>
    </w:tbl>
    <w:p w14:paraId="7F486679" w14:textId="77777777" w:rsidR="00527B7E" w:rsidRPr="00331312" w:rsidRDefault="00527B7E" w:rsidP="00527B7E">
      <w:pPr>
        <w:rPr>
          <w:rFonts w:cs="Calibri"/>
          <w:sz w:val="22"/>
          <w:szCs w:val="22"/>
        </w:rPr>
        <w:sectPr w:rsidR="00527B7E" w:rsidRPr="00331312" w:rsidSect="00527B7E">
          <w:pgSz w:w="11906" w:h="16838"/>
          <w:pgMar w:top="1134" w:right="1304" w:bottom="907" w:left="1588" w:header="709" w:footer="709" w:gutter="0"/>
          <w:cols w:space="708"/>
          <w:docGrid w:linePitch="360"/>
        </w:sectPr>
      </w:pPr>
    </w:p>
    <w:p w14:paraId="7F48667A" w14:textId="77777777" w:rsidR="00527B7E" w:rsidRPr="006B2909" w:rsidRDefault="00527B7E" w:rsidP="00527B7E">
      <w:pPr>
        <w:numPr>
          <w:ilvl w:val="0"/>
          <w:numId w:val="137"/>
        </w:numPr>
        <w:spacing w:before="0" w:after="400" w:line="240" w:lineRule="auto"/>
        <w:ind w:left="425" w:hanging="425"/>
        <w:rPr>
          <w:rFonts w:cs="Calibri"/>
          <w:sz w:val="22"/>
          <w:szCs w:val="22"/>
        </w:rPr>
      </w:pPr>
      <w:r w:rsidRPr="006B2909">
        <w:rPr>
          <w:rFonts w:cs="Calibri"/>
          <w:color w:val="000000"/>
          <w:sz w:val="22"/>
          <w:szCs w:val="22"/>
        </w:rPr>
        <w:lastRenderedPageBreak/>
        <w:t>The number of school students by year level, where possible, studying Aboriginal and Torres Strait Islander languages, Arabic, Chinese (Mandarin), French, German, Greek, Indonesian, Italian, Japanese, Korean,</w:t>
      </w:r>
      <w:r w:rsidRPr="006B2909" w:rsidDel="00DE0882">
        <w:rPr>
          <w:rFonts w:cs="Calibri"/>
          <w:color w:val="000000"/>
          <w:sz w:val="22"/>
          <w:szCs w:val="22"/>
        </w:rPr>
        <w:t xml:space="preserve"> </w:t>
      </w:r>
      <w:r w:rsidRPr="006B2909">
        <w:rPr>
          <w:rFonts w:cs="Calibri"/>
          <w:color w:val="000000"/>
          <w:sz w:val="22"/>
          <w:szCs w:val="22"/>
        </w:rPr>
        <w:t>Vietnamese,</w:t>
      </w:r>
      <w:r w:rsidRPr="006B2909" w:rsidDel="00DE0882">
        <w:rPr>
          <w:rFonts w:cs="Calibri"/>
          <w:color w:val="000000"/>
          <w:sz w:val="22"/>
          <w:szCs w:val="22"/>
        </w:rPr>
        <w:t xml:space="preserve"> </w:t>
      </w:r>
      <w:r w:rsidRPr="006B2909">
        <w:rPr>
          <w:rFonts w:cs="Calibri"/>
          <w:color w:val="000000"/>
          <w:sz w:val="22"/>
          <w:szCs w:val="22"/>
        </w:rPr>
        <w:t>and Spanish</w:t>
      </w:r>
    </w:p>
    <w:tbl>
      <w:tblPr>
        <w:tblW w:w="13892" w:type="dxa"/>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268"/>
        <w:gridCol w:w="993"/>
        <w:gridCol w:w="850"/>
        <w:gridCol w:w="851"/>
        <w:gridCol w:w="850"/>
        <w:gridCol w:w="851"/>
        <w:gridCol w:w="850"/>
        <w:gridCol w:w="851"/>
        <w:gridCol w:w="850"/>
        <w:gridCol w:w="851"/>
        <w:gridCol w:w="850"/>
        <w:gridCol w:w="992"/>
        <w:gridCol w:w="993"/>
        <w:gridCol w:w="992"/>
      </w:tblGrid>
      <w:tr w:rsidR="00527B7E" w:rsidRPr="00331312" w14:paraId="7F48668A" w14:textId="77777777" w:rsidTr="00527B7E">
        <w:trPr>
          <w:trHeight w:val="394"/>
        </w:trPr>
        <w:tc>
          <w:tcPr>
            <w:tcW w:w="2268" w:type="dxa"/>
            <w:tcBorders>
              <w:top w:val="single" w:sz="8" w:space="0" w:color="000000"/>
              <w:left w:val="single" w:sz="8" w:space="0" w:color="000000"/>
              <w:bottom w:val="single" w:sz="8" w:space="0" w:color="000000"/>
              <w:right w:val="single" w:sz="8" w:space="0" w:color="000000"/>
            </w:tcBorders>
            <w:vAlign w:val="center"/>
          </w:tcPr>
          <w:p w14:paraId="7F48667B"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Language</w:t>
            </w:r>
          </w:p>
        </w:tc>
        <w:tc>
          <w:tcPr>
            <w:tcW w:w="993" w:type="dxa"/>
            <w:tcBorders>
              <w:top w:val="single" w:sz="8" w:space="0" w:color="000000"/>
              <w:left w:val="single" w:sz="8" w:space="0" w:color="000000"/>
              <w:bottom w:val="single" w:sz="8" w:space="0" w:color="000000"/>
              <w:right w:val="single" w:sz="8" w:space="0" w:color="000000"/>
            </w:tcBorders>
            <w:vAlign w:val="center"/>
          </w:tcPr>
          <w:p w14:paraId="7F48667C"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Kinder/</w:t>
            </w:r>
          </w:p>
          <w:p w14:paraId="7F48667D"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Prep</w:t>
            </w:r>
          </w:p>
        </w:tc>
        <w:tc>
          <w:tcPr>
            <w:tcW w:w="850" w:type="dxa"/>
            <w:tcBorders>
              <w:top w:val="single" w:sz="8" w:space="0" w:color="000000"/>
              <w:left w:val="single" w:sz="8" w:space="0" w:color="000000"/>
              <w:bottom w:val="single" w:sz="8" w:space="0" w:color="000000"/>
              <w:right w:val="single" w:sz="8" w:space="0" w:color="000000"/>
            </w:tcBorders>
            <w:vAlign w:val="center"/>
          </w:tcPr>
          <w:p w14:paraId="7F48667E"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1</w:t>
            </w:r>
          </w:p>
        </w:tc>
        <w:tc>
          <w:tcPr>
            <w:tcW w:w="851" w:type="dxa"/>
            <w:tcBorders>
              <w:top w:val="single" w:sz="8" w:space="0" w:color="000000"/>
              <w:left w:val="single" w:sz="8" w:space="0" w:color="000000"/>
              <w:bottom w:val="single" w:sz="8" w:space="0" w:color="000000"/>
              <w:right w:val="single" w:sz="8" w:space="0" w:color="000000"/>
            </w:tcBorders>
            <w:vAlign w:val="center"/>
          </w:tcPr>
          <w:p w14:paraId="7F48667F"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2</w:t>
            </w:r>
          </w:p>
        </w:tc>
        <w:tc>
          <w:tcPr>
            <w:tcW w:w="850" w:type="dxa"/>
            <w:tcBorders>
              <w:top w:val="single" w:sz="8" w:space="0" w:color="000000"/>
              <w:left w:val="single" w:sz="8" w:space="0" w:color="000000"/>
              <w:bottom w:val="single" w:sz="8" w:space="0" w:color="000000"/>
              <w:right w:val="single" w:sz="8" w:space="0" w:color="000000"/>
            </w:tcBorders>
            <w:vAlign w:val="center"/>
          </w:tcPr>
          <w:p w14:paraId="7F486680"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3</w:t>
            </w:r>
          </w:p>
        </w:tc>
        <w:tc>
          <w:tcPr>
            <w:tcW w:w="851" w:type="dxa"/>
            <w:tcBorders>
              <w:top w:val="single" w:sz="8" w:space="0" w:color="000000"/>
              <w:left w:val="single" w:sz="8" w:space="0" w:color="000000"/>
              <w:bottom w:val="single" w:sz="8" w:space="0" w:color="000000"/>
              <w:right w:val="single" w:sz="8" w:space="0" w:color="000000"/>
            </w:tcBorders>
            <w:vAlign w:val="center"/>
          </w:tcPr>
          <w:p w14:paraId="7F486681"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4</w:t>
            </w:r>
          </w:p>
        </w:tc>
        <w:tc>
          <w:tcPr>
            <w:tcW w:w="850" w:type="dxa"/>
            <w:tcBorders>
              <w:top w:val="single" w:sz="8" w:space="0" w:color="000000"/>
              <w:left w:val="single" w:sz="8" w:space="0" w:color="000000"/>
              <w:bottom w:val="single" w:sz="8" w:space="0" w:color="000000"/>
              <w:right w:val="single" w:sz="8" w:space="0" w:color="000000"/>
            </w:tcBorders>
            <w:vAlign w:val="center"/>
          </w:tcPr>
          <w:p w14:paraId="7F486682"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5</w:t>
            </w:r>
          </w:p>
        </w:tc>
        <w:tc>
          <w:tcPr>
            <w:tcW w:w="851" w:type="dxa"/>
            <w:tcBorders>
              <w:top w:val="single" w:sz="8" w:space="0" w:color="000000"/>
              <w:left w:val="single" w:sz="8" w:space="0" w:color="000000"/>
              <w:bottom w:val="single" w:sz="8" w:space="0" w:color="000000"/>
              <w:right w:val="single" w:sz="8" w:space="0" w:color="000000"/>
            </w:tcBorders>
            <w:vAlign w:val="center"/>
          </w:tcPr>
          <w:p w14:paraId="7F486683"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6</w:t>
            </w:r>
          </w:p>
        </w:tc>
        <w:tc>
          <w:tcPr>
            <w:tcW w:w="850" w:type="dxa"/>
            <w:tcBorders>
              <w:top w:val="single" w:sz="8" w:space="0" w:color="000000"/>
              <w:left w:val="single" w:sz="8" w:space="0" w:color="000000"/>
              <w:bottom w:val="single" w:sz="8" w:space="0" w:color="000000"/>
              <w:right w:val="single" w:sz="8" w:space="0" w:color="000000"/>
            </w:tcBorders>
            <w:vAlign w:val="center"/>
          </w:tcPr>
          <w:p w14:paraId="7F486684"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7</w:t>
            </w:r>
          </w:p>
        </w:tc>
        <w:tc>
          <w:tcPr>
            <w:tcW w:w="851" w:type="dxa"/>
            <w:tcBorders>
              <w:top w:val="single" w:sz="8" w:space="0" w:color="000000"/>
              <w:left w:val="single" w:sz="8" w:space="0" w:color="000000"/>
              <w:bottom w:val="single" w:sz="8" w:space="0" w:color="000000"/>
              <w:right w:val="single" w:sz="8" w:space="0" w:color="000000"/>
            </w:tcBorders>
            <w:vAlign w:val="center"/>
          </w:tcPr>
          <w:p w14:paraId="7F486685"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8</w:t>
            </w:r>
          </w:p>
        </w:tc>
        <w:tc>
          <w:tcPr>
            <w:tcW w:w="850" w:type="dxa"/>
            <w:tcBorders>
              <w:top w:val="single" w:sz="8" w:space="0" w:color="000000"/>
              <w:left w:val="single" w:sz="8" w:space="0" w:color="000000"/>
              <w:bottom w:val="single" w:sz="8" w:space="0" w:color="000000"/>
              <w:right w:val="single" w:sz="8" w:space="0" w:color="000000"/>
            </w:tcBorders>
            <w:vAlign w:val="center"/>
          </w:tcPr>
          <w:p w14:paraId="7F486686"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9</w:t>
            </w:r>
          </w:p>
        </w:tc>
        <w:tc>
          <w:tcPr>
            <w:tcW w:w="992" w:type="dxa"/>
            <w:tcBorders>
              <w:top w:val="single" w:sz="8" w:space="0" w:color="000000"/>
              <w:left w:val="single" w:sz="8" w:space="0" w:color="000000"/>
              <w:bottom w:val="single" w:sz="8" w:space="0" w:color="000000"/>
              <w:right w:val="single" w:sz="8" w:space="0" w:color="000000"/>
            </w:tcBorders>
            <w:vAlign w:val="center"/>
          </w:tcPr>
          <w:p w14:paraId="7F486687"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10</w:t>
            </w:r>
          </w:p>
        </w:tc>
        <w:tc>
          <w:tcPr>
            <w:tcW w:w="993" w:type="dxa"/>
            <w:tcBorders>
              <w:top w:val="single" w:sz="8" w:space="0" w:color="000000"/>
              <w:left w:val="single" w:sz="8" w:space="0" w:color="000000"/>
              <w:bottom w:val="single" w:sz="8" w:space="0" w:color="000000"/>
              <w:right w:val="single" w:sz="8" w:space="0" w:color="000000"/>
            </w:tcBorders>
            <w:vAlign w:val="center"/>
          </w:tcPr>
          <w:p w14:paraId="7F486688"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11</w:t>
            </w:r>
          </w:p>
        </w:tc>
        <w:tc>
          <w:tcPr>
            <w:tcW w:w="992" w:type="dxa"/>
            <w:tcBorders>
              <w:top w:val="single" w:sz="8" w:space="0" w:color="000000"/>
              <w:left w:val="single" w:sz="8" w:space="0" w:color="000000"/>
              <w:bottom w:val="single" w:sz="8" w:space="0" w:color="000000"/>
              <w:right w:val="single" w:sz="8" w:space="0" w:color="000000"/>
            </w:tcBorders>
            <w:vAlign w:val="center"/>
          </w:tcPr>
          <w:p w14:paraId="7F486689" w14:textId="77777777" w:rsidR="00527B7E" w:rsidRPr="00331312" w:rsidRDefault="00527B7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12</w:t>
            </w:r>
          </w:p>
        </w:tc>
      </w:tr>
      <w:tr w:rsidR="00527B7E" w:rsidRPr="00331312" w14:paraId="7F486699" w14:textId="77777777" w:rsidTr="00527B7E">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68B" w14:textId="77777777" w:rsidR="00527B7E" w:rsidRPr="00331312" w:rsidRDefault="00527B7E" w:rsidP="00527B7E">
            <w:pPr>
              <w:autoSpaceDE w:val="0"/>
              <w:autoSpaceDN w:val="0"/>
              <w:adjustRightInd w:val="0"/>
              <w:spacing w:before="40" w:after="40"/>
              <w:rPr>
                <w:rFonts w:cs="Calibri"/>
                <w:color w:val="000000"/>
                <w:sz w:val="22"/>
                <w:szCs w:val="22"/>
              </w:rPr>
            </w:pPr>
            <w:r w:rsidRPr="00331312">
              <w:rPr>
                <w:rFonts w:cs="Calibri"/>
                <w:color w:val="000000"/>
              </w:rPr>
              <w:t xml:space="preserve">Aboriginal and Torres Strait Islander languages </w:t>
            </w:r>
          </w:p>
        </w:tc>
        <w:tc>
          <w:tcPr>
            <w:tcW w:w="993" w:type="dxa"/>
            <w:tcBorders>
              <w:top w:val="single" w:sz="8" w:space="0" w:color="000000"/>
              <w:left w:val="single" w:sz="8" w:space="0" w:color="000000"/>
              <w:bottom w:val="single" w:sz="8" w:space="0" w:color="000000"/>
              <w:right w:val="single" w:sz="8" w:space="0" w:color="000000"/>
            </w:tcBorders>
          </w:tcPr>
          <w:p w14:paraId="7F48668C"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8D"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8E"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8F"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90"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91"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92"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93"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94"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95"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96"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3" w:type="dxa"/>
            <w:tcBorders>
              <w:top w:val="single" w:sz="8" w:space="0" w:color="000000"/>
              <w:left w:val="single" w:sz="8" w:space="0" w:color="000000"/>
              <w:bottom w:val="single" w:sz="8" w:space="0" w:color="000000"/>
              <w:right w:val="single" w:sz="8" w:space="0" w:color="000000"/>
            </w:tcBorders>
          </w:tcPr>
          <w:p w14:paraId="7F486697"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98" w14:textId="77777777" w:rsidR="00527B7E" w:rsidRPr="00331312" w:rsidRDefault="00527B7E" w:rsidP="00527B7E">
            <w:pPr>
              <w:autoSpaceDE w:val="0"/>
              <w:autoSpaceDN w:val="0"/>
              <w:adjustRightInd w:val="0"/>
              <w:spacing w:before="40" w:after="40"/>
              <w:rPr>
                <w:rFonts w:cs="Calibri"/>
                <w:color w:val="000000"/>
                <w:sz w:val="22"/>
                <w:szCs w:val="22"/>
              </w:rPr>
            </w:pPr>
          </w:p>
        </w:tc>
      </w:tr>
      <w:tr w:rsidR="00527B7E" w:rsidRPr="00331312" w14:paraId="7F4866A8" w14:textId="77777777" w:rsidTr="00527B7E">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69A" w14:textId="77777777" w:rsidR="00527B7E" w:rsidRPr="00331312" w:rsidRDefault="00527B7E" w:rsidP="00527B7E">
            <w:pPr>
              <w:autoSpaceDE w:val="0"/>
              <w:autoSpaceDN w:val="0"/>
              <w:adjustRightInd w:val="0"/>
              <w:spacing w:before="40" w:after="40"/>
              <w:rPr>
                <w:rFonts w:cs="Calibri"/>
                <w:color w:val="000000"/>
                <w:sz w:val="22"/>
                <w:szCs w:val="22"/>
              </w:rPr>
            </w:pPr>
            <w:r w:rsidRPr="00331312">
              <w:rPr>
                <w:rFonts w:cs="Calibri"/>
                <w:color w:val="000000"/>
              </w:rPr>
              <w:t>Arabic</w:t>
            </w:r>
          </w:p>
        </w:tc>
        <w:tc>
          <w:tcPr>
            <w:tcW w:w="993" w:type="dxa"/>
            <w:tcBorders>
              <w:top w:val="single" w:sz="8" w:space="0" w:color="000000"/>
              <w:left w:val="single" w:sz="8" w:space="0" w:color="000000"/>
              <w:bottom w:val="single" w:sz="8" w:space="0" w:color="000000"/>
              <w:right w:val="single" w:sz="8" w:space="0" w:color="000000"/>
            </w:tcBorders>
          </w:tcPr>
          <w:p w14:paraId="7F48669B"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9C"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9D"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9E"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9F"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A0"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A1"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A2"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A3"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A4"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A5"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3" w:type="dxa"/>
            <w:tcBorders>
              <w:top w:val="single" w:sz="8" w:space="0" w:color="000000"/>
              <w:left w:val="single" w:sz="8" w:space="0" w:color="000000"/>
              <w:bottom w:val="single" w:sz="8" w:space="0" w:color="000000"/>
              <w:right w:val="single" w:sz="8" w:space="0" w:color="000000"/>
            </w:tcBorders>
          </w:tcPr>
          <w:p w14:paraId="7F4866A6"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A7" w14:textId="77777777" w:rsidR="00527B7E" w:rsidRPr="00331312" w:rsidRDefault="00527B7E" w:rsidP="00527B7E">
            <w:pPr>
              <w:autoSpaceDE w:val="0"/>
              <w:autoSpaceDN w:val="0"/>
              <w:adjustRightInd w:val="0"/>
              <w:spacing w:before="40" w:after="40"/>
              <w:rPr>
                <w:rFonts w:cs="Calibri"/>
                <w:color w:val="000000"/>
                <w:sz w:val="22"/>
                <w:szCs w:val="22"/>
              </w:rPr>
            </w:pPr>
          </w:p>
        </w:tc>
      </w:tr>
      <w:tr w:rsidR="00527B7E" w:rsidRPr="00331312" w14:paraId="7F4866B7" w14:textId="77777777" w:rsidTr="00527B7E">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6A9" w14:textId="77777777" w:rsidR="00527B7E" w:rsidRPr="00331312" w:rsidRDefault="00527B7E" w:rsidP="00527B7E">
            <w:pPr>
              <w:autoSpaceDE w:val="0"/>
              <w:autoSpaceDN w:val="0"/>
              <w:adjustRightInd w:val="0"/>
              <w:spacing w:before="40" w:after="40"/>
              <w:rPr>
                <w:rFonts w:cs="Calibri"/>
                <w:color w:val="000000"/>
                <w:sz w:val="22"/>
                <w:szCs w:val="22"/>
              </w:rPr>
            </w:pPr>
            <w:r w:rsidRPr="00331312">
              <w:rPr>
                <w:rFonts w:cs="Calibri"/>
                <w:color w:val="000000"/>
              </w:rPr>
              <w:t xml:space="preserve">Chinese (Mandarin) </w:t>
            </w:r>
          </w:p>
        </w:tc>
        <w:tc>
          <w:tcPr>
            <w:tcW w:w="993" w:type="dxa"/>
            <w:tcBorders>
              <w:top w:val="single" w:sz="8" w:space="0" w:color="000000"/>
              <w:left w:val="single" w:sz="8" w:space="0" w:color="000000"/>
              <w:bottom w:val="single" w:sz="8" w:space="0" w:color="000000"/>
              <w:right w:val="single" w:sz="8" w:space="0" w:color="000000"/>
            </w:tcBorders>
          </w:tcPr>
          <w:p w14:paraId="7F4866AA"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AB"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AC"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AD"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AE"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AF"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B0"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B1"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B2"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B3"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B4"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3" w:type="dxa"/>
            <w:tcBorders>
              <w:top w:val="single" w:sz="8" w:space="0" w:color="000000"/>
              <w:left w:val="single" w:sz="8" w:space="0" w:color="000000"/>
              <w:bottom w:val="single" w:sz="8" w:space="0" w:color="000000"/>
              <w:right w:val="single" w:sz="8" w:space="0" w:color="000000"/>
            </w:tcBorders>
          </w:tcPr>
          <w:p w14:paraId="7F4866B5"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B6" w14:textId="77777777" w:rsidR="00527B7E" w:rsidRPr="00331312" w:rsidRDefault="00527B7E" w:rsidP="00527B7E">
            <w:pPr>
              <w:autoSpaceDE w:val="0"/>
              <w:autoSpaceDN w:val="0"/>
              <w:adjustRightInd w:val="0"/>
              <w:spacing w:before="40" w:after="40"/>
              <w:rPr>
                <w:rFonts w:cs="Calibri"/>
                <w:color w:val="000000"/>
                <w:sz w:val="22"/>
                <w:szCs w:val="22"/>
              </w:rPr>
            </w:pPr>
          </w:p>
        </w:tc>
      </w:tr>
      <w:tr w:rsidR="00527B7E" w:rsidRPr="00331312" w14:paraId="7F4866C6" w14:textId="77777777" w:rsidTr="00527B7E">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6B8" w14:textId="77777777" w:rsidR="00527B7E" w:rsidRPr="00331312" w:rsidRDefault="00527B7E" w:rsidP="00527B7E">
            <w:pPr>
              <w:autoSpaceDE w:val="0"/>
              <w:autoSpaceDN w:val="0"/>
              <w:adjustRightInd w:val="0"/>
              <w:spacing w:before="40" w:after="40"/>
              <w:rPr>
                <w:rFonts w:cs="Calibri"/>
                <w:color w:val="000000"/>
                <w:sz w:val="22"/>
                <w:szCs w:val="22"/>
              </w:rPr>
            </w:pPr>
            <w:r w:rsidRPr="00331312">
              <w:rPr>
                <w:rFonts w:cs="Calibri"/>
                <w:color w:val="000000"/>
              </w:rPr>
              <w:t>French</w:t>
            </w:r>
          </w:p>
        </w:tc>
        <w:tc>
          <w:tcPr>
            <w:tcW w:w="993" w:type="dxa"/>
            <w:tcBorders>
              <w:top w:val="single" w:sz="8" w:space="0" w:color="000000"/>
              <w:left w:val="single" w:sz="8" w:space="0" w:color="000000"/>
              <w:bottom w:val="single" w:sz="8" w:space="0" w:color="000000"/>
              <w:right w:val="single" w:sz="8" w:space="0" w:color="000000"/>
            </w:tcBorders>
          </w:tcPr>
          <w:p w14:paraId="7F4866B9"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BA"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BB"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BC"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BD"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BE"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BF"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C0"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C1"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C2"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C3"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3" w:type="dxa"/>
            <w:tcBorders>
              <w:top w:val="single" w:sz="8" w:space="0" w:color="000000"/>
              <w:left w:val="single" w:sz="8" w:space="0" w:color="000000"/>
              <w:bottom w:val="single" w:sz="8" w:space="0" w:color="000000"/>
              <w:right w:val="single" w:sz="8" w:space="0" w:color="000000"/>
            </w:tcBorders>
          </w:tcPr>
          <w:p w14:paraId="7F4866C4"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C5" w14:textId="77777777" w:rsidR="00527B7E" w:rsidRPr="00331312" w:rsidRDefault="00527B7E" w:rsidP="00527B7E">
            <w:pPr>
              <w:autoSpaceDE w:val="0"/>
              <w:autoSpaceDN w:val="0"/>
              <w:adjustRightInd w:val="0"/>
              <w:spacing w:before="40" w:after="40"/>
              <w:rPr>
                <w:rFonts w:cs="Calibri"/>
                <w:color w:val="000000"/>
                <w:sz w:val="22"/>
                <w:szCs w:val="22"/>
              </w:rPr>
            </w:pPr>
          </w:p>
        </w:tc>
      </w:tr>
      <w:tr w:rsidR="00527B7E" w:rsidRPr="00331312" w14:paraId="7F4866D5" w14:textId="77777777" w:rsidTr="00527B7E">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6C7" w14:textId="77777777" w:rsidR="00527B7E" w:rsidRPr="00331312" w:rsidRDefault="00527B7E" w:rsidP="00527B7E">
            <w:pPr>
              <w:autoSpaceDE w:val="0"/>
              <w:autoSpaceDN w:val="0"/>
              <w:adjustRightInd w:val="0"/>
              <w:spacing w:before="40" w:after="40"/>
              <w:rPr>
                <w:rFonts w:cs="Calibri"/>
                <w:color w:val="000000"/>
                <w:sz w:val="22"/>
                <w:szCs w:val="22"/>
              </w:rPr>
            </w:pPr>
            <w:r w:rsidRPr="00331312">
              <w:rPr>
                <w:rFonts w:cs="Calibri"/>
                <w:color w:val="000000"/>
              </w:rPr>
              <w:t>German</w:t>
            </w:r>
          </w:p>
        </w:tc>
        <w:tc>
          <w:tcPr>
            <w:tcW w:w="993" w:type="dxa"/>
            <w:tcBorders>
              <w:top w:val="single" w:sz="8" w:space="0" w:color="000000"/>
              <w:left w:val="single" w:sz="8" w:space="0" w:color="000000"/>
              <w:bottom w:val="single" w:sz="8" w:space="0" w:color="000000"/>
              <w:right w:val="single" w:sz="8" w:space="0" w:color="000000"/>
            </w:tcBorders>
          </w:tcPr>
          <w:p w14:paraId="7F4866C8"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C9"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CA"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CB"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CC"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CD"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CE"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CF"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D0"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D1"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D2"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3" w:type="dxa"/>
            <w:tcBorders>
              <w:top w:val="single" w:sz="8" w:space="0" w:color="000000"/>
              <w:left w:val="single" w:sz="8" w:space="0" w:color="000000"/>
              <w:bottom w:val="single" w:sz="8" w:space="0" w:color="000000"/>
              <w:right w:val="single" w:sz="8" w:space="0" w:color="000000"/>
            </w:tcBorders>
          </w:tcPr>
          <w:p w14:paraId="7F4866D3"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D4" w14:textId="77777777" w:rsidR="00527B7E" w:rsidRPr="00331312" w:rsidRDefault="00527B7E" w:rsidP="00527B7E">
            <w:pPr>
              <w:autoSpaceDE w:val="0"/>
              <w:autoSpaceDN w:val="0"/>
              <w:adjustRightInd w:val="0"/>
              <w:spacing w:before="40" w:after="40"/>
              <w:rPr>
                <w:rFonts w:cs="Calibri"/>
                <w:color w:val="000000"/>
                <w:sz w:val="22"/>
                <w:szCs w:val="22"/>
              </w:rPr>
            </w:pPr>
          </w:p>
        </w:tc>
      </w:tr>
      <w:tr w:rsidR="00527B7E" w:rsidRPr="00331312" w14:paraId="7F4866E4" w14:textId="77777777" w:rsidTr="00527B7E">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6D6" w14:textId="77777777" w:rsidR="00527B7E" w:rsidRPr="00331312" w:rsidRDefault="00527B7E" w:rsidP="00527B7E">
            <w:pPr>
              <w:autoSpaceDE w:val="0"/>
              <w:autoSpaceDN w:val="0"/>
              <w:adjustRightInd w:val="0"/>
              <w:spacing w:before="40" w:after="40"/>
              <w:rPr>
                <w:rFonts w:cs="Calibri"/>
                <w:color w:val="000000"/>
                <w:sz w:val="22"/>
                <w:szCs w:val="22"/>
              </w:rPr>
            </w:pPr>
            <w:r w:rsidRPr="00331312">
              <w:rPr>
                <w:rFonts w:cs="Calibri"/>
                <w:color w:val="000000"/>
              </w:rPr>
              <w:t>Greek</w:t>
            </w:r>
          </w:p>
        </w:tc>
        <w:tc>
          <w:tcPr>
            <w:tcW w:w="993" w:type="dxa"/>
            <w:tcBorders>
              <w:top w:val="single" w:sz="8" w:space="0" w:color="000000"/>
              <w:left w:val="single" w:sz="8" w:space="0" w:color="000000"/>
              <w:bottom w:val="single" w:sz="8" w:space="0" w:color="000000"/>
              <w:right w:val="single" w:sz="8" w:space="0" w:color="000000"/>
            </w:tcBorders>
          </w:tcPr>
          <w:p w14:paraId="7F4866D7"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D8"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D9"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DA"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DB"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DC"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DD"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DE"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DF"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E0"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E1"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3" w:type="dxa"/>
            <w:tcBorders>
              <w:top w:val="single" w:sz="8" w:space="0" w:color="000000"/>
              <w:left w:val="single" w:sz="8" w:space="0" w:color="000000"/>
              <w:bottom w:val="single" w:sz="8" w:space="0" w:color="000000"/>
              <w:right w:val="single" w:sz="8" w:space="0" w:color="000000"/>
            </w:tcBorders>
          </w:tcPr>
          <w:p w14:paraId="7F4866E2"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E3" w14:textId="77777777" w:rsidR="00527B7E" w:rsidRPr="00331312" w:rsidRDefault="00527B7E" w:rsidP="00527B7E">
            <w:pPr>
              <w:autoSpaceDE w:val="0"/>
              <w:autoSpaceDN w:val="0"/>
              <w:adjustRightInd w:val="0"/>
              <w:spacing w:before="40" w:after="40"/>
              <w:rPr>
                <w:rFonts w:cs="Calibri"/>
                <w:color w:val="000000"/>
                <w:sz w:val="22"/>
                <w:szCs w:val="22"/>
              </w:rPr>
            </w:pPr>
          </w:p>
        </w:tc>
      </w:tr>
      <w:tr w:rsidR="00527B7E" w:rsidRPr="00331312" w14:paraId="7F4866F3" w14:textId="77777777" w:rsidTr="00527B7E">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6E5" w14:textId="77777777" w:rsidR="00527B7E" w:rsidRPr="00331312" w:rsidRDefault="00527B7E" w:rsidP="00527B7E">
            <w:pPr>
              <w:autoSpaceDE w:val="0"/>
              <w:autoSpaceDN w:val="0"/>
              <w:adjustRightInd w:val="0"/>
              <w:spacing w:before="40" w:after="40"/>
              <w:rPr>
                <w:rFonts w:cs="Calibri"/>
                <w:color w:val="000000"/>
                <w:sz w:val="22"/>
                <w:szCs w:val="22"/>
              </w:rPr>
            </w:pPr>
            <w:r w:rsidRPr="00331312">
              <w:rPr>
                <w:rFonts w:cs="Calibri"/>
                <w:color w:val="000000"/>
              </w:rPr>
              <w:t>Indonesian</w:t>
            </w:r>
          </w:p>
        </w:tc>
        <w:tc>
          <w:tcPr>
            <w:tcW w:w="993" w:type="dxa"/>
            <w:tcBorders>
              <w:top w:val="single" w:sz="8" w:space="0" w:color="000000"/>
              <w:left w:val="single" w:sz="8" w:space="0" w:color="000000"/>
              <w:bottom w:val="single" w:sz="8" w:space="0" w:color="000000"/>
              <w:right w:val="single" w:sz="8" w:space="0" w:color="000000"/>
            </w:tcBorders>
          </w:tcPr>
          <w:p w14:paraId="7F4866E6"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E7"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E8"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E9"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EA"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EB"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EC"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ED"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EE"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EF"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F0"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3" w:type="dxa"/>
            <w:tcBorders>
              <w:top w:val="single" w:sz="8" w:space="0" w:color="000000"/>
              <w:left w:val="single" w:sz="8" w:space="0" w:color="000000"/>
              <w:bottom w:val="single" w:sz="8" w:space="0" w:color="000000"/>
              <w:right w:val="single" w:sz="8" w:space="0" w:color="000000"/>
            </w:tcBorders>
          </w:tcPr>
          <w:p w14:paraId="7F4866F1"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F2" w14:textId="77777777" w:rsidR="00527B7E" w:rsidRPr="00331312" w:rsidRDefault="00527B7E" w:rsidP="00527B7E">
            <w:pPr>
              <w:autoSpaceDE w:val="0"/>
              <w:autoSpaceDN w:val="0"/>
              <w:adjustRightInd w:val="0"/>
              <w:spacing w:before="40" w:after="40"/>
              <w:rPr>
                <w:rFonts w:cs="Calibri"/>
                <w:color w:val="000000"/>
                <w:sz w:val="22"/>
                <w:szCs w:val="22"/>
              </w:rPr>
            </w:pPr>
          </w:p>
        </w:tc>
      </w:tr>
      <w:tr w:rsidR="00527B7E" w:rsidRPr="00331312" w14:paraId="7F486702" w14:textId="77777777" w:rsidTr="00527B7E">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6F4" w14:textId="77777777" w:rsidR="00527B7E" w:rsidRPr="00331312" w:rsidRDefault="00527B7E" w:rsidP="00527B7E">
            <w:pPr>
              <w:autoSpaceDE w:val="0"/>
              <w:autoSpaceDN w:val="0"/>
              <w:adjustRightInd w:val="0"/>
              <w:spacing w:before="40" w:after="40"/>
              <w:rPr>
                <w:rFonts w:cs="Calibri"/>
                <w:color w:val="000000"/>
                <w:sz w:val="22"/>
                <w:szCs w:val="22"/>
              </w:rPr>
            </w:pPr>
            <w:r w:rsidRPr="00331312">
              <w:rPr>
                <w:rFonts w:cs="Calibri"/>
                <w:color w:val="000000"/>
              </w:rPr>
              <w:t>Italian</w:t>
            </w:r>
          </w:p>
        </w:tc>
        <w:tc>
          <w:tcPr>
            <w:tcW w:w="993" w:type="dxa"/>
            <w:tcBorders>
              <w:top w:val="single" w:sz="8" w:space="0" w:color="000000"/>
              <w:left w:val="single" w:sz="8" w:space="0" w:color="000000"/>
              <w:bottom w:val="single" w:sz="8" w:space="0" w:color="000000"/>
              <w:right w:val="single" w:sz="8" w:space="0" w:color="000000"/>
            </w:tcBorders>
          </w:tcPr>
          <w:p w14:paraId="7F4866F5"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F6"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F7"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F8"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F9"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FA"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FB"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FC"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6FD"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6FE"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6FF"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3" w:type="dxa"/>
            <w:tcBorders>
              <w:top w:val="single" w:sz="8" w:space="0" w:color="000000"/>
              <w:left w:val="single" w:sz="8" w:space="0" w:color="000000"/>
              <w:bottom w:val="single" w:sz="8" w:space="0" w:color="000000"/>
              <w:right w:val="single" w:sz="8" w:space="0" w:color="000000"/>
            </w:tcBorders>
          </w:tcPr>
          <w:p w14:paraId="7F486700"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701" w14:textId="77777777" w:rsidR="00527B7E" w:rsidRPr="00331312" w:rsidRDefault="00527B7E" w:rsidP="00527B7E">
            <w:pPr>
              <w:autoSpaceDE w:val="0"/>
              <w:autoSpaceDN w:val="0"/>
              <w:adjustRightInd w:val="0"/>
              <w:spacing w:before="40" w:after="40"/>
              <w:rPr>
                <w:rFonts w:cs="Calibri"/>
                <w:color w:val="000000"/>
                <w:sz w:val="22"/>
                <w:szCs w:val="22"/>
              </w:rPr>
            </w:pPr>
          </w:p>
        </w:tc>
      </w:tr>
      <w:tr w:rsidR="00527B7E" w:rsidRPr="00331312" w14:paraId="7F486711" w14:textId="77777777" w:rsidTr="00527B7E">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03" w14:textId="77777777" w:rsidR="00527B7E" w:rsidRPr="00331312" w:rsidRDefault="00527B7E" w:rsidP="00527B7E">
            <w:pPr>
              <w:autoSpaceDE w:val="0"/>
              <w:autoSpaceDN w:val="0"/>
              <w:adjustRightInd w:val="0"/>
              <w:spacing w:before="40" w:after="40"/>
              <w:rPr>
                <w:rFonts w:cs="Calibri"/>
                <w:color w:val="000000"/>
                <w:sz w:val="22"/>
                <w:szCs w:val="22"/>
              </w:rPr>
            </w:pPr>
            <w:r w:rsidRPr="00331312">
              <w:rPr>
                <w:rFonts w:cs="Calibri"/>
                <w:color w:val="000000"/>
              </w:rPr>
              <w:t>Japanese</w:t>
            </w:r>
          </w:p>
        </w:tc>
        <w:tc>
          <w:tcPr>
            <w:tcW w:w="993" w:type="dxa"/>
            <w:tcBorders>
              <w:top w:val="single" w:sz="8" w:space="0" w:color="000000"/>
              <w:left w:val="single" w:sz="8" w:space="0" w:color="000000"/>
              <w:bottom w:val="single" w:sz="8" w:space="0" w:color="000000"/>
              <w:right w:val="single" w:sz="8" w:space="0" w:color="000000"/>
            </w:tcBorders>
          </w:tcPr>
          <w:p w14:paraId="7F486704"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05"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06"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07"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08"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09"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0A"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0B"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0C"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0D"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70E"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3" w:type="dxa"/>
            <w:tcBorders>
              <w:top w:val="single" w:sz="8" w:space="0" w:color="000000"/>
              <w:left w:val="single" w:sz="8" w:space="0" w:color="000000"/>
              <w:bottom w:val="single" w:sz="8" w:space="0" w:color="000000"/>
              <w:right w:val="single" w:sz="8" w:space="0" w:color="000000"/>
            </w:tcBorders>
          </w:tcPr>
          <w:p w14:paraId="7F48670F"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710" w14:textId="77777777" w:rsidR="00527B7E" w:rsidRPr="00331312" w:rsidRDefault="00527B7E" w:rsidP="00527B7E">
            <w:pPr>
              <w:autoSpaceDE w:val="0"/>
              <w:autoSpaceDN w:val="0"/>
              <w:adjustRightInd w:val="0"/>
              <w:spacing w:before="40" w:after="40"/>
              <w:rPr>
                <w:rFonts w:cs="Calibri"/>
                <w:color w:val="000000"/>
                <w:sz w:val="22"/>
                <w:szCs w:val="22"/>
              </w:rPr>
            </w:pPr>
          </w:p>
        </w:tc>
      </w:tr>
      <w:tr w:rsidR="00527B7E" w:rsidRPr="00331312" w14:paraId="7F486720" w14:textId="77777777" w:rsidTr="00527B7E">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12" w14:textId="77777777" w:rsidR="00527B7E" w:rsidRPr="00331312" w:rsidRDefault="00527B7E" w:rsidP="00527B7E">
            <w:pPr>
              <w:autoSpaceDE w:val="0"/>
              <w:autoSpaceDN w:val="0"/>
              <w:adjustRightInd w:val="0"/>
              <w:spacing w:before="40" w:after="40"/>
              <w:rPr>
                <w:rFonts w:cs="Calibri"/>
                <w:color w:val="000000"/>
                <w:sz w:val="22"/>
                <w:szCs w:val="22"/>
              </w:rPr>
            </w:pPr>
            <w:r w:rsidRPr="00331312">
              <w:rPr>
                <w:rFonts w:cs="Calibri"/>
                <w:color w:val="000000"/>
              </w:rPr>
              <w:t>Korean</w:t>
            </w:r>
            <w:r w:rsidRPr="00331312" w:rsidDel="00DE0882">
              <w:rPr>
                <w:rFonts w:cs="Calibri"/>
                <w:color w:val="000000"/>
              </w:rPr>
              <w:t xml:space="preserve"> </w:t>
            </w:r>
          </w:p>
        </w:tc>
        <w:tc>
          <w:tcPr>
            <w:tcW w:w="993" w:type="dxa"/>
            <w:tcBorders>
              <w:top w:val="single" w:sz="8" w:space="0" w:color="000000"/>
              <w:left w:val="single" w:sz="8" w:space="0" w:color="000000"/>
              <w:bottom w:val="single" w:sz="8" w:space="0" w:color="000000"/>
              <w:right w:val="single" w:sz="8" w:space="0" w:color="000000"/>
            </w:tcBorders>
          </w:tcPr>
          <w:p w14:paraId="7F486713"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14"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15"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16"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17"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18"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19"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1A"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1B"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1C"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71D"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3" w:type="dxa"/>
            <w:tcBorders>
              <w:top w:val="single" w:sz="8" w:space="0" w:color="000000"/>
              <w:left w:val="single" w:sz="8" w:space="0" w:color="000000"/>
              <w:bottom w:val="single" w:sz="8" w:space="0" w:color="000000"/>
              <w:right w:val="single" w:sz="8" w:space="0" w:color="000000"/>
            </w:tcBorders>
          </w:tcPr>
          <w:p w14:paraId="7F48671E"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71F" w14:textId="77777777" w:rsidR="00527B7E" w:rsidRPr="00331312" w:rsidRDefault="00527B7E" w:rsidP="00527B7E">
            <w:pPr>
              <w:autoSpaceDE w:val="0"/>
              <w:autoSpaceDN w:val="0"/>
              <w:adjustRightInd w:val="0"/>
              <w:spacing w:before="40" w:after="40"/>
              <w:rPr>
                <w:rFonts w:cs="Calibri"/>
                <w:color w:val="000000"/>
                <w:sz w:val="22"/>
                <w:szCs w:val="22"/>
              </w:rPr>
            </w:pPr>
          </w:p>
        </w:tc>
      </w:tr>
      <w:tr w:rsidR="00527B7E" w:rsidRPr="00331312" w14:paraId="7F48672F" w14:textId="77777777" w:rsidTr="00527B7E">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21" w14:textId="77777777" w:rsidR="00527B7E" w:rsidRPr="00331312" w:rsidRDefault="00527B7E" w:rsidP="00527B7E">
            <w:pPr>
              <w:autoSpaceDE w:val="0"/>
              <w:autoSpaceDN w:val="0"/>
              <w:adjustRightInd w:val="0"/>
              <w:spacing w:before="40" w:after="40"/>
              <w:rPr>
                <w:rFonts w:cs="Calibri"/>
                <w:color w:val="000000"/>
                <w:sz w:val="22"/>
                <w:szCs w:val="22"/>
              </w:rPr>
            </w:pPr>
            <w:r>
              <w:rPr>
                <w:rFonts w:cs="Calibri"/>
                <w:color w:val="000000"/>
              </w:rPr>
              <w:t>Spanish</w:t>
            </w:r>
          </w:p>
        </w:tc>
        <w:tc>
          <w:tcPr>
            <w:tcW w:w="993" w:type="dxa"/>
            <w:tcBorders>
              <w:top w:val="single" w:sz="8" w:space="0" w:color="000000"/>
              <w:left w:val="single" w:sz="8" w:space="0" w:color="000000"/>
              <w:bottom w:val="single" w:sz="8" w:space="0" w:color="000000"/>
              <w:right w:val="single" w:sz="8" w:space="0" w:color="000000"/>
            </w:tcBorders>
          </w:tcPr>
          <w:p w14:paraId="7F486722"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23"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24"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25"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26"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27"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28"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29"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2A"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2B"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72C"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3" w:type="dxa"/>
            <w:tcBorders>
              <w:top w:val="single" w:sz="8" w:space="0" w:color="000000"/>
              <w:left w:val="single" w:sz="8" w:space="0" w:color="000000"/>
              <w:bottom w:val="single" w:sz="8" w:space="0" w:color="000000"/>
              <w:right w:val="single" w:sz="8" w:space="0" w:color="000000"/>
            </w:tcBorders>
          </w:tcPr>
          <w:p w14:paraId="7F48672D"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72E" w14:textId="77777777" w:rsidR="00527B7E" w:rsidRPr="00331312" w:rsidRDefault="00527B7E" w:rsidP="00527B7E">
            <w:pPr>
              <w:autoSpaceDE w:val="0"/>
              <w:autoSpaceDN w:val="0"/>
              <w:adjustRightInd w:val="0"/>
              <w:spacing w:before="40" w:after="40"/>
              <w:rPr>
                <w:rFonts w:cs="Calibri"/>
                <w:color w:val="000000"/>
                <w:sz w:val="22"/>
                <w:szCs w:val="22"/>
              </w:rPr>
            </w:pPr>
          </w:p>
        </w:tc>
      </w:tr>
      <w:tr w:rsidR="00527B7E" w:rsidRPr="00331312" w14:paraId="7F48673E" w14:textId="77777777" w:rsidTr="00527B7E">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30" w14:textId="77777777" w:rsidR="00527B7E" w:rsidRPr="00331312" w:rsidRDefault="00527B7E" w:rsidP="00527B7E">
            <w:pPr>
              <w:autoSpaceDE w:val="0"/>
              <w:autoSpaceDN w:val="0"/>
              <w:adjustRightInd w:val="0"/>
              <w:spacing w:before="40" w:after="40"/>
              <w:rPr>
                <w:rFonts w:cs="Calibri"/>
                <w:color w:val="000000"/>
                <w:sz w:val="22"/>
                <w:szCs w:val="22"/>
              </w:rPr>
            </w:pPr>
            <w:r w:rsidRPr="00331312">
              <w:rPr>
                <w:rFonts w:cs="Calibri"/>
                <w:color w:val="000000"/>
              </w:rPr>
              <w:t>Vietnamese</w:t>
            </w:r>
          </w:p>
        </w:tc>
        <w:tc>
          <w:tcPr>
            <w:tcW w:w="993" w:type="dxa"/>
            <w:tcBorders>
              <w:top w:val="single" w:sz="8" w:space="0" w:color="000000"/>
              <w:left w:val="single" w:sz="8" w:space="0" w:color="000000"/>
              <w:bottom w:val="single" w:sz="8" w:space="0" w:color="000000"/>
              <w:right w:val="single" w:sz="8" w:space="0" w:color="000000"/>
            </w:tcBorders>
          </w:tcPr>
          <w:p w14:paraId="7F486731"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32"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33"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34"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35"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36"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37"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38"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39"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3A"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73B"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3" w:type="dxa"/>
            <w:tcBorders>
              <w:top w:val="single" w:sz="8" w:space="0" w:color="000000"/>
              <w:left w:val="single" w:sz="8" w:space="0" w:color="000000"/>
              <w:bottom w:val="single" w:sz="8" w:space="0" w:color="000000"/>
              <w:right w:val="single" w:sz="8" w:space="0" w:color="000000"/>
            </w:tcBorders>
          </w:tcPr>
          <w:p w14:paraId="7F48673C" w14:textId="77777777" w:rsidR="00527B7E" w:rsidRPr="00331312" w:rsidRDefault="00527B7E" w:rsidP="00527B7E">
            <w:pPr>
              <w:autoSpaceDE w:val="0"/>
              <w:autoSpaceDN w:val="0"/>
              <w:adjustRightInd w:val="0"/>
              <w:spacing w:before="40" w:after="40"/>
              <w:rPr>
                <w:rFonts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tcPr>
          <w:p w14:paraId="7F48673D" w14:textId="77777777" w:rsidR="00527B7E" w:rsidRPr="00331312" w:rsidRDefault="00527B7E" w:rsidP="00527B7E">
            <w:pPr>
              <w:autoSpaceDE w:val="0"/>
              <w:autoSpaceDN w:val="0"/>
              <w:adjustRightInd w:val="0"/>
              <w:spacing w:before="40" w:after="40"/>
              <w:rPr>
                <w:rFonts w:cs="Calibri"/>
                <w:color w:val="000000"/>
                <w:sz w:val="22"/>
                <w:szCs w:val="22"/>
              </w:rPr>
            </w:pPr>
          </w:p>
        </w:tc>
      </w:tr>
    </w:tbl>
    <w:p w14:paraId="7F48673F" w14:textId="77777777" w:rsidR="00527B7E" w:rsidRDefault="00527B7E" w:rsidP="00527B7E">
      <w:pPr>
        <w:autoSpaceDE w:val="0"/>
        <w:autoSpaceDN w:val="0"/>
        <w:adjustRightInd w:val="0"/>
        <w:spacing w:before="240"/>
        <w:rPr>
          <w:rFonts w:cs="Calibri"/>
          <w:color w:val="000000"/>
          <w:sz w:val="22"/>
          <w:szCs w:val="22"/>
        </w:rPr>
      </w:pPr>
      <w:r w:rsidRPr="00331312">
        <w:rPr>
          <w:rFonts w:cs="Calibri"/>
          <w:color w:val="000000"/>
          <w:sz w:val="22"/>
          <w:szCs w:val="22"/>
        </w:rPr>
        <w:t>Further information in relation to smaller candidature languages in your state/territory may be included in your report if relevant.</w:t>
      </w:r>
    </w:p>
    <w:p w14:paraId="7F486740" w14:textId="77777777" w:rsidR="0043297A" w:rsidRPr="00331312" w:rsidRDefault="0043297A" w:rsidP="0043297A">
      <w:pPr>
        <w:spacing w:before="0" w:line="240" w:lineRule="auto"/>
        <w:rPr>
          <w:rFonts w:cs="Calibri"/>
          <w:color w:val="000000"/>
          <w:sz w:val="22"/>
          <w:szCs w:val="22"/>
        </w:rPr>
      </w:pPr>
      <w:r>
        <w:rPr>
          <w:rFonts w:cs="Calibri"/>
          <w:color w:val="000000"/>
          <w:sz w:val="22"/>
          <w:szCs w:val="22"/>
        </w:rPr>
        <w:br w:type="page"/>
      </w:r>
    </w:p>
    <w:p w14:paraId="7F486741" w14:textId="77777777" w:rsidR="00527B7E" w:rsidRPr="006B2909" w:rsidRDefault="00527B7E" w:rsidP="00527B7E">
      <w:pPr>
        <w:numPr>
          <w:ilvl w:val="0"/>
          <w:numId w:val="137"/>
        </w:numPr>
        <w:spacing w:before="0" w:after="120" w:line="240" w:lineRule="auto"/>
        <w:ind w:left="425" w:hanging="425"/>
        <w:rPr>
          <w:rFonts w:cs="Calibri"/>
          <w:sz w:val="22"/>
          <w:szCs w:val="22"/>
        </w:rPr>
      </w:pPr>
      <w:r w:rsidRPr="006B2909">
        <w:rPr>
          <w:rFonts w:cs="Calibri"/>
          <w:color w:val="000000"/>
          <w:sz w:val="22"/>
          <w:szCs w:val="22"/>
        </w:rPr>
        <w:lastRenderedPageBreak/>
        <w:t>Where available, the number of qualified school teachers available to teach Aboriginal and Torres Strait Islander languages, Arabic, Chinese (Mandarin), French, German, Greek, Indonesian, Italian, Japanese, Korean,</w:t>
      </w:r>
      <w:r w:rsidRPr="006B2909" w:rsidDel="00DE0882">
        <w:rPr>
          <w:rFonts w:cs="Calibri"/>
          <w:color w:val="000000"/>
          <w:sz w:val="22"/>
          <w:szCs w:val="22"/>
        </w:rPr>
        <w:t xml:space="preserve"> </w:t>
      </w:r>
      <w:r w:rsidRPr="006B2909">
        <w:rPr>
          <w:rFonts w:cs="Calibri"/>
          <w:color w:val="000000"/>
          <w:sz w:val="22"/>
          <w:szCs w:val="22"/>
        </w:rPr>
        <w:t>Vietnamese,</w:t>
      </w:r>
      <w:r w:rsidRPr="006B2909" w:rsidDel="00DE0882">
        <w:rPr>
          <w:rFonts w:cs="Calibri"/>
          <w:color w:val="000000"/>
          <w:sz w:val="22"/>
          <w:szCs w:val="22"/>
        </w:rPr>
        <w:t xml:space="preserve"> </w:t>
      </w:r>
      <w:r w:rsidRPr="006B2909">
        <w:rPr>
          <w:rFonts w:cs="Calibri"/>
          <w:color w:val="000000"/>
          <w:sz w:val="22"/>
          <w:szCs w:val="22"/>
        </w:rPr>
        <w:t>and Spanish</w:t>
      </w:r>
      <w:r w:rsidR="004B28FE">
        <w:rPr>
          <w:rFonts w:cs="Calibri"/>
          <w:color w:val="000000"/>
          <w:sz w:val="22"/>
          <w:szCs w:val="22"/>
        </w:rPr>
        <w:t xml:space="preserve">.  To avoid duplication of numbers, please indicate in the Comments field in instances where a teacher may be teaching across a number of grades.  </w:t>
      </w:r>
    </w:p>
    <w:tbl>
      <w:tblPr>
        <w:tblW w:w="14772" w:type="dxa"/>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268"/>
        <w:gridCol w:w="993"/>
        <w:gridCol w:w="738"/>
        <w:gridCol w:w="708"/>
        <w:gridCol w:w="709"/>
        <w:gridCol w:w="709"/>
        <w:gridCol w:w="709"/>
        <w:gridCol w:w="708"/>
        <w:gridCol w:w="709"/>
        <w:gridCol w:w="709"/>
        <w:gridCol w:w="709"/>
        <w:gridCol w:w="850"/>
        <w:gridCol w:w="851"/>
        <w:gridCol w:w="850"/>
        <w:gridCol w:w="2552"/>
      </w:tblGrid>
      <w:tr w:rsidR="004B28FE" w:rsidRPr="00331312" w14:paraId="7F486752" w14:textId="77777777" w:rsidTr="00904283">
        <w:trPr>
          <w:trHeight w:val="394"/>
        </w:trPr>
        <w:tc>
          <w:tcPr>
            <w:tcW w:w="2268" w:type="dxa"/>
            <w:tcBorders>
              <w:top w:val="single" w:sz="8" w:space="0" w:color="000000"/>
              <w:left w:val="single" w:sz="8" w:space="0" w:color="000000"/>
              <w:bottom w:val="single" w:sz="8" w:space="0" w:color="000000"/>
              <w:right w:val="single" w:sz="8" w:space="0" w:color="000000"/>
            </w:tcBorders>
            <w:vAlign w:val="center"/>
          </w:tcPr>
          <w:p w14:paraId="7F486742"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Language</w:t>
            </w:r>
          </w:p>
        </w:tc>
        <w:tc>
          <w:tcPr>
            <w:tcW w:w="993" w:type="dxa"/>
            <w:tcBorders>
              <w:top w:val="single" w:sz="8" w:space="0" w:color="000000"/>
              <w:left w:val="single" w:sz="8" w:space="0" w:color="000000"/>
              <w:bottom w:val="single" w:sz="8" w:space="0" w:color="000000"/>
              <w:right w:val="single" w:sz="8" w:space="0" w:color="000000"/>
            </w:tcBorders>
            <w:vAlign w:val="center"/>
          </w:tcPr>
          <w:p w14:paraId="7F486743"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Kinder/</w:t>
            </w:r>
          </w:p>
          <w:p w14:paraId="7F486744"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Prep</w:t>
            </w:r>
          </w:p>
        </w:tc>
        <w:tc>
          <w:tcPr>
            <w:tcW w:w="738" w:type="dxa"/>
            <w:tcBorders>
              <w:top w:val="single" w:sz="8" w:space="0" w:color="000000"/>
              <w:left w:val="single" w:sz="8" w:space="0" w:color="000000"/>
              <w:bottom w:val="single" w:sz="8" w:space="0" w:color="000000"/>
              <w:right w:val="single" w:sz="8" w:space="0" w:color="000000"/>
            </w:tcBorders>
            <w:vAlign w:val="center"/>
          </w:tcPr>
          <w:p w14:paraId="7F486745"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1</w:t>
            </w:r>
          </w:p>
        </w:tc>
        <w:tc>
          <w:tcPr>
            <w:tcW w:w="708" w:type="dxa"/>
            <w:tcBorders>
              <w:top w:val="single" w:sz="8" w:space="0" w:color="000000"/>
              <w:left w:val="single" w:sz="8" w:space="0" w:color="000000"/>
              <w:bottom w:val="single" w:sz="8" w:space="0" w:color="000000"/>
              <w:right w:val="single" w:sz="8" w:space="0" w:color="000000"/>
            </w:tcBorders>
            <w:vAlign w:val="center"/>
          </w:tcPr>
          <w:p w14:paraId="7F486746"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2</w:t>
            </w:r>
          </w:p>
        </w:tc>
        <w:tc>
          <w:tcPr>
            <w:tcW w:w="709" w:type="dxa"/>
            <w:tcBorders>
              <w:top w:val="single" w:sz="8" w:space="0" w:color="000000"/>
              <w:left w:val="single" w:sz="8" w:space="0" w:color="000000"/>
              <w:bottom w:val="single" w:sz="8" w:space="0" w:color="000000"/>
              <w:right w:val="single" w:sz="8" w:space="0" w:color="000000"/>
            </w:tcBorders>
            <w:vAlign w:val="center"/>
          </w:tcPr>
          <w:p w14:paraId="7F486747"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3</w:t>
            </w:r>
          </w:p>
        </w:tc>
        <w:tc>
          <w:tcPr>
            <w:tcW w:w="709" w:type="dxa"/>
            <w:tcBorders>
              <w:top w:val="single" w:sz="8" w:space="0" w:color="000000"/>
              <w:left w:val="single" w:sz="8" w:space="0" w:color="000000"/>
              <w:bottom w:val="single" w:sz="8" w:space="0" w:color="000000"/>
              <w:right w:val="single" w:sz="8" w:space="0" w:color="000000"/>
            </w:tcBorders>
            <w:vAlign w:val="center"/>
          </w:tcPr>
          <w:p w14:paraId="7F486748"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4</w:t>
            </w:r>
          </w:p>
        </w:tc>
        <w:tc>
          <w:tcPr>
            <w:tcW w:w="709" w:type="dxa"/>
            <w:tcBorders>
              <w:top w:val="single" w:sz="8" w:space="0" w:color="000000"/>
              <w:left w:val="single" w:sz="8" w:space="0" w:color="000000"/>
              <w:bottom w:val="single" w:sz="8" w:space="0" w:color="000000"/>
              <w:right w:val="single" w:sz="8" w:space="0" w:color="000000"/>
            </w:tcBorders>
            <w:vAlign w:val="center"/>
          </w:tcPr>
          <w:p w14:paraId="7F486749"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5</w:t>
            </w:r>
          </w:p>
        </w:tc>
        <w:tc>
          <w:tcPr>
            <w:tcW w:w="708" w:type="dxa"/>
            <w:tcBorders>
              <w:top w:val="single" w:sz="8" w:space="0" w:color="000000"/>
              <w:left w:val="single" w:sz="8" w:space="0" w:color="000000"/>
              <w:bottom w:val="single" w:sz="8" w:space="0" w:color="000000"/>
              <w:right w:val="single" w:sz="8" w:space="0" w:color="000000"/>
            </w:tcBorders>
            <w:vAlign w:val="center"/>
          </w:tcPr>
          <w:p w14:paraId="7F48674A"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6</w:t>
            </w:r>
          </w:p>
        </w:tc>
        <w:tc>
          <w:tcPr>
            <w:tcW w:w="709" w:type="dxa"/>
            <w:tcBorders>
              <w:top w:val="single" w:sz="8" w:space="0" w:color="000000"/>
              <w:left w:val="single" w:sz="8" w:space="0" w:color="000000"/>
              <w:bottom w:val="single" w:sz="8" w:space="0" w:color="000000"/>
              <w:right w:val="single" w:sz="8" w:space="0" w:color="000000"/>
            </w:tcBorders>
            <w:vAlign w:val="center"/>
          </w:tcPr>
          <w:p w14:paraId="7F48674B"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7</w:t>
            </w:r>
          </w:p>
        </w:tc>
        <w:tc>
          <w:tcPr>
            <w:tcW w:w="709" w:type="dxa"/>
            <w:tcBorders>
              <w:top w:val="single" w:sz="8" w:space="0" w:color="000000"/>
              <w:left w:val="single" w:sz="8" w:space="0" w:color="000000"/>
              <w:bottom w:val="single" w:sz="8" w:space="0" w:color="000000"/>
              <w:right w:val="single" w:sz="8" w:space="0" w:color="000000"/>
            </w:tcBorders>
            <w:vAlign w:val="center"/>
          </w:tcPr>
          <w:p w14:paraId="7F48674C"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8</w:t>
            </w:r>
          </w:p>
        </w:tc>
        <w:tc>
          <w:tcPr>
            <w:tcW w:w="709" w:type="dxa"/>
            <w:tcBorders>
              <w:top w:val="single" w:sz="8" w:space="0" w:color="000000"/>
              <w:left w:val="single" w:sz="8" w:space="0" w:color="000000"/>
              <w:bottom w:val="single" w:sz="8" w:space="0" w:color="000000"/>
              <w:right w:val="single" w:sz="8" w:space="0" w:color="000000"/>
            </w:tcBorders>
            <w:vAlign w:val="center"/>
          </w:tcPr>
          <w:p w14:paraId="7F48674D"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9</w:t>
            </w:r>
          </w:p>
        </w:tc>
        <w:tc>
          <w:tcPr>
            <w:tcW w:w="850" w:type="dxa"/>
            <w:tcBorders>
              <w:top w:val="single" w:sz="8" w:space="0" w:color="000000"/>
              <w:left w:val="single" w:sz="8" w:space="0" w:color="000000"/>
              <w:bottom w:val="single" w:sz="8" w:space="0" w:color="000000"/>
              <w:right w:val="single" w:sz="8" w:space="0" w:color="000000"/>
            </w:tcBorders>
            <w:vAlign w:val="center"/>
          </w:tcPr>
          <w:p w14:paraId="7F48674E"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10</w:t>
            </w:r>
          </w:p>
        </w:tc>
        <w:tc>
          <w:tcPr>
            <w:tcW w:w="851" w:type="dxa"/>
            <w:tcBorders>
              <w:top w:val="single" w:sz="8" w:space="0" w:color="000000"/>
              <w:left w:val="single" w:sz="8" w:space="0" w:color="000000"/>
              <w:bottom w:val="single" w:sz="8" w:space="0" w:color="000000"/>
              <w:right w:val="single" w:sz="8" w:space="0" w:color="000000"/>
            </w:tcBorders>
            <w:vAlign w:val="center"/>
          </w:tcPr>
          <w:p w14:paraId="7F48674F"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11</w:t>
            </w:r>
          </w:p>
        </w:tc>
        <w:tc>
          <w:tcPr>
            <w:tcW w:w="850" w:type="dxa"/>
            <w:tcBorders>
              <w:top w:val="single" w:sz="8" w:space="0" w:color="000000"/>
              <w:left w:val="single" w:sz="8" w:space="0" w:color="000000"/>
              <w:bottom w:val="single" w:sz="8" w:space="0" w:color="000000"/>
              <w:right w:val="single" w:sz="8" w:space="0" w:color="000000"/>
            </w:tcBorders>
            <w:vAlign w:val="center"/>
          </w:tcPr>
          <w:p w14:paraId="7F486750" w14:textId="77777777" w:rsidR="004B28FE" w:rsidRPr="00331312" w:rsidRDefault="004B28FE" w:rsidP="00527B7E">
            <w:pPr>
              <w:autoSpaceDE w:val="0"/>
              <w:autoSpaceDN w:val="0"/>
              <w:adjustRightInd w:val="0"/>
              <w:spacing w:before="60" w:after="60"/>
              <w:jc w:val="center"/>
              <w:rPr>
                <w:rFonts w:cs="Calibri"/>
                <w:color w:val="000000"/>
                <w:sz w:val="22"/>
                <w:szCs w:val="22"/>
              </w:rPr>
            </w:pPr>
            <w:r w:rsidRPr="00331312">
              <w:rPr>
                <w:rFonts w:cs="Calibri"/>
                <w:color w:val="000000"/>
                <w:sz w:val="22"/>
                <w:szCs w:val="22"/>
              </w:rPr>
              <w:t>Year 12</w:t>
            </w:r>
          </w:p>
        </w:tc>
        <w:tc>
          <w:tcPr>
            <w:tcW w:w="2552" w:type="dxa"/>
            <w:tcBorders>
              <w:top w:val="single" w:sz="8" w:space="0" w:color="000000"/>
              <w:left w:val="single" w:sz="8" w:space="0" w:color="000000"/>
              <w:bottom w:val="single" w:sz="8" w:space="0" w:color="000000"/>
              <w:right w:val="single" w:sz="8" w:space="0" w:color="000000"/>
            </w:tcBorders>
          </w:tcPr>
          <w:p w14:paraId="7F486751" w14:textId="77777777" w:rsidR="004B28FE" w:rsidRPr="00331312" w:rsidRDefault="004B28FE" w:rsidP="00527B7E">
            <w:pPr>
              <w:autoSpaceDE w:val="0"/>
              <w:autoSpaceDN w:val="0"/>
              <w:adjustRightInd w:val="0"/>
              <w:spacing w:before="60" w:after="60"/>
              <w:jc w:val="center"/>
              <w:rPr>
                <w:rFonts w:cs="Calibri"/>
                <w:color w:val="000000"/>
                <w:sz w:val="22"/>
                <w:szCs w:val="22"/>
              </w:rPr>
            </w:pPr>
            <w:r>
              <w:rPr>
                <w:rFonts w:cs="Calibri"/>
                <w:color w:val="000000"/>
                <w:sz w:val="22"/>
                <w:szCs w:val="22"/>
              </w:rPr>
              <w:t>Comments</w:t>
            </w:r>
          </w:p>
        </w:tc>
      </w:tr>
      <w:tr w:rsidR="004B28FE" w:rsidRPr="00331312" w14:paraId="7F486762" w14:textId="77777777" w:rsidTr="00904283">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53" w14:textId="77777777" w:rsidR="004B28FE" w:rsidRPr="00331312" w:rsidRDefault="004B28FE" w:rsidP="00527B7E">
            <w:pPr>
              <w:autoSpaceDE w:val="0"/>
              <w:autoSpaceDN w:val="0"/>
              <w:adjustRightInd w:val="0"/>
              <w:spacing w:before="40" w:after="40"/>
              <w:rPr>
                <w:rFonts w:cs="Calibri"/>
                <w:color w:val="000000"/>
                <w:sz w:val="22"/>
                <w:szCs w:val="22"/>
              </w:rPr>
            </w:pPr>
            <w:r w:rsidRPr="00331312">
              <w:rPr>
                <w:rFonts w:cs="Calibri"/>
                <w:color w:val="000000"/>
              </w:rPr>
              <w:t xml:space="preserve">Aboriginal and Torres Strait Islander languages </w:t>
            </w:r>
          </w:p>
        </w:tc>
        <w:tc>
          <w:tcPr>
            <w:tcW w:w="993" w:type="dxa"/>
            <w:tcBorders>
              <w:top w:val="single" w:sz="8" w:space="0" w:color="000000"/>
              <w:left w:val="single" w:sz="8" w:space="0" w:color="000000"/>
              <w:bottom w:val="single" w:sz="8" w:space="0" w:color="000000"/>
              <w:right w:val="single" w:sz="8" w:space="0" w:color="000000"/>
            </w:tcBorders>
          </w:tcPr>
          <w:p w14:paraId="7F486754"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38" w:type="dxa"/>
            <w:tcBorders>
              <w:top w:val="single" w:sz="8" w:space="0" w:color="000000"/>
              <w:left w:val="single" w:sz="8" w:space="0" w:color="000000"/>
              <w:bottom w:val="single" w:sz="8" w:space="0" w:color="000000"/>
              <w:right w:val="single" w:sz="8" w:space="0" w:color="000000"/>
            </w:tcBorders>
          </w:tcPr>
          <w:p w14:paraId="7F486755"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56"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57"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58"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59"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5A"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5B"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5C"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5D"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5E"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5F"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60"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7F486761" w14:textId="77777777" w:rsidR="004B28FE" w:rsidRPr="00331312" w:rsidRDefault="004B28FE" w:rsidP="00527B7E">
            <w:pPr>
              <w:autoSpaceDE w:val="0"/>
              <w:autoSpaceDN w:val="0"/>
              <w:adjustRightInd w:val="0"/>
              <w:spacing w:before="40" w:after="40"/>
              <w:rPr>
                <w:rFonts w:cs="Calibri"/>
                <w:color w:val="000000"/>
                <w:sz w:val="22"/>
                <w:szCs w:val="22"/>
              </w:rPr>
            </w:pPr>
          </w:p>
        </w:tc>
      </w:tr>
      <w:tr w:rsidR="004B28FE" w:rsidRPr="00331312" w14:paraId="7F486772" w14:textId="77777777" w:rsidTr="00904283">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63" w14:textId="77777777" w:rsidR="004B28FE" w:rsidRPr="00331312" w:rsidRDefault="004B28FE" w:rsidP="00527B7E">
            <w:pPr>
              <w:autoSpaceDE w:val="0"/>
              <w:autoSpaceDN w:val="0"/>
              <w:adjustRightInd w:val="0"/>
              <w:spacing w:before="40" w:after="40"/>
              <w:rPr>
                <w:rFonts w:cs="Calibri"/>
                <w:color w:val="000000"/>
                <w:sz w:val="22"/>
                <w:szCs w:val="22"/>
              </w:rPr>
            </w:pPr>
            <w:r w:rsidRPr="00331312">
              <w:rPr>
                <w:rFonts w:cs="Calibri"/>
                <w:color w:val="000000"/>
              </w:rPr>
              <w:t>Arabic</w:t>
            </w:r>
          </w:p>
        </w:tc>
        <w:tc>
          <w:tcPr>
            <w:tcW w:w="993" w:type="dxa"/>
            <w:tcBorders>
              <w:top w:val="single" w:sz="8" w:space="0" w:color="000000"/>
              <w:left w:val="single" w:sz="8" w:space="0" w:color="000000"/>
              <w:bottom w:val="single" w:sz="8" w:space="0" w:color="000000"/>
              <w:right w:val="single" w:sz="8" w:space="0" w:color="000000"/>
            </w:tcBorders>
          </w:tcPr>
          <w:p w14:paraId="7F486764"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38" w:type="dxa"/>
            <w:tcBorders>
              <w:top w:val="single" w:sz="8" w:space="0" w:color="000000"/>
              <w:left w:val="single" w:sz="8" w:space="0" w:color="000000"/>
              <w:bottom w:val="single" w:sz="8" w:space="0" w:color="000000"/>
              <w:right w:val="single" w:sz="8" w:space="0" w:color="000000"/>
            </w:tcBorders>
          </w:tcPr>
          <w:p w14:paraId="7F486765"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66"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67"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68"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69"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6A"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6B"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6C"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6D"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6E"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6F"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70"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7F486771" w14:textId="77777777" w:rsidR="004B28FE" w:rsidRPr="00331312" w:rsidRDefault="004B28FE" w:rsidP="00527B7E">
            <w:pPr>
              <w:autoSpaceDE w:val="0"/>
              <w:autoSpaceDN w:val="0"/>
              <w:adjustRightInd w:val="0"/>
              <w:spacing w:before="40" w:after="40"/>
              <w:rPr>
                <w:rFonts w:cs="Calibri"/>
                <w:color w:val="000000"/>
                <w:sz w:val="22"/>
                <w:szCs w:val="22"/>
              </w:rPr>
            </w:pPr>
          </w:p>
        </w:tc>
      </w:tr>
      <w:tr w:rsidR="004B28FE" w:rsidRPr="00331312" w14:paraId="7F486782" w14:textId="77777777" w:rsidTr="00904283">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73" w14:textId="77777777" w:rsidR="004B28FE" w:rsidRPr="00331312" w:rsidRDefault="004B28FE" w:rsidP="00527B7E">
            <w:pPr>
              <w:autoSpaceDE w:val="0"/>
              <w:autoSpaceDN w:val="0"/>
              <w:adjustRightInd w:val="0"/>
              <w:spacing w:before="40" w:after="40"/>
              <w:rPr>
                <w:rFonts w:cs="Calibri"/>
                <w:color w:val="000000"/>
                <w:sz w:val="22"/>
                <w:szCs w:val="22"/>
              </w:rPr>
            </w:pPr>
            <w:r w:rsidRPr="00331312">
              <w:rPr>
                <w:rFonts w:cs="Calibri"/>
                <w:color w:val="000000"/>
              </w:rPr>
              <w:t xml:space="preserve">Chinese (Mandarin) </w:t>
            </w:r>
          </w:p>
        </w:tc>
        <w:tc>
          <w:tcPr>
            <w:tcW w:w="993" w:type="dxa"/>
            <w:tcBorders>
              <w:top w:val="single" w:sz="8" w:space="0" w:color="000000"/>
              <w:left w:val="single" w:sz="8" w:space="0" w:color="000000"/>
              <w:bottom w:val="single" w:sz="8" w:space="0" w:color="000000"/>
              <w:right w:val="single" w:sz="8" w:space="0" w:color="000000"/>
            </w:tcBorders>
          </w:tcPr>
          <w:p w14:paraId="7F486774"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38" w:type="dxa"/>
            <w:tcBorders>
              <w:top w:val="single" w:sz="8" w:space="0" w:color="000000"/>
              <w:left w:val="single" w:sz="8" w:space="0" w:color="000000"/>
              <w:bottom w:val="single" w:sz="8" w:space="0" w:color="000000"/>
              <w:right w:val="single" w:sz="8" w:space="0" w:color="000000"/>
            </w:tcBorders>
          </w:tcPr>
          <w:p w14:paraId="7F486775"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76"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77"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78"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79"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7A"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7B"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7C"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7D"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7E"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7F"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80"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7F486781" w14:textId="77777777" w:rsidR="004B28FE" w:rsidRPr="00331312" w:rsidRDefault="004B28FE" w:rsidP="00527B7E">
            <w:pPr>
              <w:autoSpaceDE w:val="0"/>
              <w:autoSpaceDN w:val="0"/>
              <w:adjustRightInd w:val="0"/>
              <w:spacing w:before="40" w:after="40"/>
              <w:rPr>
                <w:rFonts w:cs="Calibri"/>
                <w:color w:val="000000"/>
                <w:sz w:val="22"/>
                <w:szCs w:val="22"/>
              </w:rPr>
            </w:pPr>
          </w:p>
        </w:tc>
      </w:tr>
      <w:tr w:rsidR="004B28FE" w:rsidRPr="00331312" w14:paraId="7F486792" w14:textId="77777777" w:rsidTr="00904283">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83" w14:textId="77777777" w:rsidR="004B28FE" w:rsidRPr="00331312" w:rsidRDefault="004B28FE" w:rsidP="00527B7E">
            <w:pPr>
              <w:autoSpaceDE w:val="0"/>
              <w:autoSpaceDN w:val="0"/>
              <w:adjustRightInd w:val="0"/>
              <w:spacing w:before="40" w:after="40"/>
              <w:rPr>
                <w:rFonts w:cs="Calibri"/>
                <w:color w:val="000000"/>
                <w:sz w:val="22"/>
                <w:szCs w:val="22"/>
              </w:rPr>
            </w:pPr>
            <w:r w:rsidRPr="00331312">
              <w:rPr>
                <w:rFonts w:cs="Calibri"/>
                <w:color w:val="000000"/>
              </w:rPr>
              <w:t>French</w:t>
            </w:r>
          </w:p>
        </w:tc>
        <w:tc>
          <w:tcPr>
            <w:tcW w:w="993" w:type="dxa"/>
            <w:tcBorders>
              <w:top w:val="single" w:sz="8" w:space="0" w:color="000000"/>
              <w:left w:val="single" w:sz="8" w:space="0" w:color="000000"/>
              <w:bottom w:val="single" w:sz="8" w:space="0" w:color="000000"/>
              <w:right w:val="single" w:sz="8" w:space="0" w:color="000000"/>
            </w:tcBorders>
          </w:tcPr>
          <w:p w14:paraId="7F486784"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38" w:type="dxa"/>
            <w:tcBorders>
              <w:top w:val="single" w:sz="8" w:space="0" w:color="000000"/>
              <w:left w:val="single" w:sz="8" w:space="0" w:color="000000"/>
              <w:bottom w:val="single" w:sz="8" w:space="0" w:color="000000"/>
              <w:right w:val="single" w:sz="8" w:space="0" w:color="000000"/>
            </w:tcBorders>
          </w:tcPr>
          <w:p w14:paraId="7F486785"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86"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87"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88"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89"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8A"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8B"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8C"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8D"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8E"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8F"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90"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7F486791" w14:textId="77777777" w:rsidR="004B28FE" w:rsidRPr="00331312" w:rsidRDefault="004B28FE" w:rsidP="00527B7E">
            <w:pPr>
              <w:autoSpaceDE w:val="0"/>
              <w:autoSpaceDN w:val="0"/>
              <w:adjustRightInd w:val="0"/>
              <w:spacing w:before="40" w:after="40"/>
              <w:rPr>
                <w:rFonts w:cs="Calibri"/>
                <w:color w:val="000000"/>
                <w:sz w:val="22"/>
                <w:szCs w:val="22"/>
              </w:rPr>
            </w:pPr>
          </w:p>
        </w:tc>
      </w:tr>
      <w:tr w:rsidR="004B28FE" w:rsidRPr="00331312" w14:paraId="7F4867A2" w14:textId="77777777" w:rsidTr="00904283">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93" w14:textId="77777777" w:rsidR="004B28FE" w:rsidRPr="00331312" w:rsidRDefault="004B28FE" w:rsidP="00527B7E">
            <w:pPr>
              <w:autoSpaceDE w:val="0"/>
              <w:autoSpaceDN w:val="0"/>
              <w:adjustRightInd w:val="0"/>
              <w:spacing w:before="40" w:after="40"/>
              <w:rPr>
                <w:rFonts w:cs="Calibri"/>
                <w:color w:val="000000"/>
                <w:sz w:val="22"/>
                <w:szCs w:val="22"/>
              </w:rPr>
            </w:pPr>
            <w:r w:rsidRPr="00331312">
              <w:rPr>
                <w:rFonts w:cs="Calibri"/>
                <w:color w:val="000000"/>
              </w:rPr>
              <w:t>German</w:t>
            </w:r>
          </w:p>
        </w:tc>
        <w:tc>
          <w:tcPr>
            <w:tcW w:w="993" w:type="dxa"/>
            <w:tcBorders>
              <w:top w:val="single" w:sz="8" w:space="0" w:color="000000"/>
              <w:left w:val="single" w:sz="8" w:space="0" w:color="000000"/>
              <w:bottom w:val="single" w:sz="8" w:space="0" w:color="000000"/>
              <w:right w:val="single" w:sz="8" w:space="0" w:color="000000"/>
            </w:tcBorders>
          </w:tcPr>
          <w:p w14:paraId="7F486794"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38" w:type="dxa"/>
            <w:tcBorders>
              <w:top w:val="single" w:sz="8" w:space="0" w:color="000000"/>
              <w:left w:val="single" w:sz="8" w:space="0" w:color="000000"/>
              <w:bottom w:val="single" w:sz="8" w:space="0" w:color="000000"/>
              <w:right w:val="single" w:sz="8" w:space="0" w:color="000000"/>
            </w:tcBorders>
          </w:tcPr>
          <w:p w14:paraId="7F486795"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96"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97"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98"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99"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9A"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9B"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9C"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9D"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9E"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9F"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A0"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7F4867A1" w14:textId="77777777" w:rsidR="004B28FE" w:rsidRPr="00331312" w:rsidRDefault="004B28FE" w:rsidP="00527B7E">
            <w:pPr>
              <w:autoSpaceDE w:val="0"/>
              <w:autoSpaceDN w:val="0"/>
              <w:adjustRightInd w:val="0"/>
              <w:spacing w:before="40" w:after="40"/>
              <w:rPr>
                <w:rFonts w:cs="Calibri"/>
                <w:color w:val="000000"/>
                <w:sz w:val="22"/>
                <w:szCs w:val="22"/>
              </w:rPr>
            </w:pPr>
          </w:p>
        </w:tc>
      </w:tr>
      <w:tr w:rsidR="004B28FE" w:rsidRPr="00331312" w14:paraId="7F4867B2" w14:textId="77777777" w:rsidTr="00904283">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A3" w14:textId="77777777" w:rsidR="004B28FE" w:rsidRPr="00331312" w:rsidRDefault="004B28FE" w:rsidP="00527B7E">
            <w:pPr>
              <w:autoSpaceDE w:val="0"/>
              <w:autoSpaceDN w:val="0"/>
              <w:adjustRightInd w:val="0"/>
              <w:spacing w:before="40" w:after="40"/>
              <w:rPr>
                <w:rFonts w:cs="Calibri"/>
                <w:color w:val="000000"/>
                <w:sz w:val="22"/>
                <w:szCs w:val="22"/>
              </w:rPr>
            </w:pPr>
            <w:r w:rsidRPr="00331312">
              <w:rPr>
                <w:rFonts w:cs="Calibri"/>
                <w:color w:val="000000"/>
              </w:rPr>
              <w:t>Greek</w:t>
            </w:r>
          </w:p>
        </w:tc>
        <w:tc>
          <w:tcPr>
            <w:tcW w:w="993" w:type="dxa"/>
            <w:tcBorders>
              <w:top w:val="single" w:sz="8" w:space="0" w:color="000000"/>
              <w:left w:val="single" w:sz="8" w:space="0" w:color="000000"/>
              <w:bottom w:val="single" w:sz="8" w:space="0" w:color="000000"/>
              <w:right w:val="single" w:sz="8" w:space="0" w:color="000000"/>
            </w:tcBorders>
          </w:tcPr>
          <w:p w14:paraId="7F4867A4"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38" w:type="dxa"/>
            <w:tcBorders>
              <w:top w:val="single" w:sz="8" w:space="0" w:color="000000"/>
              <w:left w:val="single" w:sz="8" w:space="0" w:color="000000"/>
              <w:bottom w:val="single" w:sz="8" w:space="0" w:color="000000"/>
              <w:right w:val="single" w:sz="8" w:space="0" w:color="000000"/>
            </w:tcBorders>
          </w:tcPr>
          <w:p w14:paraId="7F4867A5"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A6"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A7"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A8"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A9"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AA"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AB"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AC"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AD"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AE"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AF"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B0"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7F4867B1" w14:textId="77777777" w:rsidR="004B28FE" w:rsidRPr="00331312" w:rsidRDefault="004B28FE" w:rsidP="00527B7E">
            <w:pPr>
              <w:autoSpaceDE w:val="0"/>
              <w:autoSpaceDN w:val="0"/>
              <w:adjustRightInd w:val="0"/>
              <w:spacing w:before="40" w:after="40"/>
              <w:rPr>
                <w:rFonts w:cs="Calibri"/>
                <w:color w:val="000000"/>
                <w:sz w:val="22"/>
                <w:szCs w:val="22"/>
              </w:rPr>
            </w:pPr>
          </w:p>
        </w:tc>
      </w:tr>
      <w:tr w:rsidR="004B28FE" w:rsidRPr="00331312" w14:paraId="7F4867C2" w14:textId="77777777" w:rsidTr="00904283">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B3" w14:textId="77777777" w:rsidR="004B28FE" w:rsidRPr="00331312" w:rsidRDefault="004B28FE" w:rsidP="00527B7E">
            <w:pPr>
              <w:autoSpaceDE w:val="0"/>
              <w:autoSpaceDN w:val="0"/>
              <w:adjustRightInd w:val="0"/>
              <w:spacing w:before="40" w:after="40"/>
              <w:rPr>
                <w:rFonts w:cs="Calibri"/>
                <w:color w:val="000000"/>
                <w:sz w:val="22"/>
                <w:szCs w:val="22"/>
              </w:rPr>
            </w:pPr>
            <w:r w:rsidRPr="00331312">
              <w:rPr>
                <w:rFonts w:cs="Calibri"/>
                <w:color w:val="000000"/>
              </w:rPr>
              <w:t>Indonesian</w:t>
            </w:r>
          </w:p>
        </w:tc>
        <w:tc>
          <w:tcPr>
            <w:tcW w:w="993" w:type="dxa"/>
            <w:tcBorders>
              <w:top w:val="single" w:sz="8" w:space="0" w:color="000000"/>
              <w:left w:val="single" w:sz="8" w:space="0" w:color="000000"/>
              <w:bottom w:val="single" w:sz="8" w:space="0" w:color="000000"/>
              <w:right w:val="single" w:sz="8" w:space="0" w:color="000000"/>
            </w:tcBorders>
          </w:tcPr>
          <w:p w14:paraId="7F4867B4"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38" w:type="dxa"/>
            <w:tcBorders>
              <w:top w:val="single" w:sz="8" w:space="0" w:color="000000"/>
              <w:left w:val="single" w:sz="8" w:space="0" w:color="000000"/>
              <w:bottom w:val="single" w:sz="8" w:space="0" w:color="000000"/>
              <w:right w:val="single" w:sz="8" w:space="0" w:color="000000"/>
            </w:tcBorders>
          </w:tcPr>
          <w:p w14:paraId="7F4867B5"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B6"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B7"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B8"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B9"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BA"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BB"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BC"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BD"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BE"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BF"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C0"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7F4867C1" w14:textId="77777777" w:rsidR="004B28FE" w:rsidRPr="00331312" w:rsidRDefault="004B28FE" w:rsidP="00527B7E">
            <w:pPr>
              <w:autoSpaceDE w:val="0"/>
              <w:autoSpaceDN w:val="0"/>
              <w:adjustRightInd w:val="0"/>
              <w:spacing w:before="40" w:after="40"/>
              <w:rPr>
                <w:rFonts w:cs="Calibri"/>
                <w:color w:val="000000"/>
                <w:sz w:val="22"/>
                <w:szCs w:val="22"/>
              </w:rPr>
            </w:pPr>
          </w:p>
        </w:tc>
      </w:tr>
      <w:tr w:rsidR="004B28FE" w:rsidRPr="00331312" w14:paraId="7F4867D2" w14:textId="77777777" w:rsidTr="00904283">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C3" w14:textId="77777777" w:rsidR="004B28FE" w:rsidRPr="00331312" w:rsidRDefault="004B28FE" w:rsidP="00527B7E">
            <w:pPr>
              <w:autoSpaceDE w:val="0"/>
              <w:autoSpaceDN w:val="0"/>
              <w:adjustRightInd w:val="0"/>
              <w:spacing w:before="40" w:after="40"/>
              <w:rPr>
                <w:rFonts w:cs="Calibri"/>
                <w:color w:val="000000"/>
                <w:sz w:val="22"/>
                <w:szCs w:val="22"/>
              </w:rPr>
            </w:pPr>
            <w:r w:rsidRPr="00331312">
              <w:rPr>
                <w:rFonts w:cs="Calibri"/>
                <w:color w:val="000000"/>
              </w:rPr>
              <w:t>Italian</w:t>
            </w:r>
          </w:p>
        </w:tc>
        <w:tc>
          <w:tcPr>
            <w:tcW w:w="993" w:type="dxa"/>
            <w:tcBorders>
              <w:top w:val="single" w:sz="8" w:space="0" w:color="000000"/>
              <w:left w:val="single" w:sz="8" w:space="0" w:color="000000"/>
              <w:bottom w:val="single" w:sz="8" w:space="0" w:color="000000"/>
              <w:right w:val="single" w:sz="8" w:space="0" w:color="000000"/>
            </w:tcBorders>
          </w:tcPr>
          <w:p w14:paraId="7F4867C4"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38" w:type="dxa"/>
            <w:tcBorders>
              <w:top w:val="single" w:sz="8" w:space="0" w:color="000000"/>
              <w:left w:val="single" w:sz="8" w:space="0" w:color="000000"/>
              <w:bottom w:val="single" w:sz="8" w:space="0" w:color="000000"/>
              <w:right w:val="single" w:sz="8" w:space="0" w:color="000000"/>
            </w:tcBorders>
          </w:tcPr>
          <w:p w14:paraId="7F4867C5"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C6"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C7"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C8"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C9"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CA"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CB"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CC"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CD"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CE"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CF"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D0"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7F4867D1" w14:textId="77777777" w:rsidR="004B28FE" w:rsidRPr="00331312" w:rsidRDefault="004B28FE" w:rsidP="00527B7E">
            <w:pPr>
              <w:autoSpaceDE w:val="0"/>
              <w:autoSpaceDN w:val="0"/>
              <w:adjustRightInd w:val="0"/>
              <w:spacing w:before="40" w:after="40"/>
              <w:rPr>
                <w:rFonts w:cs="Calibri"/>
                <w:color w:val="000000"/>
                <w:sz w:val="22"/>
                <w:szCs w:val="22"/>
              </w:rPr>
            </w:pPr>
          </w:p>
        </w:tc>
      </w:tr>
      <w:tr w:rsidR="004B28FE" w:rsidRPr="00331312" w14:paraId="7F4867E2" w14:textId="77777777" w:rsidTr="00904283">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D3" w14:textId="77777777" w:rsidR="004B28FE" w:rsidRPr="00331312" w:rsidRDefault="004B28FE" w:rsidP="00527B7E">
            <w:pPr>
              <w:autoSpaceDE w:val="0"/>
              <w:autoSpaceDN w:val="0"/>
              <w:adjustRightInd w:val="0"/>
              <w:spacing w:before="40" w:after="40"/>
              <w:rPr>
                <w:rFonts w:cs="Calibri"/>
                <w:color w:val="000000"/>
                <w:sz w:val="22"/>
                <w:szCs w:val="22"/>
              </w:rPr>
            </w:pPr>
            <w:r w:rsidRPr="00331312">
              <w:rPr>
                <w:rFonts w:cs="Calibri"/>
                <w:color w:val="000000"/>
              </w:rPr>
              <w:t>Japanese</w:t>
            </w:r>
          </w:p>
        </w:tc>
        <w:tc>
          <w:tcPr>
            <w:tcW w:w="993" w:type="dxa"/>
            <w:tcBorders>
              <w:top w:val="single" w:sz="8" w:space="0" w:color="000000"/>
              <w:left w:val="single" w:sz="8" w:space="0" w:color="000000"/>
              <w:bottom w:val="single" w:sz="8" w:space="0" w:color="000000"/>
              <w:right w:val="single" w:sz="8" w:space="0" w:color="000000"/>
            </w:tcBorders>
          </w:tcPr>
          <w:p w14:paraId="7F4867D4"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38" w:type="dxa"/>
            <w:tcBorders>
              <w:top w:val="single" w:sz="8" w:space="0" w:color="000000"/>
              <w:left w:val="single" w:sz="8" w:space="0" w:color="000000"/>
              <w:bottom w:val="single" w:sz="8" w:space="0" w:color="000000"/>
              <w:right w:val="single" w:sz="8" w:space="0" w:color="000000"/>
            </w:tcBorders>
          </w:tcPr>
          <w:p w14:paraId="7F4867D5"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D6"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D7"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D8"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D9"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DA"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DB"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DC"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DD"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DE"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DF"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E0"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7F4867E1" w14:textId="77777777" w:rsidR="004B28FE" w:rsidRPr="00331312" w:rsidRDefault="004B28FE" w:rsidP="00527B7E">
            <w:pPr>
              <w:autoSpaceDE w:val="0"/>
              <w:autoSpaceDN w:val="0"/>
              <w:adjustRightInd w:val="0"/>
              <w:spacing w:before="40" w:after="40"/>
              <w:rPr>
                <w:rFonts w:cs="Calibri"/>
                <w:color w:val="000000"/>
                <w:sz w:val="22"/>
                <w:szCs w:val="22"/>
              </w:rPr>
            </w:pPr>
          </w:p>
        </w:tc>
      </w:tr>
      <w:tr w:rsidR="004B28FE" w:rsidRPr="00331312" w14:paraId="7F4867F2" w14:textId="77777777" w:rsidTr="00904283">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E3" w14:textId="77777777" w:rsidR="004B28FE" w:rsidRPr="00331312" w:rsidRDefault="004B28FE" w:rsidP="00527B7E">
            <w:pPr>
              <w:autoSpaceDE w:val="0"/>
              <w:autoSpaceDN w:val="0"/>
              <w:adjustRightInd w:val="0"/>
              <w:spacing w:before="40" w:after="40"/>
              <w:rPr>
                <w:rFonts w:cs="Calibri"/>
                <w:color w:val="000000"/>
                <w:sz w:val="22"/>
                <w:szCs w:val="22"/>
              </w:rPr>
            </w:pPr>
            <w:r w:rsidRPr="00331312">
              <w:rPr>
                <w:rFonts w:cs="Calibri"/>
                <w:color w:val="000000"/>
              </w:rPr>
              <w:t>Korean</w:t>
            </w:r>
          </w:p>
        </w:tc>
        <w:tc>
          <w:tcPr>
            <w:tcW w:w="993" w:type="dxa"/>
            <w:tcBorders>
              <w:top w:val="single" w:sz="8" w:space="0" w:color="000000"/>
              <w:left w:val="single" w:sz="8" w:space="0" w:color="000000"/>
              <w:bottom w:val="single" w:sz="8" w:space="0" w:color="000000"/>
              <w:right w:val="single" w:sz="8" w:space="0" w:color="000000"/>
            </w:tcBorders>
          </w:tcPr>
          <w:p w14:paraId="7F4867E4"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38" w:type="dxa"/>
            <w:tcBorders>
              <w:top w:val="single" w:sz="8" w:space="0" w:color="000000"/>
              <w:left w:val="single" w:sz="8" w:space="0" w:color="000000"/>
              <w:bottom w:val="single" w:sz="8" w:space="0" w:color="000000"/>
              <w:right w:val="single" w:sz="8" w:space="0" w:color="000000"/>
            </w:tcBorders>
          </w:tcPr>
          <w:p w14:paraId="7F4867E5"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E6"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E7"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E8"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E9"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EA"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EB"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EC"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ED"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EE"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EF"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F0"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7F4867F1" w14:textId="77777777" w:rsidR="004B28FE" w:rsidRPr="00331312" w:rsidRDefault="004B28FE" w:rsidP="00527B7E">
            <w:pPr>
              <w:autoSpaceDE w:val="0"/>
              <w:autoSpaceDN w:val="0"/>
              <w:adjustRightInd w:val="0"/>
              <w:spacing w:before="40" w:after="40"/>
              <w:rPr>
                <w:rFonts w:cs="Calibri"/>
                <w:color w:val="000000"/>
                <w:sz w:val="22"/>
                <w:szCs w:val="22"/>
              </w:rPr>
            </w:pPr>
          </w:p>
        </w:tc>
      </w:tr>
      <w:tr w:rsidR="004B28FE" w:rsidRPr="00331312" w14:paraId="7F486802" w14:textId="77777777" w:rsidTr="00904283">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7F3" w14:textId="77777777" w:rsidR="004B28FE" w:rsidRPr="00331312" w:rsidRDefault="004B28FE" w:rsidP="00527B7E">
            <w:pPr>
              <w:autoSpaceDE w:val="0"/>
              <w:autoSpaceDN w:val="0"/>
              <w:adjustRightInd w:val="0"/>
              <w:spacing w:before="40" w:after="40"/>
              <w:rPr>
                <w:rFonts w:cs="Calibri"/>
                <w:color w:val="000000"/>
                <w:sz w:val="22"/>
                <w:szCs w:val="22"/>
              </w:rPr>
            </w:pPr>
            <w:r>
              <w:rPr>
                <w:rFonts w:cs="Calibri"/>
                <w:color w:val="000000"/>
              </w:rPr>
              <w:t>Spanish</w:t>
            </w:r>
          </w:p>
        </w:tc>
        <w:tc>
          <w:tcPr>
            <w:tcW w:w="993" w:type="dxa"/>
            <w:tcBorders>
              <w:top w:val="single" w:sz="8" w:space="0" w:color="000000"/>
              <w:left w:val="single" w:sz="8" w:space="0" w:color="000000"/>
              <w:bottom w:val="single" w:sz="8" w:space="0" w:color="000000"/>
              <w:right w:val="single" w:sz="8" w:space="0" w:color="000000"/>
            </w:tcBorders>
          </w:tcPr>
          <w:p w14:paraId="7F4867F4"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38" w:type="dxa"/>
            <w:tcBorders>
              <w:top w:val="single" w:sz="8" w:space="0" w:color="000000"/>
              <w:left w:val="single" w:sz="8" w:space="0" w:color="000000"/>
              <w:bottom w:val="single" w:sz="8" w:space="0" w:color="000000"/>
              <w:right w:val="single" w:sz="8" w:space="0" w:color="000000"/>
            </w:tcBorders>
          </w:tcPr>
          <w:p w14:paraId="7F4867F5"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F6"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F7"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F8"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F9"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7FA"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FB"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FC"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7FD"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7FE"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7FF"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800"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7F486801" w14:textId="77777777" w:rsidR="004B28FE" w:rsidRPr="00331312" w:rsidRDefault="004B28FE" w:rsidP="00527B7E">
            <w:pPr>
              <w:autoSpaceDE w:val="0"/>
              <w:autoSpaceDN w:val="0"/>
              <w:adjustRightInd w:val="0"/>
              <w:spacing w:before="40" w:after="40"/>
              <w:rPr>
                <w:rFonts w:cs="Calibri"/>
                <w:color w:val="000000"/>
                <w:sz w:val="22"/>
                <w:szCs w:val="22"/>
              </w:rPr>
            </w:pPr>
          </w:p>
        </w:tc>
      </w:tr>
      <w:tr w:rsidR="004B28FE" w:rsidRPr="00331312" w14:paraId="7F486812" w14:textId="77777777" w:rsidTr="00904283">
        <w:trPr>
          <w:trHeight w:val="394"/>
        </w:trPr>
        <w:tc>
          <w:tcPr>
            <w:tcW w:w="2268" w:type="dxa"/>
            <w:tcBorders>
              <w:top w:val="single" w:sz="8" w:space="0" w:color="000000"/>
              <w:left w:val="single" w:sz="8" w:space="0" w:color="000000"/>
              <w:bottom w:val="single" w:sz="8" w:space="0" w:color="000000"/>
              <w:right w:val="single" w:sz="8" w:space="0" w:color="000000"/>
            </w:tcBorders>
          </w:tcPr>
          <w:p w14:paraId="7F486803" w14:textId="77777777" w:rsidR="004B28FE" w:rsidRPr="00331312" w:rsidRDefault="004B28FE" w:rsidP="00527B7E">
            <w:pPr>
              <w:autoSpaceDE w:val="0"/>
              <w:autoSpaceDN w:val="0"/>
              <w:adjustRightInd w:val="0"/>
              <w:spacing w:before="40" w:after="40"/>
              <w:rPr>
                <w:rFonts w:cs="Calibri"/>
                <w:color w:val="000000"/>
                <w:sz w:val="22"/>
                <w:szCs w:val="22"/>
              </w:rPr>
            </w:pPr>
            <w:r w:rsidRPr="00331312">
              <w:rPr>
                <w:rFonts w:cs="Calibri"/>
                <w:color w:val="000000"/>
              </w:rPr>
              <w:t>Vietnamese</w:t>
            </w:r>
          </w:p>
        </w:tc>
        <w:tc>
          <w:tcPr>
            <w:tcW w:w="993" w:type="dxa"/>
            <w:tcBorders>
              <w:top w:val="single" w:sz="8" w:space="0" w:color="000000"/>
              <w:left w:val="single" w:sz="8" w:space="0" w:color="000000"/>
              <w:bottom w:val="single" w:sz="8" w:space="0" w:color="000000"/>
              <w:right w:val="single" w:sz="8" w:space="0" w:color="000000"/>
            </w:tcBorders>
          </w:tcPr>
          <w:p w14:paraId="7F486804"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38" w:type="dxa"/>
            <w:tcBorders>
              <w:top w:val="single" w:sz="8" w:space="0" w:color="000000"/>
              <w:left w:val="single" w:sz="8" w:space="0" w:color="000000"/>
              <w:bottom w:val="single" w:sz="8" w:space="0" w:color="000000"/>
              <w:right w:val="single" w:sz="8" w:space="0" w:color="000000"/>
            </w:tcBorders>
          </w:tcPr>
          <w:p w14:paraId="7F486805"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806"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807"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808"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809"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14:paraId="7F48680A"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80B"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80C"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14:paraId="7F48680D"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80E"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1" w:type="dxa"/>
            <w:tcBorders>
              <w:top w:val="single" w:sz="8" w:space="0" w:color="000000"/>
              <w:left w:val="single" w:sz="8" w:space="0" w:color="000000"/>
              <w:bottom w:val="single" w:sz="8" w:space="0" w:color="000000"/>
              <w:right w:val="single" w:sz="8" w:space="0" w:color="000000"/>
            </w:tcBorders>
          </w:tcPr>
          <w:p w14:paraId="7F48680F"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850" w:type="dxa"/>
            <w:tcBorders>
              <w:top w:val="single" w:sz="8" w:space="0" w:color="000000"/>
              <w:left w:val="single" w:sz="8" w:space="0" w:color="000000"/>
              <w:bottom w:val="single" w:sz="8" w:space="0" w:color="000000"/>
              <w:right w:val="single" w:sz="8" w:space="0" w:color="000000"/>
            </w:tcBorders>
          </w:tcPr>
          <w:p w14:paraId="7F486810" w14:textId="77777777" w:rsidR="004B28FE" w:rsidRPr="00331312" w:rsidRDefault="004B28FE" w:rsidP="00527B7E">
            <w:pPr>
              <w:autoSpaceDE w:val="0"/>
              <w:autoSpaceDN w:val="0"/>
              <w:adjustRightInd w:val="0"/>
              <w:spacing w:before="40" w:after="40"/>
              <w:rPr>
                <w:rFonts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7F486811" w14:textId="77777777" w:rsidR="004B28FE" w:rsidRPr="00331312" w:rsidRDefault="004B28FE" w:rsidP="00527B7E">
            <w:pPr>
              <w:autoSpaceDE w:val="0"/>
              <w:autoSpaceDN w:val="0"/>
              <w:adjustRightInd w:val="0"/>
              <w:spacing w:before="40" w:after="40"/>
              <w:rPr>
                <w:rFonts w:cs="Calibri"/>
                <w:color w:val="000000"/>
                <w:sz w:val="22"/>
                <w:szCs w:val="22"/>
              </w:rPr>
            </w:pPr>
          </w:p>
        </w:tc>
      </w:tr>
    </w:tbl>
    <w:p w14:paraId="7F486813" w14:textId="77777777" w:rsidR="00527B7E" w:rsidRPr="00331312" w:rsidRDefault="00527B7E" w:rsidP="00527B7E">
      <w:pPr>
        <w:spacing w:before="60" w:after="60"/>
        <w:ind w:left="425" w:hanging="425"/>
        <w:rPr>
          <w:rFonts w:cs="Calibri"/>
          <w:color w:val="000000"/>
          <w:sz w:val="22"/>
          <w:szCs w:val="22"/>
        </w:rPr>
      </w:pPr>
      <w:r w:rsidRPr="00331312">
        <w:rPr>
          <w:rFonts w:cs="Calibri"/>
          <w:color w:val="000000"/>
          <w:sz w:val="22"/>
          <w:szCs w:val="22"/>
        </w:rPr>
        <w:t>Further information in relation to smaller candidature languages in your state/territory may be included in your report if relevant.</w:t>
      </w:r>
    </w:p>
    <w:p w14:paraId="7F486814" w14:textId="77777777" w:rsidR="00527B7E" w:rsidRPr="00331312" w:rsidRDefault="00527B7E" w:rsidP="00527B7E">
      <w:pPr>
        <w:autoSpaceDE w:val="0"/>
        <w:autoSpaceDN w:val="0"/>
        <w:adjustRightInd w:val="0"/>
        <w:rPr>
          <w:rFonts w:cs="Calibri"/>
          <w:color w:val="000000"/>
          <w:sz w:val="22"/>
          <w:szCs w:val="22"/>
        </w:rPr>
      </w:pPr>
    </w:p>
    <w:p w14:paraId="7F486815" w14:textId="77777777" w:rsidR="00527B7E" w:rsidRPr="00331312" w:rsidRDefault="00527B7E" w:rsidP="00527B7E">
      <w:pPr>
        <w:autoSpaceDE w:val="0"/>
        <w:autoSpaceDN w:val="0"/>
        <w:adjustRightInd w:val="0"/>
        <w:rPr>
          <w:rFonts w:cs="Calibri"/>
          <w:color w:val="000000"/>
          <w:sz w:val="22"/>
          <w:szCs w:val="22"/>
        </w:rPr>
        <w:sectPr w:rsidR="00527B7E" w:rsidRPr="00331312" w:rsidSect="00527B7E">
          <w:pgSz w:w="16838" w:h="11906" w:orient="landscape"/>
          <w:pgMar w:top="1474" w:right="1134" w:bottom="1361" w:left="1021" w:header="709" w:footer="709" w:gutter="0"/>
          <w:cols w:space="708"/>
          <w:docGrid w:linePitch="360"/>
        </w:sectPr>
      </w:pPr>
    </w:p>
    <w:p w14:paraId="7F486816" w14:textId="77777777" w:rsidR="00656CE9" w:rsidRPr="00E33510" w:rsidRDefault="00656CE9" w:rsidP="00656CE9">
      <w:pPr>
        <w:pStyle w:val="bodytextoutlinednumber"/>
        <w:rPr>
          <w:shd w:val="clear" w:color="auto" w:fill="FFFFFD"/>
        </w:rPr>
      </w:pPr>
      <w:r w:rsidRPr="00331312">
        <w:rPr>
          <w:rFonts w:cs="Calibri"/>
        </w:rPr>
        <w:lastRenderedPageBreak/>
        <w:t>Once completed, reports should be forwarded to:</w:t>
      </w:r>
    </w:p>
    <w:p w14:paraId="7F486817" w14:textId="77777777" w:rsidR="00826435" w:rsidRDefault="00656CE9">
      <w:pPr>
        <w:autoSpaceDE w:val="0"/>
        <w:autoSpaceDN w:val="0"/>
        <w:adjustRightInd w:val="0"/>
        <w:spacing w:before="60"/>
        <w:ind w:left="567" w:firstLine="567"/>
        <w:rPr>
          <w:rFonts w:cs="Calibri"/>
          <w:color w:val="000000"/>
        </w:rPr>
      </w:pPr>
      <w:r w:rsidRPr="00331312">
        <w:rPr>
          <w:rFonts w:cs="Calibri"/>
          <w:color w:val="000000"/>
        </w:rPr>
        <w:t>The Director</w:t>
      </w:r>
    </w:p>
    <w:p w14:paraId="7F486818" w14:textId="77777777" w:rsidR="00826435" w:rsidRDefault="00656CE9">
      <w:pPr>
        <w:autoSpaceDE w:val="0"/>
        <w:autoSpaceDN w:val="0"/>
        <w:adjustRightInd w:val="0"/>
        <w:spacing w:before="0" w:line="240" w:lineRule="auto"/>
        <w:ind w:left="567" w:firstLine="567"/>
        <w:rPr>
          <w:rFonts w:cs="Calibri"/>
          <w:color w:val="000000"/>
        </w:rPr>
      </w:pPr>
      <w:r w:rsidRPr="00331312">
        <w:rPr>
          <w:rFonts w:cs="Calibri"/>
          <w:color w:val="000000"/>
        </w:rPr>
        <w:t xml:space="preserve">Languages and Asian Studies </w:t>
      </w:r>
      <w:r w:rsidR="004B28FE">
        <w:rPr>
          <w:rFonts w:cs="Calibri"/>
          <w:color w:val="000000"/>
        </w:rPr>
        <w:t xml:space="preserve">and Literacy </w:t>
      </w:r>
      <w:r w:rsidRPr="00331312">
        <w:rPr>
          <w:rFonts w:cs="Calibri"/>
          <w:color w:val="000000"/>
        </w:rPr>
        <w:t>Section</w:t>
      </w:r>
    </w:p>
    <w:p w14:paraId="7F486819" w14:textId="77777777" w:rsidR="00826435" w:rsidRDefault="004B28FE">
      <w:pPr>
        <w:autoSpaceDE w:val="0"/>
        <w:autoSpaceDN w:val="0"/>
        <w:adjustRightInd w:val="0"/>
        <w:spacing w:before="0" w:line="240" w:lineRule="auto"/>
        <w:ind w:left="567" w:firstLine="567"/>
        <w:rPr>
          <w:rFonts w:cs="Calibri"/>
          <w:color w:val="000000"/>
        </w:rPr>
      </w:pPr>
      <w:r>
        <w:rPr>
          <w:rFonts w:cs="Calibri"/>
          <w:color w:val="000000"/>
        </w:rPr>
        <w:t>Australian</w:t>
      </w:r>
      <w:r w:rsidR="00656CE9" w:rsidRPr="00331312">
        <w:rPr>
          <w:rFonts w:cs="Calibri"/>
          <w:color w:val="000000"/>
        </w:rPr>
        <w:t xml:space="preserve"> Curriculum Branch (Location </w:t>
      </w:r>
      <w:r w:rsidRPr="00331312">
        <w:rPr>
          <w:rFonts w:cs="Calibri"/>
          <w:color w:val="000000"/>
        </w:rPr>
        <w:t>C</w:t>
      </w:r>
      <w:r>
        <w:rPr>
          <w:rFonts w:cs="Calibri"/>
          <w:color w:val="000000"/>
        </w:rPr>
        <w:t>50MA10</w:t>
      </w:r>
      <w:r w:rsidR="00656CE9" w:rsidRPr="00331312">
        <w:rPr>
          <w:rFonts w:cs="Calibri"/>
          <w:color w:val="000000"/>
        </w:rPr>
        <w:t>)</w:t>
      </w:r>
    </w:p>
    <w:p w14:paraId="7F48681A" w14:textId="77777777" w:rsidR="00826435" w:rsidRDefault="00656CE9">
      <w:pPr>
        <w:autoSpaceDE w:val="0"/>
        <w:autoSpaceDN w:val="0"/>
        <w:adjustRightInd w:val="0"/>
        <w:spacing w:before="0" w:line="240" w:lineRule="auto"/>
        <w:ind w:left="567" w:firstLine="567"/>
        <w:rPr>
          <w:rFonts w:cs="Calibri"/>
          <w:color w:val="000000"/>
        </w:rPr>
      </w:pPr>
      <w:r w:rsidRPr="00331312">
        <w:rPr>
          <w:rFonts w:cs="Calibri"/>
          <w:color w:val="000000"/>
        </w:rPr>
        <w:t>Curriculum Assessment and Teaching Group</w:t>
      </w:r>
    </w:p>
    <w:p w14:paraId="7F48681B" w14:textId="77777777" w:rsidR="00826435" w:rsidRDefault="00656CE9">
      <w:pPr>
        <w:autoSpaceDE w:val="0"/>
        <w:autoSpaceDN w:val="0"/>
        <w:adjustRightInd w:val="0"/>
        <w:spacing w:before="0" w:line="240" w:lineRule="auto"/>
        <w:ind w:left="567" w:firstLine="567"/>
        <w:rPr>
          <w:rFonts w:cs="Calibri"/>
          <w:color w:val="000000"/>
        </w:rPr>
      </w:pPr>
      <w:r w:rsidRPr="00331312">
        <w:rPr>
          <w:rFonts w:cs="Calibri"/>
          <w:color w:val="000000"/>
        </w:rPr>
        <w:t>Department of Education, Employment and Workplace Relations</w:t>
      </w:r>
    </w:p>
    <w:p w14:paraId="7F48681C" w14:textId="77777777" w:rsidR="00826435" w:rsidRDefault="00656CE9">
      <w:pPr>
        <w:autoSpaceDE w:val="0"/>
        <w:autoSpaceDN w:val="0"/>
        <w:adjustRightInd w:val="0"/>
        <w:spacing w:before="0" w:line="240" w:lineRule="auto"/>
        <w:ind w:left="567" w:firstLine="567"/>
        <w:rPr>
          <w:rFonts w:cs="Calibri"/>
        </w:rPr>
      </w:pPr>
      <w:r w:rsidRPr="00331312">
        <w:rPr>
          <w:rFonts w:cs="Calibri"/>
          <w:color w:val="000000"/>
        </w:rPr>
        <w:t>GPO Box 9880, CANBERRA  ACT  2601</w:t>
      </w:r>
    </w:p>
    <w:p w14:paraId="7F48681D" w14:textId="77777777" w:rsidR="00D32016" w:rsidRDefault="00694903">
      <w:pPr>
        <w:pStyle w:val="Heading3"/>
      </w:pPr>
      <w:bookmarkStart w:id="162" w:name="_Toc246483102"/>
      <w:r w:rsidRPr="00061D40">
        <w:t>Accessing Funds</w:t>
      </w:r>
      <w:bookmarkEnd w:id="162"/>
    </w:p>
    <w:p w14:paraId="7F48681E" w14:textId="77777777" w:rsidR="00694903" w:rsidRPr="00061D40" w:rsidRDefault="00694903" w:rsidP="000942E9">
      <w:pPr>
        <w:pStyle w:val="bodytextoutlinednumber"/>
      </w:pPr>
      <w:r w:rsidRPr="00061D40">
        <w:t xml:space="preserve">For information about accessing funds under the </w:t>
      </w:r>
      <w:r w:rsidR="00E449A3">
        <w:t>SLP</w:t>
      </w:r>
      <w:r w:rsidRPr="00061D40">
        <w:t>, non-government schools should contact their respective non-government school education authority</w:t>
      </w:r>
      <w:r w:rsidR="00D87DA6" w:rsidRPr="00061D40">
        <w:t xml:space="preserve"> in </w:t>
      </w:r>
      <w:r w:rsidR="0098188B" w:rsidRPr="00061D40">
        <w:t xml:space="preserve">their </w:t>
      </w:r>
      <w:r w:rsidR="00D87DA6" w:rsidRPr="00061D40">
        <w:t>state or territory</w:t>
      </w:r>
      <w:r w:rsidRPr="00061D40">
        <w:t>.</w:t>
      </w:r>
    </w:p>
    <w:p w14:paraId="7F48681F" w14:textId="77777777" w:rsidR="00BA7DE6" w:rsidRPr="00061D40" w:rsidRDefault="00BA7DE6" w:rsidP="00BA7DE6">
      <w:pPr>
        <w:pStyle w:val="Heading4"/>
      </w:pPr>
      <w:r w:rsidRPr="00061D40">
        <w:t>Financial accountability</w:t>
      </w:r>
    </w:p>
    <w:p w14:paraId="7F486820" w14:textId="77777777" w:rsidR="00BA7DE6" w:rsidRPr="00061D40" w:rsidRDefault="00BA7DE6" w:rsidP="00BA7DE6">
      <w:pPr>
        <w:pStyle w:val="bodytextoutlinednumber"/>
        <w:rPr>
          <w:color w:val="auto"/>
          <w:shd w:val="clear" w:color="auto" w:fill="FFFFFD"/>
        </w:rPr>
      </w:pPr>
      <w:r w:rsidRPr="00061D40">
        <w:rPr>
          <w:color w:val="auto"/>
          <w:shd w:val="clear" w:color="auto" w:fill="FFFFFD"/>
        </w:rPr>
        <w:t xml:space="preserve">Authorities will meet their financial accountability for the </w:t>
      </w:r>
      <w:r w:rsidR="00E449A3">
        <w:rPr>
          <w:color w:val="auto"/>
          <w:shd w:val="clear" w:color="auto" w:fill="FFFFFD"/>
        </w:rPr>
        <w:t>SLP</w:t>
      </w:r>
      <w:r w:rsidRPr="00061D40">
        <w:rPr>
          <w:color w:val="auto"/>
          <w:shd w:val="clear" w:color="auto" w:fill="FFFFFD"/>
        </w:rPr>
        <w:t xml:space="preserve"> for a program year by submitting to the Department on or before 30 June each subsequent (or following) year or such other date as the Minister approves, an electronic Financial Accountability certificate.</w:t>
      </w:r>
    </w:p>
    <w:p w14:paraId="7F486821" w14:textId="77777777" w:rsidR="00CB4B88" w:rsidRPr="00061D40" w:rsidRDefault="00BA7DE6" w:rsidP="00CB4B88">
      <w:pPr>
        <w:pStyle w:val="bodytextoutlinednumber"/>
        <w:rPr>
          <w:color w:val="auto"/>
          <w:shd w:val="clear" w:color="auto" w:fill="FFFFFD"/>
        </w:rPr>
      </w:pPr>
      <w:r w:rsidRPr="00061D40">
        <w:rPr>
          <w:color w:val="auto"/>
          <w:shd w:val="clear" w:color="auto" w:fill="FFFFFD"/>
        </w:rPr>
        <w:t>The certificate is to be submitted by a Qualified Accountant. A Qualified Accountant is:</w:t>
      </w:r>
    </w:p>
    <w:p w14:paraId="7F486822" w14:textId="77777777" w:rsidR="00BA7DE6" w:rsidRPr="00061D40" w:rsidRDefault="009E2E6B" w:rsidP="00CB4B88">
      <w:pPr>
        <w:pStyle w:val="bodytextoutlinednumber"/>
        <w:numPr>
          <w:ilvl w:val="1"/>
          <w:numId w:val="10"/>
        </w:numPr>
        <w:rPr>
          <w:color w:val="auto"/>
          <w:shd w:val="clear" w:color="auto" w:fill="FFFFFD"/>
        </w:rPr>
      </w:pPr>
      <w:r w:rsidRPr="00061D40">
        <w:rPr>
          <w:color w:val="auto"/>
          <w:shd w:val="clear" w:color="auto" w:fill="FFFFFD"/>
        </w:rPr>
        <w:t xml:space="preserve">a </w:t>
      </w:r>
      <w:r w:rsidR="00BA7DE6" w:rsidRPr="00061D40">
        <w:rPr>
          <w:color w:val="auto"/>
          <w:shd w:val="clear" w:color="auto" w:fill="FFFFFD"/>
        </w:rPr>
        <w:t xml:space="preserve">qualified accountant within the meaning of the </w:t>
      </w:r>
      <w:r w:rsidR="00BA7DE6" w:rsidRPr="00061D40">
        <w:rPr>
          <w:i/>
          <w:color w:val="auto"/>
          <w:shd w:val="clear" w:color="auto" w:fill="FFFFFD"/>
        </w:rPr>
        <w:t>Corporations Act 2001</w:t>
      </w:r>
    </w:p>
    <w:p w14:paraId="7F486823" w14:textId="77777777" w:rsidR="00BA7DE6" w:rsidRPr="00061D40" w:rsidRDefault="00BA7DE6" w:rsidP="000F13DC">
      <w:pPr>
        <w:suppressAutoHyphens/>
        <w:autoSpaceDE w:val="0"/>
        <w:autoSpaceDN w:val="0"/>
        <w:adjustRightInd w:val="0"/>
        <w:spacing w:before="100"/>
        <w:ind w:left="851"/>
        <w:textAlignment w:val="center"/>
      </w:pPr>
      <w:r w:rsidRPr="00061D40">
        <w:t>or</w:t>
      </w:r>
    </w:p>
    <w:p w14:paraId="7F486824" w14:textId="77777777" w:rsidR="00BA7DE6" w:rsidRPr="00061D40" w:rsidRDefault="009E2E6B" w:rsidP="00CB4B88">
      <w:pPr>
        <w:pStyle w:val="bodytextoutlinednumber"/>
        <w:numPr>
          <w:ilvl w:val="1"/>
          <w:numId w:val="10"/>
        </w:numPr>
        <w:rPr>
          <w:color w:val="auto"/>
        </w:rPr>
      </w:pPr>
      <w:r w:rsidRPr="00061D40">
        <w:rPr>
          <w:color w:val="auto"/>
          <w:shd w:val="clear" w:color="auto" w:fill="FFFFFD"/>
        </w:rPr>
        <w:t>a p</w:t>
      </w:r>
      <w:r w:rsidR="00BA7DE6" w:rsidRPr="00061D40">
        <w:rPr>
          <w:color w:val="auto"/>
          <w:shd w:val="clear" w:color="auto" w:fill="FFFFFD"/>
        </w:rPr>
        <w:t xml:space="preserve">erson registered (or taken to be registered) as a company auditor under the </w:t>
      </w:r>
      <w:r w:rsidR="00BA7DE6" w:rsidRPr="00061D40">
        <w:rPr>
          <w:i/>
          <w:color w:val="auto"/>
          <w:shd w:val="clear" w:color="auto" w:fill="FFFFFD"/>
        </w:rPr>
        <w:t>Corporations Act 2001</w:t>
      </w:r>
      <w:r w:rsidR="00BA7DE6" w:rsidRPr="00061D40">
        <w:rPr>
          <w:color w:val="auto"/>
          <w:shd w:val="clear" w:color="auto" w:fill="FFFFFD"/>
        </w:rPr>
        <w:t xml:space="preserve"> </w:t>
      </w:r>
    </w:p>
    <w:p w14:paraId="7F486825" w14:textId="77777777" w:rsidR="00BA7DE6" w:rsidRPr="00061D40" w:rsidRDefault="00BA7DE6" w:rsidP="000F13DC">
      <w:pPr>
        <w:suppressAutoHyphens/>
        <w:autoSpaceDE w:val="0"/>
        <w:autoSpaceDN w:val="0"/>
        <w:adjustRightInd w:val="0"/>
        <w:spacing w:before="100"/>
        <w:ind w:left="851"/>
        <w:textAlignment w:val="center"/>
      </w:pPr>
      <w:r w:rsidRPr="00061D40">
        <w:t>or</w:t>
      </w:r>
    </w:p>
    <w:p w14:paraId="7F486826" w14:textId="77777777" w:rsidR="00BA7DE6" w:rsidRPr="00061D40" w:rsidRDefault="009E2E6B" w:rsidP="00CB4B88">
      <w:pPr>
        <w:pStyle w:val="bodytextoutlinednumber"/>
        <w:numPr>
          <w:ilvl w:val="1"/>
          <w:numId w:val="10"/>
        </w:numPr>
        <w:rPr>
          <w:color w:val="auto"/>
        </w:rPr>
      </w:pPr>
      <w:r w:rsidRPr="00061D40">
        <w:rPr>
          <w:color w:val="auto"/>
        </w:rPr>
        <w:t xml:space="preserve">a </w:t>
      </w:r>
      <w:r w:rsidR="00BA7DE6" w:rsidRPr="00061D40">
        <w:rPr>
          <w:color w:val="auto"/>
        </w:rPr>
        <w:t xml:space="preserve">person </w:t>
      </w:r>
      <w:r w:rsidR="00BA7DE6" w:rsidRPr="00061D40">
        <w:rPr>
          <w:color w:val="auto"/>
          <w:shd w:val="clear" w:color="auto" w:fill="FFFFFD"/>
        </w:rPr>
        <w:t>approved</w:t>
      </w:r>
      <w:r w:rsidR="00BA7DE6" w:rsidRPr="00061D40">
        <w:rPr>
          <w:color w:val="auto"/>
        </w:rPr>
        <w:t xml:space="preserve"> by the Minister as a qualified accountant for the purposes of the </w:t>
      </w:r>
      <w:r w:rsidR="00BA7DE6" w:rsidRPr="00061D40">
        <w:rPr>
          <w:i/>
          <w:iCs/>
          <w:color w:val="auto"/>
        </w:rPr>
        <w:t>Schools Assistance Act 2008</w:t>
      </w:r>
      <w:r w:rsidR="00BA7DE6" w:rsidRPr="00061D40">
        <w:rPr>
          <w:color w:val="auto"/>
        </w:rPr>
        <w:t>.</w:t>
      </w:r>
    </w:p>
    <w:p w14:paraId="7F486827" w14:textId="77777777" w:rsidR="00BA7DE6" w:rsidRPr="00061D40" w:rsidRDefault="00BA7DE6" w:rsidP="00BA7DE6">
      <w:pPr>
        <w:pStyle w:val="bodytextoutlinednumber"/>
        <w:rPr>
          <w:color w:val="auto"/>
        </w:rPr>
      </w:pPr>
      <w:r w:rsidRPr="00061D40">
        <w:rPr>
          <w:color w:val="auto"/>
        </w:rPr>
        <w:t xml:space="preserve">Where an authority submits an overall financial accountability certificate </w:t>
      </w:r>
      <w:r w:rsidR="00673FD1">
        <w:rPr>
          <w:color w:val="auto"/>
        </w:rPr>
        <w:t>as required in their Funding Agreement with</w:t>
      </w:r>
      <w:r w:rsidRPr="00061D40">
        <w:rPr>
          <w:color w:val="auto"/>
        </w:rPr>
        <w:t xml:space="preserve"> the Department, detailing funding across multiple programs, it does not then need to provide an individual financial accountability certificate to each targeted program area.</w:t>
      </w:r>
    </w:p>
    <w:p w14:paraId="7F486828" w14:textId="77777777" w:rsidR="00D32016" w:rsidRDefault="00694903">
      <w:pPr>
        <w:pStyle w:val="Heading4"/>
      </w:pPr>
      <w:r w:rsidRPr="00061D40">
        <w:t>Payment Procedures</w:t>
      </w:r>
    </w:p>
    <w:p w14:paraId="7F486829" w14:textId="77777777" w:rsidR="00694903" w:rsidRPr="00061D40" w:rsidRDefault="00694903" w:rsidP="000942E9">
      <w:pPr>
        <w:pStyle w:val="bodytextoutlinednumber"/>
        <w:rPr>
          <w:shd w:val="clear" w:color="auto" w:fill="FFFFFD"/>
        </w:rPr>
      </w:pPr>
      <w:r w:rsidRPr="00061D40">
        <w:rPr>
          <w:shd w:val="clear" w:color="auto" w:fill="FFFFFD"/>
        </w:rPr>
        <w:t>There will be one payment to non-government school education authorities made annually in March.</w:t>
      </w:r>
      <w:r w:rsidR="008E5ABB" w:rsidRPr="00061D40">
        <w:rPr>
          <w:shd w:val="clear" w:color="auto" w:fill="FFFFFD"/>
        </w:rPr>
        <w:t xml:space="preserve"> </w:t>
      </w:r>
      <w:r w:rsidRPr="00061D40">
        <w:rPr>
          <w:shd w:val="clear" w:color="auto" w:fill="FFFFFD"/>
        </w:rPr>
        <w:t>Supplementation payments, if applicable, will be made towards the end of each calendar year.</w:t>
      </w:r>
    </w:p>
    <w:p w14:paraId="7F48682A" w14:textId="77777777" w:rsidR="00694903" w:rsidRPr="00061D40" w:rsidRDefault="00694903" w:rsidP="000942E9">
      <w:pPr>
        <w:pStyle w:val="bodytextoutlinednumber"/>
        <w:rPr>
          <w:shd w:val="clear" w:color="auto" w:fill="FFFFFD"/>
        </w:rPr>
      </w:pPr>
      <w:r w:rsidRPr="00061D40">
        <w:rPr>
          <w:shd w:val="clear" w:color="auto" w:fill="FFFFFD"/>
        </w:rPr>
        <w:t>National Projects payments can be made at any time during the year, as new projects are approved by the Commonwealth Minister for Education.</w:t>
      </w:r>
      <w:r w:rsidR="008E5ABB" w:rsidRPr="00061D40">
        <w:rPr>
          <w:shd w:val="clear" w:color="auto" w:fill="FFFFFD"/>
        </w:rPr>
        <w:t xml:space="preserve"> </w:t>
      </w:r>
    </w:p>
    <w:p w14:paraId="7F48682B" w14:textId="77777777" w:rsidR="00E449A3" w:rsidRDefault="00E449A3">
      <w:pPr>
        <w:spacing w:before="0" w:line="240" w:lineRule="auto"/>
        <w:rPr>
          <w:rFonts w:cs="Garamond"/>
          <w:color w:val="000000"/>
          <w:shd w:val="clear" w:color="auto" w:fill="FFFFFD"/>
          <w:lang w:val="en-GB"/>
        </w:rPr>
      </w:pPr>
      <w:r>
        <w:rPr>
          <w:shd w:val="clear" w:color="auto" w:fill="FFFFFD"/>
        </w:rPr>
        <w:br w:type="page"/>
      </w:r>
    </w:p>
    <w:p w14:paraId="7F48682C" w14:textId="77777777" w:rsidR="00053697" w:rsidRPr="00061D40" w:rsidRDefault="00694903" w:rsidP="000942E9">
      <w:pPr>
        <w:pStyle w:val="bodytextoutlinednumber"/>
        <w:rPr>
          <w:shd w:val="clear" w:color="auto" w:fill="FFFFFD"/>
        </w:rPr>
      </w:pPr>
      <w:r w:rsidRPr="00061D40">
        <w:rPr>
          <w:shd w:val="clear" w:color="auto" w:fill="FFFFFD"/>
        </w:rPr>
        <w:lastRenderedPageBreak/>
        <w:t>F</w:t>
      </w:r>
      <w:r w:rsidR="00FA2A85" w:rsidRPr="00061D40">
        <w:rPr>
          <w:shd w:val="clear" w:color="auto" w:fill="FFFFFD"/>
        </w:rPr>
        <w:t>or f</w:t>
      </w:r>
      <w:r w:rsidRPr="00061D40">
        <w:rPr>
          <w:shd w:val="clear" w:color="auto" w:fill="FFFFFD"/>
        </w:rPr>
        <w:t xml:space="preserve">urther </w:t>
      </w:r>
      <w:r w:rsidR="00FA2A85" w:rsidRPr="00061D40">
        <w:rPr>
          <w:shd w:val="clear" w:color="auto" w:fill="FFFFFD"/>
        </w:rPr>
        <w:t>i</w:t>
      </w:r>
      <w:r w:rsidRPr="00061D40">
        <w:rPr>
          <w:shd w:val="clear" w:color="auto" w:fill="FFFFFD"/>
        </w:rPr>
        <w:t xml:space="preserve">nformation and </w:t>
      </w:r>
      <w:r w:rsidR="00FA2A85" w:rsidRPr="00061D40">
        <w:rPr>
          <w:shd w:val="clear" w:color="auto" w:fill="FFFFFD"/>
        </w:rPr>
        <w:t>e</w:t>
      </w:r>
      <w:r w:rsidRPr="00061D40">
        <w:rPr>
          <w:shd w:val="clear" w:color="auto" w:fill="FFFFFD"/>
        </w:rPr>
        <w:t>nquiries</w:t>
      </w:r>
      <w:r w:rsidR="00FA2A85" w:rsidRPr="00061D40">
        <w:rPr>
          <w:shd w:val="clear" w:color="auto" w:fill="FFFFFD"/>
        </w:rPr>
        <w:t xml:space="preserve"> contact</w:t>
      </w:r>
      <w:r w:rsidRPr="00061D40">
        <w:rPr>
          <w:shd w:val="clear" w:color="auto" w:fill="FFFFFD"/>
        </w:rPr>
        <w:t xml:space="preserve">: </w:t>
      </w:r>
      <w:r w:rsidRPr="00061D40">
        <w:rPr>
          <w:shd w:val="clear" w:color="auto" w:fill="FFFFFD"/>
        </w:rPr>
        <w:tab/>
      </w:r>
    </w:p>
    <w:p w14:paraId="7F48682D" w14:textId="77777777" w:rsidR="00153C97" w:rsidRPr="00061D40" w:rsidRDefault="00FA2A85" w:rsidP="00CB4B88">
      <w:pPr>
        <w:spacing w:line="240" w:lineRule="auto"/>
        <w:ind w:left="567"/>
        <w:rPr>
          <w:rFonts w:cs="Arial"/>
          <w:szCs w:val="22"/>
        </w:rPr>
      </w:pPr>
      <w:r w:rsidRPr="00061D40">
        <w:rPr>
          <w:rFonts w:cs="Arial"/>
          <w:szCs w:val="22"/>
        </w:rPr>
        <w:t xml:space="preserve">The </w:t>
      </w:r>
      <w:r w:rsidR="00694903" w:rsidRPr="00061D40">
        <w:rPr>
          <w:rFonts w:cs="Arial"/>
          <w:szCs w:val="22"/>
        </w:rPr>
        <w:t>Branch Manager</w:t>
      </w:r>
      <w:r w:rsidR="00053697" w:rsidRPr="00061D40">
        <w:rPr>
          <w:rFonts w:cs="Arial"/>
          <w:szCs w:val="22"/>
        </w:rPr>
        <w:br/>
      </w:r>
      <w:r w:rsidR="004B28FE">
        <w:rPr>
          <w:rFonts w:cs="Arial"/>
          <w:szCs w:val="22"/>
        </w:rPr>
        <w:t>Australian</w:t>
      </w:r>
      <w:r w:rsidR="004B28FE" w:rsidRPr="00061D40">
        <w:rPr>
          <w:rFonts w:cs="Arial"/>
          <w:szCs w:val="22"/>
        </w:rPr>
        <w:t xml:space="preserve"> </w:t>
      </w:r>
      <w:r w:rsidR="00694903" w:rsidRPr="00061D40">
        <w:rPr>
          <w:rFonts w:cs="Arial"/>
          <w:szCs w:val="22"/>
        </w:rPr>
        <w:t>Curriculum Branch</w:t>
      </w:r>
      <w:r w:rsidRPr="00061D40">
        <w:rPr>
          <w:rFonts w:cs="Arial"/>
          <w:szCs w:val="22"/>
        </w:rPr>
        <w:t xml:space="preserve"> (Location </w:t>
      </w:r>
      <w:r w:rsidR="004B28FE" w:rsidRPr="00061D40">
        <w:rPr>
          <w:rFonts w:cs="Arial"/>
          <w:szCs w:val="22"/>
        </w:rPr>
        <w:t>C</w:t>
      </w:r>
      <w:r w:rsidR="004B28FE">
        <w:rPr>
          <w:rFonts w:cs="Arial"/>
          <w:szCs w:val="22"/>
        </w:rPr>
        <w:t>50MA10</w:t>
      </w:r>
      <w:r w:rsidRPr="00061D40">
        <w:rPr>
          <w:rFonts w:cs="Arial"/>
          <w:szCs w:val="22"/>
        </w:rPr>
        <w:t>)</w:t>
      </w:r>
      <w:r w:rsidR="007E4A42" w:rsidRPr="00061D40">
        <w:rPr>
          <w:rFonts w:cs="Arial"/>
          <w:szCs w:val="22"/>
        </w:rPr>
        <w:br/>
      </w:r>
      <w:r w:rsidRPr="00061D40">
        <w:rPr>
          <w:rFonts w:cs="Arial"/>
          <w:szCs w:val="22"/>
        </w:rPr>
        <w:t xml:space="preserve">Curriculum, Assessment and </w:t>
      </w:r>
      <w:r w:rsidR="005835A0">
        <w:rPr>
          <w:rFonts w:cs="Arial"/>
          <w:szCs w:val="22"/>
        </w:rPr>
        <w:t xml:space="preserve">Teaching </w:t>
      </w:r>
      <w:r w:rsidRPr="00061D40">
        <w:rPr>
          <w:rFonts w:cs="Arial"/>
          <w:szCs w:val="22"/>
        </w:rPr>
        <w:t>Group</w:t>
      </w:r>
      <w:r w:rsidR="007E4A42" w:rsidRPr="00061D40">
        <w:rPr>
          <w:rFonts w:cs="Arial"/>
          <w:szCs w:val="22"/>
        </w:rPr>
        <w:br/>
      </w:r>
      <w:r w:rsidRPr="00061D40">
        <w:rPr>
          <w:rFonts w:cs="Arial"/>
          <w:szCs w:val="22"/>
        </w:rPr>
        <w:t>Department of Education, Employment and Workplace Relations</w:t>
      </w:r>
      <w:r w:rsidR="007E4A42" w:rsidRPr="00061D40">
        <w:rPr>
          <w:rFonts w:cs="Arial"/>
          <w:szCs w:val="22"/>
        </w:rPr>
        <w:br/>
      </w:r>
      <w:r w:rsidR="00153C97" w:rsidRPr="00061D40">
        <w:rPr>
          <w:rFonts w:cs="Arial"/>
          <w:szCs w:val="22"/>
        </w:rPr>
        <w:t>GPO Box 9880</w:t>
      </w:r>
      <w:r w:rsidR="007E4A42" w:rsidRPr="00061D40">
        <w:rPr>
          <w:rFonts w:cs="Arial"/>
          <w:szCs w:val="22"/>
        </w:rPr>
        <w:br/>
      </w:r>
      <w:r w:rsidR="00153C97" w:rsidRPr="00061D40">
        <w:rPr>
          <w:rFonts w:cs="Arial"/>
          <w:szCs w:val="22"/>
        </w:rPr>
        <w:t>CANBERRA ACT 2601</w:t>
      </w:r>
    </w:p>
    <w:p w14:paraId="7F48682E" w14:textId="77777777" w:rsidR="00804FFC" w:rsidRPr="00061D40" w:rsidRDefault="004C4996" w:rsidP="00804FFC">
      <w:pPr>
        <w:pStyle w:val="Heading2"/>
      </w:pPr>
      <w:r w:rsidRPr="00061D40">
        <w:br w:type="page"/>
      </w:r>
      <w:bookmarkStart w:id="163" w:name="_Toc346205326"/>
      <w:bookmarkStart w:id="164" w:name="_Toc246483103"/>
      <w:bookmarkStart w:id="165" w:name="_Toc246493729"/>
      <w:r w:rsidR="00804FFC" w:rsidRPr="00061D40">
        <w:lastRenderedPageBreak/>
        <w:t>4.</w:t>
      </w:r>
      <w:r w:rsidR="00804FFC">
        <w:t>4</w:t>
      </w:r>
      <w:r w:rsidR="00804FFC" w:rsidRPr="00061D40">
        <w:t xml:space="preserve"> English as a Second Language – New Arrivals Program</w:t>
      </w:r>
      <w:bookmarkEnd w:id="163"/>
    </w:p>
    <w:p w14:paraId="7F48682F" w14:textId="77777777" w:rsidR="00804FFC" w:rsidRPr="00061D40" w:rsidRDefault="00804FFC" w:rsidP="00804FFC">
      <w:pPr>
        <w:pStyle w:val="Heading3"/>
      </w:pPr>
      <w:r w:rsidRPr="00061D40">
        <w:t>Legislative Authority</w:t>
      </w:r>
    </w:p>
    <w:p w14:paraId="7F486830" w14:textId="77777777" w:rsidR="00804FFC" w:rsidRPr="00061D40" w:rsidRDefault="00804FFC" w:rsidP="00804FFC">
      <w:pPr>
        <w:pStyle w:val="bodytextoutlinednumber"/>
      </w:pPr>
      <w:r w:rsidRPr="00061D40">
        <w:t>Australian Government ESL-NA funding for non-government schools for the 2009-201</w:t>
      </w:r>
      <w:r w:rsidR="00873D7B">
        <w:t>3</w:t>
      </w:r>
      <w:r w:rsidRPr="00061D40">
        <w:t xml:space="preserve"> funding period is provided under Part 6, Division 5 of the Act. Non-government education authorities in each state and territory which claim ESL-NA funding must comply with all the requirements of the Act.</w:t>
      </w:r>
    </w:p>
    <w:p w14:paraId="7F486831" w14:textId="77777777" w:rsidR="00D32016" w:rsidRDefault="00804FFC">
      <w:pPr>
        <w:pStyle w:val="Heading3"/>
      </w:pPr>
      <w:r w:rsidRPr="00061D40">
        <w:t>Objective</w:t>
      </w:r>
    </w:p>
    <w:p w14:paraId="7F486832" w14:textId="77777777" w:rsidR="00804FFC" w:rsidRPr="00061D40" w:rsidRDefault="00804FFC" w:rsidP="00804FFC">
      <w:pPr>
        <w:pStyle w:val="bodytextoutlinednumber"/>
        <w:rPr>
          <w:shd w:val="clear" w:color="auto" w:fill="FFFFFD"/>
        </w:rPr>
      </w:pPr>
      <w:r w:rsidRPr="00061D40">
        <w:rPr>
          <w:shd w:val="clear" w:color="auto" w:fill="FFFFFD"/>
        </w:rPr>
        <w:t xml:space="preserve">The ESL-NA Program provides Australian Government funding to state and territory non-government education authorities to assist with the cost of delivering intensive English language tuition to eligible newly arrived migrant primary and secondary school students. </w:t>
      </w:r>
    </w:p>
    <w:p w14:paraId="7F486833" w14:textId="77777777" w:rsidR="00804FFC" w:rsidRPr="00061D40" w:rsidRDefault="00804FFC" w:rsidP="00804FFC">
      <w:pPr>
        <w:pStyle w:val="bodytextoutlinednumber"/>
        <w:rPr>
          <w:shd w:val="clear" w:color="auto" w:fill="FFFFFD"/>
        </w:rPr>
      </w:pPr>
      <w:r w:rsidRPr="00061D40">
        <w:rPr>
          <w:shd w:val="clear" w:color="auto" w:fill="FFFFFD"/>
        </w:rPr>
        <w:t>The Program aims to improve the educational opportunities and outcomes of students who have recently arrived in Australia, whose first language is not English and whose proficiency in the English language is determined, at the local level, to require intensive assistance to enable them to participate fully in mainstream classroom activities.</w:t>
      </w:r>
    </w:p>
    <w:p w14:paraId="7F486834" w14:textId="77777777" w:rsidR="00D32016" w:rsidRDefault="00804FFC">
      <w:pPr>
        <w:pStyle w:val="Heading3"/>
      </w:pPr>
      <w:r w:rsidRPr="00061D40">
        <w:t>Eligibility</w:t>
      </w:r>
    </w:p>
    <w:p w14:paraId="7F486835" w14:textId="77777777" w:rsidR="00804FFC" w:rsidRDefault="00804FFC" w:rsidP="00804FFC">
      <w:pPr>
        <w:pStyle w:val="bodytextoutlinednumber"/>
      </w:pPr>
      <w:bookmarkStart w:id="166" w:name="_Ref307826727"/>
      <w:r>
        <w:t>Eligible students must be assessed by non-government education authorities as needing education assistance through an intensive ESL course.</w:t>
      </w:r>
      <w:bookmarkEnd w:id="166"/>
    </w:p>
    <w:p w14:paraId="7F486836" w14:textId="77777777" w:rsidR="00804FFC" w:rsidRDefault="00804FFC" w:rsidP="00804FFC">
      <w:pPr>
        <w:pStyle w:val="bodytextoutlinednumber"/>
      </w:pPr>
      <w:r>
        <w:t>At the time of enrolling in the initial course of intensive English language instruction, the person must be undertaking primary or secondary education at a non-government school or have enrolled at a non-government school as a primary or secondary student.</w:t>
      </w:r>
    </w:p>
    <w:p w14:paraId="7F486837" w14:textId="77777777" w:rsidR="00804FFC" w:rsidRDefault="00804FFC" w:rsidP="00804FFC">
      <w:pPr>
        <w:pStyle w:val="bodytextoutlinednumber"/>
      </w:pPr>
      <w:r>
        <w:t xml:space="preserve">If entering the first year of primary schooling, the student must have enrolled in an intensive English course funded under this Program within 18 months of either arriving in Australia or being issued with a temporary visa under the Australian Government’s Humanitarian Program. </w:t>
      </w:r>
    </w:p>
    <w:p w14:paraId="7F486838" w14:textId="77777777" w:rsidR="00804FFC" w:rsidRDefault="00804FFC" w:rsidP="00804FFC">
      <w:pPr>
        <w:pStyle w:val="bodytextoutlinednumber"/>
      </w:pPr>
      <w:r>
        <w:t>If entering any other year of schooling (</w:t>
      </w:r>
      <w:r w:rsidR="00661E23">
        <w:t>i.e.</w:t>
      </w:r>
      <w:r>
        <w:t xml:space="preserve"> other than the first year of primary schooling), the student must have enrolled in an intensive English course funded under this Program within six months of arrival in Australia or within six months of being granted a temporary visa under the Australian Government’s Humanitarian Program. </w:t>
      </w:r>
    </w:p>
    <w:p w14:paraId="7F486839" w14:textId="77777777" w:rsidR="00804FFC" w:rsidRPr="00B1293C" w:rsidRDefault="00804FFC" w:rsidP="00804FFC">
      <w:pPr>
        <w:pStyle w:val="bodytextoutlinednumber"/>
      </w:pPr>
      <w:bookmarkStart w:id="167" w:name="_Ref307826778"/>
      <w:r w:rsidRPr="00B1293C">
        <w:t>Whilst undertaking an intensive English language course, the person must be either:</w:t>
      </w:r>
      <w:bookmarkEnd w:id="167"/>
    </w:p>
    <w:p w14:paraId="7F48683A" w14:textId="77777777" w:rsidR="0025228F" w:rsidRDefault="000E7069">
      <w:pPr>
        <w:pStyle w:val="ListParagraph"/>
        <w:numPr>
          <w:ilvl w:val="0"/>
          <w:numId w:val="126"/>
        </w:numPr>
        <w:tabs>
          <w:tab w:val="left" w:pos="1276"/>
        </w:tabs>
        <w:autoSpaceDE w:val="0"/>
        <w:autoSpaceDN w:val="0"/>
        <w:spacing w:before="120"/>
        <w:ind w:left="1276" w:hanging="567"/>
        <w:contextualSpacing w:val="0"/>
        <w:rPr>
          <w:sz w:val="24"/>
          <w:szCs w:val="24"/>
        </w:rPr>
      </w:pPr>
      <w:r w:rsidRPr="000E7069">
        <w:rPr>
          <w:rFonts w:eastAsia="Times New Roman" w:cs="Garamond"/>
          <w:sz w:val="24"/>
          <w:szCs w:val="24"/>
          <w:shd w:val="clear" w:color="auto" w:fill="FFFFFD"/>
          <w:lang w:val="en-GB"/>
        </w:rPr>
        <w:t xml:space="preserve">of typical schooling age and </w:t>
      </w:r>
      <w:r w:rsidR="007A69DA">
        <w:rPr>
          <w:rFonts w:eastAsia="Times New Roman" w:cs="Garamond"/>
          <w:sz w:val="24"/>
          <w:szCs w:val="24"/>
          <w:shd w:val="clear" w:color="auto" w:fill="FFFFFD"/>
          <w:lang w:val="en-GB"/>
        </w:rPr>
        <w:t>holds</w:t>
      </w:r>
      <w:r w:rsidRPr="000E7069">
        <w:rPr>
          <w:rFonts w:eastAsia="Times New Roman" w:cs="Garamond"/>
          <w:sz w:val="24"/>
          <w:szCs w:val="24"/>
          <w:shd w:val="clear" w:color="auto" w:fill="FFFFFD"/>
          <w:lang w:val="en-GB"/>
        </w:rPr>
        <w:t xml:space="preserve"> a non-humanitarian visa or a humanitarian visa as specified by the Minister; or</w:t>
      </w:r>
    </w:p>
    <w:p w14:paraId="7F48683B" w14:textId="77777777" w:rsidR="0025228F" w:rsidRDefault="000E7069">
      <w:pPr>
        <w:pStyle w:val="ListParagraph"/>
        <w:numPr>
          <w:ilvl w:val="0"/>
          <w:numId w:val="126"/>
        </w:numPr>
        <w:tabs>
          <w:tab w:val="left" w:pos="1276"/>
        </w:tabs>
        <w:autoSpaceDE w:val="0"/>
        <w:autoSpaceDN w:val="0"/>
        <w:spacing w:before="120"/>
        <w:ind w:left="1276" w:hanging="567"/>
        <w:contextualSpacing w:val="0"/>
        <w:rPr>
          <w:rFonts w:eastAsia="Times New Roman" w:cs="Garamond"/>
          <w:sz w:val="24"/>
          <w:szCs w:val="24"/>
          <w:shd w:val="clear" w:color="auto" w:fill="FFFFFD"/>
          <w:lang w:val="en-GB"/>
        </w:rPr>
      </w:pPr>
      <w:r w:rsidRPr="000E7069">
        <w:rPr>
          <w:rFonts w:eastAsia="Times New Roman" w:cs="Garamond"/>
          <w:sz w:val="24"/>
          <w:szCs w:val="24"/>
          <w:shd w:val="clear" w:color="auto" w:fill="FFFFFD"/>
          <w:lang w:val="en-GB"/>
        </w:rPr>
        <w:t>not of typical schooling age but be accepted as a primary or secondary school student by a non-government education authority due to their specific educational needs and hold a permanent humanitarian visa as specified by the Minister.</w:t>
      </w:r>
    </w:p>
    <w:p w14:paraId="7F48683C" w14:textId="77777777" w:rsidR="00804FFC" w:rsidRPr="00857B6A" w:rsidRDefault="00804FFC" w:rsidP="00804FFC">
      <w:pPr>
        <w:autoSpaceDE w:val="0"/>
        <w:autoSpaceDN w:val="0"/>
        <w:rPr>
          <w:rFonts w:cs="Garamond"/>
          <w:shd w:val="clear" w:color="auto" w:fill="FFFFFD"/>
          <w:lang w:val="en-GB"/>
        </w:rPr>
      </w:pPr>
    </w:p>
    <w:p w14:paraId="7F48683D" w14:textId="77777777" w:rsidR="00804FFC" w:rsidRDefault="000E7069" w:rsidP="00804FFC">
      <w:pPr>
        <w:pStyle w:val="bodytextoutlinednumber"/>
      </w:pPr>
      <w:r w:rsidRPr="000E7069">
        <w:rPr>
          <w:shd w:val="clear" w:color="auto" w:fill="FFFFFD"/>
        </w:rPr>
        <w:lastRenderedPageBreak/>
        <w:t xml:space="preserve">Eligible students are either categorised as </w:t>
      </w:r>
      <w:r w:rsidRPr="000E7069">
        <w:rPr>
          <w:i/>
          <w:iCs/>
          <w:shd w:val="clear" w:color="auto" w:fill="FFFFFD"/>
        </w:rPr>
        <w:t xml:space="preserve">an eligible new arrival </w:t>
      </w:r>
      <w:r w:rsidRPr="000E7069">
        <w:rPr>
          <w:shd w:val="clear" w:color="auto" w:fill="FFFFFD"/>
        </w:rPr>
        <w:t xml:space="preserve">or </w:t>
      </w:r>
      <w:r w:rsidRPr="000E7069">
        <w:rPr>
          <w:i/>
          <w:iCs/>
          <w:shd w:val="clear" w:color="auto" w:fill="FFFFFD"/>
        </w:rPr>
        <w:t>an eligible humanitarian new arrival</w:t>
      </w:r>
      <w:r w:rsidRPr="000E7069">
        <w:rPr>
          <w:shd w:val="clear" w:color="auto" w:fill="FFFFFD"/>
        </w:rPr>
        <w:t>. Thes</w:t>
      </w:r>
      <w:r w:rsidR="00804FFC">
        <w:t xml:space="preserve">e students must also satisfy the requirements as detailed in paragraphs </w:t>
      </w:r>
      <w:r w:rsidR="001E5146">
        <w:fldChar w:fldCharType="begin"/>
      </w:r>
      <w:r w:rsidR="001E5146">
        <w:instrText xml:space="preserve"> REF _Ref307826727 \r \h  \* MERGEFORMAT </w:instrText>
      </w:r>
      <w:r w:rsidR="001E5146">
        <w:fldChar w:fldCharType="separate"/>
      </w:r>
      <w:r w:rsidR="000609B4">
        <w:t>278</w:t>
      </w:r>
      <w:r w:rsidR="001E5146">
        <w:fldChar w:fldCharType="end"/>
      </w:r>
      <w:r w:rsidR="00DF11BC" w:rsidRPr="003C5F88">
        <w:t xml:space="preserve"> – </w:t>
      </w:r>
      <w:r w:rsidR="001E5146">
        <w:fldChar w:fldCharType="begin"/>
      </w:r>
      <w:r w:rsidR="001E5146">
        <w:instrText xml:space="preserve"> REF _Ref307826778 \r \h  \* MERGEFORMAT </w:instrText>
      </w:r>
      <w:r w:rsidR="001E5146">
        <w:fldChar w:fldCharType="separate"/>
      </w:r>
      <w:r w:rsidR="000609B4">
        <w:t>282</w:t>
      </w:r>
      <w:r w:rsidR="001E5146">
        <w:fldChar w:fldCharType="end"/>
      </w:r>
      <w:r w:rsidR="00804FFC">
        <w:t xml:space="preserve"> of these Guidelines in order to receive funding.</w:t>
      </w:r>
      <w:r w:rsidR="003C7C0D">
        <w:t xml:space="preserve">  </w:t>
      </w:r>
      <w:r w:rsidR="00804FFC">
        <w:t>These two categories receive different levels of funding.</w:t>
      </w:r>
    </w:p>
    <w:p w14:paraId="7F48683E" w14:textId="77777777" w:rsidR="00804FFC" w:rsidRDefault="00804FFC" w:rsidP="00804FFC">
      <w:pPr>
        <w:pStyle w:val="bodytextoutlinednumber"/>
      </w:pPr>
      <w:r>
        <w:t xml:space="preserve">For the purpose of this program, </w:t>
      </w:r>
      <w:r>
        <w:rPr>
          <w:i/>
          <w:iCs/>
        </w:rPr>
        <w:t>‘Eligible new arrival’</w:t>
      </w:r>
      <w:r>
        <w:t xml:space="preserve"> refers to a person:</w:t>
      </w:r>
    </w:p>
    <w:p w14:paraId="7F48683F" w14:textId="77777777" w:rsidR="00804FFC" w:rsidRDefault="00804FFC" w:rsidP="00804FFC">
      <w:pPr>
        <w:numPr>
          <w:ilvl w:val="0"/>
          <w:numId w:val="123"/>
        </w:numPr>
        <w:autoSpaceDE w:val="0"/>
        <w:autoSpaceDN w:val="0"/>
      </w:pPr>
      <w:r>
        <w:t>whose first language is not English; and</w:t>
      </w:r>
    </w:p>
    <w:p w14:paraId="7F486840" w14:textId="77777777" w:rsidR="00804FFC" w:rsidRDefault="00804FFC" w:rsidP="00804FFC">
      <w:pPr>
        <w:numPr>
          <w:ilvl w:val="0"/>
          <w:numId w:val="123"/>
        </w:numPr>
        <w:autoSpaceDE w:val="0"/>
        <w:autoSpaceDN w:val="0"/>
      </w:pPr>
      <w:r>
        <w:t>who satisfies requirements determined by the Minister (see paragraphs 227 to 231 of these Guidelines – above); and</w:t>
      </w:r>
    </w:p>
    <w:p w14:paraId="7F486841" w14:textId="77777777" w:rsidR="00804FFC" w:rsidRDefault="00804FFC" w:rsidP="00804FFC">
      <w:pPr>
        <w:numPr>
          <w:ilvl w:val="0"/>
          <w:numId w:val="123"/>
        </w:numPr>
        <w:autoSpaceDE w:val="0"/>
        <w:autoSpaceDN w:val="0"/>
      </w:pPr>
      <w:r>
        <w:t>to whom one or more of the following subparagraphs applies:</w:t>
      </w:r>
    </w:p>
    <w:p w14:paraId="7F486842" w14:textId="77777777" w:rsidR="00804FFC" w:rsidRDefault="00804FFC" w:rsidP="00804FFC">
      <w:pPr>
        <w:numPr>
          <w:ilvl w:val="2"/>
          <w:numId w:val="124"/>
        </w:numPr>
        <w:autoSpaceDE w:val="0"/>
        <w:autoSpaceDN w:val="0"/>
      </w:pPr>
      <w:r>
        <w:t xml:space="preserve">the person is an Australian citizen or holds permanent residency status; or </w:t>
      </w:r>
    </w:p>
    <w:p w14:paraId="7F486843" w14:textId="77777777" w:rsidR="00804FFC" w:rsidRDefault="00804FFC" w:rsidP="00804FFC">
      <w:pPr>
        <w:numPr>
          <w:ilvl w:val="2"/>
          <w:numId w:val="124"/>
        </w:numPr>
        <w:autoSpaceDE w:val="0"/>
        <w:autoSpaceDN w:val="0"/>
      </w:pPr>
      <w:r>
        <w:t xml:space="preserve">the person holds or is included in a permanent visa in force under the </w:t>
      </w:r>
      <w:r w:rsidRPr="00D275AA">
        <w:rPr>
          <w:i/>
        </w:rPr>
        <w:t>Migration Act 1958</w:t>
      </w:r>
      <w:r>
        <w:t>;</w:t>
      </w:r>
    </w:p>
    <w:p w14:paraId="7F486844" w14:textId="77777777" w:rsidR="00804FFC" w:rsidRDefault="00804FFC" w:rsidP="00804FFC">
      <w:pPr>
        <w:numPr>
          <w:ilvl w:val="2"/>
          <w:numId w:val="124"/>
        </w:numPr>
        <w:autoSpaceDE w:val="0"/>
        <w:autoSpaceDN w:val="0"/>
      </w:pPr>
      <w:r>
        <w:t>the person has his or her permanent home in the Territory of Christmas Island or in the Territory of the Cocos (Keeling) Islands; or</w:t>
      </w:r>
    </w:p>
    <w:p w14:paraId="7F486845" w14:textId="77777777" w:rsidR="00804FFC" w:rsidRDefault="00804FFC" w:rsidP="00804FFC">
      <w:pPr>
        <w:numPr>
          <w:ilvl w:val="2"/>
          <w:numId w:val="124"/>
        </w:numPr>
        <w:autoSpaceDE w:val="0"/>
        <w:autoSpaceDN w:val="0"/>
      </w:pPr>
      <w:r>
        <w:t xml:space="preserve">that the person holds an approved visa sub-class as determined by the Minister under the authority of the Act. </w:t>
      </w:r>
    </w:p>
    <w:p w14:paraId="7F486846" w14:textId="77777777" w:rsidR="00804FFC" w:rsidRDefault="00804FFC" w:rsidP="00804FFC">
      <w:pPr>
        <w:pStyle w:val="bodytextoutlinednumber"/>
      </w:pPr>
      <w:r>
        <w:t xml:space="preserve">For the purposes of this program, </w:t>
      </w:r>
      <w:r>
        <w:rPr>
          <w:i/>
          <w:iCs/>
        </w:rPr>
        <w:t>‘Eligible humanitarian new arrival’</w:t>
      </w:r>
      <w:r>
        <w:t xml:space="preserve"> refers to a person who:</w:t>
      </w:r>
    </w:p>
    <w:p w14:paraId="7F486847" w14:textId="77777777" w:rsidR="00804FFC" w:rsidRDefault="00804FFC" w:rsidP="00804FFC">
      <w:pPr>
        <w:numPr>
          <w:ilvl w:val="0"/>
          <w:numId w:val="125"/>
        </w:numPr>
        <w:autoSpaceDE w:val="0"/>
        <w:autoSpaceDN w:val="0"/>
      </w:pPr>
      <w:r>
        <w:t>meets the definition of an ‘</w:t>
      </w:r>
      <w:r w:rsidRPr="00D275AA">
        <w:rPr>
          <w:i/>
        </w:rPr>
        <w:t>eligible new arrival</w:t>
      </w:r>
      <w:r>
        <w:t>’ (see above); and</w:t>
      </w:r>
    </w:p>
    <w:p w14:paraId="7F486848" w14:textId="77777777" w:rsidR="00804FFC" w:rsidRDefault="007A69DA" w:rsidP="00804FFC">
      <w:pPr>
        <w:numPr>
          <w:ilvl w:val="0"/>
          <w:numId w:val="125"/>
        </w:numPr>
        <w:autoSpaceDE w:val="0"/>
        <w:autoSpaceDN w:val="0"/>
      </w:pPr>
      <w:r>
        <w:t>holds</w:t>
      </w:r>
      <w:r w:rsidR="00804FFC">
        <w:t xml:space="preserve"> a humanitarian visa as specified by the visa under the act</w:t>
      </w:r>
    </w:p>
    <w:p w14:paraId="7F486849" w14:textId="77777777" w:rsidR="00804FFC" w:rsidRDefault="00804FFC" w:rsidP="00804FFC">
      <w:pPr>
        <w:numPr>
          <w:ilvl w:val="0"/>
          <w:numId w:val="125"/>
        </w:numPr>
        <w:autoSpaceDE w:val="0"/>
        <w:autoSpaceDN w:val="0"/>
      </w:pPr>
      <w:r>
        <w:t>if they are the holder of a permanent humanitarian visa as specified by the Minister under the authority of the Act, someone who is accepted as a primary or secondary student by a non-governmental educational authority due to their specific educational needs; or</w:t>
      </w:r>
    </w:p>
    <w:p w14:paraId="7F48684A" w14:textId="77777777" w:rsidR="00804FFC" w:rsidRDefault="00804FFC" w:rsidP="00804FFC">
      <w:pPr>
        <w:numPr>
          <w:ilvl w:val="0"/>
          <w:numId w:val="125"/>
        </w:numPr>
        <w:autoSpaceDE w:val="0"/>
        <w:autoSpaceDN w:val="0"/>
      </w:pPr>
      <w:r>
        <w:t>if they are the holder of a temporary humanitarian visa as specified by the Minister under the authority of the Act, someone who is a minor.</w:t>
      </w:r>
    </w:p>
    <w:p w14:paraId="7F48684B" w14:textId="77777777" w:rsidR="00804FFC" w:rsidRDefault="00804FFC" w:rsidP="00804FFC">
      <w:pPr>
        <w:pStyle w:val="bodytextoutlinednumber"/>
      </w:pPr>
      <w:r>
        <w:t xml:space="preserve">Students who do not meet the eligibility criteria set out above will not attract ESL-NA Program funding but may be included in programs/courses organised for eligible students. </w:t>
      </w:r>
    </w:p>
    <w:p w14:paraId="7F48684C" w14:textId="77777777" w:rsidR="00D32016" w:rsidRDefault="00804FFC">
      <w:pPr>
        <w:pStyle w:val="Heading4"/>
      </w:pPr>
      <w:r w:rsidRPr="00061D40">
        <w:t>Information on visas and migration matters</w:t>
      </w:r>
    </w:p>
    <w:p w14:paraId="7F48684D" w14:textId="77777777" w:rsidR="001B1AFC" w:rsidRDefault="00804FFC" w:rsidP="00804FFC">
      <w:pPr>
        <w:pStyle w:val="bodytextoutlinednumber"/>
      </w:pPr>
      <w:r w:rsidRPr="00061D40">
        <w:t xml:space="preserve">The Australian Government Department of Immigration and Citizenship (DIAC) sets Australia’s immigration policies which determine entry to, and conditions of, residence in Australia. DIAC is the appropriate agency to contact in relation to immigration matters, including the issuing of visas. DIAC may be contacted on Freecall 131 881 or visit the website at: </w:t>
      </w:r>
      <w:hyperlink r:id="rId56" w:history="1">
        <w:r w:rsidR="001B1AFC" w:rsidRPr="00964CF2">
          <w:rPr>
            <w:rStyle w:val="Hyperlink"/>
            <w:rFonts w:cs="Garamond"/>
          </w:rPr>
          <w:t>http://www.immi.gov.au/</w:t>
        </w:r>
      </w:hyperlink>
      <w:r w:rsidR="001B1AFC">
        <w:t>.</w:t>
      </w:r>
    </w:p>
    <w:p w14:paraId="7F48684E" w14:textId="77777777" w:rsidR="00D32016" w:rsidRDefault="00804FFC">
      <w:pPr>
        <w:pStyle w:val="Heading3"/>
      </w:pPr>
      <w:r w:rsidRPr="00061D40">
        <w:t xml:space="preserve">Use of Funding </w:t>
      </w:r>
    </w:p>
    <w:p w14:paraId="7F48684F" w14:textId="77777777" w:rsidR="00804FFC" w:rsidRPr="00061D40" w:rsidRDefault="00804FFC" w:rsidP="00804FFC">
      <w:pPr>
        <w:pStyle w:val="bodytextoutlinednumber"/>
      </w:pPr>
      <w:r w:rsidRPr="00061D40">
        <w:t>Eligible students are expected to receive a minimum amount of intensive English language tuition, that is:</w:t>
      </w:r>
    </w:p>
    <w:p w14:paraId="7F486850" w14:textId="77777777" w:rsidR="00804FFC" w:rsidRPr="00061D40" w:rsidRDefault="00804FFC" w:rsidP="00804FFC">
      <w:pPr>
        <w:pStyle w:val="bodytextoutlinednumber"/>
        <w:numPr>
          <w:ilvl w:val="1"/>
          <w:numId w:val="10"/>
        </w:numPr>
      </w:pPr>
      <w:r w:rsidRPr="00061D40">
        <w:rPr>
          <w:shd w:val="clear" w:color="auto" w:fill="FFFFFD"/>
        </w:rPr>
        <w:lastRenderedPageBreak/>
        <w:t>a minimum of 6 months for new arrivals</w:t>
      </w:r>
    </w:p>
    <w:p w14:paraId="7F486851" w14:textId="77777777" w:rsidR="00804FFC" w:rsidRPr="00061D40" w:rsidRDefault="00804FFC" w:rsidP="00804FFC">
      <w:pPr>
        <w:pStyle w:val="bodytextoutlinednumber"/>
        <w:numPr>
          <w:ilvl w:val="0"/>
          <w:numId w:val="0"/>
        </w:numPr>
        <w:spacing w:before="100"/>
        <w:ind w:left="851"/>
      </w:pPr>
      <w:r w:rsidRPr="00061D40">
        <w:t>or</w:t>
      </w:r>
    </w:p>
    <w:p w14:paraId="7F486852" w14:textId="77777777" w:rsidR="00804FFC" w:rsidRPr="00061D40" w:rsidRDefault="00804FFC" w:rsidP="00804FFC">
      <w:pPr>
        <w:pStyle w:val="bodytextoutlinednumber"/>
        <w:numPr>
          <w:ilvl w:val="1"/>
          <w:numId w:val="10"/>
        </w:numPr>
      </w:pPr>
      <w:r w:rsidRPr="00061D40">
        <w:t xml:space="preserve">a minimum of 12 months for humanitarian new arrivals. </w:t>
      </w:r>
    </w:p>
    <w:p w14:paraId="7F486853" w14:textId="77777777" w:rsidR="00804FFC" w:rsidRPr="00061D40" w:rsidRDefault="00804FFC" w:rsidP="00804FFC">
      <w:pPr>
        <w:pStyle w:val="bodytextoutlinednumber"/>
      </w:pPr>
      <w:r w:rsidRPr="00061D40">
        <w:t xml:space="preserve">Intensive English language tuition may be provided in intensive language centres/units or in schools. Where tuition is provided in schools, it is expected that students will be provided with a minimum of ten hours of ESL assistance per week. The amount and duration of assistance to be provided for individual students is a matter for education authorities to determine. </w:t>
      </w:r>
    </w:p>
    <w:p w14:paraId="7F486854" w14:textId="77777777" w:rsidR="00804FFC" w:rsidRPr="00061D40" w:rsidRDefault="00804FFC" w:rsidP="00804FFC">
      <w:pPr>
        <w:pStyle w:val="bodytextoutlinednumber"/>
      </w:pPr>
      <w:r w:rsidRPr="00061D40">
        <w:t>ESL-NA funds may be used at the discretion of the educational authority for such purposes as:</w:t>
      </w:r>
    </w:p>
    <w:p w14:paraId="7F486855" w14:textId="77777777" w:rsidR="00804FFC" w:rsidRPr="00061D40" w:rsidRDefault="00804FFC" w:rsidP="00804FFC">
      <w:pPr>
        <w:pStyle w:val="bodytextoutlinednumber"/>
        <w:numPr>
          <w:ilvl w:val="1"/>
          <w:numId w:val="10"/>
        </w:numPr>
      </w:pPr>
      <w:r w:rsidRPr="00061D40">
        <w:t>the employment of specialist teachers, including bilingual teachers, to teach ESL in a variety of situations, including but not restricted to:</w:t>
      </w:r>
    </w:p>
    <w:p w14:paraId="7F486856" w14:textId="77777777" w:rsidR="00804FFC" w:rsidRPr="00061D40" w:rsidRDefault="00804FFC" w:rsidP="00804FFC">
      <w:pPr>
        <w:pStyle w:val="bodytextoutlinednumber"/>
        <w:numPr>
          <w:ilvl w:val="2"/>
          <w:numId w:val="10"/>
        </w:numPr>
        <w:rPr>
          <w:shd w:val="clear" w:color="auto" w:fill="FFFFFD"/>
        </w:rPr>
      </w:pPr>
      <w:r w:rsidRPr="00061D40">
        <w:rPr>
          <w:shd w:val="clear" w:color="auto" w:fill="FFFFFD"/>
        </w:rPr>
        <w:t>intensive and part-time withdrawal instruction</w:t>
      </w:r>
    </w:p>
    <w:p w14:paraId="7F486857" w14:textId="77777777" w:rsidR="00804FFC" w:rsidRPr="00061D40" w:rsidRDefault="00804FFC" w:rsidP="00804FFC">
      <w:pPr>
        <w:pStyle w:val="bodytextoutlinednumber"/>
        <w:numPr>
          <w:ilvl w:val="2"/>
          <w:numId w:val="10"/>
        </w:numPr>
        <w:rPr>
          <w:shd w:val="clear" w:color="auto" w:fill="FFFFFD"/>
        </w:rPr>
      </w:pPr>
      <w:r w:rsidRPr="00061D40">
        <w:rPr>
          <w:shd w:val="clear" w:color="auto" w:fill="FFFFFD"/>
        </w:rPr>
        <w:t>parallel and team teaching</w:t>
      </w:r>
    </w:p>
    <w:p w14:paraId="7F486858" w14:textId="77777777" w:rsidR="00804FFC" w:rsidRPr="00061D40" w:rsidRDefault="00804FFC" w:rsidP="00804FFC">
      <w:pPr>
        <w:pStyle w:val="bodytextoutlinednumber"/>
        <w:numPr>
          <w:ilvl w:val="2"/>
          <w:numId w:val="10"/>
        </w:numPr>
        <w:rPr>
          <w:shd w:val="clear" w:color="auto" w:fill="FFFFFD"/>
        </w:rPr>
      </w:pPr>
      <w:r w:rsidRPr="00061D40">
        <w:rPr>
          <w:shd w:val="clear" w:color="auto" w:fill="FFFFFD"/>
        </w:rPr>
        <w:t xml:space="preserve">assistance to regular teachers to enable them to attend more effectively to English language development across the curriculum for ESL learners </w:t>
      </w:r>
    </w:p>
    <w:p w14:paraId="7F486859" w14:textId="77777777" w:rsidR="00804FFC" w:rsidRPr="00061D40" w:rsidRDefault="00804FFC" w:rsidP="00804FFC">
      <w:pPr>
        <w:pStyle w:val="bodytextoutlinednumber"/>
        <w:numPr>
          <w:ilvl w:val="1"/>
          <w:numId w:val="10"/>
        </w:numPr>
        <w:rPr>
          <w:shd w:val="clear" w:color="auto" w:fill="FFFFFD"/>
        </w:rPr>
      </w:pPr>
      <w:r w:rsidRPr="00061D40">
        <w:rPr>
          <w:shd w:val="clear" w:color="auto" w:fill="FFFFFD"/>
        </w:rPr>
        <w:t>the employment of advisory staff, interpreters, translators, bilingual welfare officers, teachers aides and school-community liaison workers</w:t>
      </w:r>
    </w:p>
    <w:p w14:paraId="7F48685A" w14:textId="77777777" w:rsidR="00804FFC" w:rsidRPr="00061D40" w:rsidRDefault="00804FFC" w:rsidP="00804FFC">
      <w:pPr>
        <w:pStyle w:val="bodytextoutlinednumber"/>
        <w:numPr>
          <w:ilvl w:val="1"/>
          <w:numId w:val="10"/>
        </w:numPr>
        <w:rPr>
          <w:shd w:val="clear" w:color="auto" w:fill="FFFFFD"/>
        </w:rPr>
      </w:pPr>
      <w:r w:rsidRPr="00061D40">
        <w:rPr>
          <w:shd w:val="clear" w:color="auto" w:fill="FFFFFD"/>
        </w:rPr>
        <w:t>curriculum development and the provision of ESL teaching and learning materials</w:t>
      </w:r>
    </w:p>
    <w:p w14:paraId="7F48685B" w14:textId="77777777" w:rsidR="00804FFC" w:rsidRPr="00061D40" w:rsidRDefault="00804FFC" w:rsidP="00804FFC">
      <w:pPr>
        <w:pStyle w:val="bodytextoutlinednumber"/>
        <w:numPr>
          <w:ilvl w:val="1"/>
          <w:numId w:val="10"/>
        </w:numPr>
        <w:rPr>
          <w:shd w:val="clear" w:color="auto" w:fill="FFFFFD"/>
        </w:rPr>
      </w:pPr>
      <w:r w:rsidRPr="00061D40">
        <w:rPr>
          <w:shd w:val="clear" w:color="auto" w:fill="FFFFFD"/>
        </w:rPr>
        <w:t>the provision of small items of equipment such as teaching aids. (Funds may not otherwise be used for capital purposes)</w:t>
      </w:r>
    </w:p>
    <w:p w14:paraId="7F48685C" w14:textId="77777777" w:rsidR="00804FFC" w:rsidRPr="00061D40" w:rsidRDefault="00804FFC" w:rsidP="00804FFC">
      <w:pPr>
        <w:pStyle w:val="bodytextoutlinednumber"/>
        <w:numPr>
          <w:ilvl w:val="0"/>
          <w:numId w:val="0"/>
        </w:numPr>
        <w:spacing w:before="100"/>
        <w:ind w:left="851"/>
        <w:rPr>
          <w:shd w:val="clear" w:color="auto" w:fill="FFFFFD"/>
        </w:rPr>
      </w:pPr>
      <w:r w:rsidRPr="00061D40">
        <w:t>or</w:t>
      </w:r>
    </w:p>
    <w:p w14:paraId="7F48685D" w14:textId="77777777" w:rsidR="00804FFC" w:rsidRPr="00061D40" w:rsidRDefault="00804FFC" w:rsidP="00804FFC">
      <w:pPr>
        <w:pStyle w:val="bodytextoutlinednumber"/>
        <w:numPr>
          <w:ilvl w:val="1"/>
          <w:numId w:val="10"/>
        </w:numPr>
      </w:pPr>
      <w:r w:rsidRPr="00061D40">
        <w:t>the provision of ESL in-service courses for ESL specialists as well as mainstream teachers.</w:t>
      </w:r>
    </w:p>
    <w:p w14:paraId="7F48685E" w14:textId="77777777" w:rsidR="00D32016" w:rsidRDefault="00804FFC">
      <w:pPr>
        <w:pStyle w:val="Heading3"/>
      </w:pPr>
      <w:r w:rsidRPr="00061D40">
        <w:t>Administration and applying for assistance</w:t>
      </w:r>
    </w:p>
    <w:p w14:paraId="7F48685F" w14:textId="77777777" w:rsidR="00804FFC" w:rsidRPr="00061D40" w:rsidRDefault="00804FFC" w:rsidP="00804FFC">
      <w:pPr>
        <w:pStyle w:val="bodytextoutlinednumber"/>
        <w:rPr>
          <w:shd w:val="clear" w:color="auto" w:fill="FFFFFD"/>
        </w:rPr>
      </w:pPr>
      <w:r w:rsidRPr="00061D40">
        <w:t>Non-government education authorities in each state and territory are responsible for the de</w:t>
      </w:r>
      <w:r w:rsidRPr="00061D40">
        <w:rPr>
          <w:shd w:val="clear" w:color="auto" w:fill="FFFFFD"/>
        </w:rPr>
        <w:t xml:space="preserve">tailed administration of the ESL-NA Program. </w:t>
      </w:r>
    </w:p>
    <w:p w14:paraId="7F486860" w14:textId="77777777" w:rsidR="00804FFC" w:rsidRPr="00061D40" w:rsidRDefault="00804FFC" w:rsidP="00804FFC">
      <w:pPr>
        <w:pStyle w:val="bodytextoutlinednumber"/>
      </w:pPr>
      <w:r w:rsidRPr="00061D40">
        <w:rPr>
          <w:shd w:val="clear" w:color="auto" w:fill="FFFFFD"/>
        </w:rPr>
        <w:t>For information on ESL-NA Program funding, Catholic schools should contact the Catholic Education Office in their State or Territory and Independent schools should contact the Association of I</w:t>
      </w:r>
      <w:r w:rsidRPr="00061D40">
        <w:t xml:space="preserve">ndependent Schools in their State or Territory. </w:t>
      </w:r>
    </w:p>
    <w:p w14:paraId="7F486861" w14:textId="77777777" w:rsidR="00D32016" w:rsidRDefault="00804FFC">
      <w:pPr>
        <w:pStyle w:val="Heading3"/>
      </w:pPr>
      <w:r w:rsidRPr="00061D40">
        <w:t>Funding</w:t>
      </w:r>
    </w:p>
    <w:p w14:paraId="7F486862" w14:textId="77777777" w:rsidR="00804FFC" w:rsidRPr="00061D40" w:rsidRDefault="00804FFC" w:rsidP="00804FFC">
      <w:pPr>
        <w:pStyle w:val="bodytextoutlinednumber"/>
      </w:pPr>
      <w:r w:rsidRPr="00061D40">
        <w:t>The Australian Government will provide per capita funding to education authorities in respect of each eligible student from 1 November 20</w:t>
      </w:r>
      <w:r>
        <w:t>1</w:t>
      </w:r>
      <w:r w:rsidR="00151C8B">
        <w:t>2</w:t>
      </w:r>
      <w:r w:rsidRPr="00061D40">
        <w:t>. The two initial rates of funding for 201</w:t>
      </w:r>
      <w:r w:rsidR="00776863">
        <w:t>3</w:t>
      </w:r>
      <w:r w:rsidRPr="00061D40">
        <w:t xml:space="preserve"> are: </w:t>
      </w:r>
    </w:p>
    <w:p w14:paraId="7F486863" w14:textId="77777777" w:rsidR="00804FFC" w:rsidRPr="00470755" w:rsidRDefault="00804FFC" w:rsidP="00804FFC">
      <w:pPr>
        <w:pStyle w:val="bodytextoutlinednumber"/>
        <w:numPr>
          <w:ilvl w:val="1"/>
          <w:numId w:val="10"/>
        </w:numPr>
        <w:rPr>
          <w:shd w:val="clear" w:color="auto" w:fill="FFFFFD"/>
        </w:rPr>
      </w:pPr>
      <w:r w:rsidRPr="00470755">
        <w:rPr>
          <w:shd w:val="clear" w:color="auto" w:fill="FFFFFD"/>
        </w:rPr>
        <w:t>$</w:t>
      </w:r>
      <w:r w:rsidR="006A4EA0">
        <w:rPr>
          <w:shd w:val="clear" w:color="auto" w:fill="FFFFFD"/>
        </w:rPr>
        <w:t>6,</w:t>
      </w:r>
      <w:r w:rsidR="00151C8B">
        <w:rPr>
          <w:shd w:val="clear" w:color="auto" w:fill="FFFFFD"/>
        </w:rPr>
        <w:t>92</w:t>
      </w:r>
      <w:r w:rsidR="006A4EA0">
        <w:rPr>
          <w:shd w:val="clear" w:color="auto" w:fill="FFFFFD"/>
        </w:rPr>
        <w:t xml:space="preserve">7 </w:t>
      </w:r>
      <w:r w:rsidRPr="00470755">
        <w:rPr>
          <w:shd w:val="clear" w:color="auto" w:fill="FFFFFD"/>
        </w:rPr>
        <w:t>per eligible new arrival</w:t>
      </w:r>
    </w:p>
    <w:p w14:paraId="7F486864" w14:textId="77777777" w:rsidR="00804FFC" w:rsidRPr="00470755" w:rsidRDefault="00804FFC" w:rsidP="00804FFC">
      <w:pPr>
        <w:pStyle w:val="bodytextoutlinednumber"/>
        <w:numPr>
          <w:ilvl w:val="1"/>
          <w:numId w:val="10"/>
        </w:numPr>
        <w:rPr>
          <w:shd w:val="clear" w:color="auto" w:fill="FFFFFD"/>
        </w:rPr>
      </w:pPr>
      <w:r w:rsidRPr="00470755">
        <w:rPr>
          <w:shd w:val="clear" w:color="auto" w:fill="FFFFFD"/>
        </w:rPr>
        <w:t>$</w:t>
      </w:r>
      <w:r w:rsidR="006A4EA0">
        <w:rPr>
          <w:shd w:val="clear" w:color="auto" w:fill="FFFFFD"/>
        </w:rPr>
        <w:t>13,</w:t>
      </w:r>
      <w:r w:rsidR="00151C8B">
        <w:rPr>
          <w:shd w:val="clear" w:color="auto" w:fill="FFFFFD"/>
        </w:rPr>
        <w:t>851</w:t>
      </w:r>
      <w:r w:rsidRPr="00470755">
        <w:rPr>
          <w:shd w:val="clear" w:color="auto" w:fill="FFFFFD"/>
        </w:rPr>
        <w:t xml:space="preserve"> per eligible humanitarian new arrival. </w:t>
      </w:r>
    </w:p>
    <w:p w14:paraId="7F486865" w14:textId="77777777" w:rsidR="00804FFC" w:rsidRPr="00061D40" w:rsidRDefault="00804FFC" w:rsidP="00804FFC">
      <w:pPr>
        <w:pStyle w:val="bodytextoutlinednumber"/>
        <w:rPr>
          <w:shd w:val="clear" w:color="auto" w:fill="FFFFFD"/>
        </w:rPr>
      </w:pPr>
      <w:r w:rsidRPr="00061D40">
        <w:rPr>
          <w:shd w:val="clear" w:color="auto" w:fill="FFFFFD"/>
        </w:rPr>
        <w:lastRenderedPageBreak/>
        <w:t>The funding provided is a once-only payment for each eligible student and is paid to the education authority responsible for the provision of the student's initial course of intensive English instruction.</w:t>
      </w:r>
    </w:p>
    <w:p w14:paraId="7F486866" w14:textId="77777777" w:rsidR="00804FFC" w:rsidRPr="00061D40" w:rsidRDefault="00804FFC" w:rsidP="00804FFC">
      <w:pPr>
        <w:pStyle w:val="bodytextoutlinednumber"/>
        <w:rPr>
          <w:shd w:val="clear" w:color="auto" w:fill="FFFFFD"/>
        </w:rPr>
      </w:pPr>
      <w:r w:rsidRPr="00061D40">
        <w:rPr>
          <w:shd w:val="clear" w:color="auto" w:fill="FFFFFD"/>
        </w:rPr>
        <w:t xml:space="preserve">Education authorities should lodge claims for funding with the Department twice a year: </w:t>
      </w:r>
    </w:p>
    <w:p w14:paraId="7F486867" w14:textId="77777777" w:rsidR="00804FFC" w:rsidRPr="00061D40" w:rsidRDefault="00804FFC" w:rsidP="00804FFC">
      <w:pPr>
        <w:pStyle w:val="bodytextoutlinednumber"/>
        <w:numPr>
          <w:ilvl w:val="1"/>
          <w:numId w:val="10"/>
        </w:numPr>
        <w:rPr>
          <w:shd w:val="clear" w:color="auto" w:fill="FFFFFD"/>
        </w:rPr>
      </w:pPr>
      <w:r w:rsidRPr="00061D40">
        <w:rPr>
          <w:shd w:val="clear" w:color="auto" w:fill="FFFFFD"/>
        </w:rPr>
        <w:t>by the second Friday in August (covering the period from 1 November in the previous year to 30 June in the current year)</w:t>
      </w:r>
    </w:p>
    <w:p w14:paraId="7F486868" w14:textId="77777777" w:rsidR="00804FFC" w:rsidRPr="00061D40" w:rsidRDefault="00804FFC" w:rsidP="00804FFC">
      <w:pPr>
        <w:pStyle w:val="bodytextoutlinednumber"/>
        <w:numPr>
          <w:ilvl w:val="1"/>
          <w:numId w:val="10"/>
        </w:numPr>
        <w:rPr>
          <w:shd w:val="clear" w:color="auto" w:fill="FFFFFD"/>
        </w:rPr>
      </w:pPr>
      <w:r w:rsidRPr="00061D40">
        <w:rPr>
          <w:shd w:val="clear" w:color="auto" w:fill="FFFFFD"/>
        </w:rPr>
        <w:t xml:space="preserve">by the last Friday in November (covering the period 1 July to 31 October in the current year). </w:t>
      </w:r>
    </w:p>
    <w:p w14:paraId="7F486869" w14:textId="77777777" w:rsidR="00804FFC" w:rsidRPr="00061D40" w:rsidRDefault="00804FFC" w:rsidP="00804FFC">
      <w:pPr>
        <w:pStyle w:val="bodytextoutlinednumber"/>
      </w:pPr>
      <w:r w:rsidRPr="00061D40">
        <w:t xml:space="preserve">The Australian Government requires details of the number of eligible students, including Australian citizens and other residents by visa subclasses (permanent and temporary) and under the existing categories of male and female and primary and secondary levels. This information is provided in claims for funding. Where no students are claimed for a period, a NIL return should be submitted. </w:t>
      </w:r>
    </w:p>
    <w:p w14:paraId="7F48686A" w14:textId="77777777" w:rsidR="00D32016" w:rsidRDefault="00804FFC">
      <w:pPr>
        <w:pStyle w:val="Heading3"/>
      </w:pPr>
      <w:r w:rsidRPr="00061D40">
        <w:t>Payment arrangements</w:t>
      </w:r>
    </w:p>
    <w:p w14:paraId="7F48686B" w14:textId="77777777" w:rsidR="00804FFC" w:rsidRPr="00061D40" w:rsidRDefault="00804FFC" w:rsidP="00804FFC">
      <w:pPr>
        <w:pStyle w:val="bodytextoutlinednumber"/>
      </w:pPr>
      <w:r w:rsidRPr="00061D40">
        <w:t>Three payments are made to education authorities each year:</w:t>
      </w:r>
    </w:p>
    <w:p w14:paraId="7F48686C" w14:textId="77777777" w:rsidR="00804FFC" w:rsidRPr="00061D40" w:rsidRDefault="00804FFC" w:rsidP="00804FFC">
      <w:pPr>
        <w:pStyle w:val="bodytextoutlinednumber"/>
        <w:numPr>
          <w:ilvl w:val="1"/>
          <w:numId w:val="10"/>
        </w:numPr>
        <w:rPr>
          <w:shd w:val="clear" w:color="auto" w:fill="FFFFFD"/>
        </w:rPr>
      </w:pPr>
      <w:r w:rsidRPr="00061D40">
        <w:rPr>
          <w:shd w:val="clear" w:color="auto" w:fill="FFFFFD"/>
        </w:rPr>
        <w:t xml:space="preserve">January: An advance payment totalling 50 per cent of the payment made for the previous program year will be made in respect of the estimated number of eligible students for the </w:t>
      </w:r>
      <w:r>
        <w:rPr>
          <w:shd w:val="clear" w:color="auto" w:fill="FFFFFD"/>
        </w:rPr>
        <w:t>previous program year</w:t>
      </w:r>
      <w:r w:rsidRPr="00061D40">
        <w:rPr>
          <w:shd w:val="clear" w:color="auto" w:fill="FFFFFD"/>
        </w:rPr>
        <w:t>. Advance payments will only be made where eligible students numbered five or more in the previous program year</w:t>
      </w:r>
      <w:r>
        <w:rPr>
          <w:shd w:val="clear" w:color="auto" w:fill="FFFFFD"/>
        </w:rPr>
        <w:t>.</w:t>
      </w:r>
    </w:p>
    <w:p w14:paraId="7F48686D" w14:textId="77777777" w:rsidR="00804FFC" w:rsidRPr="00061D40" w:rsidRDefault="00804FFC" w:rsidP="00804FFC">
      <w:pPr>
        <w:pStyle w:val="bodytextoutlinednumber"/>
        <w:numPr>
          <w:ilvl w:val="1"/>
          <w:numId w:val="10"/>
        </w:numPr>
        <w:rPr>
          <w:shd w:val="clear" w:color="auto" w:fill="FFFFFD"/>
        </w:rPr>
      </w:pPr>
      <w:r w:rsidRPr="00061D40">
        <w:rPr>
          <w:shd w:val="clear" w:color="auto" w:fill="FFFFFD"/>
        </w:rPr>
        <w:t>August: in respect of the actual number of eligible students for the period 1 November 20</w:t>
      </w:r>
      <w:r>
        <w:rPr>
          <w:shd w:val="clear" w:color="auto" w:fill="FFFFFD"/>
        </w:rPr>
        <w:t>1</w:t>
      </w:r>
      <w:r w:rsidR="00776863">
        <w:rPr>
          <w:shd w:val="clear" w:color="auto" w:fill="FFFFFD"/>
        </w:rPr>
        <w:t>2</w:t>
      </w:r>
      <w:r w:rsidRPr="00061D40">
        <w:rPr>
          <w:shd w:val="clear" w:color="auto" w:fill="FFFFFD"/>
        </w:rPr>
        <w:t xml:space="preserve"> to 30 June 201</w:t>
      </w:r>
      <w:r w:rsidR="00776863">
        <w:rPr>
          <w:shd w:val="clear" w:color="auto" w:fill="FFFFFD"/>
        </w:rPr>
        <w:t>3</w:t>
      </w:r>
      <w:r w:rsidRPr="00061D40">
        <w:rPr>
          <w:shd w:val="clear" w:color="auto" w:fill="FFFFFD"/>
        </w:rPr>
        <w:t>, taking into account any advance that may have been paid in January</w:t>
      </w:r>
    </w:p>
    <w:p w14:paraId="7F48686E" w14:textId="77777777" w:rsidR="00804FFC" w:rsidRPr="00061D40" w:rsidRDefault="00804FFC" w:rsidP="00804FFC">
      <w:pPr>
        <w:pStyle w:val="bodytextoutlinednumber"/>
        <w:numPr>
          <w:ilvl w:val="1"/>
          <w:numId w:val="10"/>
        </w:numPr>
        <w:rPr>
          <w:shd w:val="clear" w:color="auto" w:fill="FFFFFD"/>
        </w:rPr>
      </w:pPr>
      <w:r w:rsidRPr="00061D40">
        <w:rPr>
          <w:shd w:val="clear" w:color="auto" w:fill="FFFFFD"/>
        </w:rPr>
        <w:t>December: in respect of the actual number of eligible students for the period 1 July 201</w:t>
      </w:r>
      <w:r w:rsidR="00776863">
        <w:rPr>
          <w:shd w:val="clear" w:color="auto" w:fill="FFFFFD"/>
        </w:rPr>
        <w:t>3</w:t>
      </w:r>
      <w:r w:rsidRPr="00061D40">
        <w:rPr>
          <w:shd w:val="clear" w:color="auto" w:fill="FFFFFD"/>
        </w:rPr>
        <w:t xml:space="preserve"> to 31 October 201</w:t>
      </w:r>
      <w:r w:rsidR="00776863">
        <w:rPr>
          <w:shd w:val="clear" w:color="auto" w:fill="FFFFFD"/>
        </w:rPr>
        <w:t>3</w:t>
      </w:r>
      <w:r w:rsidRPr="00061D40">
        <w:rPr>
          <w:shd w:val="clear" w:color="auto" w:fill="FFFFFD"/>
        </w:rPr>
        <w:t>.</w:t>
      </w:r>
    </w:p>
    <w:p w14:paraId="7F48686F" w14:textId="77777777" w:rsidR="00804FFC" w:rsidRPr="00061D40" w:rsidRDefault="00804FFC" w:rsidP="00804FFC">
      <w:pPr>
        <w:pStyle w:val="bodytextoutlinednumber"/>
      </w:pPr>
      <w:r w:rsidRPr="00061D40">
        <w:t xml:space="preserve">ESL-NA Program funding is supplemented annually in line with movements in the AGSRC Index. Supplementation is included in the second period payment to the non-government education authorities in each state and territory. Refer to </w:t>
      </w:r>
      <w:hyperlink w:anchor="_Appendix_K:_Supplementation" w:history="1">
        <w:r w:rsidRPr="00061D40">
          <w:rPr>
            <w:rStyle w:val="Hyperlink"/>
            <w:rFonts w:cs="Garamond"/>
          </w:rPr>
          <w:t>Appendix K</w:t>
        </w:r>
      </w:hyperlink>
      <w:r w:rsidRPr="00061D40">
        <w:t>.</w:t>
      </w:r>
    </w:p>
    <w:p w14:paraId="7F486870" w14:textId="77777777" w:rsidR="00D32016" w:rsidRDefault="00804FFC">
      <w:pPr>
        <w:pStyle w:val="Heading3"/>
      </w:pPr>
      <w:r w:rsidRPr="00061D40">
        <w:t>Accountability and Reporting Requirements</w:t>
      </w:r>
    </w:p>
    <w:p w14:paraId="7F486871" w14:textId="77777777" w:rsidR="00D32016" w:rsidRDefault="00804FFC">
      <w:pPr>
        <w:pStyle w:val="Heading4"/>
      </w:pPr>
      <w:r w:rsidRPr="00061D40">
        <w:t xml:space="preserve">Educational accountability </w:t>
      </w:r>
    </w:p>
    <w:p w14:paraId="7F486872" w14:textId="77777777" w:rsidR="00804FFC" w:rsidRPr="00061D40" w:rsidRDefault="00804FFC" w:rsidP="00804FFC">
      <w:pPr>
        <w:pStyle w:val="bodytextoutlinednumber"/>
      </w:pPr>
      <w:r w:rsidRPr="00061D40">
        <w:t xml:space="preserve">By 30 June </w:t>
      </w:r>
      <w:r>
        <w:t>of a given program year,</w:t>
      </w:r>
      <w:r w:rsidRPr="00061D40">
        <w:t xml:space="preserve"> education authorities are required to provide the Australian Government with information on the assessment tools to be used to assess English language proficiency</w:t>
      </w:r>
      <w:r>
        <w:t xml:space="preserve"> for the previous program year. These include</w:t>
      </w:r>
      <w:r w:rsidRPr="00061D40">
        <w:t>:</w:t>
      </w:r>
    </w:p>
    <w:p w14:paraId="7F486873" w14:textId="77777777" w:rsidR="00804FFC" w:rsidRPr="00061D40" w:rsidRDefault="00804FFC" w:rsidP="00804FFC">
      <w:pPr>
        <w:pStyle w:val="bodytextoutlinednumber"/>
        <w:numPr>
          <w:ilvl w:val="1"/>
          <w:numId w:val="10"/>
        </w:numPr>
        <w:rPr>
          <w:shd w:val="clear" w:color="auto" w:fill="FFFFFD"/>
        </w:rPr>
      </w:pPr>
      <w:r w:rsidRPr="00061D40">
        <w:rPr>
          <w:shd w:val="clear" w:color="auto" w:fill="FFFFFD"/>
        </w:rPr>
        <w:t>the level of proficiency to access the intensive language training program</w:t>
      </w:r>
    </w:p>
    <w:p w14:paraId="7F486874" w14:textId="77777777" w:rsidR="00804FFC" w:rsidRDefault="00804FFC" w:rsidP="00804FFC">
      <w:pPr>
        <w:pStyle w:val="bodytextoutlinednumber"/>
        <w:numPr>
          <w:ilvl w:val="1"/>
          <w:numId w:val="10"/>
        </w:numPr>
        <w:rPr>
          <w:shd w:val="clear" w:color="auto" w:fill="FFFFFD"/>
        </w:rPr>
      </w:pPr>
      <w:r w:rsidRPr="00061D40">
        <w:rPr>
          <w:shd w:val="clear" w:color="auto" w:fill="FFFFFD"/>
        </w:rPr>
        <w:t>the level of proficiency to exit the intensive language training program (and any subsequent changes should be advised when they occur).</w:t>
      </w:r>
    </w:p>
    <w:p w14:paraId="7F486875" w14:textId="77777777" w:rsidR="001E3F51" w:rsidRPr="00061D40" w:rsidRDefault="001E3F51" w:rsidP="001E3F51">
      <w:pPr>
        <w:pStyle w:val="bodytextoutlinednumber"/>
        <w:numPr>
          <w:ilvl w:val="0"/>
          <w:numId w:val="0"/>
        </w:numPr>
        <w:ind w:left="851"/>
        <w:rPr>
          <w:shd w:val="clear" w:color="auto" w:fill="FFFFFD"/>
        </w:rPr>
      </w:pPr>
    </w:p>
    <w:p w14:paraId="7F486876" w14:textId="77777777" w:rsidR="00D32016" w:rsidRDefault="00804FFC">
      <w:pPr>
        <w:pStyle w:val="Heading4"/>
      </w:pPr>
      <w:r w:rsidRPr="00061D40">
        <w:lastRenderedPageBreak/>
        <w:t>Financial accountability</w:t>
      </w:r>
    </w:p>
    <w:p w14:paraId="7F486877" w14:textId="77777777" w:rsidR="00804FFC" w:rsidRPr="00061D40" w:rsidRDefault="00804FFC" w:rsidP="00804FFC">
      <w:pPr>
        <w:pStyle w:val="bodytextoutlinednumber"/>
        <w:rPr>
          <w:color w:val="auto"/>
          <w:shd w:val="clear" w:color="auto" w:fill="FFFFFD"/>
        </w:rPr>
      </w:pPr>
      <w:r w:rsidRPr="00061D40">
        <w:rPr>
          <w:color w:val="auto"/>
          <w:shd w:val="clear" w:color="auto" w:fill="FFFFFD"/>
        </w:rPr>
        <w:t>Authorities will meet their financial accountability for the English as a Second Language – New Arrivals Program for a program year by submitting to the Department on or before 30 June each subsequent (or following) year or such other date as the Minister approves, an electronic Financial Accountability certificate.</w:t>
      </w:r>
    </w:p>
    <w:p w14:paraId="7F486878" w14:textId="77777777" w:rsidR="00804FFC" w:rsidRPr="00061D40" w:rsidRDefault="00804FFC" w:rsidP="00804FFC">
      <w:pPr>
        <w:pStyle w:val="bodytextoutlinednumber"/>
        <w:rPr>
          <w:color w:val="auto"/>
          <w:shd w:val="clear" w:color="auto" w:fill="FFFFFD"/>
        </w:rPr>
      </w:pPr>
      <w:r w:rsidRPr="00061D40">
        <w:rPr>
          <w:color w:val="auto"/>
          <w:shd w:val="clear" w:color="auto" w:fill="FFFFFD"/>
        </w:rPr>
        <w:t>The certificate is to be submitted by a Qualified Accountant. A Qualified Accountant is:</w:t>
      </w:r>
    </w:p>
    <w:p w14:paraId="7F486879" w14:textId="77777777" w:rsidR="00804FFC" w:rsidRPr="00061D40" w:rsidRDefault="00804FFC" w:rsidP="00804FFC">
      <w:pPr>
        <w:pStyle w:val="bodytextoutlinednumber"/>
        <w:numPr>
          <w:ilvl w:val="1"/>
          <w:numId w:val="10"/>
        </w:numPr>
        <w:rPr>
          <w:color w:val="auto"/>
          <w:shd w:val="clear" w:color="auto" w:fill="FFFFFD"/>
        </w:rPr>
      </w:pPr>
      <w:r w:rsidRPr="00061D40">
        <w:rPr>
          <w:color w:val="auto"/>
          <w:shd w:val="clear" w:color="auto" w:fill="FFFFFD"/>
        </w:rPr>
        <w:t xml:space="preserve">a qualified accountant within the meaning of the </w:t>
      </w:r>
      <w:r w:rsidRPr="00061D40">
        <w:rPr>
          <w:i/>
          <w:color w:val="auto"/>
          <w:shd w:val="clear" w:color="auto" w:fill="FFFFFD"/>
        </w:rPr>
        <w:t>Corporations Act 2001</w:t>
      </w:r>
    </w:p>
    <w:p w14:paraId="7F48687A" w14:textId="77777777" w:rsidR="00804FFC" w:rsidRPr="00061D40" w:rsidRDefault="00804FFC" w:rsidP="00804FFC">
      <w:pPr>
        <w:pStyle w:val="bodytextoutlinednumber"/>
        <w:numPr>
          <w:ilvl w:val="0"/>
          <w:numId w:val="0"/>
        </w:numPr>
        <w:spacing w:before="100"/>
        <w:ind w:left="851"/>
        <w:rPr>
          <w:shd w:val="clear" w:color="auto" w:fill="FFFFFD"/>
        </w:rPr>
      </w:pPr>
      <w:r w:rsidRPr="00061D40">
        <w:rPr>
          <w:shd w:val="clear" w:color="auto" w:fill="FFFFFD"/>
        </w:rPr>
        <w:t>or</w:t>
      </w:r>
    </w:p>
    <w:p w14:paraId="7F48687B" w14:textId="77777777" w:rsidR="00804FFC" w:rsidRPr="00061D40" w:rsidRDefault="00804FFC" w:rsidP="00804FFC">
      <w:pPr>
        <w:pStyle w:val="bodytextoutlinednumber"/>
        <w:numPr>
          <w:ilvl w:val="1"/>
          <w:numId w:val="10"/>
        </w:numPr>
        <w:rPr>
          <w:color w:val="auto"/>
          <w:shd w:val="clear" w:color="auto" w:fill="FFFFFD"/>
        </w:rPr>
      </w:pPr>
      <w:r w:rsidRPr="00061D40">
        <w:rPr>
          <w:color w:val="auto"/>
          <w:shd w:val="clear" w:color="auto" w:fill="FFFFFD"/>
        </w:rPr>
        <w:t xml:space="preserve">a person registered (or taken to be registered) as a company auditor under the </w:t>
      </w:r>
      <w:r w:rsidRPr="00061D40">
        <w:rPr>
          <w:i/>
          <w:color w:val="auto"/>
          <w:shd w:val="clear" w:color="auto" w:fill="FFFFFD"/>
        </w:rPr>
        <w:t>Corporations Act 2001</w:t>
      </w:r>
    </w:p>
    <w:p w14:paraId="7F48687C" w14:textId="77777777" w:rsidR="00804FFC" w:rsidRPr="00061D40" w:rsidRDefault="00804FFC" w:rsidP="00804FFC">
      <w:pPr>
        <w:suppressAutoHyphens/>
        <w:autoSpaceDE w:val="0"/>
        <w:autoSpaceDN w:val="0"/>
        <w:adjustRightInd w:val="0"/>
        <w:spacing w:before="100"/>
        <w:ind w:left="851"/>
        <w:textAlignment w:val="center"/>
      </w:pPr>
      <w:r w:rsidRPr="00061D40">
        <w:t>or</w:t>
      </w:r>
    </w:p>
    <w:p w14:paraId="7F48687D" w14:textId="77777777" w:rsidR="00804FFC" w:rsidRPr="00061D40" w:rsidRDefault="00804FFC" w:rsidP="00804FFC">
      <w:pPr>
        <w:pStyle w:val="bodytextoutlinednumber"/>
        <w:numPr>
          <w:ilvl w:val="1"/>
          <w:numId w:val="10"/>
        </w:numPr>
        <w:rPr>
          <w:color w:val="auto"/>
          <w:shd w:val="clear" w:color="auto" w:fill="FFFFFD"/>
        </w:rPr>
      </w:pPr>
      <w:r w:rsidRPr="00061D40">
        <w:rPr>
          <w:color w:val="auto"/>
        </w:rPr>
        <w:t xml:space="preserve">a person approved by the Minister as a qualified accountant for the purposes of the </w:t>
      </w:r>
      <w:r w:rsidRPr="00061D40">
        <w:rPr>
          <w:i/>
          <w:iCs/>
          <w:color w:val="auto"/>
        </w:rPr>
        <w:t>Schools Assistance Act 2008</w:t>
      </w:r>
      <w:r w:rsidRPr="00061D40">
        <w:rPr>
          <w:color w:val="auto"/>
        </w:rPr>
        <w:t>.</w:t>
      </w:r>
    </w:p>
    <w:p w14:paraId="7F48687E" w14:textId="77777777" w:rsidR="00804FFC" w:rsidRPr="00061D40" w:rsidRDefault="00804FFC" w:rsidP="00804FFC">
      <w:pPr>
        <w:pStyle w:val="bodytextoutlinednumber"/>
        <w:rPr>
          <w:color w:val="auto"/>
        </w:rPr>
      </w:pPr>
      <w:r w:rsidRPr="00061D40">
        <w:rPr>
          <w:color w:val="auto"/>
        </w:rPr>
        <w:t xml:space="preserve">Where an authority submits an overall financial accountability certificate </w:t>
      </w:r>
      <w:r>
        <w:rPr>
          <w:color w:val="auto"/>
        </w:rPr>
        <w:t>as required in their Funding Agreement with</w:t>
      </w:r>
      <w:r w:rsidRPr="00061D40">
        <w:rPr>
          <w:color w:val="auto"/>
        </w:rPr>
        <w:t xml:space="preserve"> the Department, detailing funding across multiple programs, it does not then need to provide an individual financial accountability certificate to each targeted program area.</w:t>
      </w:r>
    </w:p>
    <w:p w14:paraId="7F48687F" w14:textId="77777777" w:rsidR="00D32016" w:rsidRDefault="00804FFC">
      <w:pPr>
        <w:pStyle w:val="Heading3"/>
      </w:pPr>
      <w:r w:rsidRPr="00061D40">
        <w:t>Further Information and Enquiries</w:t>
      </w:r>
    </w:p>
    <w:p w14:paraId="7F486880" w14:textId="77777777" w:rsidR="00804FFC" w:rsidRPr="00061D40" w:rsidRDefault="00804FFC" w:rsidP="00804FFC">
      <w:pPr>
        <w:pStyle w:val="bodytextoutlinednumber"/>
      </w:pPr>
      <w:r w:rsidRPr="00061D40">
        <w:t>For additional information about the ESL-NA Program, please use one of the following media:</w:t>
      </w:r>
    </w:p>
    <w:p w14:paraId="7F486881" w14:textId="77777777" w:rsidR="00804FFC" w:rsidRPr="00061D40" w:rsidRDefault="00804FFC" w:rsidP="00804FFC">
      <w:pPr>
        <w:spacing w:line="240" w:lineRule="auto"/>
        <w:ind w:left="567"/>
        <w:rPr>
          <w:rFonts w:cs="Arial"/>
          <w:b/>
        </w:rPr>
      </w:pPr>
      <w:r w:rsidRPr="00061D40">
        <w:rPr>
          <w:rFonts w:cs="Arial"/>
          <w:b/>
        </w:rPr>
        <w:t xml:space="preserve">Written correspondence: </w:t>
      </w:r>
    </w:p>
    <w:p w14:paraId="7F486882" w14:textId="77777777" w:rsidR="00804FFC" w:rsidRPr="00061D40" w:rsidRDefault="00804FFC" w:rsidP="00804FFC">
      <w:pPr>
        <w:spacing w:line="240" w:lineRule="auto"/>
        <w:ind w:left="567"/>
        <w:rPr>
          <w:rFonts w:cs="Arial"/>
          <w:szCs w:val="22"/>
        </w:rPr>
      </w:pPr>
      <w:r w:rsidRPr="00061D40">
        <w:rPr>
          <w:rFonts w:cs="Arial"/>
          <w:szCs w:val="22"/>
        </w:rPr>
        <w:t>Director</w:t>
      </w:r>
      <w:r w:rsidRPr="00061D40">
        <w:rPr>
          <w:rFonts w:cs="Arial"/>
          <w:szCs w:val="22"/>
        </w:rPr>
        <w:br/>
      </w:r>
      <w:r w:rsidR="006A6B64">
        <w:rPr>
          <w:rFonts w:cs="Arial"/>
          <w:szCs w:val="22"/>
        </w:rPr>
        <w:t xml:space="preserve">Education </w:t>
      </w:r>
      <w:r w:rsidR="00E73290">
        <w:rPr>
          <w:rFonts w:cs="Arial"/>
          <w:szCs w:val="22"/>
        </w:rPr>
        <w:t>Access</w:t>
      </w:r>
      <w:r w:rsidR="006A6B64">
        <w:rPr>
          <w:rFonts w:cs="Arial"/>
          <w:szCs w:val="22"/>
        </w:rPr>
        <w:t xml:space="preserve"> and Engagement</w:t>
      </w:r>
      <w:r w:rsidRPr="00061D40">
        <w:rPr>
          <w:rFonts w:cs="Arial"/>
          <w:szCs w:val="22"/>
        </w:rPr>
        <w:t xml:space="preserve"> Team</w:t>
      </w:r>
      <w:r w:rsidRPr="00061D40">
        <w:rPr>
          <w:rFonts w:cs="Arial"/>
          <w:szCs w:val="22"/>
        </w:rPr>
        <w:br/>
      </w:r>
      <w:r w:rsidR="006A6B64">
        <w:rPr>
          <w:rFonts w:cs="Arial"/>
          <w:szCs w:val="22"/>
        </w:rPr>
        <w:t>Student and Parental</w:t>
      </w:r>
      <w:r w:rsidRPr="00061D40">
        <w:rPr>
          <w:rFonts w:cs="Arial"/>
          <w:szCs w:val="22"/>
        </w:rPr>
        <w:t xml:space="preserve"> Engagement Branch</w:t>
      </w:r>
      <w:r w:rsidRPr="00061D40">
        <w:rPr>
          <w:rFonts w:cs="Arial"/>
          <w:szCs w:val="22"/>
        </w:rPr>
        <w:br/>
      </w:r>
      <w:r w:rsidR="00A47574">
        <w:rPr>
          <w:rFonts w:cs="Arial"/>
          <w:szCs w:val="22"/>
        </w:rPr>
        <w:t>Youth and Inclusive Education</w:t>
      </w:r>
      <w:r w:rsidRPr="00061D40">
        <w:rPr>
          <w:rFonts w:cs="Arial"/>
          <w:szCs w:val="22"/>
        </w:rPr>
        <w:t xml:space="preserve"> Group</w:t>
      </w:r>
      <w:r w:rsidRPr="00061D40">
        <w:rPr>
          <w:rFonts w:cs="Arial"/>
          <w:szCs w:val="22"/>
        </w:rPr>
        <w:br/>
        <w:t>Department of Education, Employment and Workplace Relations</w:t>
      </w:r>
      <w:r w:rsidRPr="00061D40">
        <w:rPr>
          <w:rFonts w:cs="Arial"/>
          <w:szCs w:val="22"/>
        </w:rPr>
        <w:br/>
        <w:t>GPO Box 9880</w:t>
      </w:r>
      <w:r w:rsidRPr="00061D40">
        <w:rPr>
          <w:rFonts w:cs="Arial"/>
          <w:szCs w:val="22"/>
        </w:rPr>
        <w:br/>
        <w:t xml:space="preserve">CANBERRA ACT 2601 </w:t>
      </w:r>
    </w:p>
    <w:p w14:paraId="7F486883" w14:textId="77777777" w:rsidR="005926FF" w:rsidRDefault="00804FFC" w:rsidP="005926FF">
      <w:pPr>
        <w:spacing w:line="240" w:lineRule="auto"/>
        <w:ind w:left="567"/>
        <w:rPr>
          <w:rFonts w:cs="Arial"/>
          <w:szCs w:val="22"/>
        </w:rPr>
      </w:pPr>
      <w:r w:rsidRPr="00061D40">
        <w:rPr>
          <w:rFonts w:cs="Arial"/>
          <w:b/>
          <w:szCs w:val="22"/>
        </w:rPr>
        <w:t>Email</w:t>
      </w:r>
      <w:r w:rsidRPr="00061D40">
        <w:rPr>
          <w:rFonts w:cs="Arial"/>
          <w:szCs w:val="22"/>
        </w:rPr>
        <w:t xml:space="preserve">: </w:t>
      </w:r>
      <w:hyperlink r:id="rId57" w:history="1">
        <w:r w:rsidR="005926FF" w:rsidRPr="00ED27FA">
          <w:rPr>
            <w:rStyle w:val="Hyperlink"/>
            <w:rFonts w:cs="Arial"/>
            <w:szCs w:val="22"/>
          </w:rPr>
          <w:t>eslna@deewr.gov.au</w:t>
        </w:r>
      </w:hyperlink>
    </w:p>
    <w:p w14:paraId="7F486884" w14:textId="77777777" w:rsidR="00804FFC" w:rsidRPr="00061D40" w:rsidRDefault="00804FFC" w:rsidP="00804FFC">
      <w:pPr>
        <w:spacing w:line="240" w:lineRule="auto"/>
        <w:ind w:left="567"/>
        <w:rPr>
          <w:rFonts w:cs="Arial"/>
        </w:rPr>
      </w:pPr>
      <w:r w:rsidRPr="00061D40">
        <w:rPr>
          <w:rFonts w:cs="Arial"/>
          <w:b/>
        </w:rPr>
        <w:t>Telephone</w:t>
      </w:r>
      <w:r w:rsidRPr="00061D40">
        <w:rPr>
          <w:rFonts w:cs="Arial"/>
        </w:rPr>
        <w:t xml:space="preserve">: </w:t>
      </w:r>
      <w:r w:rsidRPr="00061D40">
        <w:rPr>
          <w:rFonts w:cs="Arial"/>
          <w:szCs w:val="22"/>
        </w:rPr>
        <w:t>(02) 6240 5299</w:t>
      </w:r>
    </w:p>
    <w:p w14:paraId="7F486885" w14:textId="77777777" w:rsidR="002609B1" w:rsidRDefault="00804FFC" w:rsidP="002609B1">
      <w:pPr>
        <w:spacing w:line="240" w:lineRule="auto"/>
        <w:ind w:left="567"/>
        <w:rPr>
          <w:rFonts w:cs="Arial"/>
          <w:szCs w:val="22"/>
        </w:rPr>
      </w:pPr>
      <w:r w:rsidRPr="00061D40">
        <w:rPr>
          <w:rFonts w:cs="Arial"/>
          <w:b/>
        </w:rPr>
        <w:t xml:space="preserve">Website: </w:t>
      </w:r>
    </w:p>
    <w:p w14:paraId="7F486886" w14:textId="77777777" w:rsidR="00EA693E" w:rsidRDefault="00C73D8D" w:rsidP="00904283">
      <w:pPr>
        <w:ind w:left="567"/>
      </w:pPr>
      <w:hyperlink r:id="rId58" w:history="1">
        <w:r w:rsidR="004C6557" w:rsidRPr="004C66CD">
          <w:rPr>
            <w:rStyle w:val="Hyperlink"/>
          </w:rPr>
          <w:t>http://deewr.gov.au/english-second-language-new-arrivals-program</w:t>
        </w:r>
      </w:hyperlink>
      <w:r w:rsidR="004C6557">
        <w:t xml:space="preserve"> </w:t>
      </w:r>
    </w:p>
    <w:p w14:paraId="7F486887" w14:textId="77777777" w:rsidR="00D32016" w:rsidRDefault="00804FFC">
      <w:pPr>
        <w:pStyle w:val="Heading2"/>
      </w:pPr>
      <w:r w:rsidRPr="00061D40">
        <w:br w:type="page"/>
      </w:r>
      <w:bookmarkStart w:id="168" w:name="_Toc346205327"/>
      <w:bookmarkStart w:id="169" w:name="_Toc55968476"/>
      <w:bookmarkStart w:id="170" w:name="_Toc182292872"/>
      <w:bookmarkEnd w:id="164"/>
      <w:bookmarkEnd w:id="165"/>
      <w:r w:rsidR="00DA5E31" w:rsidRPr="00061D40">
        <w:lastRenderedPageBreak/>
        <w:t>4.</w:t>
      </w:r>
      <w:r w:rsidR="00DA5E31">
        <w:t>5</w:t>
      </w:r>
      <w:r w:rsidR="00DA5E31" w:rsidRPr="00061D40">
        <w:t xml:space="preserve"> Literacy, Numeracy and Special Learning Needs Program</w:t>
      </w:r>
      <w:bookmarkEnd w:id="168"/>
    </w:p>
    <w:p w14:paraId="7F486888" w14:textId="77777777" w:rsidR="00D32016" w:rsidRDefault="00DA5E31">
      <w:pPr>
        <w:pStyle w:val="Heading3"/>
      </w:pPr>
      <w:r w:rsidRPr="00061D40">
        <w:t>Legislative Authority</w:t>
      </w:r>
    </w:p>
    <w:p w14:paraId="7F486889" w14:textId="77777777" w:rsidR="00DA5E31" w:rsidRPr="00061D40" w:rsidRDefault="00DA5E31" w:rsidP="00DA5E31">
      <w:pPr>
        <w:pStyle w:val="bodytextoutlinednumber"/>
      </w:pPr>
      <w:r w:rsidRPr="00061D40">
        <w:t>LNSLN funding for non-government schools for the 2009-201</w:t>
      </w:r>
      <w:r w:rsidR="00873D7B">
        <w:t>3</w:t>
      </w:r>
      <w:r w:rsidRPr="00061D40">
        <w:t xml:space="preserve"> funding period is provided under Part 6, Division 6 of the Act. Non-government schools and school systems in each state and territory which receive LNSLN funding must comply with all the requirements of the Act.</w:t>
      </w:r>
    </w:p>
    <w:p w14:paraId="7F48688A" w14:textId="77777777" w:rsidR="00D32016" w:rsidRDefault="00DA5E31">
      <w:pPr>
        <w:pStyle w:val="Heading3"/>
      </w:pPr>
      <w:r w:rsidRPr="00061D40">
        <w:t>Objectives</w:t>
      </w:r>
    </w:p>
    <w:p w14:paraId="7F48688B" w14:textId="77777777" w:rsidR="00DA5E31" w:rsidRPr="00061D40" w:rsidRDefault="00DA5E31" w:rsidP="00DA5E31">
      <w:pPr>
        <w:pStyle w:val="bodytextoutlinednumber"/>
        <w:rPr>
          <w:shd w:val="clear" w:color="auto" w:fill="FFFFFD"/>
        </w:rPr>
      </w:pPr>
      <w:r w:rsidRPr="00061D40">
        <w:rPr>
          <w:shd w:val="clear" w:color="auto" w:fill="FFFFFD"/>
        </w:rPr>
        <w:t xml:space="preserve">LNSLN Program assists non-government education authorities to improve the learning outcomes of educationally disadvantaged students, including students with disabilities, particularly in literacy and numeracy, by contributing funding for additional teaching and learning assistance. </w:t>
      </w:r>
    </w:p>
    <w:p w14:paraId="7F48688C" w14:textId="77777777" w:rsidR="00DA5E31" w:rsidRPr="00061D40" w:rsidRDefault="00DA5E31" w:rsidP="00DA5E31">
      <w:pPr>
        <w:pStyle w:val="bodytextoutlinednumber"/>
        <w:rPr>
          <w:shd w:val="clear" w:color="auto" w:fill="FFFFFD"/>
        </w:rPr>
      </w:pPr>
      <w:r w:rsidRPr="00061D40">
        <w:rPr>
          <w:shd w:val="clear" w:color="auto" w:fill="FFFFFD"/>
        </w:rPr>
        <w:t>Funding under the LNSLN Program, including the students with disabilities payment, is not intended to be the only support for educationally disadvantaged students. LNSLN funding is only one source of funding available to non-government schools to meet the needs of educationally disadvantaged students.</w:t>
      </w:r>
      <w:r w:rsidRPr="00061D40" w:rsidDel="00986481">
        <w:rPr>
          <w:shd w:val="clear" w:color="auto" w:fill="FFFFFD"/>
        </w:rPr>
        <w:t xml:space="preserve"> </w:t>
      </w:r>
    </w:p>
    <w:p w14:paraId="7F48688D" w14:textId="77777777" w:rsidR="00D32016" w:rsidRDefault="00DA5E31">
      <w:pPr>
        <w:pStyle w:val="Heading3"/>
      </w:pPr>
      <w:r w:rsidRPr="00061D40">
        <w:t>Eligibility</w:t>
      </w:r>
    </w:p>
    <w:p w14:paraId="7F48688E" w14:textId="77777777" w:rsidR="00DA5E31" w:rsidRPr="00061D40" w:rsidRDefault="00DA5E31" w:rsidP="00DA5E31">
      <w:pPr>
        <w:pStyle w:val="bodytextoutlinednumber"/>
        <w:rPr>
          <w:shd w:val="clear" w:color="auto" w:fill="FFFFFD"/>
        </w:rPr>
      </w:pPr>
      <w:r w:rsidRPr="00061D40">
        <w:rPr>
          <w:shd w:val="clear" w:color="auto" w:fill="FFFFFD"/>
        </w:rPr>
        <w:t xml:space="preserve">Funding under the LNSLN Program can be targeted to students in schools and special schools </w:t>
      </w:r>
      <w:r w:rsidR="00EF3BA5">
        <w:rPr>
          <w:shd w:val="clear" w:color="auto" w:fill="FFFFFD"/>
        </w:rPr>
        <w:t>that</w:t>
      </w:r>
      <w:r w:rsidR="00765AEF">
        <w:rPr>
          <w:shd w:val="clear" w:color="auto" w:fill="FFFFFD"/>
        </w:rPr>
        <w:t xml:space="preserve"> </w:t>
      </w:r>
      <w:r w:rsidRPr="00061D40">
        <w:rPr>
          <w:shd w:val="clear" w:color="auto" w:fill="FFFFFD"/>
        </w:rPr>
        <w:t xml:space="preserve">are eligible for the Recurrent Grants Program (refer to paragraph </w:t>
      </w:r>
      <w:r w:rsidR="001E5146">
        <w:fldChar w:fldCharType="begin"/>
      </w:r>
      <w:r w:rsidR="001E5146">
        <w:instrText xml:space="preserve"> REF _Ref246839215 \r \h  \* MERGEFORMAT </w:instrText>
      </w:r>
      <w:r w:rsidR="001E5146">
        <w:fldChar w:fldCharType="separate"/>
      </w:r>
      <w:r w:rsidR="000609B4" w:rsidRPr="000609B4">
        <w:rPr>
          <w:shd w:val="clear" w:color="auto" w:fill="FFFFFD"/>
        </w:rPr>
        <w:t>61</w:t>
      </w:r>
      <w:r w:rsidR="001E5146">
        <w:fldChar w:fldCharType="end"/>
      </w:r>
      <w:r w:rsidRPr="00061D40">
        <w:rPr>
          <w:shd w:val="clear" w:color="auto" w:fill="FFFFFD"/>
        </w:rPr>
        <w:t xml:space="preserve">). </w:t>
      </w:r>
    </w:p>
    <w:p w14:paraId="7F48688F" w14:textId="77777777" w:rsidR="00DA5E31" w:rsidRPr="00061D40" w:rsidRDefault="00DA5E31" w:rsidP="00DA5E31">
      <w:pPr>
        <w:pStyle w:val="bodytextoutlinednumber"/>
        <w:rPr>
          <w:shd w:val="clear" w:color="auto" w:fill="FFFFFD"/>
        </w:rPr>
      </w:pPr>
      <w:r w:rsidRPr="00061D40">
        <w:rPr>
          <w:shd w:val="clear" w:color="auto" w:fill="FFFFFD"/>
        </w:rPr>
        <w:t>Funding is targeted at the most educationally disadvantaged school students, including special school students, from kindergarten (or equivalent) to Year 12 who may face barriers to effective participation at school and who:</w:t>
      </w:r>
    </w:p>
    <w:p w14:paraId="7F486890" w14:textId="77777777" w:rsidR="00DA5E31" w:rsidRPr="00061D40" w:rsidRDefault="00DA5E31" w:rsidP="00DA5E31">
      <w:pPr>
        <w:pStyle w:val="bodytextoutlinednumber"/>
        <w:numPr>
          <w:ilvl w:val="1"/>
          <w:numId w:val="10"/>
        </w:numPr>
        <w:rPr>
          <w:shd w:val="clear" w:color="auto" w:fill="FFFFFD"/>
        </w:rPr>
      </w:pPr>
      <w:r w:rsidRPr="00061D40">
        <w:rPr>
          <w:shd w:val="clear" w:color="auto" w:fill="FFFFFD"/>
        </w:rPr>
        <w:t>are not achieving or are at risk of not achieving a national minimal standard of literacy and/or numeracy or other appropriate standard of achievement</w:t>
      </w:r>
    </w:p>
    <w:p w14:paraId="7F486891" w14:textId="77777777" w:rsidR="00DA5E31" w:rsidRPr="00061D40" w:rsidRDefault="00DA5E31" w:rsidP="00DA5E31">
      <w:pPr>
        <w:pStyle w:val="bodytextoutlinednumber"/>
        <w:numPr>
          <w:ilvl w:val="0"/>
          <w:numId w:val="0"/>
        </w:numPr>
        <w:spacing w:before="100"/>
        <w:ind w:left="851"/>
        <w:rPr>
          <w:shd w:val="clear" w:color="auto" w:fill="FFFFFD"/>
        </w:rPr>
      </w:pPr>
      <w:r w:rsidRPr="00061D40">
        <w:rPr>
          <w:shd w:val="clear" w:color="auto" w:fill="FFFFFD"/>
        </w:rPr>
        <w:t xml:space="preserve">and/or </w:t>
      </w:r>
    </w:p>
    <w:p w14:paraId="7F486892" w14:textId="77777777" w:rsidR="00DA5E31" w:rsidRPr="00061D40" w:rsidRDefault="00DA5E31" w:rsidP="00DA5E31">
      <w:pPr>
        <w:pStyle w:val="bodytextoutlinednumber"/>
        <w:numPr>
          <w:ilvl w:val="1"/>
          <w:numId w:val="10"/>
        </w:numPr>
        <w:rPr>
          <w:shd w:val="clear" w:color="auto" w:fill="FFFFFD"/>
        </w:rPr>
      </w:pPr>
      <w:r w:rsidRPr="00061D40">
        <w:rPr>
          <w:shd w:val="clear" w:color="auto" w:fill="FFFFFD"/>
        </w:rPr>
        <w:t>require additional assistance to reach an appropriate standard of achievement.</w:t>
      </w:r>
    </w:p>
    <w:p w14:paraId="7F486893" w14:textId="77777777" w:rsidR="00DA5E31" w:rsidRPr="00061D40" w:rsidRDefault="00DA5E31" w:rsidP="00DA5E31">
      <w:pPr>
        <w:pStyle w:val="bodytextoutlinednumber"/>
        <w:rPr>
          <w:shd w:val="clear" w:color="auto" w:fill="FFFFFD"/>
        </w:rPr>
      </w:pPr>
      <w:r w:rsidRPr="00061D40">
        <w:rPr>
          <w:shd w:val="clear" w:color="auto" w:fill="FFFFFD"/>
        </w:rPr>
        <w:t>Educational disadvantage may be associated with a range of factors such as a disability or learning difficulty, a language background other than English, Aboriginal or Torres Strait Islander background, low socioeconomic background or geographical isolation.</w:t>
      </w:r>
    </w:p>
    <w:p w14:paraId="7F486894" w14:textId="77777777" w:rsidR="00D32016" w:rsidRDefault="00DA5E31">
      <w:pPr>
        <w:pStyle w:val="Heading3"/>
      </w:pPr>
      <w:r w:rsidRPr="00061D40">
        <w:t>Use of Funding</w:t>
      </w:r>
    </w:p>
    <w:p w14:paraId="7F486895" w14:textId="77777777" w:rsidR="00DA5E31" w:rsidRPr="00061D40" w:rsidRDefault="00DA5E31" w:rsidP="00DA5E31">
      <w:pPr>
        <w:pStyle w:val="bodytextoutlinednumber"/>
        <w:rPr>
          <w:shd w:val="clear" w:color="auto" w:fill="FFFFFD"/>
        </w:rPr>
      </w:pPr>
      <w:r w:rsidRPr="00061D40">
        <w:rPr>
          <w:shd w:val="clear" w:color="auto" w:fill="FFFFFD"/>
        </w:rPr>
        <w:t>Funds may be used for system, sector or school strategies which directly contribute to achieving the LNSLN Program’s objectives.</w:t>
      </w:r>
    </w:p>
    <w:p w14:paraId="7F486896" w14:textId="77777777" w:rsidR="00DA5E31" w:rsidRPr="00061D40" w:rsidRDefault="00DA5E31" w:rsidP="00DA5E31">
      <w:pPr>
        <w:pStyle w:val="bodytextoutlinednumber"/>
        <w:rPr>
          <w:shd w:val="clear" w:color="auto" w:fill="FFFFFD"/>
        </w:rPr>
      </w:pPr>
      <w:r w:rsidRPr="00061D40">
        <w:rPr>
          <w:shd w:val="clear" w:color="auto" w:fill="FFFFFD"/>
        </w:rPr>
        <w:t>It is expected that school education authorities, in administering this funding in their systems and schools, will take account of relevant national initiatives and agreements and areas of importance to the Commonwealth.</w:t>
      </w:r>
    </w:p>
    <w:p w14:paraId="7F486897" w14:textId="77777777" w:rsidR="00DA5E31" w:rsidRPr="00061D40" w:rsidRDefault="00DA5E31" w:rsidP="00DA5E31">
      <w:pPr>
        <w:pStyle w:val="bodytextoutlinednumber"/>
        <w:rPr>
          <w:shd w:val="clear" w:color="auto" w:fill="FFFFFD"/>
        </w:rPr>
      </w:pPr>
      <w:r w:rsidRPr="00061D40">
        <w:rPr>
          <w:shd w:val="clear" w:color="auto" w:fill="FFFFFD"/>
        </w:rPr>
        <w:lastRenderedPageBreak/>
        <w:t>LNSLN Program funding is not to be used for major capital works expenditure.</w:t>
      </w:r>
    </w:p>
    <w:p w14:paraId="7F486898" w14:textId="77777777" w:rsidR="00D32016" w:rsidRDefault="00DA5E31">
      <w:pPr>
        <w:pStyle w:val="Heading3"/>
      </w:pPr>
      <w:r w:rsidRPr="00061D40">
        <w:t xml:space="preserve">Project Management and Accountability </w:t>
      </w:r>
    </w:p>
    <w:p w14:paraId="7F486899" w14:textId="77777777" w:rsidR="00D32016" w:rsidRDefault="00DA5E31">
      <w:pPr>
        <w:pStyle w:val="Heading4"/>
      </w:pPr>
      <w:r w:rsidRPr="00061D40">
        <w:t>Funding Arrangements</w:t>
      </w:r>
    </w:p>
    <w:p w14:paraId="7F48689A" w14:textId="77777777" w:rsidR="00DA5E31" w:rsidRPr="00061D40" w:rsidRDefault="00DA5E31" w:rsidP="00DA5E31">
      <w:pPr>
        <w:pStyle w:val="bodytextoutlinednumber"/>
        <w:rPr>
          <w:shd w:val="clear" w:color="auto" w:fill="FFFFFD"/>
        </w:rPr>
      </w:pPr>
      <w:r w:rsidRPr="00061D40">
        <w:rPr>
          <w:shd w:val="clear" w:color="auto" w:fill="FFFFFD"/>
        </w:rPr>
        <w:t>LNSLN funding consists of two components:</w:t>
      </w:r>
    </w:p>
    <w:p w14:paraId="7F48689B" w14:textId="77777777" w:rsidR="00DA5E31" w:rsidRPr="00061D40" w:rsidRDefault="00DA5E31" w:rsidP="00DA5E31">
      <w:pPr>
        <w:pStyle w:val="bodytextoutlinednumber"/>
        <w:numPr>
          <w:ilvl w:val="1"/>
          <w:numId w:val="10"/>
        </w:numPr>
        <w:rPr>
          <w:shd w:val="clear" w:color="auto" w:fill="FFFFFD"/>
        </w:rPr>
      </w:pPr>
      <w:r w:rsidRPr="00061D40">
        <w:rPr>
          <w:shd w:val="clear" w:color="auto" w:fill="FFFFFD"/>
        </w:rPr>
        <w:t>Schools grants component (see Table 4.</w:t>
      </w:r>
      <w:r w:rsidR="001C69D0">
        <w:rPr>
          <w:shd w:val="clear" w:color="auto" w:fill="FFFFFD"/>
        </w:rPr>
        <w:t>3</w:t>
      </w:r>
      <w:r w:rsidRPr="00061D40">
        <w:rPr>
          <w:shd w:val="clear" w:color="auto" w:fill="FFFFFD"/>
        </w:rPr>
        <w:t>)</w:t>
      </w:r>
    </w:p>
    <w:p w14:paraId="7F48689C" w14:textId="77777777" w:rsidR="00DA5E31" w:rsidRDefault="00DA5E31" w:rsidP="00DA5E31">
      <w:pPr>
        <w:pStyle w:val="bodytextoutlinednumber"/>
        <w:numPr>
          <w:ilvl w:val="1"/>
          <w:numId w:val="10"/>
        </w:numPr>
        <w:rPr>
          <w:shd w:val="clear" w:color="auto" w:fill="FFFFFD"/>
        </w:rPr>
      </w:pPr>
      <w:r w:rsidRPr="00061D40">
        <w:rPr>
          <w:shd w:val="clear" w:color="auto" w:fill="FFFFFD"/>
        </w:rPr>
        <w:t>Students with disabilities component (see Table 4.</w:t>
      </w:r>
      <w:r w:rsidR="001C69D0">
        <w:rPr>
          <w:shd w:val="clear" w:color="auto" w:fill="FFFFFD"/>
        </w:rPr>
        <w:t>4</w:t>
      </w:r>
      <w:r w:rsidRPr="00061D40">
        <w:rPr>
          <w:shd w:val="clear" w:color="auto" w:fill="FFFFFD"/>
        </w:rPr>
        <w:t>).</w:t>
      </w:r>
    </w:p>
    <w:p w14:paraId="7F48689D" w14:textId="77777777" w:rsidR="0025228F" w:rsidRDefault="00DA5E31">
      <w:pPr>
        <w:pStyle w:val="TablefigureHeading1"/>
        <w:spacing w:before="240" w:after="60" w:line="240" w:lineRule="auto"/>
      </w:pPr>
      <w:r w:rsidRPr="00061D40">
        <w:t>Table 4.</w:t>
      </w:r>
      <w:r w:rsidR="00BD3092">
        <w:t>3</w:t>
      </w:r>
      <w:r w:rsidRPr="00061D40">
        <w:t>: LNSLN (Recurrent) - Schools Grants component - 201</w:t>
      </w:r>
      <w:r w:rsidR="00776863">
        <w:t>3</w:t>
      </w:r>
      <w:r w:rsidRPr="00061D40">
        <w:t xml:space="preserve"> Allocations </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2300"/>
        <w:gridCol w:w="2100"/>
        <w:gridCol w:w="1600"/>
      </w:tblGrid>
      <w:tr w:rsidR="006A4EA0" w:rsidRPr="00BE4A93" w14:paraId="7F4868A5" w14:textId="77777777" w:rsidTr="006A4EA0">
        <w:tc>
          <w:tcPr>
            <w:tcW w:w="1500" w:type="dxa"/>
            <w:shd w:val="clear" w:color="auto" w:fill="999999"/>
          </w:tcPr>
          <w:p w14:paraId="7F48689E" w14:textId="77777777" w:rsidR="006A4EA0" w:rsidRPr="009E5576" w:rsidRDefault="006A4EA0" w:rsidP="006A4EA0">
            <w:pPr>
              <w:pStyle w:val="TableHeading2"/>
              <w:spacing w:line="240" w:lineRule="auto"/>
              <w:rPr>
                <w:rFonts w:ascii="Arial" w:hAnsi="Arial" w:cs="Arial"/>
                <w:sz w:val="20"/>
                <w:szCs w:val="20"/>
              </w:rPr>
            </w:pPr>
            <w:r w:rsidRPr="009E5576">
              <w:rPr>
                <w:rFonts w:ascii="Arial" w:hAnsi="Arial" w:cs="Arial"/>
                <w:sz w:val="20"/>
                <w:szCs w:val="20"/>
              </w:rPr>
              <w:t>State</w:t>
            </w:r>
          </w:p>
        </w:tc>
        <w:tc>
          <w:tcPr>
            <w:tcW w:w="2300" w:type="dxa"/>
            <w:shd w:val="clear" w:color="auto" w:fill="999999"/>
          </w:tcPr>
          <w:p w14:paraId="7F48689F" w14:textId="77777777" w:rsidR="009E5576" w:rsidRPr="009E5576" w:rsidRDefault="006A4EA0" w:rsidP="006A4EA0">
            <w:pPr>
              <w:pStyle w:val="TableHeading2"/>
              <w:spacing w:line="240" w:lineRule="auto"/>
              <w:rPr>
                <w:rFonts w:ascii="Arial" w:hAnsi="Arial" w:cs="Arial"/>
                <w:sz w:val="20"/>
                <w:szCs w:val="20"/>
              </w:rPr>
            </w:pPr>
            <w:r w:rsidRPr="009E5576">
              <w:rPr>
                <w:rFonts w:ascii="Arial" w:hAnsi="Arial" w:cs="Arial"/>
                <w:sz w:val="20"/>
                <w:szCs w:val="20"/>
              </w:rPr>
              <w:t>Catholic Schools</w:t>
            </w:r>
          </w:p>
          <w:p w14:paraId="7F4868A0" w14:textId="77777777" w:rsidR="006A4EA0" w:rsidRPr="009E5576" w:rsidRDefault="009E5576" w:rsidP="00246D01">
            <w:pPr>
              <w:pStyle w:val="TableHeading2"/>
              <w:spacing w:line="240" w:lineRule="auto"/>
              <w:rPr>
                <w:rFonts w:ascii="Arial" w:hAnsi="Arial" w:cs="Arial"/>
                <w:sz w:val="20"/>
                <w:szCs w:val="20"/>
              </w:rPr>
            </w:pPr>
            <w:r w:rsidRPr="009E5576">
              <w:rPr>
                <w:rFonts w:ascii="Arial" w:hAnsi="Arial" w:cs="Arial"/>
                <w:b w:val="0"/>
                <w:color w:val="auto"/>
                <w:sz w:val="20"/>
                <w:szCs w:val="20"/>
              </w:rPr>
              <w:t>$</w:t>
            </w:r>
          </w:p>
        </w:tc>
        <w:tc>
          <w:tcPr>
            <w:tcW w:w="2100" w:type="dxa"/>
            <w:shd w:val="clear" w:color="auto" w:fill="999999"/>
          </w:tcPr>
          <w:p w14:paraId="7F4868A1" w14:textId="77777777" w:rsidR="006A4EA0" w:rsidRPr="009E5576" w:rsidRDefault="006A4EA0" w:rsidP="006A4EA0">
            <w:pPr>
              <w:pStyle w:val="TableHeading2"/>
              <w:spacing w:line="240" w:lineRule="auto"/>
              <w:rPr>
                <w:rFonts w:ascii="Arial" w:hAnsi="Arial" w:cs="Arial"/>
                <w:sz w:val="20"/>
                <w:szCs w:val="20"/>
              </w:rPr>
            </w:pPr>
            <w:r w:rsidRPr="009E5576">
              <w:rPr>
                <w:rFonts w:ascii="Arial" w:hAnsi="Arial" w:cs="Arial"/>
                <w:sz w:val="20"/>
                <w:szCs w:val="20"/>
              </w:rPr>
              <w:t>Independent Schools</w:t>
            </w:r>
          </w:p>
          <w:p w14:paraId="7F4868A2" w14:textId="77777777" w:rsidR="009E5576" w:rsidRPr="009E5576" w:rsidRDefault="009E5576" w:rsidP="00246D01">
            <w:pPr>
              <w:pStyle w:val="TableHeading2"/>
              <w:spacing w:line="240" w:lineRule="auto"/>
              <w:rPr>
                <w:rFonts w:ascii="Arial" w:hAnsi="Arial" w:cs="Arial"/>
                <w:sz w:val="20"/>
                <w:szCs w:val="20"/>
              </w:rPr>
            </w:pPr>
            <w:r w:rsidRPr="009E5576">
              <w:rPr>
                <w:rFonts w:ascii="Arial" w:hAnsi="Arial" w:cs="Arial"/>
                <w:b w:val="0"/>
                <w:color w:val="auto"/>
                <w:sz w:val="20"/>
                <w:szCs w:val="20"/>
              </w:rPr>
              <w:t>$</w:t>
            </w:r>
          </w:p>
        </w:tc>
        <w:tc>
          <w:tcPr>
            <w:tcW w:w="1600" w:type="dxa"/>
            <w:shd w:val="clear" w:color="auto" w:fill="999999"/>
          </w:tcPr>
          <w:p w14:paraId="7F4868A3" w14:textId="77777777" w:rsidR="006A4EA0" w:rsidRPr="009E5576" w:rsidRDefault="006A4EA0" w:rsidP="006A4EA0">
            <w:pPr>
              <w:pStyle w:val="TableHeading2"/>
              <w:spacing w:line="240" w:lineRule="auto"/>
              <w:rPr>
                <w:rFonts w:ascii="Arial" w:hAnsi="Arial" w:cs="Arial"/>
                <w:sz w:val="20"/>
                <w:szCs w:val="20"/>
              </w:rPr>
            </w:pPr>
            <w:r w:rsidRPr="009E5576">
              <w:rPr>
                <w:rFonts w:ascii="Arial" w:hAnsi="Arial" w:cs="Arial"/>
                <w:sz w:val="20"/>
                <w:szCs w:val="20"/>
              </w:rPr>
              <w:t>Total</w:t>
            </w:r>
          </w:p>
          <w:p w14:paraId="7F4868A4" w14:textId="77777777" w:rsidR="009E5576" w:rsidRPr="009E5576" w:rsidRDefault="009E5576" w:rsidP="00246D01">
            <w:pPr>
              <w:pStyle w:val="TableHeading2"/>
              <w:spacing w:line="240" w:lineRule="auto"/>
              <w:rPr>
                <w:rFonts w:ascii="Arial" w:hAnsi="Arial" w:cs="Arial"/>
                <w:sz w:val="20"/>
                <w:szCs w:val="20"/>
              </w:rPr>
            </w:pPr>
            <w:r w:rsidRPr="009E5576">
              <w:rPr>
                <w:rFonts w:ascii="Arial" w:hAnsi="Arial" w:cs="Arial"/>
                <w:b w:val="0"/>
                <w:color w:val="auto"/>
                <w:sz w:val="20"/>
                <w:szCs w:val="20"/>
              </w:rPr>
              <w:t>$</w:t>
            </w:r>
          </w:p>
        </w:tc>
      </w:tr>
      <w:tr w:rsidR="006A4EA0" w:rsidRPr="00BE4A93" w14:paraId="7F4868AA" w14:textId="77777777" w:rsidTr="006A4EA0">
        <w:tc>
          <w:tcPr>
            <w:tcW w:w="1500" w:type="dxa"/>
          </w:tcPr>
          <w:p w14:paraId="7F4868A6" w14:textId="77777777" w:rsidR="006A4EA0" w:rsidRPr="009E5576" w:rsidRDefault="006A4EA0" w:rsidP="006A4EA0">
            <w:pPr>
              <w:pStyle w:val="TableText"/>
              <w:spacing w:line="240" w:lineRule="auto"/>
              <w:rPr>
                <w:rFonts w:ascii="Arial" w:hAnsi="Arial" w:cs="Arial"/>
                <w:sz w:val="20"/>
                <w:szCs w:val="20"/>
              </w:rPr>
            </w:pPr>
            <w:r w:rsidRPr="009E5576">
              <w:rPr>
                <w:rFonts w:ascii="Arial" w:hAnsi="Arial" w:cs="Arial"/>
                <w:sz w:val="20"/>
                <w:szCs w:val="20"/>
              </w:rPr>
              <w:t>NSW</w:t>
            </w:r>
          </w:p>
        </w:tc>
        <w:tc>
          <w:tcPr>
            <w:tcW w:w="2300" w:type="dxa"/>
            <w:vAlign w:val="bottom"/>
          </w:tcPr>
          <w:p w14:paraId="7F4868A7" w14:textId="77777777" w:rsidR="006A4EA0" w:rsidRPr="009E5576" w:rsidRDefault="00246D01" w:rsidP="009E5576">
            <w:pPr>
              <w:pStyle w:val="TableText"/>
              <w:tabs>
                <w:tab w:val="right" w:pos="992"/>
              </w:tabs>
              <w:spacing w:line="240" w:lineRule="auto"/>
              <w:jc w:val="center"/>
              <w:rPr>
                <w:rFonts w:ascii="Arial" w:hAnsi="Arial" w:cs="Arial"/>
                <w:sz w:val="20"/>
                <w:szCs w:val="20"/>
              </w:rPr>
            </w:pPr>
            <w:r>
              <w:rPr>
                <w:rFonts w:ascii="Arial" w:hAnsi="Arial" w:cs="Arial"/>
                <w:sz w:val="20"/>
                <w:szCs w:val="20"/>
              </w:rPr>
              <w:t>41,108,299</w:t>
            </w:r>
          </w:p>
        </w:tc>
        <w:tc>
          <w:tcPr>
            <w:tcW w:w="2100" w:type="dxa"/>
            <w:vAlign w:val="bottom"/>
          </w:tcPr>
          <w:p w14:paraId="7F4868A8" w14:textId="77777777" w:rsidR="006A4EA0" w:rsidRPr="009E5576" w:rsidRDefault="00ED104C" w:rsidP="00277D58">
            <w:pPr>
              <w:pStyle w:val="TableText"/>
              <w:keepNext/>
              <w:tabs>
                <w:tab w:val="right" w:pos="992"/>
              </w:tabs>
              <w:spacing w:line="240" w:lineRule="auto"/>
              <w:jc w:val="center"/>
              <w:outlineLvl w:val="1"/>
              <w:rPr>
                <w:rFonts w:ascii="Arial" w:hAnsi="Arial" w:cs="Arial"/>
                <w:sz w:val="20"/>
                <w:szCs w:val="20"/>
              </w:rPr>
            </w:pPr>
            <w:r>
              <w:rPr>
                <w:rFonts w:ascii="Arial" w:hAnsi="Arial" w:cs="Arial"/>
                <w:sz w:val="20"/>
                <w:szCs w:val="20"/>
              </w:rPr>
              <w:t>20,923,767</w:t>
            </w:r>
          </w:p>
        </w:tc>
        <w:tc>
          <w:tcPr>
            <w:tcW w:w="1600" w:type="dxa"/>
            <w:vAlign w:val="bottom"/>
          </w:tcPr>
          <w:p w14:paraId="7F4868A9" w14:textId="77777777" w:rsidR="006A4EA0" w:rsidRPr="009E5576" w:rsidRDefault="00ED104C" w:rsidP="00277D58">
            <w:pPr>
              <w:pStyle w:val="TableText"/>
              <w:tabs>
                <w:tab w:val="right" w:pos="992"/>
              </w:tabs>
              <w:spacing w:line="240" w:lineRule="auto"/>
              <w:jc w:val="center"/>
              <w:rPr>
                <w:rFonts w:ascii="Arial" w:hAnsi="Arial" w:cs="Arial"/>
                <w:sz w:val="20"/>
                <w:szCs w:val="20"/>
              </w:rPr>
            </w:pPr>
            <w:r>
              <w:rPr>
                <w:rFonts w:ascii="Arial" w:hAnsi="Arial" w:cs="Arial"/>
                <w:sz w:val="20"/>
                <w:szCs w:val="20"/>
              </w:rPr>
              <w:t>62,032,066</w:t>
            </w:r>
          </w:p>
        </w:tc>
      </w:tr>
      <w:tr w:rsidR="006A4EA0" w:rsidRPr="00BE4A93" w14:paraId="7F4868AF" w14:textId="77777777" w:rsidTr="006A4EA0">
        <w:tc>
          <w:tcPr>
            <w:tcW w:w="1500" w:type="dxa"/>
          </w:tcPr>
          <w:p w14:paraId="7F4868AB" w14:textId="77777777" w:rsidR="006A4EA0" w:rsidRPr="009E5576" w:rsidRDefault="006A4EA0" w:rsidP="006A4EA0">
            <w:pPr>
              <w:pStyle w:val="TableText"/>
              <w:spacing w:line="240" w:lineRule="auto"/>
              <w:rPr>
                <w:rFonts w:ascii="Arial" w:hAnsi="Arial" w:cs="Arial"/>
                <w:sz w:val="20"/>
                <w:szCs w:val="20"/>
              </w:rPr>
            </w:pPr>
            <w:r w:rsidRPr="009E5576">
              <w:rPr>
                <w:rFonts w:ascii="Arial" w:hAnsi="Arial" w:cs="Arial"/>
                <w:sz w:val="20"/>
                <w:szCs w:val="20"/>
              </w:rPr>
              <w:t>VIC</w:t>
            </w:r>
          </w:p>
        </w:tc>
        <w:tc>
          <w:tcPr>
            <w:tcW w:w="2300" w:type="dxa"/>
            <w:vAlign w:val="bottom"/>
          </w:tcPr>
          <w:p w14:paraId="7F4868AC" w14:textId="77777777" w:rsidR="006A4EA0" w:rsidRPr="009E5576" w:rsidRDefault="00ED104C" w:rsidP="009E5576">
            <w:pPr>
              <w:pStyle w:val="TableText"/>
              <w:tabs>
                <w:tab w:val="right" w:pos="992"/>
              </w:tabs>
              <w:spacing w:line="240" w:lineRule="auto"/>
              <w:jc w:val="center"/>
              <w:rPr>
                <w:rFonts w:ascii="Arial" w:hAnsi="Arial" w:cs="Arial"/>
                <w:sz w:val="20"/>
                <w:szCs w:val="20"/>
              </w:rPr>
            </w:pPr>
            <w:r>
              <w:rPr>
                <w:rFonts w:ascii="Arial" w:hAnsi="Arial" w:cs="Arial"/>
                <w:sz w:val="20"/>
                <w:szCs w:val="20"/>
              </w:rPr>
              <w:t>29,821,370</w:t>
            </w:r>
          </w:p>
        </w:tc>
        <w:tc>
          <w:tcPr>
            <w:tcW w:w="2100" w:type="dxa"/>
            <w:vAlign w:val="bottom"/>
          </w:tcPr>
          <w:p w14:paraId="7F4868AD" w14:textId="77777777" w:rsidR="006A4EA0" w:rsidRPr="009E5576" w:rsidRDefault="00ED104C" w:rsidP="00873D7B">
            <w:pPr>
              <w:pStyle w:val="TableText"/>
              <w:tabs>
                <w:tab w:val="right" w:pos="992"/>
              </w:tabs>
              <w:spacing w:line="240" w:lineRule="auto"/>
              <w:jc w:val="center"/>
              <w:rPr>
                <w:rFonts w:ascii="Arial" w:hAnsi="Arial" w:cs="Arial"/>
                <w:sz w:val="20"/>
                <w:szCs w:val="20"/>
              </w:rPr>
            </w:pPr>
            <w:r>
              <w:rPr>
                <w:rFonts w:ascii="Arial" w:hAnsi="Arial" w:cs="Arial"/>
                <w:sz w:val="20"/>
                <w:szCs w:val="20"/>
              </w:rPr>
              <w:t>16,097,048</w:t>
            </w:r>
          </w:p>
        </w:tc>
        <w:tc>
          <w:tcPr>
            <w:tcW w:w="1600" w:type="dxa"/>
            <w:vAlign w:val="bottom"/>
          </w:tcPr>
          <w:p w14:paraId="7F4868AE" w14:textId="77777777" w:rsidR="006A4EA0" w:rsidRPr="009E5576" w:rsidRDefault="00ED104C" w:rsidP="00873D7B">
            <w:pPr>
              <w:pStyle w:val="TableText"/>
              <w:tabs>
                <w:tab w:val="right" w:pos="992"/>
              </w:tabs>
              <w:spacing w:line="240" w:lineRule="auto"/>
              <w:jc w:val="center"/>
              <w:rPr>
                <w:rFonts w:ascii="Arial" w:hAnsi="Arial" w:cs="Arial"/>
                <w:sz w:val="20"/>
                <w:szCs w:val="20"/>
              </w:rPr>
            </w:pPr>
            <w:r>
              <w:rPr>
                <w:rFonts w:ascii="Arial" w:hAnsi="Arial" w:cs="Arial"/>
                <w:sz w:val="20"/>
                <w:szCs w:val="20"/>
              </w:rPr>
              <w:t>45,918,418</w:t>
            </w:r>
          </w:p>
        </w:tc>
      </w:tr>
      <w:tr w:rsidR="006A4EA0" w:rsidRPr="00BE4A93" w14:paraId="7F4868B4" w14:textId="77777777" w:rsidTr="006A4EA0">
        <w:tc>
          <w:tcPr>
            <w:tcW w:w="1500" w:type="dxa"/>
          </w:tcPr>
          <w:p w14:paraId="7F4868B0" w14:textId="77777777" w:rsidR="006A4EA0" w:rsidRPr="009E5576" w:rsidRDefault="006A4EA0" w:rsidP="006A4EA0">
            <w:pPr>
              <w:pStyle w:val="TableText"/>
              <w:spacing w:line="240" w:lineRule="auto"/>
              <w:rPr>
                <w:rFonts w:ascii="Arial" w:hAnsi="Arial" w:cs="Arial"/>
                <w:sz w:val="20"/>
                <w:szCs w:val="20"/>
              </w:rPr>
            </w:pPr>
            <w:r w:rsidRPr="009E5576">
              <w:rPr>
                <w:rFonts w:ascii="Arial" w:hAnsi="Arial" w:cs="Arial"/>
                <w:sz w:val="20"/>
                <w:szCs w:val="20"/>
              </w:rPr>
              <w:t>QLD</w:t>
            </w:r>
          </w:p>
        </w:tc>
        <w:tc>
          <w:tcPr>
            <w:tcW w:w="2300" w:type="dxa"/>
            <w:vAlign w:val="bottom"/>
          </w:tcPr>
          <w:p w14:paraId="7F4868B1" w14:textId="77777777" w:rsidR="006A4EA0" w:rsidRPr="009E5576" w:rsidRDefault="00ED104C" w:rsidP="009E5576">
            <w:pPr>
              <w:pStyle w:val="TableText"/>
              <w:tabs>
                <w:tab w:val="right" w:pos="992"/>
              </w:tabs>
              <w:spacing w:line="240" w:lineRule="auto"/>
              <w:jc w:val="center"/>
              <w:rPr>
                <w:rFonts w:ascii="Arial" w:hAnsi="Arial" w:cs="Arial"/>
                <w:sz w:val="20"/>
                <w:szCs w:val="20"/>
              </w:rPr>
            </w:pPr>
            <w:r>
              <w:rPr>
                <w:rFonts w:ascii="Arial" w:hAnsi="Arial" w:cs="Arial"/>
                <w:sz w:val="20"/>
                <w:szCs w:val="20"/>
              </w:rPr>
              <w:t>15,915,395</w:t>
            </w:r>
          </w:p>
        </w:tc>
        <w:tc>
          <w:tcPr>
            <w:tcW w:w="2100" w:type="dxa"/>
            <w:vAlign w:val="bottom"/>
          </w:tcPr>
          <w:p w14:paraId="7F4868B2" w14:textId="77777777" w:rsidR="006A4EA0" w:rsidRPr="009E5576" w:rsidRDefault="00ED104C" w:rsidP="00873D7B">
            <w:pPr>
              <w:pStyle w:val="TableText"/>
              <w:tabs>
                <w:tab w:val="right" w:pos="992"/>
              </w:tabs>
              <w:spacing w:line="240" w:lineRule="auto"/>
              <w:jc w:val="center"/>
              <w:rPr>
                <w:rFonts w:ascii="Arial" w:hAnsi="Arial" w:cs="Arial"/>
                <w:sz w:val="20"/>
                <w:szCs w:val="20"/>
              </w:rPr>
            </w:pPr>
            <w:r>
              <w:rPr>
                <w:rFonts w:ascii="Arial" w:hAnsi="Arial" w:cs="Arial"/>
                <w:sz w:val="20"/>
                <w:szCs w:val="20"/>
              </w:rPr>
              <w:t>12,507,361</w:t>
            </w:r>
          </w:p>
        </w:tc>
        <w:tc>
          <w:tcPr>
            <w:tcW w:w="1600" w:type="dxa"/>
            <w:vAlign w:val="bottom"/>
          </w:tcPr>
          <w:p w14:paraId="7F4868B3" w14:textId="77777777" w:rsidR="006A4EA0" w:rsidRPr="009E5576" w:rsidRDefault="00ED104C" w:rsidP="00277D58">
            <w:pPr>
              <w:pStyle w:val="TableText"/>
              <w:tabs>
                <w:tab w:val="right" w:pos="992"/>
              </w:tabs>
              <w:spacing w:line="240" w:lineRule="auto"/>
              <w:jc w:val="center"/>
              <w:rPr>
                <w:rFonts w:ascii="Arial" w:hAnsi="Arial" w:cs="Arial"/>
                <w:sz w:val="20"/>
                <w:szCs w:val="20"/>
              </w:rPr>
            </w:pPr>
            <w:r>
              <w:rPr>
                <w:rFonts w:ascii="Arial" w:hAnsi="Arial" w:cs="Arial"/>
                <w:sz w:val="20"/>
                <w:szCs w:val="20"/>
              </w:rPr>
              <w:t>28,422,756</w:t>
            </w:r>
          </w:p>
        </w:tc>
      </w:tr>
      <w:tr w:rsidR="006A4EA0" w:rsidRPr="00BE4A93" w14:paraId="7F4868B9" w14:textId="77777777" w:rsidTr="006A4EA0">
        <w:tc>
          <w:tcPr>
            <w:tcW w:w="1500" w:type="dxa"/>
          </w:tcPr>
          <w:p w14:paraId="7F4868B5" w14:textId="77777777" w:rsidR="006A4EA0" w:rsidRPr="009E5576" w:rsidRDefault="006A4EA0" w:rsidP="006A4EA0">
            <w:pPr>
              <w:pStyle w:val="TableText"/>
              <w:spacing w:line="240" w:lineRule="auto"/>
              <w:rPr>
                <w:rFonts w:ascii="Arial" w:hAnsi="Arial" w:cs="Arial"/>
                <w:sz w:val="20"/>
                <w:szCs w:val="20"/>
              </w:rPr>
            </w:pPr>
            <w:r w:rsidRPr="009E5576">
              <w:rPr>
                <w:rFonts w:ascii="Arial" w:hAnsi="Arial" w:cs="Arial"/>
                <w:sz w:val="20"/>
                <w:szCs w:val="20"/>
              </w:rPr>
              <w:t>WA</w:t>
            </w:r>
          </w:p>
        </w:tc>
        <w:tc>
          <w:tcPr>
            <w:tcW w:w="2300" w:type="dxa"/>
            <w:vAlign w:val="bottom"/>
          </w:tcPr>
          <w:p w14:paraId="7F4868B6" w14:textId="77777777" w:rsidR="006A4EA0" w:rsidRPr="009E5576" w:rsidRDefault="00ED104C" w:rsidP="00277D58">
            <w:pPr>
              <w:pStyle w:val="TableText"/>
              <w:tabs>
                <w:tab w:val="right" w:pos="992"/>
              </w:tabs>
              <w:spacing w:line="240" w:lineRule="auto"/>
              <w:jc w:val="center"/>
              <w:rPr>
                <w:rFonts w:ascii="Arial" w:hAnsi="Arial" w:cs="Arial"/>
                <w:sz w:val="20"/>
                <w:szCs w:val="20"/>
              </w:rPr>
            </w:pPr>
            <w:r>
              <w:rPr>
                <w:rFonts w:ascii="Arial" w:hAnsi="Arial" w:cs="Arial"/>
                <w:sz w:val="20"/>
                <w:szCs w:val="20"/>
              </w:rPr>
              <w:t>8,675,931</w:t>
            </w:r>
          </w:p>
        </w:tc>
        <w:tc>
          <w:tcPr>
            <w:tcW w:w="2100" w:type="dxa"/>
            <w:vAlign w:val="bottom"/>
          </w:tcPr>
          <w:p w14:paraId="7F4868B7" w14:textId="77777777" w:rsidR="006A4EA0" w:rsidRPr="009E5576" w:rsidRDefault="00ED104C" w:rsidP="00873D7B">
            <w:pPr>
              <w:pStyle w:val="TableText"/>
              <w:tabs>
                <w:tab w:val="right" w:pos="992"/>
              </w:tabs>
              <w:spacing w:line="240" w:lineRule="auto"/>
              <w:jc w:val="center"/>
              <w:rPr>
                <w:rFonts w:ascii="Arial" w:hAnsi="Arial" w:cs="Arial"/>
                <w:sz w:val="20"/>
                <w:szCs w:val="20"/>
              </w:rPr>
            </w:pPr>
            <w:r>
              <w:rPr>
                <w:rFonts w:ascii="Arial" w:hAnsi="Arial" w:cs="Arial"/>
                <w:sz w:val="20"/>
                <w:szCs w:val="20"/>
              </w:rPr>
              <w:t>7,053,965</w:t>
            </w:r>
          </w:p>
        </w:tc>
        <w:tc>
          <w:tcPr>
            <w:tcW w:w="1600" w:type="dxa"/>
            <w:vAlign w:val="bottom"/>
          </w:tcPr>
          <w:p w14:paraId="7F4868B8" w14:textId="77777777" w:rsidR="006A4EA0" w:rsidRPr="009E5576" w:rsidRDefault="00ED104C" w:rsidP="00277D58">
            <w:pPr>
              <w:pStyle w:val="TableText"/>
              <w:tabs>
                <w:tab w:val="right" w:pos="992"/>
              </w:tabs>
              <w:spacing w:line="240" w:lineRule="auto"/>
              <w:jc w:val="center"/>
              <w:rPr>
                <w:rFonts w:ascii="Arial" w:hAnsi="Arial" w:cs="Arial"/>
                <w:sz w:val="20"/>
                <w:szCs w:val="20"/>
              </w:rPr>
            </w:pPr>
            <w:r>
              <w:rPr>
                <w:rFonts w:ascii="Arial" w:hAnsi="Arial" w:cs="Arial"/>
                <w:sz w:val="20"/>
                <w:szCs w:val="20"/>
              </w:rPr>
              <w:t>15,729,896</w:t>
            </w:r>
          </w:p>
        </w:tc>
      </w:tr>
      <w:tr w:rsidR="006A4EA0" w:rsidRPr="00BE4A93" w14:paraId="7F4868BE" w14:textId="77777777" w:rsidTr="006A4EA0">
        <w:tc>
          <w:tcPr>
            <w:tcW w:w="1500" w:type="dxa"/>
          </w:tcPr>
          <w:p w14:paraId="7F4868BA" w14:textId="77777777" w:rsidR="006A4EA0" w:rsidRPr="009E5576" w:rsidRDefault="006A4EA0" w:rsidP="006A4EA0">
            <w:pPr>
              <w:pStyle w:val="TableText"/>
              <w:spacing w:line="240" w:lineRule="auto"/>
              <w:rPr>
                <w:rFonts w:ascii="Arial" w:hAnsi="Arial" w:cs="Arial"/>
                <w:sz w:val="20"/>
                <w:szCs w:val="20"/>
              </w:rPr>
            </w:pPr>
            <w:r w:rsidRPr="009E5576">
              <w:rPr>
                <w:rFonts w:ascii="Arial" w:hAnsi="Arial" w:cs="Arial"/>
                <w:sz w:val="20"/>
                <w:szCs w:val="20"/>
              </w:rPr>
              <w:t>SA</w:t>
            </w:r>
          </w:p>
        </w:tc>
        <w:tc>
          <w:tcPr>
            <w:tcW w:w="2300" w:type="dxa"/>
            <w:vAlign w:val="bottom"/>
          </w:tcPr>
          <w:p w14:paraId="7F4868BB" w14:textId="77777777" w:rsidR="006A4EA0" w:rsidRPr="009E5576" w:rsidRDefault="00ED104C" w:rsidP="009E5576">
            <w:pPr>
              <w:pStyle w:val="TableText"/>
              <w:tabs>
                <w:tab w:val="right" w:pos="992"/>
              </w:tabs>
              <w:spacing w:line="240" w:lineRule="auto"/>
              <w:jc w:val="center"/>
              <w:rPr>
                <w:rFonts w:ascii="Arial" w:hAnsi="Arial" w:cs="Arial"/>
                <w:sz w:val="20"/>
                <w:szCs w:val="20"/>
              </w:rPr>
            </w:pPr>
            <w:r>
              <w:rPr>
                <w:rFonts w:ascii="Arial" w:hAnsi="Arial" w:cs="Arial"/>
                <w:sz w:val="20"/>
                <w:szCs w:val="20"/>
              </w:rPr>
              <w:t>8,820,377</w:t>
            </w:r>
          </w:p>
        </w:tc>
        <w:tc>
          <w:tcPr>
            <w:tcW w:w="2100" w:type="dxa"/>
            <w:vAlign w:val="bottom"/>
          </w:tcPr>
          <w:p w14:paraId="7F4868BC" w14:textId="77777777" w:rsidR="006A4EA0" w:rsidRPr="009E5576" w:rsidRDefault="00ED104C" w:rsidP="00873D7B">
            <w:pPr>
              <w:pStyle w:val="TableText"/>
              <w:tabs>
                <w:tab w:val="right" w:pos="992"/>
              </w:tabs>
              <w:spacing w:line="240" w:lineRule="auto"/>
              <w:jc w:val="center"/>
              <w:rPr>
                <w:rFonts w:ascii="Arial" w:hAnsi="Arial" w:cs="Arial"/>
                <w:sz w:val="20"/>
                <w:szCs w:val="20"/>
              </w:rPr>
            </w:pPr>
            <w:r>
              <w:rPr>
                <w:rFonts w:ascii="Arial" w:hAnsi="Arial" w:cs="Arial"/>
                <w:sz w:val="20"/>
                <w:szCs w:val="20"/>
              </w:rPr>
              <w:t>6,122,095</w:t>
            </w:r>
          </w:p>
        </w:tc>
        <w:tc>
          <w:tcPr>
            <w:tcW w:w="1600" w:type="dxa"/>
            <w:vAlign w:val="bottom"/>
          </w:tcPr>
          <w:p w14:paraId="7F4868BD" w14:textId="77777777" w:rsidR="006A4EA0" w:rsidRPr="009E5576" w:rsidRDefault="00ED104C" w:rsidP="00873D7B">
            <w:pPr>
              <w:pStyle w:val="TableText"/>
              <w:tabs>
                <w:tab w:val="right" w:pos="992"/>
              </w:tabs>
              <w:spacing w:line="240" w:lineRule="auto"/>
              <w:jc w:val="center"/>
              <w:rPr>
                <w:rFonts w:ascii="Arial" w:hAnsi="Arial" w:cs="Arial"/>
                <w:sz w:val="20"/>
                <w:szCs w:val="20"/>
              </w:rPr>
            </w:pPr>
            <w:r>
              <w:rPr>
                <w:rFonts w:ascii="Arial" w:hAnsi="Arial" w:cs="Arial"/>
                <w:sz w:val="20"/>
                <w:szCs w:val="20"/>
              </w:rPr>
              <w:t>14,942,472</w:t>
            </w:r>
          </w:p>
        </w:tc>
      </w:tr>
      <w:tr w:rsidR="006A4EA0" w:rsidRPr="00BE4A93" w14:paraId="7F4868C3" w14:textId="77777777" w:rsidTr="006A4EA0">
        <w:tc>
          <w:tcPr>
            <w:tcW w:w="1500" w:type="dxa"/>
          </w:tcPr>
          <w:p w14:paraId="7F4868BF" w14:textId="77777777" w:rsidR="006A4EA0" w:rsidRPr="009E5576" w:rsidRDefault="006A4EA0" w:rsidP="006A4EA0">
            <w:pPr>
              <w:pStyle w:val="TableText"/>
              <w:spacing w:line="240" w:lineRule="auto"/>
              <w:rPr>
                <w:rFonts w:ascii="Arial" w:hAnsi="Arial" w:cs="Arial"/>
                <w:sz w:val="20"/>
                <w:szCs w:val="20"/>
              </w:rPr>
            </w:pPr>
            <w:r w:rsidRPr="009E5576">
              <w:rPr>
                <w:rFonts w:ascii="Arial" w:hAnsi="Arial" w:cs="Arial"/>
                <w:sz w:val="20"/>
                <w:szCs w:val="20"/>
              </w:rPr>
              <w:t>TAS</w:t>
            </w:r>
          </w:p>
        </w:tc>
        <w:tc>
          <w:tcPr>
            <w:tcW w:w="2300" w:type="dxa"/>
            <w:vAlign w:val="bottom"/>
          </w:tcPr>
          <w:p w14:paraId="7F4868C0" w14:textId="77777777" w:rsidR="006A4EA0" w:rsidRPr="009E5576" w:rsidRDefault="00ED104C" w:rsidP="00F6311E">
            <w:pPr>
              <w:pStyle w:val="TableText"/>
              <w:tabs>
                <w:tab w:val="right" w:pos="992"/>
              </w:tabs>
              <w:spacing w:line="240" w:lineRule="auto"/>
              <w:jc w:val="center"/>
              <w:rPr>
                <w:rFonts w:ascii="Arial" w:hAnsi="Arial" w:cs="Arial"/>
                <w:sz w:val="20"/>
                <w:szCs w:val="20"/>
              </w:rPr>
            </w:pPr>
            <w:r>
              <w:rPr>
                <w:rFonts w:ascii="Arial" w:hAnsi="Arial" w:cs="Arial"/>
                <w:sz w:val="20"/>
                <w:szCs w:val="20"/>
              </w:rPr>
              <w:t>2,528,633</w:t>
            </w:r>
          </w:p>
        </w:tc>
        <w:tc>
          <w:tcPr>
            <w:tcW w:w="2100" w:type="dxa"/>
            <w:vAlign w:val="bottom"/>
          </w:tcPr>
          <w:p w14:paraId="7F4868C1" w14:textId="77777777" w:rsidR="006A4EA0" w:rsidRPr="009E5576" w:rsidRDefault="00ED104C" w:rsidP="00873D7B">
            <w:pPr>
              <w:pStyle w:val="TableText"/>
              <w:tabs>
                <w:tab w:val="right" w:pos="992"/>
              </w:tabs>
              <w:spacing w:line="240" w:lineRule="auto"/>
              <w:jc w:val="center"/>
              <w:rPr>
                <w:rFonts w:ascii="Arial" w:hAnsi="Arial" w:cs="Arial"/>
                <w:sz w:val="20"/>
                <w:szCs w:val="20"/>
              </w:rPr>
            </w:pPr>
            <w:r>
              <w:rPr>
                <w:rFonts w:ascii="Arial" w:hAnsi="Arial" w:cs="Arial"/>
                <w:sz w:val="20"/>
                <w:szCs w:val="20"/>
              </w:rPr>
              <w:t>1,362,153</w:t>
            </w:r>
          </w:p>
        </w:tc>
        <w:tc>
          <w:tcPr>
            <w:tcW w:w="1600" w:type="dxa"/>
            <w:vAlign w:val="bottom"/>
          </w:tcPr>
          <w:p w14:paraId="7F4868C2" w14:textId="77777777" w:rsidR="006A4EA0" w:rsidRPr="009E5576" w:rsidRDefault="00ED104C" w:rsidP="001F1F98">
            <w:pPr>
              <w:pStyle w:val="TableText"/>
              <w:tabs>
                <w:tab w:val="right" w:pos="992"/>
              </w:tabs>
              <w:spacing w:line="240" w:lineRule="auto"/>
              <w:jc w:val="center"/>
              <w:rPr>
                <w:rFonts w:ascii="Arial" w:hAnsi="Arial" w:cs="Arial"/>
                <w:sz w:val="20"/>
                <w:szCs w:val="20"/>
              </w:rPr>
            </w:pPr>
            <w:r>
              <w:rPr>
                <w:rFonts w:ascii="Arial" w:hAnsi="Arial" w:cs="Arial"/>
                <w:sz w:val="20"/>
                <w:szCs w:val="20"/>
              </w:rPr>
              <w:t>3,890,786</w:t>
            </w:r>
          </w:p>
        </w:tc>
      </w:tr>
      <w:tr w:rsidR="006A4EA0" w:rsidRPr="00BE4A93" w14:paraId="7F4868C8" w14:textId="77777777" w:rsidTr="006A4EA0">
        <w:tc>
          <w:tcPr>
            <w:tcW w:w="1500" w:type="dxa"/>
          </w:tcPr>
          <w:p w14:paraId="7F4868C4" w14:textId="77777777" w:rsidR="006A4EA0" w:rsidRPr="009E5576" w:rsidRDefault="006A4EA0" w:rsidP="006A4EA0">
            <w:pPr>
              <w:pStyle w:val="TableText"/>
              <w:spacing w:line="240" w:lineRule="auto"/>
              <w:rPr>
                <w:rFonts w:ascii="Arial" w:hAnsi="Arial" w:cs="Arial"/>
                <w:sz w:val="20"/>
                <w:szCs w:val="20"/>
              </w:rPr>
            </w:pPr>
            <w:r w:rsidRPr="009E5576">
              <w:rPr>
                <w:rFonts w:ascii="Arial" w:hAnsi="Arial" w:cs="Arial"/>
                <w:sz w:val="20"/>
                <w:szCs w:val="20"/>
              </w:rPr>
              <w:t>ACT</w:t>
            </w:r>
          </w:p>
        </w:tc>
        <w:tc>
          <w:tcPr>
            <w:tcW w:w="2300" w:type="dxa"/>
            <w:vAlign w:val="bottom"/>
          </w:tcPr>
          <w:p w14:paraId="7F4868C5" w14:textId="77777777" w:rsidR="006A4EA0" w:rsidRPr="009E5576" w:rsidRDefault="00ED104C" w:rsidP="009E5576">
            <w:pPr>
              <w:pStyle w:val="TableText"/>
              <w:tabs>
                <w:tab w:val="right" w:pos="992"/>
              </w:tabs>
              <w:spacing w:line="240" w:lineRule="auto"/>
              <w:jc w:val="center"/>
              <w:rPr>
                <w:rFonts w:ascii="Arial" w:hAnsi="Arial" w:cs="Arial"/>
                <w:sz w:val="20"/>
                <w:szCs w:val="20"/>
              </w:rPr>
            </w:pPr>
            <w:r>
              <w:rPr>
                <w:rFonts w:ascii="Arial" w:hAnsi="Arial" w:cs="Arial"/>
                <w:sz w:val="20"/>
                <w:szCs w:val="20"/>
              </w:rPr>
              <w:t>1,058,964</w:t>
            </w:r>
          </w:p>
        </w:tc>
        <w:tc>
          <w:tcPr>
            <w:tcW w:w="2100" w:type="dxa"/>
            <w:vAlign w:val="bottom"/>
          </w:tcPr>
          <w:p w14:paraId="7F4868C6" w14:textId="77777777" w:rsidR="006A4EA0" w:rsidRPr="009E5576" w:rsidRDefault="00ED104C" w:rsidP="00873D7B">
            <w:pPr>
              <w:pStyle w:val="TableText"/>
              <w:tabs>
                <w:tab w:val="right" w:pos="992"/>
              </w:tabs>
              <w:spacing w:line="240" w:lineRule="auto"/>
              <w:jc w:val="center"/>
              <w:rPr>
                <w:rFonts w:ascii="Arial" w:hAnsi="Arial" w:cs="Arial"/>
                <w:sz w:val="20"/>
                <w:szCs w:val="20"/>
              </w:rPr>
            </w:pPr>
            <w:r>
              <w:rPr>
                <w:rFonts w:ascii="Arial" w:hAnsi="Arial" w:cs="Arial"/>
                <w:sz w:val="20"/>
                <w:szCs w:val="20"/>
              </w:rPr>
              <w:t>792,058</w:t>
            </w:r>
          </w:p>
        </w:tc>
        <w:tc>
          <w:tcPr>
            <w:tcW w:w="1600" w:type="dxa"/>
            <w:vAlign w:val="bottom"/>
          </w:tcPr>
          <w:p w14:paraId="7F4868C7" w14:textId="77777777" w:rsidR="006A4EA0" w:rsidRPr="009E5576" w:rsidRDefault="00ED104C" w:rsidP="00873D7B">
            <w:pPr>
              <w:pStyle w:val="TableText"/>
              <w:tabs>
                <w:tab w:val="right" w:pos="992"/>
              </w:tabs>
              <w:spacing w:line="240" w:lineRule="auto"/>
              <w:jc w:val="center"/>
              <w:rPr>
                <w:rFonts w:ascii="Arial" w:hAnsi="Arial" w:cs="Arial"/>
                <w:sz w:val="20"/>
                <w:szCs w:val="20"/>
              </w:rPr>
            </w:pPr>
            <w:r>
              <w:rPr>
                <w:rFonts w:ascii="Arial" w:hAnsi="Arial" w:cs="Arial"/>
                <w:sz w:val="20"/>
                <w:szCs w:val="20"/>
              </w:rPr>
              <w:t>1,851,022</w:t>
            </w:r>
          </w:p>
        </w:tc>
      </w:tr>
      <w:tr w:rsidR="006A4EA0" w:rsidRPr="00BE4A93" w14:paraId="7F4868CD" w14:textId="77777777" w:rsidTr="006A4EA0">
        <w:tc>
          <w:tcPr>
            <w:tcW w:w="1500" w:type="dxa"/>
          </w:tcPr>
          <w:p w14:paraId="7F4868C9" w14:textId="77777777" w:rsidR="006A4EA0" w:rsidRPr="009E5576" w:rsidRDefault="006A4EA0" w:rsidP="006A4EA0">
            <w:pPr>
              <w:pStyle w:val="TableText"/>
              <w:spacing w:line="240" w:lineRule="auto"/>
              <w:rPr>
                <w:rFonts w:ascii="Arial" w:hAnsi="Arial" w:cs="Arial"/>
                <w:sz w:val="20"/>
                <w:szCs w:val="20"/>
              </w:rPr>
            </w:pPr>
            <w:r w:rsidRPr="009E5576">
              <w:rPr>
                <w:rFonts w:ascii="Arial" w:hAnsi="Arial" w:cs="Arial"/>
                <w:sz w:val="20"/>
                <w:szCs w:val="20"/>
              </w:rPr>
              <w:t>NT</w:t>
            </w:r>
          </w:p>
        </w:tc>
        <w:tc>
          <w:tcPr>
            <w:tcW w:w="2300" w:type="dxa"/>
            <w:vAlign w:val="bottom"/>
          </w:tcPr>
          <w:p w14:paraId="7F4868CA" w14:textId="77777777" w:rsidR="006A4EA0" w:rsidRPr="009E5576" w:rsidRDefault="00ED104C" w:rsidP="001F1F98">
            <w:pPr>
              <w:pStyle w:val="TableText"/>
              <w:tabs>
                <w:tab w:val="right" w:pos="992"/>
              </w:tabs>
              <w:spacing w:line="240" w:lineRule="auto"/>
              <w:jc w:val="center"/>
              <w:rPr>
                <w:rFonts w:ascii="Arial" w:hAnsi="Arial" w:cs="Arial"/>
                <w:sz w:val="20"/>
                <w:szCs w:val="20"/>
              </w:rPr>
            </w:pPr>
            <w:r>
              <w:rPr>
                <w:rFonts w:ascii="Arial" w:hAnsi="Arial" w:cs="Arial"/>
                <w:sz w:val="20"/>
                <w:szCs w:val="20"/>
              </w:rPr>
              <w:t>1,469,508</w:t>
            </w:r>
          </w:p>
        </w:tc>
        <w:tc>
          <w:tcPr>
            <w:tcW w:w="2100" w:type="dxa"/>
            <w:vAlign w:val="bottom"/>
          </w:tcPr>
          <w:p w14:paraId="7F4868CB" w14:textId="77777777" w:rsidR="006A4EA0" w:rsidRPr="009E5576" w:rsidRDefault="00ED104C" w:rsidP="00873D7B">
            <w:pPr>
              <w:pStyle w:val="TableText"/>
              <w:tabs>
                <w:tab w:val="right" w:pos="992"/>
              </w:tabs>
              <w:spacing w:line="240" w:lineRule="auto"/>
              <w:jc w:val="center"/>
              <w:rPr>
                <w:rFonts w:ascii="Arial" w:hAnsi="Arial" w:cs="Arial"/>
                <w:sz w:val="20"/>
                <w:szCs w:val="20"/>
              </w:rPr>
            </w:pPr>
            <w:r>
              <w:rPr>
                <w:rFonts w:ascii="Arial" w:hAnsi="Arial" w:cs="Arial"/>
                <w:sz w:val="20"/>
                <w:szCs w:val="20"/>
              </w:rPr>
              <w:t>790,510</w:t>
            </w:r>
          </w:p>
        </w:tc>
        <w:tc>
          <w:tcPr>
            <w:tcW w:w="1600" w:type="dxa"/>
            <w:vAlign w:val="bottom"/>
          </w:tcPr>
          <w:p w14:paraId="7F4868CC" w14:textId="77777777" w:rsidR="006A4EA0" w:rsidRPr="009E5576" w:rsidRDefault="00ED104C" w:rsidP="00873D7B">
            <w:pPr>
              <w:pStyle w:val="TableText"/>
              <w:tabs>
                <w:tab w:val="right" w:pos="992"/>
              </w:tabs>
              <w:spacing w:line="240" w:lineRule="auto"/>
              <w:jc w:val="center"/>
              <w:rPr>
                <w:rFonts w:ascii="Arial" w:hAnsi="Arial" w:cs="Arial"/>
                <w:sz w:val="20"/>
                <w:szCs w:val="20"/>
              </w:rPr>
            </w:pPr>
            <w:r>
              <w:rPr>
                <w:rFonts w:ascii="Arial" w:hAnsi="Arial" w:cs="Arial"/>
                <w:sz w:val="20"/>
                <w:szCs w:val="20"/>
              </w:rPr>
              <w:t>2,260,018</w:t>
            </w:r>
          </w:p>
        </w:tc>
      </w:tr>
      <w:tr w:rsidR="006A4EA0" w:rsidRPr="00061D40" w14:paraId="7F4868D2" w14:textId="77777777" w:rsidTr="006A4EA0">
        <w:tc>
          <w:tcPr>
            <w:tcW w:w="1500" w:type="dxa"/>
          </w:tcPr>
          <w:p w14:paraId="7F4868CE" w14:textId="77777777" w:rsidR="006A4EA0" w:rsidRPr="009E5576" w:rsidRDefault="006A4EA0" w:rsidP="006A4EA0">
            <w:pPr>
              <w:pStyle w:val="TableText"/>
              <w:spacing w:line="240" w:lineRule="auto"/>
              <w:rPr>
                <w:rFonts w:ascii="Arial" w:hAnsi="Arial" w:cs="Arial"/>
                <w:b/>
                <w:sz w:val="20"/>
                <w:szCs w:val="20"/>
              </w:rPr>
            </w:pPr>
            <w:r w:rsidRPr="009E5576">
              <w:rPr>
                <w:rFonts w:ascii="Arial" w:hAnsi="Arial" w:cs="Arial"/>
                <w:b/>
                <w:sz w:val="20"/>
                <w:szCs w:val="20"/>
              </w:rPr>
              <w:t>Total</w:t>
            </w:r>
          </w:p>
        </w:tc>
        <w:tc>
          <w:tcPr>
            <w:tcW w:w="2300" w:type="dxa"/>
            <w:vAlign w:val="bottom"/>
          </w:tcPr>
          <w:p w14:paraId="7F4868CF" w14:textId="77777777" w:rsidR="006A4EA0" w:rsidRPr="009E5576" w:rsidRDefault="00ED104C" w:rsidP="00277D58">
            <w:pPr>
              <w:pStyle w:val="TableText"/>
              <w:tabs>
                <w:tab w:val="right" w:pos="992"/>
              </w:tabs>
              <w:spacing w:line="240" w:lineRule="auto"/>
              <w:jc w:val="center"/>
              <w:rPr>
                <w:rFonts w:ascii="Arial" w:hAnsi="Arial" w:cs="Arial"/>
                <w:b/>
                <w:sz w:val="20"/>
                <w:szCs w:val="20"/>
              </w:rPr>
            </w:pPr>
            <w:r>
              <w:rPr>
                <w:rFonts w:ascii="Arial" w:hAnsi="Arial" w:cs="Arial"/>
                <w:b/>
                <w:sz w:val="20"/>
                <w:szCs w:val="20"/>
              </w:rPr>
              <w:t>109,398,477</w:t>
            </w:r>
          </w:p>
        </w:tc>
        <w:tc>
          <w:tcPr>
            <w:tcW w:w="2100" w:type="dxa"/>
            <w:vAlign w:val="bottom"/>
          </w:tcPr>
          <w:p w14:paraId="7F4868D0" w14:textId="77777777" w:rsidR="006A4EA0" w:rsidRPr="009E5576" w:rsidRDefault="00375079" w:rsidP="00277D58">
            <w:pPr>
              <w:pStyle w:val="TableText"/>
              <w:tabs>
                <w:tab w:val="right" w:pos="992"/>
              </w:tabs>
              <w:spacing w:line="240" w:lineRule="auto"/>
              <w:jc w:val="center"/>
              <w:rPr>
                <w:rFonts w:ascii="Arial" w:hAnsi="Arial" w:cs="Arial"/>
                <w:b/>
                <w:sz w:val="20"/>
                <w:szCs w:val="20"/>
              </w:rPr>
            </w:pPr>
            <w:r>
              <w:rPr>
                <w:rFonts w:ascii="Arial" w:hAnsi="Arial" w:cs="Arial"/>
                <w:b/>
                <w:sz w:val="20"/>
                <w:szCs w:val="20"/>
              </w:rPr>
              <w:t>65,648,957</w:t>
            </w:r>
          </w:p>
        </w:tc>
        <w:tc>
          <w:tcPr>
            <w:tcW w:w="1600" w:type="dxa"/>
            <w:vAlign w:val="bottom"/>
          </w:tcPr>
          <w:p w14:paraId="7F4868D1" w14:textId="77777777" w:rsidR="006A4EA0" w:rsidRPr="009E5576" w:rsidRDefault="0018171A" w:rsidP="00375079">
            <w:pPr>
              <w:pStyle w:val="TableText"/>
              <w:tabs>
                <w:tab w:val="right" w:pos="992"/>
              </w:tabs>
              <w:spacing w:line="240" w:lineRule="auto"/>
              <w:jc w:val="center"/>
              <w:rPr>
                <w:rFonts w:ascii="Arial" w:hAnsi="Arial" w:cs="Arial"/>
                <w:b/>
                <w:sz w:val="20"/>
                <w:szCs w:val="20"/>
              </w:rPr>
            </w:pPr>
            <w:r>
              <w:rPr>
                <w:rFonts w:ascii="Arial" w:hAnsi="Arial" w:cs="Arial"/>
                <w:b/>
                <w:bCs/>
                <w:sz w:val="20"/>
                <w:szCs w:val="20"/>
              </w:rPr>
              <w:t>175,</w:t>
            </w:r>
            <w:r w:rsidR="00375079">
              <w:rPr>
                <w:rFonts w:ascii="Arial" w:hAnsi="Arial" w:cs="Arial"/>
                <w:b/>
                <w:bCs/>
                <w:sz w:val="20"/>
                <w:szCs w:val="20"/>
              </w:rPr>
              <w:t>047,434</w:t>
            </w:r>
          </w:p>
        </w:tc>
      </w:tr>
    </w:tbl>
    <w:p w14:paraId="7F4868D3" w14:textId="77777777" w:rsidR="0025228F" w:rsidRDefault="00DA5E31">
      <w:pPr>
        <w:pStyle w:val="TablefigureHeading1"/>
        <w:spacing w:before="240" w:after="60" w:line="240" w:lineRule="auto"/>
      </w:pPr>
      <w:r w:rsidRPr="00061D40">
        <w:t>Table 4.</w:t>
      </w:r>
      <w:r w:rsidR="00BD3092">
        <w:t>4</w:t>
      </w:r>
      <w:r w:rsidRPr="00061D40">
        <w:t>: LNSLN 201</w:t>
      </w:r>
      <w:r w:rsidR="00776863">
        <w:t>3</w:t>
      </w:r>
      <w:r w:rsidRPr="00061D40">
        <w:t xml:space="preserve"> per capita Strategic Assistance amount per student with disabilities</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tblGrid>
      <w:tr w:rsidR="00DA5E31" w:rsidRPr="00061D40" w14:paraId="7F4868D5" w14:textId="77777777" w:rsidTr="00DA5E31">
        <w:tc>
          <w:tcPr>
            <w:tcW w:w="3800" w:type="dxa"/>
            <w:shd w:val="clear" w:color="auto" w:fill="999999"/>
          </w:tcPr>
          <w:p w14:paraId="7F4868D4" w14:textId="77777777" w:rsidR="00DA5E31" w:rsidRPr="00061D40" w:rsidRDefault="00DA5E31" w:rsidP="00DA5E31">
            <w:pPr>
              <w:pStyle w:val="TableHeading2"/>
              <w:spacing w:line="240" w:lineRule="auto"/>
            </w:pPr>
            <w:r w:rsidRPr="00061D40">
              <w:t xml:space="preserve">Non-Government </w:t>
            </w:r>
          </w:p>
        </w:tc>
      </w:tr>
      <w:tr w:rsidR="00DA5E31" w:rsidRPr="00061D40" w14:paraId="7F4868D7" w14:textId="77777777" w:rsidTr="00DA5E31">
        <w:tc>
          <w:tcPr>
            <w:tcW w:w="3800" w:type="dxa"/>
          </w:tcPr>
          <w:p w14:paraId="7F4868D6" w14:textId="77777777" w:rsidR="00DA5E31" w:rsidRPr="00061D40" w:rsidRDefault="00DA5E31" w:rsidP="00151C8B">
            <w:pPr>
              <w:pStyle w:val="TableText"/>
              <w:spacing w:line="240" w:lineRule="auto"/>
              <w:jc w:val="center"/>
              <w:rPr>
                <w:rFonts w:cs="Arial"/>
                <w:sz w:val="20"/>
              </w:rPr>
            </w:pPr>
            <w:r w:rsidRPr="00061D40">
              <w:rPr>
                <w:rFonts w:cs="Arial"/>
                <w:sz w:val="20"/>
              </w:rPr>
              <w:t>$</w:t>
            </w:r>
            <w:r w:rsidR="00151C8B">
              <w:rPr>
                <w:rFonts w:cs="Arial"/>
                <w:sz w:val="20"/>
              </w:rPr>
              <w:t>1023</w:t>
            </w:r>
          </w:p>
        </w:tc>
      </w:tr>
    </w:tbl>
    <w:p w14:paraId="7F4868D8" w14:textId="77777777" w:rsidR="00DA5E31" w:rsidRPr="00061D40" w:rsidRDefault="00DA5E31" w:rsidP="00DA5E31">
      <w:pPr>
        <w:pStyle w:val="bodytextoutlinednumber"/>
        <w:rPr>
          <w:shd w:val="clear" w:color="auto" w:fill="FFFFFD"/>
        </w:rPr>
      </w:pPr>
      <w:r w:rsidRPr="00061D40">
        <w:rPr>
          <w:shd w:val="clear" w:color="auto" w:fill="FFFFFD"/>
        </w:rPr>
        <w:t>As there is no agreed national definition that would cover all students with special needs, the mechanism for allocating funds to non-government school education authorities is intended to provide levels of support commensurate with the sector’s size and other indicators of need where these are available and suitable to use on a national basis.</w:t>
      </w:r>
    </w:p>
    <w:p w14:paraId="7F4868D9" w14:textId="77777777" w:rsidR="00DA5E31" w:rsidRPr="00061D40" w:rsidRDefault="00DA5E31" w:rsidP="00DA5E31">
      <w:pPr>
        <w:pStyle w:val="bodytextoutlinednumber"/>
        <w:rPr>
          <w:shd w:val="clear" w:color="auto" w:fill="FFFFFD"/>
        </w:rPr>
      </w:pPr>
      <w:r w:rsidRPr="00061D40">
        <w:rPr>
          <w:shd w:val="clear" w:color="auto" w:fill="FFFFFD"/>
        </w:rPr>
        <w:t>The Commonwealth uses a composite allocative mechanism for determining funding allocations to non-government school education authorities. The composite allocative mechanism is made up of the following four elements:</w:t>
      </w:r>
    </w:p>
    <w:p w14:paraId="7F4868DA" w14:textId="77777777" w:rsidR="00DA5E31" w:rsidRPr="00061D40" w:rsidRDefault="00DA5E31" w:rsidP="00DA5E31">
      <w:pPr>
        <w:pStyle w:val="StyleStyledotpointAfter75ptLinespacingsingle"/>
      </w:pPr>
      <w:r w:rsidRPr="00061D40">
        <w:t>socioeconomic disadvantage</w:t>
      </w:r>
    </w:p>
    <w:p w14:paraId="7F4868DB" w14:textId="77777777" w:rsidR="00DA5E31" w:rsidRPr="00061D40" w:rsidRDefault="00DA5E31" w:rsidP="00DA5E31">
      <w:pPr>
        <w:pStyle w:val="StyleStyledotpointAfter75ptLinespacingsingle"/>
      </w:pPr>
      <w:r w:rsidRPr="00061D40">
        <w:t>Language Background Other than English</w:t>
      </w:r>
    </w:p>
    <w:p w14:paraId="7F4868DC" w14:textId="77777777" w:rsidR="00DA5E31" w:rsidRPr="00061D40" w:rsidRDefault="00DA5E31" w:rsidP="00DA5E31">
      <w:pPr>
        <w:pStyle w:val="StyleStyledotpointAfter75ptLinespacingsingle"/>
      </w:pPr>
      <w:r w:rsidRPr="00061D40">
        <w:t>enrolment share</w:t>
      </w:r>
    </w:p>
    <w:p w14:paraId="7F4868DD" w14:textId="77777777" w:rsidR="00DA5E31" w:rsidRPr="00061D40" w:rsidRDefault="00DA5E31" w:rsidP="00DA5E31">
      <w:pPr>
        <w:pStyle w:val="StyleStyledotpointAfter75ptLinespacingsingle"/>
      </w:pPr>
      <w:r w:rsidRPr="00061D40">
        <w:t>number of students with a disability.</w:t>
      </w:r>
    </w:p>
    <w:p w14:paraId="7F4868DE" w14:textId="77777777" w:rsidR="00DA5E31" w:rsidRPr="00061D40" w:rsidRDefault="00DA5E31" w:rsidP="00DA5E31">
      <w:pPr>
        <w:pStyle w:val="Heading5"/>
        <w:spacing w:line="240" w:lineRule="auto"/>
      </w:pPr>
      <w:r w:rsidRPr="00061D40">
        <w:lastRenderedPageBreak/>
        <w:t>Schools Grants component</w:t>
      </w:r>
    </w:p>
    <w:p w14:paraId="7F4868DF" w14:textId="77777777" w:rsidR="00DA5E31" w:rsidRPr="00061D40" w:rsidRDefault="00DA5E31" w:rsidP="00DA5E31">
      <w:pPr>
        <w:pStyle w:val="bodytextoutlinednumber"/>
      </w:pPr>
      <w:r w:rsidRPr="00061D40">
        <w:t>Approximately 38 per cent of LNSLN funding is allocated using a mechanism of socioeconomic disadvantage which uses the ABS Index of Relative Socio-Economic Disadvantage (IRSED) and ABS school enrolment data for the 125,000 most disadvantaged students.</w:t>
      </w:r>
    </w:p>
    <w:p w14:paraId="7F4868E0" w14:textId="77777777" w:rsidR="00DA5E31" w:rsidRPr="00061D40" w:rsidRDefault="00DA5E31" w:rsidP="00DA5E31">
      <w:pPr>
        <w:pStyle w:val="bodytextoutlinednumber"/>
        <w:rPr>
          <w:shd w:val="clear" w:color="auto" w:fill="FFFFFD"/>
        </w:rPr>
      </w:pPr>
      <w:r w:rsidRPr="00061D40">
        <w:rPr>
          <w:shd w:val="clear" w:color="auto" w:fill="FFFFFD"/>
        </w:rPr>
        <w:t>Approximately 28 per cent of LNSLN funding is allocated using a Language Background Other than English (LBOTE) mechanism which uses ABS Census data of students with LBOTE characteristics.</w:t>
      </w:r>
    </w:p>
    <w:p w14:paraId="7F4868E1" w14:textId="77777777" w:rsidR="00DA5E31" w:rsidRPr="00061D40" w:rsidRDefault="00DA5E31" w:rsidP="00DA5E31">
      <w:pPr>
        <w:pStyle w:val="bodytextoutlinednumber"/>
        <w:rPr>
          <w:shd w:val="clear" w:color="auto" w:fill="FFFFFD"/>
        </w:rPr>
      </w:pPr>
      <w:r w:rsidRPr="00061D40">
        <w:rPr>
          <w:shd w:val="clear" w:color="auto" w:fill="FFFFFD"/>
        </w:rPr>
        <w:t>Approximately 26 per cent of LNSLN funding is allocated to sectors on the basis of their share of non-government enrolments.</w:t>
      </w:r>
    </w:p>
    <w:p w14:paraId="7F4868E2" w14:textId="77777777" w:rsidR="00DA5E31" w:rsidRPr="00061D40" w:rsidRDefault="00DA5E31" w:rsidP="00DA5E31">
      <w:pPr>
        <w:pStyle w:val="bodytextoutlinednumber"/>
        <w:rPr>
          <w:shd w:val="clear" w:color="auto" w:fill="FFFFFD"/>
        </w:rPr>
      </w:pPr>
      <w:r w:rsidRPr="00061D40">
        <w:rPr>
          <w:shd w:val="clear" w:color="auto" w:fill="FFFFFD"/>
        </w:rPr>
        <w:t xml:space="preserve">Below is an explanation of how each of the elements that make up the Schools Grants component of the LNSLN funding is derived: </w:t>
      </w:r>
    </w:p>
    <w:p w14:paraId="7F4868E3" w14:textId="77777777" w:rsidR="00DA5E31" w:rsidRPr="00061D40" w:rsidRDefault="00DA5E31" w:rsidP="00DA5E31">
      <w:pPr>
        <w:pStyle w:val="bodytextoutlinednumber"/>
        <w:numPr>
          <w:ilvl w:val="1"/>
          <w:numId w:val="10"/>
        </w:numPr>
      </w:pPr>
      <w:r w:rsidRPr="00061D40">
        <w:t xml:space="preserve">Socioeconomic disadvantage mechanism </w:t>
      </w:r>
    </w:p>
    <w:p w14:paraId="7F4868E4" w14:textId="77777777" w:rsidR="00DA5E31" w:rsidRPr="00061D40" w:rsidRDefault="00DA5E31" w:rsidP="00DA5E31">
      <w:pPr>
        <w:pStyle w:val="bodytextoutlinednumber"/>
        <w:numPr>
          <w:ilvl w:val="2"/>
          <w:numId w:val="10"/>
        </w:numPr>
        <w:rPr>
          <w:shd w:val="clear" w:color="auto" w:fill="FFFFFD"/>
        </w:rPr>
      </w:pPr>
      <w:r w:rsidRPr="00061D40">
        <w:rPr>
          <w:shd w:val="clear" w:color="auto" w:fill="FFFFFD"/>
        </w:rPr>
        <w:t>the mechanism of socioeconomic disadvantage examines the distribution of socioeconomic disadvantage between Catholic and independent schools. The mechanism uses information from the IRSED, of the ABS Socio-economic Indexes for Areas (SEIFA) in conjunction with the latest (2006) ABS Census school enrolment data. Allocations for each education authority are derived from calculations at the national level of the distribution of the 125,000 most disadvantaged students between sectors</w:t>
      </w:r>
      <w:r>
        <w:rPr>
          <w:shd w:val="clear" w:color="auto" w:fill="FFFFFD"/>
        </w:rPr>
        <w:t>.</w:t>
      </w:r>
    </w:p>
    <w:p w14:paraId="7F4868E5" w14:textId="77777777" w:rsidR="00DA5E31" w:rsidRPr="00061D40" w:rsidRDefault="00DA5E31" w:rsidP="00DA5E31">
      <w:pPr>
        <w:pStyle w:val="bodytextoutlinednumber"/>
        <w:numPr>
          <w:ilvl w:val="2"/>
          <w:numId w:val="10"/>
        </w:numPr>
        <w:rPr>
          <w:shd w:val="clear" w:color="auto" w:fill="FFFFFD"/>
        </w:rPr>
      </w:pPr>
      <w:r w:rsidRPr="00061D40">
        <w:rPr>
          <w:shd w:val="clear" w:color="auto" w:fill="FFFFFD"/>
        </w:rPr>
        <w:t>education authorities’ funding allocations are based on calculated percentage shares of the total amount of funding available for distribution using this element of the mechanism. Allocations for each education authority are derived from calculations at the national level of the distribution of the 125,000 most disadvantaged students between sectors</w:t>
      </w:r>
      <w:r>
        <w:rPr>
          <w:shd w:val="clear" w:color="auto" w:fill="FFFFFD"/>
        </w:rPr>
        <w:t>.</w:t>
      </w:r>
    </w:p>
    <w:p w14:paraId="7F4868E6" w14:textId="77777777" w:rsidR="00DA5E31" w:rsidRPr="00061D40" w:rsidRDefault="00DA5E31" w:rsidP="00DA5E31">
      <w:pPr>
        <w:pStyle w:val="bodytextoutlinednumber"/>
        <w:numPr>
          <w:ilvl w:val="2"/>
          <w:numId w:val="10"/>
        </w:numPr>
        <w:rPr>
          <w:shd w:val="clear" w:color="auto" w:fill="FFFFFD"/>
        </w:rPr>
      </w:pPr>
      <w:r w:rsidRPr="00061D40">
        <w:rPr>
          <w:shd w:val="clear" w:color="auto" w:fill="FFFFFD"/>
        </w:rPr>
        <w:t>the IRSED assigns collection districts with an index score. IRSED and ABS enrolments by sector are linked by collection district and the IRSED scores are sorted from the lowest to the highest. Student enrolment numbers for each collection district are used to identify the collection districts with the 125,000 most disadvantaged students. ABS Census data on the number of student enrolments by type of school for each collection district enable a calculation of the percentage of those 125,000 students enrolled in each sector for each State or Territory</w:t>
      </w:r>
      <w:r>
        <w:rPr>
          <w:shd w:val="clear" w:color="auto" w:fill="FFFFFD"/>
        </w:rPr>
        <w:t>.</w:t>
      </w:r>
    </w:p>
    <w:p w14:paraId="7F4868E7" w14:textId="77777777" w:rsidR="00DA5E31" w:rsidRPr="00061D40" w:rsidRDefault="00DA5E31" w:rsidP="00DA5E31">
      <w:pPr>
        <w:pStyle w:val="bodytextoutlinednumber"/>
        <w:numPr>
          <w:ilvl w:val="1"/>
          <w:numId w:val="10"/>
        </w:numPr>
        <w:rPr>
          <w:shd w:val="clear" w:color="auto" w:fill="FFFFFD"/>
        </w:rPr>
      </w:pPr>
      <w:r w:rsidRPr="00061D40">
        <w:rPr>
          <w:shd w:val="clear" w:color="auto" w:fill="FFFFFD"/>
        </w:rPr>
        <w:t xml:space="preserve">Language Background Other than English (LBOTE) mechanism </w:t>
      </w:r>
    </w:p>
    <w:p w14:paraId="7F4868E8" w14:textId="77777777" w:rsidR="00DA5E31" w:rsidRPr="00061D40" w:rsidRDefault="00DA5E31" w:rsidP="00DA5E31">
      <w:pPr>
        <w:pStyle w:val="bodytextoutlinednumber"/>
        <w:numPr>
          <w:ilvl w:val="2"/>
          <w:numId w:val="10"/>
        </w:numPr>
        <w:rPr>
          <w:shd w:val="clear" w:color="auto" w:fill="FFFFFD"/>
        </w:rPr>
      </w:pPr>
      <w:r w:rsidRPr="00061D40">
        <w:rPr>
          <w:shd w:val="clear" w:color="auto" w:fill="FFFFFD"/>
        </w:rPr>
        <w:t>the LBOTE mechanism distributes funding between Catholic and Independent education authorities based on the proportion of enrolments of students with LBOTE characteristics. Education authorities’ funding allocations are based on calculated percentage shares of the total amount of funding available for distribution using this element of the mechanism</w:t>
      </w:r>
      <w:r>
        <w:rPr>
          <w:shd w:val="clear" w:color="auto" w:fill="FFFFFD"/>
        </w:rPr>
        <w:t>.</w:t>
      </w:r>
      <w:r w:rsidRPr="00061D40">
        <w:rPr>
          <w:shd w:val="clear" w:color="auto" w:fill="FFFFFD"/>
        </w:rPr>
        <w:t xml:space="preserve"> </w:t>
      </w:r>
    </w:p>
    <w:p w14:paraId="7F4868E9" w14:textId="77777777" w:rsidR="00DA5E31" w:rsidRPr="00061D40" w:rsidRDefault="00DA5E31" w:rsidP="00DA5E31">
      <w:pPr>
        <w:pStyle w:val="bodytextoutlinednumber"/>
        <w:numPr>
          <w:ilvl w:val="2"/>
          <w:numId w:val="10"/>
        </w:numPr>
        <w:rPr>
          <w:shd w:val="clear" w:color="auto" w:fill="FFFFFD"/>
        </w:rPr>
      </w:pPr>
      <w:r w:rsidRPr="00061D40">
        <w:rPr>
          <w:shd w:val="clear" w:color="auto" w:fill="FFFFFD"/>
        </w:rPr>
        <w:t xml:space="preserve">the methodology for calculating percentage shares using the LBOTE mechanism is based on </w:t>
      </w:r>
      <w:r w:rsidR="002B6695">
        <w:rPr>
          <w:shd w:val="clear" w:color="auto" w:fill="FFFFFD"/>
        </w:rPr>
        <w:t xml:space="preserve">the latest </w:t>
      </w:r>
      <w:r w:rsidR="002B6695" w:rsidRPr="00061D40">
        <w:rPr>
          <w:shd w:val="clear" w:color="auto" w:fill="FFFFFD"/>
        </w:rPr>
        <w:t xml:space="preserve">(2006) </w:t>
      </w:r>
      <w:r w:rsidRPr="00061D40">
        <w:rPr>
          <w:shd w:val="clear" w:color="auto" w:fill="FFFFFD"/>
        </w:rPr>
        <w:t xml:space="preserve">ABS Census </w:t>
      </w:r>
      <w:r w:rsidR="002B6695">
        <w:rPr>
          <w:shd w:val="clear" w:color="auto" w:fill="FFFFFD"/>
        </w:rPr>
        <w:t xml:space="preserve">school enrolment </w:t>
      </w:r>
      <w:r w:rsidRPr="00061D40">
        <w:rPr>
          <w:shd w:val="clear" w:color="auto" w:fill="FFFFFD"/>
        </w:rPr>
        <w:t xml:space="preserve">data relating to the non-English speaking background of students of school age. The population is </w:t>
      </w:r>
      <w:r w:rsidRPr="00061D40">
        <w:rPr>
          <w:shd w:val="clear" w:color="auto" w:fill="FFFFFD"/>
        </w:rPr>
        <w:lastRenderedPageBreak/>
        <w:t>categorised under three main groups, with differential weightings for each group:</w:t>
      </w:r>
    </w:p>
    <w:p w14:paraId="7F4868EA" w14:textId="77777777" w:rsidR="00DA5E31" w:rsidRPr="00061D40" w:rsidRDefault="00DA5E31" w:rsidP="00DA5E31">
      <w:pPr>
        <w:pStyle w:val="bodytextoutlinednumber"/>
        <w:numPr>
          <w:ilvl w:val="3"/>
          <w:numId w:val="10"/>
        </w:numPr>
        <w:rPr>
          <w:shd w:val="clear" w:color="auto" w:fill="FFFFFD"/>
        </w:rPr>
      </w:pPr>
      <w:r w:rsidRPr="00061D40">
        <w:rPr>
          <w:shd w:val="clear" w:color="auto" w:fill="FFFFFD"/>
        </w:rPr>
        <w:t>home language other than English, weighted most heavily</w:t>
      </w:r>
    </w:p>
    <w:p w14:paraId="7F4868EB" w14:textId="77777777" w:rsidR="00DA5E31" w:rsidRPr="00061D40" w:rsidRDefault="00DA5E31" w:rsidP="00DA5E31">
      <w:pPr>
        <w:pStyle w:val="bodytextoutlinednumber"/>
        <w:numPr>
          <w:ilvl w:val="3"/>
          <w:numId w:val="10"/>
        </w:numPr>
        <w:rPr>
          <w:shd w:val="clear" w:color="auto" w:fill="FFFFFD"/>
        </w:rPr>
      </w:pPr>
      <w:r w:rsidRPr="00061D40">
        <w:rPr>
          <w:shd w:val="clear" w:color="auto" w:fill="FFFFFD"/>
        </w:rPr>
        <w:t>country of birth of the student deemed a non-English speaking country, weighted less</w:t>
      </w:r>
    </w:p>
    <w:p w14:paraId="7F4868EC" w14:textId="77777777" w:rsidR="00DA5E31" w:rsidRPr="00061D40" w:rsidRDefault="00DA5E31" w:rsidP="00DA5E31">
      <w:pPr>
        <w:pStyle w:val="bodytextoutlinednumber"/>
        <w:numPr>
          <w:ilvl w:val="3"/>
          <w:numId w:val="10"/>
        </w:numPr>
        <w:rPr>
          <w:shd w:val="clear" w:color="auto" w:fill="FFFFFD"/>
        </w:rPr>
      </w:pPr>
      <w:r w:rsidRPr="00061D40">
        <w:rPr>
          <w:shd w:val="clear" w:color="auto" w:fill="FFFFFD"/>
        </w:rPr>
        <w:t>one or both parents born in a non-English speaking country, weighted least</w:t>
      </w:r>
    </w:p>
    <w:p w14:paraId="7F4868ED" w14:textId="77777777" w:rsidR="00DA5E31" w:rsidRPr="00061D40" w:rsidRDefault="00DA5E31" w:rsidP="00DA5E31">
      <w:pPr>
        <w:pStyle w:val="bodytextoutlinednumber"/>
        <w:numPr>
          <w:ilvl w:val="2"/>
          <w:numId w:val="10"/>
        </w:numPr>
      </w:pPr>
      <w:r w:rsidRPr="00061D40">
        <w:t>the percentage share for each education authority is calculated from the totalled weighted student numbers for each category of need for each type of school attended</w:t>
      </w:r>
    </w:p>
    <w:p w14:paraId="7F4868EE" w14:textId="77777777" w:rsidR="00DA5E31" w:rsidRPr="00061D40" w:rsidRDefault="00DA5E31" w:rsidP="00DA5E31">
      <w:pPr>
        <w:pStyle w:val="bodytextoutlinednumber"/>
        <w:numPr>
          <w:ilvl w:val="1"/>
          <w:numId w:val="10"/>
        </w:numPr>
      </w:pPr>
      <w:r w:rsidRPr="00061D40">
        <w:t>non-government sector funding pools</w:t>
      </w:r>
    </w:p>
    <w:p w14:paraId="7F4868EF" w14:textId="77777777" w:rsidR="00DA5E31" w:rsidRPr="00061D40" w:rsidRDefault="00DA5E31" w:rsidP="00DA5E31">
      <w:pPr>
        <w:pStyle w:val="bodytextoutlinednumber"/>
        <w:numPr>
          <w:ilvl w:val="2"/>
          <w:numId w:val="10"/>
        </w:numPr>
        <w:rPr>
          <w:shd w:val="clear" w:color="auto" w:fill="FFFFFD"/>
        </w:rPr>
      </w:pPr>
      <w:r w:rsidRPr="00061D40">
        <w:rPr>
          <w:shd w:val="clear" w:color="auto" w:fill="FFFFFD"/>
        </w:rPr>
        <w:t>the non-government sector funding pool is allocated to non-government sectors on the basis of their latest (2006) share of non-government enrolments. A fixed percentage share is used to distribute funding between Catholic and independent education authorities</w:t>
      </w:r>
      <w:r>
        <w:rPr>
          <w:shd w:val="clear" w:color="auto" w:fill="FFFFFD"/>
        </w:rPr>
        <w:t>.</w:t>
      </w:r>
    </w:p>
    <w:p w14:paraId="7F4868F0" w14:textId="77777777" w:rsidR="00DA5E31" w:rsidRPr="00061D40" w:rsidRDefault="00DA5E31" w:rsidP="00DA5E31">
      <w:pPr>
        <w:pStyle w:val="bodytextoutlinednumber"/>
        <w:numPr>
          <w:ilvl w:val="2"/>
          <w:numId w:val="10"/>
        </w:numPr>
        <w:rPr>
          <w:shd w:val="clear" w:color="auto" w:fill="FFFFFD"/>
        </w:rPr>
      </w:pPr>
      <w:r w:rsidRPr="00061D40">
        <w:rPr>
          <w:shd w:val="clear" w:color="auto" w:fill="FFFFFD"/>
        </w:rPr>
        <w:t>a funding guarantee applies to this 26 per cent portion of LNSLN funds that is the subject of the new allocative arrangements. It ensures that no sector receives less (annual) funding under this portion of LNSLN than the amount it received in 2004</w:t>
      </w:r>
    </w:p>
    <w:p w14:paraId="7F4868F1" w14:textId="77777777" w:rsidR="00DA5E31" w:rsidRPr="00061D40" w:rsidRDefault="00DA5E31" w:rsidP="00DA5E31">
      <w:pPr>
        <w:pStyle w:val="bodytextoutlinednumber"/>
        <w:numPr>
          <w:ilvl w:val="3"/>
          <w:numId w:val="10"/>
        </w:numPr>
        <w:rPr>
          <w:shd w:val="clear" w:color="auto" w:fill="FFFFFD"/>
        </w:rPr>
      </w:pPr>
      <w:r w:rsidRPr="00061D40">
        <w:rPr>
          <w:shd w:val="clear" w:color="auto" w:fill="FFFFFD"/>
        </w:rPr>
        <w:t xml:space="preserve">if a sector’s notional </w:t>
      </w:r>
      <w:r w:rsidR="006A4EA0">
        <w:rPr>
          <w:shd w:val="clear" w:color="auto" w:fill="FFFFFD"/>
        </w:rPr>
        <w:t xml:space="preserve">annual </w:t>
      </w:r>
      <w:r w:rsidRPr="00061D40">
        <w:rPr>
          <w:shd w:val="clear" w:color="auto" w:fill="FFFFFD"/>
        </w:rPr>
        <w:t>allocation under this portion of funding is less than their 2004 funding, the sector will receive its 2004 level of funding</w:t>
      </w:r>
    </w:p>
    <w:p w14:paraId="7F4868F2" w14:textId="77777777" w:rsidR="00DA5E31" w:rsidRPr="00061D40" w:rsidRDefault="00DA5E31" w:rsidP="00DA5E31">
      <w:pPr>
        <w:pStyle w:val="bodytextoutlinednumber"/>
        <w:numPr>
          <w:ilvl w:val="3"/>
          <w:numId w:val="10"/>
        </w:numPr>
        <w:rPr>
          <w:shd w:val="clear" w:color="auto" w:fill="FFFFFD"/>
        </w:rPr>
      </w:pPr>
      <w:r w:rsidRPr="00061D40">
        <w:rPr>
          <w:shd w:val="clear" w:color="auto" w:fill="FFFFFD"/>
        </w:rPr>
        <w:t>this will continue until the sector’s funding allocation, calculated under the new arrangement as a share of the total pool, (noting that the total pool increases annually with supplementation), is greater than its 2004 level of funding</w:t>
      </w:r>
    </w:p>
    <w:p w14:paraId="7F4868F3" w14:textId="77777777" w:rsidR="00DA5E31" w:rsidRPr="00061D40" w:rsidRDefault="00DA5E31" w:rsidP="00DA5E31">
      <w:pPr>
        <w:pStyle w:val="Heading5"/>
        <w:spacing w:line="240" w:lineRule="auto"/>
      </w:pPr>
      <w:r w:rsidRPr="00061D40">
        <w:t>Students with disabilities component</w:t>
      </w:r>
    </w:p>
    <w:p w14:paraId="7F4868F4" w14:textId="77777777" w:rsidR="00DA5E31" w:rsidRPr="00061D40" w:rsidRDefault="00DA5E31" w:rsidP="00DA5E31">
      <w:pPr>
        <w:pStyle w:val="bodytextoutlinednumber"/>
      </w:pPr>
      <w:r w:rsidRPr="00061D40">
        <w:t>For the purposes of determining eligibility, a student with disability means a student who is in a non-government school and who has been assessed by a person with relevant qualifications as having intellectual, sensory, physical, social/emotional or multiple impairments to a degree that satisfies the criteria for enrolment in special education services or programs provided by the State or Territory in which the school or centre is located. (A student whose only impairment is a specific learning difficulty or for whom remedial education or remedial support is appropriate is not an eligible enrolment for the purposes of calculating per capita funding).</w:t>
      </w:r>
    </w:p>
    <w:p w14:paraId="7F4868F5" w14:textId="77777777" w:rsidR="00DA5E31" w:rsidRPr="00061D40" w:rsidRDefault="00DA5E31" w:rsidP="00DA5E31">
      <w:pPr>
        <w:pStyle w:val="bodytextoutlinednumber"/>
      </w:pPr>
      <w:r w:rsidRPr="00061D40">
        <w:t>Approximately 8 per cent of LNSLN funding is per capita payment for students with disabilities which is calculated using the formula:</w:t>
      </w:r>
    </w:p>
    <w:p w14:paraId="7F4868F6" w14:textId="77777777" w:rsidR="00DA5E31" w:rsidRPr="00061D40" w:rsidRDefault="00DA5E31" w:rsidP="00DA5E31">
      <w:pPr>
        <w:pStyle w:val="NumberedParagraph"/>
        <w:tabs>
          <w:tab w:val="left" w:pos="2900"/>
        </w:tabs>
        <w:spacing w:line="240" w:lineRule="auto"/>
        <w:ind w:left="3500" w:hanging="2933"/>
      </w:pPr>
      <w:r w:rsidRPr="00061D40">
        <w:t xml:space="preserve">Assistance amount </w:t>
      </w:r>
      <w:r w:rsidRPr="00061D40">
        <w:tab/>
        <w:t xml:space="preserve">X </w:t>
      </w:r>
      <w:r w:rsidRPr="00061D40">
        <w:tab/>
        <w:t>Number of eligible students with disabilities for the year immediately before the program year</w:t>
      </w:r>
    </w:p>
    <w:p w14:paraId="7F4868F7" w14:textId="77777777" w:rsidR="00DA5E31" w:rsidRPr="00061D40" w:rsidRDefault="00DA5E31" w:rsidP="00DA5E31">
      <w:pPr>
        <w:pStyle w:val="bodytextoutlinednumber"/>
      </w:pPr>
      <w:r w:rsidRPr="00061D40">
        <w:t>Below is an explanation on how the students with disabilities component of the LNSLN funding is derived:</w:t>
      </w:r>
    </w:p>
    <w:p w14:paraId="7F4868F8" w14:textId="77777777" w:rsidR="00DA5E31" w:rsidRPr="00061D40" w:rsidRDefault="00DA5E31" w:rsidP="00DA5E31">
      <w:pPr>
        <w:pStyle w:val="bodytextoutlinednumber"/>
        <w:numPr>
          <w:ilvl w:val="1"/>
          <w:numId w:val="10"/>
        </w:numPr>
        <w:rPr>
          <w:shd w:val="clear" w:color="auto" w:fill="FFFFFD"/>
        </w:rPr>
      </w:pPr>
      <w:r w:rsidRPr="00061D40">
        <w:rPr>
          <w:shd w:val="clear" w:color="auto" w:fill="FFFFFD"/>
        </w:rPr>
        <w:t>Students with disabilities (per-capita) portion of funding:</w:t>
      </w:r>
    </w:p>
    <w:p w14:paraId="7F4868F9" w14:textId="77777777" w:rsidR="00DA5E31" w:rsidRPr="00061D40" w:rsidRDefault="00DA5E31" w:rsidP="00DA5E31">
      <w:pPr>
        <w:pStyle w:val="bodytextoutlinednumber"/>
        <w:numPr>
          <w:ilvl w:val="2"/>
          <w:numId w:val="10"/>
        </w:numPr>
        <w:rPr>
          <w:shd w:val="clear" w:color="auto" w:fill="FFFFFD"/>
        </w:rPr>
      </w:pPr>
      <w:r w:rsidRPr="00061D40">
        <w:rPr>
          <w:shd w:val="clear" w:color="auto" w:fill="FFFFFD"/>
        </w:rPr>
        <w:lastRenderedPageBreak/>
        <w:t>LNSLN funding includes a students with disabilities payment based on the number of eligible students with disabilities within the non-government sector for the year immediately before the program year</w:t>
      </w:r>
    </w:p>
    <w:p w14:paraId="7F4868FA" w14:textId="77777777" w:rsidR="00DA5E31" w:rsidRPr="00061D40" w:rsidRDefault="00DA5E31" w:rsidP="00DA5E31">
      <w:pPr>
        <w:pStyle w:val="bodytextoutlinednumber"/>
        <w:numPr>
          <w:ilvl w:val="2"/>
          <w:numId w:val="10"/>
        </w:numPr>
        <w:rPr>
          <w:shd w:val="clear" w:color="auto" w:fill="FFFFFD"/>
        </w:rPr>
      </w:pPr>
      <w:r w:rsidRPr="00061D40">
        <w:rPr>
          <w:shd w:val="clear" w:color="auto" w:fill="FFFFFD"/>
        </w:rPr>
        <w:t>the assistance amount per student for 201</w:t>
      </w:r>
      <w:r w:rsidR="00776863">
        <w:rPr>
          <w:shd w:val="clear" w:color="auto" w:fill="FFFFFD"/>
        </w:rPr>
        <w:t>3</w:t>
      </w:r>
      <w:r>
        <w:rPr>
          <w:shd w:val="clear" w:color="auto" w:fill="FFFFFD"/>
        </w:rPr>
        <w:t xml:space="preserve"> </w:t>
      </w:r>
      <w:r w:rsidRPr="00061D40">
        <w:rPr>
          <w:shd w:val="clear" w:color="auto" w:fill="FFFFFD"/>
        </w:rPr>
        <w:t>is $</w:t>
      </w:r>
      <w:r w:rsidR="00151C8B">
        <w:rPr>
          <w:shd w:val="clear" w:color="auto" w:fill="FFFFFD"/>
        </w:rPr>
        <w:t>1023</w:t>
      </w:r>
      <w:r w:rsidR="00151C8B" w:rsidRPr="00061D40">
        <w:rPr>
          <w:shd w:val="clear" w:color="auto" w:fill="FFFFFD"/>
        </w:rPr>
        <w:t xml:space="preserve"> </w:t>
      </w:r>
      <w:r w:rsidRPr="00061D40">
        <w:rPr>
          <w:shd w:val="clear" w:color="auto" w:fill="FFFFFD"/>
        </w:rPr>
        <w:t>under section 96 of the Act.</w:t>
      </w:r>
    </w:p>
    <w:p w14:paraId="7F4868FB" w14:textId="77777777" w:rsidR="00DA5E31" w:rsidRPr="00061D40" w:rsidRDefault="00DA5E31" w:rsidP="00DA5E31">
      <w:pPr>
        <w:pStyle w:val="bodytextoutlinednumber"/>
      </w:pPr>
      <w:r w:rsidRPr="00061D40">
        <w:t xml:space="preserve">The supplementary information below is intended for state and territory non-government school education authorities responsible for administering the LNSLN funding. </w:t>
      </w:r>
    </w:p>
    <w:p w14:paraId="7F4868FC" w14:textId="77777777" w:rsidR="00DA5E31" w:rsidRPr="00061D40" w:rsidRDefault="00DA5E31" w:rsidP="00DA5E31">
      <w:pPr>
        <w:pStyle w:val="bodytextoutlinednumber"/>
        <w:numPr>
          <w:ilvl w:val="1"/>
          <w:numId w:val="10"/>
        </w:numPr>
        <w:rPr>
          <w:shd w:val="clear" w:color="auto" w:fill="FFFFFD"/>
        </w:rPr>
      </w:pPr>
      <w:r w:rsidRPr="00061D40">
        <w:rPr>
          <w:shd w:val="clear" w:color="auto" w:fill="FFFFFD"/>
        </w:rPr>
        <w:t>in administering the LNSLN funding for eligible schools, relevant authorities are required to ensure that these schools receive their students with disabilities entitlement</w:t>
      </w:r>
    </w:p>
    <w:p w14:paraId="7F4868FD" w14:textId="77777777" w:rsidR="00DA5E31" w:rsidRPr="00061D40" w:rsidRDefault="00DA5E31" w:rsidP="00DA5E31">
      <w:pPr>
        <w:pStyle w:val="bodytextoutlinednumber"/>
        <w:numPr>
          <w:ilvl w:val="1"/>
          <w:numId w:val="10"/>
        </w:numPr>
        <w:rPr>
          <w:shd w:val="clear" w:color="auto" w:fill="FFFFFD"/>
        </w:rPr>
      </w:pPr>
      <w:r w:rsidRPr="00061D40">
        <w:rPr>
          <w:shd w:val="clear" w:color="auto" w:fill="FFFFFD"/>
        </w:rPr>
        <w:t>at the beginning of each year, the Commonwealth will provide administering authorities with details of the number of eligible students with disabilities in each school in their sector. This information will enable administering authorities to provide the correct students with disabilities amount to each school in their sector</w:t>
      </w:r>
      <w:r>
        <w:rPr>
          <w:shd w:val="clear" w:color="auto" w:fill="FFFFFD"/>
        </w:rPr>
        <w:t>.</w:t>
      </w:r>
    </w:p>
    <w:p w14:paraId="7F4868FE" w14:textId="77777777" w:rsidR="00DA5E31" w:rsidRPr="00061D40" w:rsidRDefault="00DA5E31" w:rsidP="00DA5E31">
      <w:pPr>
        <w:pStyle w:val="bodytextoutlinednumber"/>
        <w:numPr>
          <w:ilvl w:val="1"/>
          <w:numId w:val="10"/>
        </w:numPr>
        <w:rPr>
          <w:shd w:val="clear" w:color="auto" w:fill="FFFFFD"/>
        </w:rPr>
      </w:pPr>
      <w:r w:rsidRPr="00061D40">
        <w:rPr>
          <w:shd w:val="clear" w:color="auto" w:fill="FFFFFD"/>
        </w:rPr>
        <w:t>in addition to the students with disabilities amount, the authority will also have the flexibility to use the broad banded pool of funds provided under LNSLN funding to determine the total level of assistance appropriate for a school in the context of needs across the system or sector.</w:t>
      </w:r>
    </w:p>
    <w:p w14:paraId="7F4868FF" w14:textId="77777777" w:rsidR="00D32016" w:rsidRDefault="00DA5E31">
      <w:pPr>
        <w:pStyle w:val="Heading4"/>
      </w:pPr>
      <w:r w:rsidRPr="00061D40">
        <w:t>Supplementation arrangements</w:t>
      </w:r>
    </w:p>
    <w:p w14:paraId="7F486900" w14:textId="77777777" w:rsidR="00DA5E31" w:rsidRPr="00061D40" w:rsidRDefault="00DA5E31" w:rsidP="00DA5E31">
      <w:pPr>
        <w:pStyle w:val="bodytextoutlinednumber"/>
      </w:pPr>
      <w:r w:rsidRPr="00061D40">
        <w:t xml:space="preserve">LNSLN funding is supplemented annually in line with movements in the AGSRC Index. The AGSRC Index is applied in accordance with the Act under sections 98 and 101 for Schools Grants and sections 96(3) and 101 for students with disabilities. Refer to </w:t>
      </w:r>
      <w:hyperlink w:anchor="_Appendix_K:_Supplementation" w:history="1">
        <w:r w:rsidRPr="00061D40">
          <w:rPr>
            <w:rStyle w:val="Hyperlink"/>
            <w:rFonts w:cs="Garamond"/>
          </w:rPr>
          <w:t>Appendix K</w:t>
        </w:r>
      </w:hyperlink>
      <w:r w:rsidRPr="00061D40">
        <w:t>.</w:t>
      </w:r>
    </w:p>
    <w:p w14:paraId="7F486901" w14:textId="77777777" w:rsidR="00D32016" w:rsidRDefault="00DA5E31">
      <w:pPr>
        <w:pStyle w:val="Heading4"/>
      </w:pPr>
      <w:r w:rsidRPr="00061D40">
        <w:t xml:space="preserve">Payment procedures </w:t>
      </w:r>
    </w:p>
    <w:p w14:paraId="7F486902" w14:textId="77777777" w:rsidR="00DA5E31" w:rsidRPr="00061D40" w:rsidRDefault="00DA5E31" w:rsidP="00DA5E31">
      <w:pPr>
        <w:pStyle w:val="bodytextoutlinednumber"/>
      </w:pPr>
      <w:r w:rsidRPr="00061D40">
        <w:t>Non-government school education authorities receive four payments under the LNSLN program over the period January-December for each program year (being made in January, April, July and October) of which each payment is one quarter of entitlement.</w:t>
      </w:r>
    </w:p>
    <w:p w14:paraId="7F486903" w14:textId="77777777" w:rsidR="00D32016" w:rsidRDefault="00DA5E31">
      <w:pPr>
        <w:pStyle w:val="Heading4"/>
      </w:pPr>
      <w:r w:rsidRPr="00061D40">
        <w:t xml:space="preserve">Financial accountability for program funding </w:t>
      </w:r>
    </w:p>
    <w:p w14:paraId="7F486904" w14:textId="77777777" w:rsidR="00DA5E31" w:rsidRPr="00061D40" w:rsidRDefault="00DA5E31" w:rsidP="00DA5E31">
      <w:pPr>
        <w:pStyle w:val="bodytextoutlinednumber"/>
        <w:rPr>
          <w:shd w:val="clear" w:color="auto" w:fill="FFFFFD"/>
        </w:rPr>
      </w:pPr>
      <w:r w:rsidRPr="00061D40">
        <w:rPr>
          <w:shd w:val="clear" w:color="auto" w:fill="FFFFFD"/>
        </w:rPr>
        <w:t xml:space="preserve">Non-government school education authorities in each state and territory are responsible for the detailed administration of the LNSLN funding in their systems and schools. </w:t>
      </w:r>
    </w:p>
    <w:p w14:paraId="7F486905" w14:textId="77777777" w:rsidR="00DA5E31" w:rsidRPr="00061D40" w:rsidRDefault="00DA5E31" w:rsidP="00DA5E31">
      <w:pPr>
        <w:pStyle w:val="bodytextoutlinednumber"/>
        <w:rPr>
          <w:shd w:val="clear" w:color="auto" w:fill="FFFFFD"/>
        </w:rPr>
      </w:pPr>
      <w:r w:rsidRPr="00061D40">
        <w:rPr>
          <w:shd w:val="clear" w:color="auto" w:fill="FFFFFD"/>
        </w:rPr>
        <w:t xml:space="preserve">School education authorities have the flexibility to make decisions on which schools, including special schools, have the greatest need for additional assistance for educationally disadvantaged students and to determine appropriate funding amounts for those schools. Schools have the flexibility to use funding innovatively to meet the needs of their students. </w:t>
      </w:r>
    </w:p>
    <w:p w14:paraId="7F486906" w14:textId="77777777" w:rsidR="00DA5E31" w:rsidRPr="00061D40" w:rsidRDefault="00DA5E31" w:rsidP="00DA5E31">
      <w:pPr>
        <w:pStyle w:val="bodytextoutlinednumber"/>
        <w:rPr>
          <w:shd w:val="clear" w:color="auto" w:fill="FFFFFD"/>
        </w:rPr>
      </w:pPr>
      <w:r w:rsidRPr="00061D40">
        <w:rPr>
          <w:shd w:val="clear" w:color="auto" w:fill="FFFFFD"/>
        </w:rPr>
        <w:t>The Commonwealth requires education authorities to take the following three principles into account in all aspects of managing the LNSLN funding:</w:t>
      </w:r>
    </w:p>
    <w:p w14:paraId="7F486907" w14:textId="77777777" w:rsidR="00DA5E31" w:rsidRPr="00061D40" w:rsidRDefault="00DA5E31" w:rsidP="00DA5E31">
      <w:pPr>
        <w:pStyle w:val="bodytextoutlinednumber"/>
        <w:numPr>
          <w:ilvl w:val="1"/>
          <w:numId w:val="10"/>
        </w:numPr>
        <w:rPr>
          <w:shd w:val="clear" w:color="auto" w:fill="FFFFFD"/>
        </w:rPr>
      </w:pPr>
      <w:r w:rsidRPr="00061D40">
        <w:rPr>
          <w:shd w:val="clear" w:color="auto" w:fill="FFFFFD"/>
        </w:rPr>
        <w:t>equity (ensuring resources are targeted to students in greatest need);</w:t>
      </w:r>
    </w:p>
    <w:p w14:paraId="7F486908" w14:textId="77777777" w:rsidR="00DA5E31" w:rsidRPr="00061D40" w:rsidRDefault="00DA5E31" w:rsidP="00DA5E31">
      <w:pPr>
        <w:pStyle w:val="bodytextoutlinednumber"/>
        <w:numPr>
          <w:ilvl w:val="1"/>
          <w:numId w:val="10"/>
        </w:numPr>
        <w:rPr>
          <w:shd w:val="clear" w:color="auto" w:fill="FFFFFD"/>
        </w:rPr>
      </w:pPr>
      <w:r w:rsidRPr="00061D40">
        <w:rPr>
          <w:shd w:val="clear" w:color="auto" w:fill="FFFFFD"/>
        </w:rPr>
        <w:lastRenderedPageBreak/>
        <w:t>effectiveness (ensuring that resources are used to support effective instructional approaches); and</w:t>
      </w:r>
    </w:p>
    <w:p w14:paraId="7F486909" w14:textId="77777777" w:rsidR="00DA5E31" w:rsidRPr="00061D40" w:rsidRDefault="00DA5E31" w:rsidP="00DA5E31">
      <w:pPr>
        <w:pStyle w:val="bodytextoutlinednumber"/>
        <w:numPr>
          <w:ilvl w:val="1"/>
          <w:numId w:val="10"/>
        </w:numPr>
        <w:rPr>
          <w:shd w:val="clear" w:color="auto" w:fill="FFFFFD"/>
        </w:rPr>
      </w:pPr>
      <w:r w:rsidRPr="00061D40">
        <w:rPr>
          <w:shd w:val="clear" w:color="auto" w:fill="FFFFFD"/>
        </w:rPr>
        <w:t xml:space="preserve">efficiency (ensuring that resources are not consumed in administrative procedures). This includes taking account of outcomes measures in a strategic way as part of the process for managing funding. </w:t>
      </w:r>
    </w:p>
    <w:p w14:paraId="7F48690A" w14:textId="77777777" w:rsidR="00DA5E31" w:rsidRPr="00061D40" w:rsidRDefault="00DA5E31" w:rsidP="00DA5E31">
      <w:pPr>
        <w:pStyle w:val="bodytextoutlinednumber"/>
        <w:rPr>
          <w:color w:val="auto"/>
          <w:shd w:val="clear" w:color="auto" w:fill="FFFFFD"/>
        </w:rPr>
      </w:pPr>
      <w:r w:rsidRPr="00061D40">
        <w:rPr>
          <w:color w:val="auto"/>
          <w:shd w:val="clear" w:color="auto" w:fill="FFFFFD"/>
        </w:rPr>
        <w:t>Authorities will meet their financial accountability for the LNSLN Program for a program year by submitting to the Department on or before 30 June each subsequent (or following) year or such other date as the Minister approves, an electronic Financial Accountability certificate.</w:t>
      </w:r>
    </w:p>
    <w:p w14:paraId="7F48690B" w14:textId="77777777" w:rsidR="00DA5E31" w:rsidRPr="00061D40" w:rsidRDefault="00DA5E31" w:rsidP="00DA5E31">
      <w:pPr>
        <w:pStyle w:val="bodytextoutlinednumber"/>
        <w:rPr>
          <w:shd w:val="clear" w:color="auto" w:fill="FFFFFD"/>
        </w:rPr>
      </w:pPr>
      <w:r w:rsidRPr="00061D40">
        <w:rPr>
          <w:shd w:val="clear" w:color="auto" w:fill="FFFFFD"/>
        </w:rPr>
        <w:t>The certificate is to be submitted by a Qualified Accountant. A Qualified Accountant is:</w:t>
      </w:r>
    </w:p>
    <w:p w14:paraId="7F48690C" w14:textId="77777777" w:rsidR="00DA5E31" w:rsidRPr="00061D40" w:rsidRDefault="00DA5E31" w:rsidP="00DA5E31">
      <w:pPr>
        <w:pStyle w:val="bodytextoutlinednumber"/>
        <w:numPr>
          <w:ilvl w:val="1"/>
          <w:numId w:val="10"/>
        </w:numPr>
      </w:pPr>
      <w:r w:rsidRPr="00061D40">
        <w:t xml:space="preserve">a qualified accountant within the meaning of the </w:t>
      </w:r>
      <w:r w:rsidRPr="00061D40">
        <w:rPr>
          <w:i/>
        </w:rPr>
        <w:t>Corporations Act 2001</w:t>
      </w:r>
    </w:p>
    <w:p w14:paraId="7F48690D" w14:textId="77777777" w:rsidR="00DA5E31" w:rsidRPr="00061D40" w:rsidRDefault="00DA5E31" w:rsidP="00DA5E31">
      <w:pPr>
        <w:pStyle w:val="bodytextoutlinednumber"/>
        <w:numPr>
          <w:ilvl w:val="0"/>
          <w:numId w:val="0"/>
        </w:numPr>
        <w:spacing w:before="100"/>
        <w:ind w:left="851"/>
      </w:pPr>
      <w:r w:rsidRPr="00061D40">
        <w:t>or</w:t>
      </w:r>
    </w:p>
    <w:p w14:paraId="7F48690E" w14:textId="77777777" w:rsidR="00DA5E31" w:rsidRPr="00061D40" w:rsidRDefault="00DA5E31" w:rsidP="00DA5E31">
      <w:pPr>
        <w:pStyle w:val="bodytextoutlinednumber"/>
        <w:numPr>
          <w:ilvl w:val="1"/>
          <w:numId w:val="10"/>
        </w:numPr>
      </w:pPr>
      <w:r w:rsidRPr="00061D40">
        <w:rPr>
          <w:shd w:val="clear" w:color="auto" w:fill="FFFFFD"/>
        </w:rPr>
        <w:t xml:space="preserve">a person registered (or taken to be registered) as a company auditor under the </w:t>
      </w:r>
      <w:r w:rsidRPr="00061D40">
        <w:rPr>
          <w:i/>
          <w:shd w:val="clear" w:color="auto" w:fill="FFFFFD"/>
        </w:rPr>
        <w:t>Corporations Act 2001</w:t>
      </w:r>
    </w:p>
    <w:p w14:paraId="7F48690F" w14:textId="77777777" w:rsidR="00DA5E31" w:rsidRPr="00061D40" w:rsidRDefault="00DA5E31" w:rsidP="00DA5E31">
      <w:pPr>
        <w:pStyle w:val="bodytextoutlinednumber"/>
        <w:numPr>
          <w:ilvl w:val="0"/>
          <w:numId w:val="0"/>
        </w:numPr>
        <w:spacing w:before="100"/>
        <w:ind w:left="851"/>
      </w:pPr>
      <w:r w:rsidRPr="00061D40">
        <w:t>or</w:t>
      </w:r>
    </w:p>
    <w:p w14:paraId="7F486910" w14:textId="77777777" w:rsidR="00DA5E31" w:rsidRPr="00061D40" w:rsidRDefault="00DA5E31" w:rsidP="00DA5E31">
      <w:pPr>
        <w:pStyle w:val="bodytextoutlinednumber"/>
        <w:numPr>
          <w:ilvl w:val="1"/>
          <w:numId w:val="10"/>
        </w:numPr>
        <w:rPr>
          <w:color w:val="auto"/>
        </w:rPr>
      </w:pPr>
      <w:r w:rsidRPr="00061D40">
        <w:rPr>
          <w:color w:val="auto"/>
        </w:rPr>
        <w:t xml:space="preserve">a person approved by the Minister as a qualified accountant for the purposes of the </w:t>
      </w:r>
      <w:r w:rsidRPr="00061D40">
        <w:rPr>
          <w:i/>
          <w:iCs/>
          <w:color w:val="auto"/>
        </w:rPr>
        <w:t>Schools Assistance Act 2008</w:t>
      </w:r>
      <w:r w:rsidRPr="00061D40">
        <w:rPr>
          <w:color w:val="auto"/>
        </w:rPr>
        <w:t>.</w:t>
      </w:r>
    </w:p>
    <w:p w14:paraId="7F486911" w14:textId="77777777" w:rsidR="00DA5E31" w:rsidRPr="00061D40" w:rsidRDefault="00DA5E31" w:rsidP="00DA5E31">
      <w:pPr>
        <w:pStyle w:val="bodytextoutlinednumber"/>
        <w:rPr>
          <w:color w:val="auto"/>
        </w:rPr>
      </w:pPr>
      <w:r w:rsidRPr="00061D40">
        <w:rPr>
          <w:color w:val="auto"/>
        </w:rPr>
        <w:t xml:space="preserve">Where an authority submits an overall financial accountability certificate </w:t>
      </w:r>
      <w:r>
        <w:rPr>
          <w:color w:val="auto"/>
        </w:rPr>
        <w:t xml:space="preserve">as required in their Funding Agreement with </w:t>
      </w:r>
      <w:r w:rsidRPr="00061D40">
        <w:rPr>
          <w:color w:val="auto"/>
        </w:rPr>
        <w:t>the Department, detailing funding across multiple programs, it does not then need to provide an individual financial accountability certificate to each targeted program area.</w:t>
      </w:r>
    </w:p>
    <w:p w14:paraId="7F486912" w14:textId="77777777" w:rsidR="00D32016" w:rsidRDefault="00DA5E31">
      <w:pPr>
        <w:pStyle w:val="Heading4"/>
        <w:rPr>
          <w:szCs w:val="24"/>
        </w:rPr>
      </w:pPr>
      <w:r w:rsidRPr="00061D40">
        <w:t>Information to be provided to the Commonwealth</w:t>
      </w:r>
    </w:p>
    <w:p w14:paraId="7F486913" w14:textId="77777777" w:rsidR="00DA5E31" w:rsidRPr="00061D40" w:rsidRDefault="00DA5E31" w:rsidP="00DA5E31">
      <w:pPr>
        <w:pStyle w:val="bodytextoutlinednumber"/>
        <w:rPr>
          <w:shd w:val="clear" w:color="auto" w:fill="FFFFFD"/>
        </w:rPr>
      </w:pPr>
      <w:r w:rsidRPr="00061D40">
        <w:rPr>
          <w:shd w:val="clear" w:color="auto" w:fill="FFFFFD"/>
        </w:rPr>
        <w:t>Non-government school education authorities may from time to time be required to provide supplementary material in areas to be determined. Any such requirement would be incorporated into the annual update of program guidelines throughout the 2009-201</w:t>
      </w:r>
      <w:r w:rsidR="000C6BB2">
        <w:rPr>
          <w:shd w:val="clear" w:color="auto" w:fill="FFFFFD"/>
        </w:rPr>
        <w:t>3</w:t>
      </w:r>
      <w:r w:rsidRPr="00061D40">
        <w:rPr>
          <w:shd w:val="clear" w:color="auto" w:fill="FFFFFD"/>
        </w:rPr>
        <w:t xml:space="preserve"> funding period. </w:t>
      </w:r>
    </w:p>
    <w:p w14:paraId="7F486914" w14:textId="77777777" w:rsidR="00DA5E31" w:rsidRPr="00061D40" w:rsidRDefault="00DA5E31" w:rsidP="00DA5E31">
      <w:pPr>
        <w:pStyle w:val="bodytextoutlinednumber"/>
        <w:rPr>
          <w:shd w:val="clear" w:color="auto" w:fill="FFFFFD"/>
        </w:rPr>
      </w:pPr>
      <w:r w:rsidRPr="00061D40">
        <w:rPr>
          <w:shd w:val="clear" w:color="auto" w:fill="FFFFFD"/>
        </w:rPr>
        <w:t xml:space="preserve">The Commonwealth requires details of enrolments of students with disabilities eligible for LNSLN funding. </w:t>
      </w:r>
    </w:p>
    <w:p w14:paraId="7F486915" w14:textId="77777777" w:rsidR="00DA5E31" w:rsidRPr="00061D40" w:rsidRDefault="00DA5E31" w:rsidP="00DA5E31">
      <w:pPr>
        <w:pStyle w:val="bodytextoutlinednumber"/>
        <w:rPr>
          <w:shd w:val="clear" w:color="auto" w:fill="FFFFFD"/>
        </w:rPr>
      </w:pPr>
      <w:r w:rsidRPr="00061D40">
        <w:rPr>
          <w:shd w:val="clear" w:color="auto" w:fill="FFFFFD"/>
        </w:rPr>
        <w:t xml:space="preserve">Data on students eligible for students with disabilities payment will be obtained from the non-government schools Census data conducted in August of the year prior to the program year. </w:t>
      </w:r>
    </w:p>
    <w:p w14:paraId="7F486916" w14:textId="77777777" w:rsidR="00DA5E31" w:rsidRPr="00061D40" w:rsidRDefault="00DA5E31" w:rsidP="00DA5E31">
      <w:pPr>
        <w:pStyle w:val="bodytextoutlinednumber"/>
      </w:pPr>
      <w:r w:rsidRPr="00061D40">
        <w:rPr>
          <w:shd w:val="clear" w:color="auto" w:fill="FFFFFD"/>
        </w:rPr>
        <w:t xml:space="preserve">Further Information and Enquiries: </w:t>
      </w:r>
    </w:p>
    <w:p w14:paraId="7F486917" w14:textId="77777777" w:rsidR="00DA5E31" w:rsidRPr="00061D40" w:rsidRDefault="00DA5E31" w:rsidP="00DA5E31">
      <w:pPr>
        <w:ind w:left="567"/>
      </w:pPr>
      <w:r w:rsidRPr="00061D40">
        <w:t>Director</w:t>
      </w:r>
    </w:p>
    <w:p w14:paraId="7F486918" w14:textId="77777777" w:rsidR="00DA5E31" w:rsidRPr="00061D40" w:rsidRDefault="00A47574" w:rsidP="00DA5E31">
      <w:pPr>
        <w:pStyle w:val="BodyText1"/>
        <w:spacing w:before="0" w:after="0" w:line="240" w:lineRule="auto"/>
        <w:ind w:left="567"/>
      </w:pPr>
      <w:r>
        <w:t>Education Access and Engagement</w:t>
      </w:r>
      <w:r w:rsidR="00DA5E31" w:rsidRPr="00061D40">
        <w:t xml:space="preserve"> Team</w:t>
      </w:r>
    </w:p>
    <w:p w14:paraId="7F486919" w14:textId="77777777" w:rsidR="00A47574" w:rsidRDefault="00A47574" w:rsidP="00DA5E31">
      <w:pPr>
        <w:pStyle w:val="BodyText1"/>
        <w:spacing w:before="0" w:after="0" w:line="240" w:lineRule="auto"/>
        <w:ind w:left="567"/>
      </w:pPr>
      <w:r>
        <w:t>Student and Parental</w:t>
      </w:r>
      <w:r w:rsidR="00DA5E31" w:rsidRPr="00061D40">
        <w:t xml:space="preserve"> Engagement Branch</w:t>
      </w:r>
    </w:p>
    <w:p w14:paraId="7F48691A" w14:textId="77777777" w:rsidR="00DA5E31" w:rsidRPr="00061D40" w:rsidRDefault="00A47574" w:rsidP="00DA5E31">
      <w:pPr>
        <w:pStyle w:val="BodyText1"/>
        <w:spacing w:before="0" w:after="0" w:line="240" w:lineRule="auto"/>
        <w:ind w:left="567"/>
      </w:pPr>
      <w:r>
        <w:t>Youth and Inclusive Education Group</w:t>
      </w:r>
      <w:r w:rsidR="00DA5E31" w:rsidRPr="00061D40">
        <w:t xml:space="preserve"> </w:t>
      </w:r>
    </w:p>
    <w:p w14:paraId="7F48691B" w14:textId="77777777" w:rsidR="00DA5E31" w:rsidRPr="00061D40" w:rsidRDefault="00DA5E31" w:rsidP="00DA5E31">
      <w:pPr>
        <w:pStyle w:val="BodyText1"/>
        <w:spacing w:before="0" w:after="0" w:line="240" w:lineRule="auto"/>
        <w:ind w:left="567"/>
      </w:pPr>
      <w:r w:rsidRPr="00061D40">
        <w:t xml:space="preserve">Department of Education, Employment and Workplace Relations </w:t>
      </w:r>
    </w:p>
    <w:p w14:paraId="7F48691C" w14:textId="77777777" w:rsidR="00DA5E31" w:rsidRPr="00061D40" w:rsidRDefault="00DA5E31" w:rsidP="00DA5E31">
      <w:pPr>
        <w:pStyle w:val="BodyText1"/>
        <w:spacing w:before="0" w:after="0" w:line="240" w:lineRule="auto"/>
        <w:ind w:left="567"/>
      </w:pPr>
      <w:r w:rsidRPr="00061D40">
        <w:t xml:space="preserve">Location </w:t>
      </w:r>
      <w:r w:rsidR="00AD2147" w:rsidRPr="00061D40">
        <w:t>C</w:t>
      </w:r>
      <w:r w:rsidR="00AD2147">
        <w:t>50MA8</w:t>
      </w:r>
    </w:p>
    <w:p w14:paraId="7F48691D" w14:textId="77777777" w:rsidR="00DA5E31" w:rsidRPr="00061D40" w:rsidRDefault="00DA5E31" w:rsidP="00DA5E31">
      <w:pPr>
        <w:pStyle w:val="BodyText1"/>
        <w:spacing w:before="0" w:after="0" w:line="240" w:lineRule="auto"/>
        <w:ind w:left="567"/>
      </w:pPr>
      <w:r w:rsidRPr="00061D40">
        <w:t xml:space="preserve">GPO Box 9880 </w:t>
      </w:r>
    </w:p>
    <w:p w14:paraId="7F48691E" w14:textId="77777777" w:rsidR="00BD3092" w:rsidRDefault="00DA5E31" w:rsidP="00904283">
      <w:pPr>
        <w:pStyle w:val="BodyText1"/>
        <w:spacing w:before="0" w:after="0" w:line="240" w:lineRule="auto"/>
        <w:ind w:left="567"/>
        <w:rPr>
          <w:caps/>
          <w:color w:val="165788"/>
          <w:sz w:val="48"/>
          <w:szCs w:val="48"/>
        </w:rPr>
      </w:pPr>
      <w:r w:rsidRPr="00061D40">
        <w:t>CANBERRA ACT 2601</w:t>
      </w:r>
      <w:bookmarkStart w:id="171" w:name="_Toc246483117"/>
      <w:bookmarkStart w:id="172" w:name="_Toc246493734"/>
      <w:bookmarkStart w:id="173" w:name="OLE_LINK61"/>
      <w:r w:rsidR="00BD3092">
        <w:br w:type="page"/>
      </w:r>
    </w:p>
    <w:p w14:paraId="7F48691F" w14:textId="77777777" w:rsidR="00DD6E89" w:rsidRPr="00061D40" w:rsidRDefault="00DD6E89" w:rsidP="00B77818">
      <w:pPr>
        <w:pStyle w:val="Heading1"/>
      </w:pPr>
      <w:bookmarkStart w:id="174" w:name="_Toc346205328"/>
      <w:r w:rsidRPr="00061D40">
        <w:lastRenderedPageBreak/>
        <w:t xml:space="preserve">Part </w:t>
      </w:r>
      <w:r w:rsidR="00472CEE" w:rsidRPr="00061D40">
        <w:t>5</w:t>
      </w:r>
      <w:r w:rsidRPr="00061D40">
        <w:t>: References</w:t>
      </w:r>
      <w:bookmarkEnd w:id="171"/>
      <w:bookmarkEnd w:id="172"/>
      <w:bookmarkEnd w:id="174"/>
    </w:p>
    <w:p w14:paraId="7F486920" w14:textId="77777777" w:rsidR="00D32016" w:rsidRDefault="00472CEE">
      <w:pPr>
        <w:pStyle w:val="Heading2"/>
      </w:pPr>
      <w:bookmarkStart w:id="175" w:name="_Toc346205329"/>
      <w:bookmarkStart w:id="176" w:name="_Toc246483118"/>
      <w:bookmarkEnd w:id="173"/>
      <w:r w:rsidRPr="00061D40">
        <w:t>5</w:t>
      </w:r>
      <w:r w:rsidR="00AA6BA2" w:rsidRPr="00061D40">
        <w:t xml:space="preserve">.1 </w:t>
      </w:r>
      <w:r w:rsidR="00DD6E89" w:rsidRPr="00061D40">
        <w:t>Acronyms</w:t>
      </w:r>
      <w:bookmarkEnd w:id="175"/>
      <w:r w:rsidR="00DD6E89" w:rsidRPr="00061D40">
        <w:t xml:space="preserve"> </w:t>
      </w:r>
      <w:bookmarkEnd w:id="176"/>
    </w:p>
    <w:p w14:paraId="7F486921" w14:textId="77777777" w:rsidR="00DD6E89" w:rsidRPr="00061D40" w:rsidRDefault="00DD6E89" w:rsidP="00E840BA">
      <w:pPr>
        <w:tabs>
          <w:tab w:val="left" w:pos="1800"/>
        </w:tabs>
        <w:ind w:left="1800" w:hanging="1800"/>
      </w:pPr>
      <w:r w:rsidRPr="00061D40">
        <w:t>ABS</w:t>
      </w:r>
      <w:r w:rsidRPr="00061D40">
        <w:tab/>
        <w:t>Australian Bureau of Statistics</w:t>
      </w:r>
    </w:p>
    <w:p w14:paraId="7F486922" w14:textId="77777777" w:rsidR="00DD6E89" w:rsidRPr="00061D40" w:rsidRDefault="00DD6E89" w:rsidP="00E840BA">
      <w:pPr>
        <w:tabs>
          <w:tab w:val="left" w:pos="1800"/>
        </w:tabs>
        <w:ind w:left="1800" w:hanging="1800"/>
      </w:pPr>
      <w:r w:rsidRPr="00061D40">
        <w:t>ACARA</w:t>
      </w:r>
      <w:r w:rsidRPr="00061D40">
        <w:tab/>
        <w:t>Australian Curriculum, Assessment and Reporting Authority</w:t>
      </w:r>
    </w:p>
    <w:p w14:paraId="7F486923" w14:textId="77777777" w:rsidR="00DD6E89" w:rsidRPr="00061D40" w:rsidRDefault="00DD6E89" w:rsidP="00E840BA">
      <w:pPr>
        <w:tabs>
          <w:tab w:val="left" w:pos="1800"/>
        </w:tabs>
        <w:ind w:left="1800" w:hanging="1800"/>
      </w:pPr>
      <w:r w:rsidRPr="00061D40">
        <w:t>AGSRC</w:t>
      </w:r>
      <w:r w:rsidRPr="00061D40">
        <w:tab/>
        <w:t>Average Government School Recurrent Costs</w:t>
      </w:r>
    </w:p>
    <w:p w14:paraId="7F486924" w14:textId="77777777" w:rsidR="00DD6E89" w:rsidRPr="00061D40" w:rsidRDefault="00DD6E89" w:rsidP="00E840BA">
      <w:pPr>
        <w:tabs>
          <w:tab w:val="left" w:pos="1800"/>
        </w:tabs>
        <w:ind w:left="1800" w:hanging="1800"/>
      </w:pPr>
      <w:r w:rsidRPr="00061D40">
        <w:t>BGA</w:t>
      </w:r>
      <w:r w:rsidRPr="00061D40">
        <w:tab/>
        <w:t>Block Grant Authority</w:t>
      </w:r>
    </w:p>
    <w:p w14:paraId="7F486925" w14:textId="77777777" w:rsidR="00DD6E89" w:rsidRPr="00061D40" w:rsidRDefault="00DD6E89" w:rsidP="00E840BA">
      <w:pPr>
        <w:tabs>
          <w:tab w:val="left" w:pos="1800"/>
        </w:tabs>
        <w:ind w:left="1800" w:hanging="1800"/>
      </w:pPr>
      <w:r w:rsidRPr="00061D40">
        <w:t>CAP</w:t>
      </w:r>
      <w:r w:rsidRPr="00061D40">
        <w:tab/>
        <w:t>Country Areas Program</w:t>
      </w:r>
    </w:p>
    <w:p w14:paraId="7F486926" w14:textId="77777777" w:rsidR="00DD6E89" w:rsidRPr="00061D40" w:rsidRDefault="00DD6E89" w:rsidP="00E840BA">
      <w:pPr>
        <w:tabs>
          <w:tab w:val="left" w:pos="1800"/>
        </w:tabs>
        <w:ind w:left="1800" w:hanging="1800"/>
      </w:pPr>
      <w:r w:rsidRPr="00061D40">
        <w:t>CD</w:t>
      </w:r>
      <w:r w:rsidRPr="00061D40">
        <w:tab/>
        <w:t xml:space="preserve">Census Collection District </w:t>
      </w:r>
    </w:p>
    <w:p w14:paraId="7F486927" w14:textId="77777777" w:rsidR="00DD6E89" w:rsidRPr="00061D40" w:rsidRDefault="00DD6E89" w:rsidP="00E840BA">
      <w:pPr>
        <w:tabs>
          <w:tab w:val="left" w:pos="1800"/>
        </w:tabs>
        <w:ind w:left="1800" w:hanging="1800"/>
      </w:pPr>
      <w:r w:rsidRPr="00061D40">
        <w:t>COAG</w:t>
      </w:r>
      <w:r w:rsidRPr="00061D40">
        <w:tab/>
        <w:t>Council of Australian Governments</w:t>
      </w:r>
    </w:p>
    <w:p w14:paraId="7F486928" w14:textId="77777777" w:rsidR="00DD6E89" w:rsidRPr="00061D40" w:rsidRDefault="00DD6E89" w:rsidP="00E840BA">
      <w:pPr>
        <w:tabs>
          <w:tab w:val="left" w:pos="1800"/>
        </w:tabs>
        <w:ind w:left="1800" w:hanging="1800"/>
      </w:pPr>
      <w:r w:rsidRPr="00061D40">
        <w:t>CRC</w:t>
      </w:r>
      <w:r w:rsidRPr="00061D40">
        <w:tab/>
        <w:t>COAG Reform Council</w:t>
      </w:r>
    </w:p>
    <w:p w14:paraId="7F486929" w14:textId="77777777" w:rsidR="00635E1D" w:rsidRPr="00061D40" w:rsidRDefault="00635E1D" w:rsidP="00E840BA">
      <w:pPr>
        <w:tabs>
          <w:tab w:val="left" w:pos="1800"/>
        </w:tabs>
        <w:ind w:left="1800" w:hanging="1800"/>
      </w:pPr>
      <w:r w:rsidRPr="00061D40">
        <w:t>DEEWR</w:t>
      </w:r>
      <w:r w:rsidRPr="00061D40">
        <w:tab/>
        <w:t>Department of Education, Employment and Workplace Relations</w:t>
      </w:r>
    </w:p>
    <w:p w14:paraId="7F48692A" w14:textId="77777777" w:rsidR="00DD6E89" w:rsidRPr="00061D40" w:rsidRDefault="00DD6E89" w:rsidP="00E840BA">
      <w:pPr>
        <w:tabs>
          <w:tab w:val="left" w:pos="1800"/>
        </w:tabs>
        <w:ind w:left="1800" w:hanging="1800"/>
      </w:pPr>
      <w:r w:rsidRPr="00061D40">
        <w:t>DIAC</w:t>
      </w:r>
      <w:r w:rsidRPr="00061D40">
        <w:tab/>
        <w:t xml:space="preserve">Department of Immigration and Citizenship </w:t>
      </w:r>
    </w:p>
    <w:p w14:paraId="7F48692B" w14:textId="77777777" w:rsidR="00DD6E89" w:rsidRPr="00061D40" w:rsidRDefault="00DD6E89" w:rsidP="00E840BA">
      <w:pPr>
        <w:tabs>
          <w:tab w:val="left" w:pos="1800"/>
        </w:tabs>
        <w:ind w:left="1800" w:hanging="1800"/>
      </w:pPr>
      <w:r w:rsidRPr="00061D40">
        <w:t>ESL</w:t>
      </w:r>
      <w:r w:rsidRPr="00061D40">
        <w:tab/>
        <w:t>English as a Second Language</w:t>
      </w:r>
    </w:p>
    <w:p w14:paraId="7F48692C" w14:textId="77777777" w:rsidR="00DD6E89" w:rsidRPr="00061D40" w:rsidRDefault="00DD6E89" w:rsidP="00E840BA">
      <w:pPr>
        <w:tabs>
          <w:tab w:val="left" w:pos="1800"/>
        </w:tabs>
        <w:ind w:left="1800" w:hanging="1800"/>
      </w:pPr>
      <w:r w:rsidRPr="00061D40">
        <w:t>ESL-NA</w:t>
      </w:r>
      <w:r w:rsidRPr="00061D40">
        <w:tab/>
        <w:t>English as a Second Language – New Arrivals</w:t>
      </w:r>
    </w:p>
    <w:p w14:paraId="7F48692D" w14:textId="77777777" w:rsidR="00DD6E89" w:rsidRPr="00061D40" w:rsidRDefault="00DD6E89" w:rsidP="00E840BA">
      <w:pPr>
        <w:tabs>
          <w:tab w:val="left" w:pos="1800"/>
        </w:tabs>
        <w:ind w:left="1800" w:hanging="1800"/>
      </w:pPr>
      <w:r w:rsidRPr="00061D40">
        <w:t>FOI</w:t>
      </w:r>
      <w:r w:rsidRPr="00061D40">
        <w:tab/>
        <w:t xml:space="preserve">Freedom of information </w:t>
      </w:r>
    </w:p>
    <w:p w14:paraId="7F48692E" w14:textId="77777777" w:rsidR="00DD6E89" w:rsidRDefault="00DD6E89" w:rsidP="00E840BA">
      <w:pPr>
        <w:tabs>
          <w:tab w:val="left" w:pos="1800"/>
        </w:tabs>
        <w:ind w:left="1800" w:hanging="1800"/>
      </w:pPr>
      <w:r w:rsidRPr="00061D40">
        <w:t>FTE</w:t>
      </w:r>
      <w:r w:rsidRPr="00061D40">
        <w:tab/>
        <w:t>Full Time Equivalent</w:t>
      </w:r>
    </w:p>
    <w:p w14:paraId="7F48692F" w14:textId="77777777" w:rsidR="004C7C89" w:rsidRDefault="004C7C89" w:rsidP="00E840BA">
      <w:pPr>
        <w:tabs>
          <w:tab w:val="left" w:pos="1800"/>
        </w:tabs>
        <w:ind w:left="1800" w:hanging="1800"/>
      </w:pPr>
      <w:r>
        <w:t>ICILS</w:t>
      </w:r>
      <w:r>
        <w:tab/>
        <w:t>International Computer and Information Literacy Study</w:t>
      </w:r>
    </w:p>
    <w:p w14:paraId="7F486930" w14:textId="77777777" w:rsidR="00A618FE" w:rsidRPr="00061D40" w:rsidRDefault="00A618FE" w:rsidP="00E840BA">
      <w:pPr>
        <w:tabs>
          <w:tab w:val="left" w:pos="1800"/>
        </w:tabs>
        <w:ind w:left="1800" w:hanging="1800"/>
      </w:pPr>
      <w:r>
        <w:t>ICSEA</w:t>
      </w:r>
      <w:r>
        <w:tab/>
        <w:t>Index for Community Socio-Educational Advantage</w:t>
      </w:r>
    </w:p>
    <w:p w14:paraId="7F486931" w14:textId="77777777" w:rsidR="00DD6E89" w:rsidRPr="00061D40" w:rsidRDefault="00DD6E89" w:rsidP="00E840BA">
      <w:pPr>
        <w:tabs>
          <w:tab w:val="left" w:pos="1800"/>
        </w:tabs>
        <w:ind w:left="1800" w:hanging="1800"/>
      </w:pPr>
      <w:r w:rsidRPr="00061D40">
        <w:t>ICT</w:t>
      </w:r>
      <w:r w:rsidRPr="00061D40">
        <w:tab/>
        <w:t>Information and Communication Technology</w:t>
      </w:r>
    </w:p>
    <w:p w14:paraId="7F486932" w14:textId="77777777" w:rsidR="00983FE8" w:rsidRPr="00061D40" w:rsidRDefault="00983FE8" w:rsidP="00E840BA">
      <w:pPr>
        <w:tabs>
          <w:tab w:val="left" w:pos="1800"/>
        </w:tabs>
        <w:ind w:left="1800" w:hanging="1800"/>
      </w:pPr>
      <w:r w:rsidRPr="00061D40">
        <w:t>IEA</w:t>
      </w:r>
      <w:r w:rsidRPr="00061D40">
        <w:tab/>
        <w:t>International Association for the Evaluation of Educational Achievement</w:t>
      </w:r>
    </w:p>
    <w:p w14:paraId="7F486933" w14:textId="77777777" w:rsidR="00DD6E89" w:rsidRPr="00061D40" w:rsidRDefault="00DD6E89" w:rsidP="00E840BA">
      <w:pPr>
        <w:tabs>
          <w:tab w:val="left" w:pos="1800"/>
        </w:tabs>
        <w:ind w:left="1800" w:hanging="1800"/>
      </w:pPr>
      <w:r w:rsidRPr="00061D40">
        <w:t>IFG</w:t>
      </w:r>
      <w:r w:rsidRPr="00061D40">
        <w:tab/>
        <w:t>Indigenous Funding Guarantee</w:t>
      </w:r>
    </w:p>
    <w:p w14:paraId="7F486934" w14:textId="77777777" w:rsidR="00DD6E89" w:rsidRPr="00061D40" w:rsidRDefault="00DD6E89" w:rsidP="00E840BA">
      <w:pPr>
        <w:tabs>
          <w:tab w:val="left" w:pos="1800"/>
        </w:tabs>
        <w:ind w:left="1800" w:hanging="1800"/>
      </w:pPr>
      <w:r w:rsidRPr="00061D40">
        <w:t>IPPs</w:t>
      </w:r>
      <w:r w:rsidRPr="00061D40">
        <w:tab/>
        <w:t xml:space="preserve">Information Privacy Principles </w:t>
      </w:r>
    </w:p>
    <w:p w14:paraId="7F486935" w14:textId="77777777" w:rsidR="00DD6E89" w:rsidRPr="00061D40" w:rsidRDefault="00DD6E89" w:rsidP="00E840BA">
      <w:pPr>
        <w:tabs>
          <w:tab w:val="left" w:pos="1800"/>
        </w:tabs>
        <w:ind w:left="1800" w:hanging="1800"/>
      </w:pPr>
      <w:r w:rsidRPr="00061D40">
        <w:t>IRSED</w:t>
      </w:r>
      <w:r w:rsidRPr="00061D40">
        <w:tab/>
        <w:t>Index of Relative Socio</w:t>
      </w:r>
      <w:r w:rsidR="004121A5" w:rsidRPr="00061D40">
        <w:t>-</w:t>
      </w:r>
      <w:r w:rsidRPr="00061D40">
        <w:t>economic Disadvantage</w:t>
      </w:r>
    </w:p>
    <w:p w14:paraId="7F486936" w14:textId="77777777" w:rsidR="00DD6E89" w:rsidRPr="00061D40" w:rsidRDefault="00DD6E89" w:rsidP="00E840BA">
      <w:pPr>
        <w:tabs>
          <w:tab w:val="left" w:pos="1800"/>
        </w:tabs>
        <w:ind w:left="1800" w:hanging="1800"/>
      </w:pPr>
      <w:r w:rsidRPr="00061D40">
        <w:t>ISA</w:t>
      </w:r>
      <w:r w:rsidRPr="00061D40">
        <w:tab/>
        <w:t>Indigenous Supplementary Assistance</w:t>
      </w:r>
    </w:p>
    <w:p w14:paraId="7F486937" w14:textId="77777777" w:rsidR="00DD6E89" w:rsidRPr="00061D40" w:rsidRDefault="00DD6E89" w:rsidP="00E840BA">
      <w:pPr>
        <w:tabs>
          <w:tab w:val="left" w:pos="1800"/>
        </w:tabs>
        <w:ind w:left="1800" w:hanging="1800"/>
      </w:pPr>
      <w:r w:rsidRPr="00061D40">
        <w:t>LBOTE</w:t>
      </w:r>
      <w:r w:rsidRPr="00061D40">
        <w:tab/>
        <w:t>Language Background Other than English</w:t>
      </w:r>
    </w:p>
    <w:p w14:paraId="7F486938" w14:textId="77777777" w:rsidR="00DD6E89" w:rsidRPr="00061D40" w:rsidRDefault="00DD6E89" w:rsidP="00E840BA">
      <w:pPr>
        <w:tabs>
          <w:tab w:val="left" w:pos="1800"/>
        </w:tabs>
        <w:ind w:left="1800" w:hanging="1800"/>
      </w:pPr>
      <w:r w:rsidRPr="00061D40">
        <w:t>LNSLN</w:t>
      </w:r>
      <w:r w:rsidRPr="00061D40">
        <w:tab/>
        <w:t>Literacy, Numeracy and Special Learning Needs Program</w:t>
      </w:r>
    </w:p>
    <w:p w14:paraId="7F486939" w14:textId="77777777" w:rsidR="00DD6E89" w:rsidRPr="00061D40" w:rsidRDefault="002B0549" w:rsidP="00E840BA">
      <w:pPr>
        <w:tabs>
          <w:tab w:val="left" w:pos="1800"/>
        </w:tabs>
        <w:ind w:left="1800" w:hanging="1800"/>
      </w:pPr>
      <w:r w:rsidRPr="00061D40">
        <w:t>MCEECDYA</w:t>
      </w:r>
      <w:r w:rsidRPr="00061D40">
        <w:tab/>
      </w:r>
      <w:r w:rsidR="00DD6E89" w:rsidRPr="00061D40">
        <w:t>Ministerial Council for Education, Early Childhood</w:t>
      </w:r>
      <w:r w:rsidRPr="00061D40">
        <w:t xml:space="preserve"> Development and Youth Affairs</w:t>
      </w:r>
      <w:r w:rsidR="00471C4E" w:rsidRPr="00061D40">
        <w:t xml:space="preserve"> (formerly MCEETYA)</w:t>
      </w:r>
    </w:p>
    <w:p w14:paraId="7F48693A" w14:textId="77777777" w:rsidR="00DD6E89" w:rsidRPr="00061D40" w:rsidRDefault="00DD6E89" w:rsidP="00E840BA">
      <w:pPr>
        <w:tabs>
          <w:tab w:val="left" w:pos="1800"/>
        </w:tabs>
        <w:ind w:left="1800" w:hanging="1800"/>
      </w:pPr>
      <w:r w:rsidRPr="00061D40">
        <w:t>MCEETYA</w:t>
      </w:r>
      <w:r w:rsidRPr="00061D40">
        <w:tab/>
        <w:t>Ministerial Council on Education, Employment, Training and Youth Affairs</w:t>
      </w:r>
    </w:p>
    <w:p w14:paraId="7F48693B" w14:textId="77777777" w:rsidR="00DD6E89" w:rsidRPr="00061D40" w:rsidRDefault="00DD6E89" w:rsidP="00E840BA">
      <w:pPr>
        <w:tabs>
          <w:tab w:val="left" w:pos="1800"/>
        </w:tabs>
        <w:ind w:left="1800" w:hanging="1800"/>
      </w:pPr>
      <w:r w:rsidRPr="00061D40">
        <w:t>NALSSP</w:t>
      </w:r>
      <w:r w:rsidRPr="00061D40">
        <w:tab/>
        <w:t>National Asian Languages and Studies in Schools Program</w:t>
      </w:r>
    </w:p>
    <w:p w14:paraId="7F48693C" w14:textId="77777777" w:rsidR="00DD6E89" w:rsidRPr="00061D40" w:rsidRDefault="00DD6E89" w:rsidP="00E840BA">
      <w:pPr>
        <w:tabs>
          <w:tab w:val="left" w:pos="1800"/>
        </w:tabs>
        <w:ind w:left="1800" w:hanging="1800"/>
      </w:pPr>
      <w:r w:rsidRPr="00061D40">
        <w:lastRenderedPageBreak/>
        <w:t>NAP</w:t>
      </w:r>
      <w:r w:rsidRPr="00061D40">
        <w:tab/>
        <w:t>National Assessment Program</w:t>
      </w:r>
    </w:p>
    <w:p w14:paraId="7F48693D" w14:textId="77777777" w:rsidR="00DD6E89" w:rsidRPr="00061D40" w:rsidRDefault="00DD6E89" w:rsidP="00E840BA">
      <w:pPr>
        <w:tabs>
          <w:tab w:val="left" w:pos="1800"/>
        </w:tabs>
        <w:ind w:left="1800" w:hanging="1800"/>
      </w:pPr>
      <w:r w:rsidRPr="00061D40">
        <w:t xml:space="preserve">NAPLAN </w:t>
      </w:r>
      <w:r w:rsidRPr="00061D40">
        <w:tab/>
        <w:t xml:space="preserve">National Assessment Program </w:t>
      </w:r>
      <w:r w:rsidR="002A3E4A" w:rsidRPr="00061D40">
        <w:t xml:space="preserve">– </w:t>
      </w:r>
      <w:r w:rsidRPr="00061D40">
        <w:t xml:space="preserve">Literacy and Numeracy </w:t>
      </w:r>
    </w:p>
    <w:p w14:paraId="7F48693E" w14:textId="77777777" w:rsidR="00DD6E89" w:rsidRPr="00061D40" w:rsidRDefault="00DD6E89" w:rsidP="00E840BA">
      <w:pPr>
        <w:tabs>
          <w:tab w:val="left" w:pos="1800"/>
        </w:tabs>
        <w:ind w:left="1800" w:hanging="1800"/>
      </w:pPr>
      <w:r w:rsidRPr="00061D40">
        <w:t>NEA</w:t>
      </w:r>
      <w:r w:rsidRPr="00061D40">
        <w:tab/>
        <w:t>National Education Agreement</w:t>
      </w:r>
    </w:p>
    <w:p w14:paraId="7F48693F" w14:textId="77777777" w:rsidR="00DD6E89" w:rsidRPr="00061D40" w:rsidRDefault="00DD6E89" w:rsidP="00E840BA">
      <w:pPr>
        <w:tabs>
          <w:tab w:val="left" w:pos="1800"/>
        </w:tabs>
        <w:ind w:left="1800" w:hanging="1800"/>
      </w:pPr>
      <w:r w:rsidRPr="00061D40">
        <w:t>OECD</w:t>
      </w:r>
      <w:r w:rsidRPr="00061D40">
        <w:tab/>
        <w:t>International Organisation for Economic Co</w:t>
      </w:r>
      <w:r w:rsidR="004121A5" w:rsidRPr="00061D40">
        <w:t>-</w:t>
      </w:r>
      <w:r w:rsidRPr="00061D40">
        <w:t xml:space="preserve">operation and Development </w:t>
      </w:r>
    </w:p>
    <w:p w14:paraId="7F486940" w14:textId="77777777" w:rsidR="002B0549" w:rsidRPr="00061D40" w:rsidRDefault="002B0549" w:rsidP="00E840BA">
      <w:pPr>
        <w:tabs>
          <w:tab w:val="left" w:pos="1800"/>
        </w:tabs>
        <w:ind w:left="1800" w:hanging="1800"/>
      </w:pPr>
      <w:r w:rsidRPr="00061D40">
        <w:t>PIRLS</w:t>
      </w:r>
      <w:r w:rsidRPr="00061D40">
        <w:tab/>
        <w:t>Progress in Internatio</w:t>
      </w:r>
      <w:r w:rsidR="00494534" w:rsidRPr="00061D40">
        <w:t>nal Reading Literacy Study</w:t>
      </w:r>
    </w:p>
    <w:p w14:paraId="7F486941" w14:textId="77777777" w:rsidR="00DD6E89" w:rsidRPr="00061D40" w:rsidRDefault="00DD6E89" w:rsidP="00E840BA">
      <w:pPr>
        <w:tabs>
          <w:tab w:val="left" w:pos="1800"/>
        </w:tabs>
        <w:ind w:left="1800" w:hanging="1800"/>
      </w:pPr>
      <w:r w:rsidRPr="00061D40">
        <w:t>PISA</w:t>
      </w:r>
      <w:r w:rsidRPr="00061D40">
        <w:tab/>
        <w:t xml:space="preserve">Programme for International Student Assessment </w:t>
      </w:r>
    </w:p>
    <w:p w14:paraId="7F486942" w14:textId="77777777" w:rsidR="00DD6E89" w:rsidRDefault="00DD6E89" w:rsidP="00E840BA">
      <w:pPr>
        <w:tabs>
          <w:tab w:val="left" w:pos="1800"/>
        </w:tabs>
        <w:ind w:left="1800" w:hanging="1800"/>
      </w:pPr>
      <w:r w:rsidRPr="00061D40">
        <w:t>RG</w:t>
      </w:r>
      <w:r w:rsidRPr="00061D40">
        <w:tab/>
        <w:t>Recurrent Grants</w:t>
      </w:r>
    </w:p>
    <w:p w14:paraId="7F486943" w14:textId="77777777" w:rsidR="004C7C89" w:rsidRPr="00061D40" w:rsidRDefault="004C7C89" w:rsidP="00E840BA">
      <w:pPr>
        <w:tabs>
          <w:tab w:val="left" w:pos="1800"/>
        </w:tabs>
        <w:ind w:left="1800" w:hanging="1800"/>
      </w:pPr>
      <w:r>
        <w:t>SCSEEC</w:t>
      </w:r>
      <w:r>
        <w:tab/>
        <w:t xml:space="preserve">Standing Council </w:t>
      </w:r>
      <w:r w:rsidR="00AD529A">
        <w:t>on</w:t>
      </w:r>
      <w:r w:rsidR="008A5112">
        <w:t xml:space="preserve"> School Education and Early Childhood</w:t>
      </w:r>
    </w:p>
    <w:p w14:paraId="7F486944" w14:textId="77777777" w:rsidR="00DD6E89" w:rsidRPr="00061D40" w:rsidRDefault="00DD6E89" w:rsidP="00E840BA">
      <w:pPr>
        <w:tabs>
          <w:tab w:val="left" w:pos="1800"/>
        </w:tabs>
        <w:ind w:left="1800" w:hanging="1800"/>
      </w:pPr>
      <w:r w:rsidRPr="00061D40">
        <w:t>SEIFA</w:t>
      </w:r>
      <w:r w:rsidRPr="00061D40">
        <w:tab/>
        <w:t>Socio</w:t>
      </w:r>
      <w:r w:rsidR="004121A5" w:rsidRPr="00061D40">
        <w:t>-</w:t>
      </w:r>
      <w:r w:rsidRPr="00061D40">
        <w:t xml:space="preserve">economic Indexes </w:t>
      </w:r>
      <w:r w:rsidR="00611A2B" w:rsidRPr="00061D40">
        <w:t>f</w:t>
      </w:r>
      <w:r w:rsidRPr="00061D40">
        <w:t>or Areas</w:t>
      </w:r>
    </w:p>
    <w:p w14:paraId="7F486945" w14:textId="77777777" w:rsidR="00DD6E89" w:rsidRDefault="00DD6E89" w:rsidP="00E840BA">
      <w:pPr>
        <w:tabs>
          <w:tab w:val="left" w:pos="1800"/>
        </w:tabs>
        <w:ind w:left="1800" w:hanging="1800"/>
      </w:pPr>
      <w:r w:rsidRPr="00061D40">
        <w:t>SES</w:t>
      </w:r>
      <w:r w:rsidRPr="00061D40">
        <w:tab/>
        <w:t>Socioeconomic status</w:t>
      </w:r>
    </w:p>
    <w:p w14:paraId="7F486946" w14:textId="77777777" w:rsidR="004B28FE" w:rsidRPr="00061D40" w:rsidRDefault="004B28FE" w:rsidP="00E840BA">
      <w:pPr>
        <w:tabs>
          <w:tab w:val="left" w:pos="1800"/>
        </w:tabs>
        <w:ind w:left="1800" w:hanging="1800"/>
      </w:pPr>
      <w:r>
        <w:t>SLP</w:t>
      </w:r>
      <w:r>
        <w:tab/>
        <w:t>School Languages Program</w:t>
      </w:r>
    </w:p>
    <w:p w14:paraId="7F486947" w14:textId="77777777" w:rsidR="00DD6E89" w:rsidRPr="00061D40" w:rsidRDefault="00DD6E89" w:rsidP="00E840BA">
      <w:pPr>
        <w:tabs>
          <w:tab w:val="left" w:pos="1800"/>
        </w:tabs>
        <w:ind w:left="1800" w:hanging="1800"/>
      </w:pPr>
      <w:r w:rsidRPr="00061D40">
        <w:t>STEA</w:t>
      </w:r>
      <w:r w:rsidRPr="00061D40">
        <w:tab/>
        <w:t>Short Term Emergency Assistance</w:t>
      </w:r>
    </w:p>
    <w:p w14:paraId="7F486948" w14:textId="77777777" w:rsidR="00DD6E89" w:rsidRPr="00061D40" w:rsidRDefault="00DD6E89" w:rsidP="00E840BA">
      <w:pPr>
        <w:tabs>
          <w:tab w:val="left" w:pos="1800"/>
        </w:tabs>
        <w:ind w:left="1800" w:hanging="1800"/>
      </w:pPr>
      <w:r w:rsidRPr="00061D40">
        <w:t>TIMSS</w:t>
      </w:r>
      <w:r w:rsidRPr="00061D40">
        <w:tab/>
        <w:t>Trends in International Mathematics and Science Study</w:t>
      </w:r>
      <w:r w:rsidR="00494534" w:rsidRPr="00061D40">
        <w:t xml:space="preserve"> </w:t>
      </w:r>
    </w:p>
    <w:p w14:paraId="7F486949" w14:textId="77777777" w:rsidR="00DD6E89" w:rsidRPr="00061D40" w:rsidRDefault="00DD6E89" w:rsidP="00E840BA">
      <w:pPr>
        <w:tabs>
          <w:tab w:val="left" w:pos="1800"/>
        </w:tabs>
        <w:ind w:left="1800" w:hanging="1800"/>
      </w:pPr>
      <w:r w:rsidRPr="00061D40">
        <w:t>VET</w:t>
      </w:r>
      <w:r w:rsidRPr="00061D40">
        <w:tab/>
        <w:t>Vocational Education and Training</w:t>
      </w:r>
    </w:p>
    <w:p w14:paraId="7F48694A" w14:textId="77777777" w:rsidR="00DD6E89" w:rsidRPr="00061D40" w:rsidRDefault="00DD6E89" w:rsidP="006455DC">
      <w:pPr>
        <w:pStyle w:val="Paragraphstyle0"/>
        <w:tabs>
          <w:tab w:val="clear" w:pos="567"/>
        </w:tabs>
        <w:spacing w:line="240" w:lineRule="auto"/>
        <w:ind w:left="0" w:firstLine="0"/>
      </w:pPr>
    </w:p>
    <w:p w14:paraId="7F48694B" w14:textId="77777777" w:rsidR="00D32016" w:rsidRDefault="00AA6BA2">
      <w:pPr>
        <w:pStyle w:val="Heading2"/>
      </w:pPr>
      <w:bookmarkStart w:id="177" w:name="_Toc246483120"/>
      <w:r w:rsidRPr="00061D40">
        <w:br w:type="page"/>
      </w:r>
      <w:bookmarkStart w:id="178" w:name="_Toc346205330"/>
      <w:r w:rsidR="00472CEE" w:rsidRPr="00061D40">
        <w:lastRenderedPageBreak/>
        <w:t>5</w:t>
      </w:r>
      <w:r w:rsidRPr="00061D40">
        <w:t xml:space="preserve">.2 </w:t>
      </w:r>
      <w:r w:rsidR="00DD6E89" w:rsidRPr="00061D40">
        <w:t>Additional Information</w:t>
      </w:r>
      <w:bookmarkEnd w:id="177"/>
      <w:bookmarkEnd w:id="178"/>
      <w:r w:rsidR="00DD6E89" w:rsidRPr="00061D40">
        <w:t xml:space="preserve"> </w:t>
      </w:r>
    </w:p>
    <w:p w14:paraId="7F48694C" w14:textId="77777777" w:rsidR="00D32016" w:rsidRDefault="009421BD">
      <w:pPr>
        <w:pStyle w:val="Heading3"/>
      </w:pPr>
      <w:r>
        <w:t>Privacy</w:t>
      </w:r>
    </w:p>
    <w:p w14:paraId="7F48694D" w14:textId="77777777" w:rsidR="00DD6E89" w:rsidRPr="00061D40" w:rsidRDefault="00DD6E89" w:rsidP="00E840BA">
      <w:pPr>
        <w:pStyle w:val="bodytextoutlinednumber"/>
      </w:pPr>
      <w:r w:rsidRPr="00061D40">
        <w:t xml:space="preserve">The Department is bound in administering its </w:t>
      </w:r>
      <w:r w:rsidRPr="00061D40">
        <w:rPr>
          <w:iCs/>
        </w:rPr>
        <w:t>Programs</w:t>
      </w:r>
      <w:r w:rsidRPr="00061D40">
        <w:t xml:space="preserve"> by the provisions of the </w:t>
      </w:r>
      <w:r w:rsidRPr="00061D40">
        <w:rPr>
          <w:i/>
        </w:rPr>
        <w:t xml:space="preserve">Privacy Act 1988 </w:t>
      </w:r>
      <w:r w:rsidRPr="00061D40">
        <w:t xml:space="preserve">(Privacy Act). Section 14 of the Privacy Act contains the Information Privacy Principles (IPPs) which prescribe the rules for handling personal information </w:t>
      </w:r>
      <w:r w:rsidR="004F4E6F">
        <w:t xml:space="preserve">held </w:t>
      </w:r>
      <w:r w:rsidRPr="00061D40">
        <w:t xml:space="preserve">by the </w:t>
      </w:r>
      <w:r w:rsidR="00FB42C0" w:rsidRPr="00061D40">
        <w:t>D</w:t>
      </w:r>
      <w:r w:rsidRPr="00061D40">
        <w:t>epartment.</w:t>
      </w:r>
    </w:p>
    <w:p w14:paraId="7F48694E" w14:textId="77777777" w:rsidR="004F4E6F" w:rsidRPr="00661E23" w:rsidRDefault="000E7069" w:rsidP="004F4E6F">
      <w:pPr>
        <w:pStyle w:val="bodytextoutlinednumber"/>
        <w:spacing w:after="150"/>
        <w:rPr>
          <w:color w:val="auto"/>
          <w:u w:val="single"/>
        </w:rPr>
      </w:pPr>
      <w:r w:rsidRPr="000E7069">
        <w:rPr>
          <w:color w:val="auto"/>
        </w:rPr>
        <w:t>The IPPs set out how the Department must collect, store, handle, use and disclose personal information, as well as providing individuals with certain rights to access their personal information and correct errors.</w:t>
      </w:r>
    </w:p>
    <w:p w14:paraId="7F48694F" w14:textId="77777777" w:rsidR="004F4E6F" w:rsidRDefault="004F4E6F" w:rsidP="004F4E6F">
      <w:pPr>
        <w:pStyle w:val="bodytextoutlinednumber"/>
        <w:spacing w:after="150"/>
      </w:pPr>
      <w:r w:rsidRPr="00D03315">
        <w:t xml:space="preserve">The Privacy Act defines ‘personal information’ as “information or an opinion (including information or an opinion forming part of a database), whether true or not, and whether </w:t>
      </w:r>
      <w:hyperlink r:id="rId59" w:anchor="record" w:history="1">
        <w:r w:rsidRPr="00D03315">
          <w:t>recorded</w:t>
        </w:r>
      </w:hyperlink>
      <w:r w:rsidRPr="00D03315">
        <w:t xml:space="preserve"> in a material form or not, about an </w:t>
      </w:r>
      <w:hyperlink r:id="rId60" w:anchor="individual" w:history="1">
        <w:r w:rsidRPr="00D03315">
          <w:t>individual</w:t>
        </w:r>
      </w:hyperlink>
      <w:r w:rsidRPr="00D03315">
        <w:t xml:space="preserve"> whose identity is apparent, or can reasonably be ascertained, fr</w:t>
      </w:r>
      <w:r>
        <w:t>om the information or opinion”.</w:t>
      </w:r>
    </w:p>
    <w:p w14:paraId="7F486950" w14:textId="77777777" w:rsidR="004F4E6F" w:rsidRDefault="004F4E6F" w:rsidP="004F4E6F">
      <w:pPr>
        <w:pStyle w:val="bodytextoutlinednumber"/>
        <w:spacing w:after="150"/>
        <w:rPr>
          <w:rFonts w:cs="Arial"/>
        </w:rPr>
      </w:pPr>
      <w:r>
        <w:rPr>
          <w:rFonts w:cs="Arial"/>
        </w:rPr>
        <w:t>Funding recipients</w:t>
      </w:r>
      <w:r w:rsidRPr="00D03315">
        <w:rPr>
          <w:rFonts w:cs="Arial"/>
        </w:rPr>
        <w:t xml:space="preserve"> </w:t>
      </w:r>
      <w:r>
        <w:rPr>
          <w:rFonts w:cs="Arial"/>
        </w:rPr>
        <w:t>may be</w:t>
      </w:r>
      <w:r w:rsidRPr="00D03315">
        <w:rPr>
          <w:rFonts w:cs="Arial"/>
        </w:rPr>
        <w:t xml:space="preserve"> contractually required to comply with the IPPs </w:t>
      </w:r>
      <w:r w:rsidRPr="00D03315">
        <w:t>when doing any act or engaging in any practice in relation to personal information for the purposes of the</w:t>
      </w:r>
      <w:r>
        <w:t xml:space="preserve"> relevant</w:t>
      </w:r>
      <w:r w:rsidRPr="00D03315">
        <w:t xml:space="preserve"> Funding Agreement, as if the </w:t>
      </w:r>
      <w:r>
        <w:t>funding recipient</w:t>
      </w:r>
      <w:r w:rsidRPr="00D03315">
        <w:t xml:space="preserve"> were an agency as defined in the </w:t>
      </w:r>
      <w:r w:rsidRPr="00D03315">
        <w:rPr>
          <w:iCs/>
        </w:rPr>
        <w:t>Privacy Act</w:t>
      </w:r>
      <w:r w:rsidRPr="00D03315">
        <w:rPr>
          <w:rFonts w:cs="Arial"/>
        </w:rPr>
        <w:t>.</w:t>
      </w:r>
    </w:p>
    <w:p w14:paraId="7F486951" w14:textId="77777777" w:rsidR="00DD6E89" w:rsidRPr="00061D40" w:rsidRDefault="004F4E6F" w:rsidP="00E840BA">
      <w:pPr>
        <w:pStyle w:val="bodytextoutlinednumber"/>
      </w:pPr>
      <w:r>
        <w:t xml:space="preserve">Funding recipients </w:t>
      </w:r>
      <w:r w:rsidR="00DD6E89" w:rsidRPr="00061D40">
        <w:t xml:space="preserve">may, depending on their level of annual turnover within the meaning of the Privacy Act, </w:t>
      </w:r>
      <w:r>
        <w:t xml:space="preserve">also </w:t>
      </w:r>
      <w:r w:rsidR="00DD6E89" w:rsidRPr="00061D40">
        <w:t xml:space="preserve">be required to comply with the National Privacy Principles set out in the Privacy Act when handling personal information collected for the purposes of that scheme/program. </w:t>
      </w:r>
      <w:r>
        <w:t>Funding recipients</w:t>
      </w:r>
      <w:r w:rsidR="00DD6E89" w:rsidRPr="00061D40">
        <w:t xml:space="preserve"> will also be required to comply with any applicable State or Territory privacy </w:t>
      </w:r>
      <w:r w:rsidR="00A842A2" w:rsidRPr="00061D40">
        <w:t>l</w:t>
      </w:r>
      <w:r w:rsidR="00DD6E89" w:rsidRPr="00061D40">
        <w:t>aws.</w:t>
      </w:r>
      <w:r w:rsidR="00DD6E89" w:rsidRPr="00061D40">
        <w:rPr>
          <w:i/>
        </w:rPr>
        <w:t xml:space="preserve"> </w:t>
      </w:r>
    </w:p>
    <w:p w14:paraId="7F486952" w14:textId="77777777" w:rsidR="007B7EAB" w:rsidRDefault="00DD6E89" w:rsidP="00E840BA">
      <w:pPr>
        <w:pStyle w:val="bodytextoutlinednumber"/>
      </w:pPr>
      <w:bookmarkStart w:id="179" w:name="_Ref246301292"/>
      <w:r w:rsidRPr="00061D40">
        <w:t xml:space="preserve">As required by </w:t>
      </w:r>
      <w:r w:rsidRPr="004F4E6F">
        <w:t>the Privacy Act</w:t>
      </w:r>
      <w:r w:rsidRPr="00061D40">
        <w:t xml:space="preserve">, where residential addresses are to be </w:t>
      </w:r>
      <w:r w:rsidR="004F4E6F">
        <w:t>disclosed by a school</w:t>
      </w:r>
      <w:r w:rsidR="004F4E6F" w:rsidRPr="00061D40">
        <w:t xml:space="preserve"> </w:t>
      </w:r>
      <w:r w:rsidRPr="00061D40">
        <w:t xml:space="preserve">to the Department, the school must </w:t>
      </w:r>
      <w:r w:rsidR="004F4E6F">
        <w:t xml:space="preserve">first </w:t>
      </w:r>
      <w:r w:rsidRPr="00061D40">
        <w:t xml:space="preserve">have sent a Privacy Notice (as provided to the school by the Department) to </w:t>
      </w:r>
      <w:r w:rsidR="004F4E6F">
        <w:t xml:space="preserve">the </w:t>
      </w:r>
      <w:r w:rsidRPr="00061D40">
        <w:t xml:space="preserve">parents or caregivers whose residential addresses are to be </w:t>
      </w:r>
      <w:r w:rsidR="004F4E6F">
        <w:t>disclosed</w:t>
      </w:r>
      <w:r w:rsidRPr="00061D40">
        <w:t>.</w:t>
      </w:r>
      <w:bookmarkEnd w:id="179"/>
    </w:p>
    <w:p w14:paraId="7F486953" w14:textId="77777777" w:rsidR="004F4E6F" w:rsidRDefault="004F4E6F" w:rsidP="004F4E6F">
      <w:pPr>
        <w:pStyle w:val="bodytextoutlinednumber"/>
      </w:pPr>
      <w:r>
        <w:t>Funding recipients</w:t>
      </w:r>
      <w:r w:rsidRPr="00667637">
        <w:t xml:space="preserve"> should seek their own independent legal advice regarding the application of the Privacy Act </w:t>
      </w:r>
      <w:r w:rsidR="009421BD">
        <w:t xml:space="preserve">and other relevant laws </w:t>
      </w:r>
      <w:r w:rsidRPr="00667637">
        <w:t>to their activities.</w:t>
      </w:r>
    </w:p>
    <w:p w14:paraId="7F486954" w14:textId="77777777" w:rsidR="004F4E6F" w:rsidRPr="00061D40" w:rsidRDefault="004F4E6F" w:rsidP="004F4E6F">
      <w:pPr>
        <w:pStyle w:val="bodytextoutlinednumber"/>
        <w:spacing w:after="150"/>
      </w:pPr>
      <w:r w:rsidRPr="00D03315">
        <w:t>More information about the Privacy Act</w:t>
      </w:r>
      <w:r>
        <w:t xml:space="preserve"> </w:t>
      </w:r>
      <w:r w:rsidRPr="00D03315">
        <w:t xml:space="preserve">can be obtained from the Office of the </w:t>
      </w:r>
      <w:r>
        <w:t>Australian Information</w:t>
      </w:r>
      <w:r w:rsidRPr="00D03315">
        <w:t xml:space="preserve"> Commissioner’s website at: </w:t>
      </w:r>
      <w:hyperlink r:id="rId61" w:history="1">
        <w:r w:rsidRPr="00E46C4F">
          <w:rPr>
            <w:rStyle w:val="Hyperlink"/>
          </w:rPr>
          <w:t>http://www.oaic.gov.au/</w:t>
        </w:r>
      </w:hyperlink>
      <w:r w:rsidR="008730C5" w:rsidRPr="008730C5">
        <w:rPr>
          <w:color w:val="auto"/>
        </w:rPr>
        <w:t xml:space="preserve">. </w:t>
      </w:r>
    </w:p>
    <w:p w14:paraId="7F486955" w14:textId="77777777" w:rsidR="00D32016" w:rsidRDefault="00DD6E89">
      <w:pPr>
        <w:pStyle w:val="Heading3"/>
      </w:pPr>
      <w:r w:rsidRPr="00061D40">
        <w:t>Privacy Complaints and Advice</w:t>
      </w:r>
    </w:p>
    <w:p w14:paraId="7F486956" w14:textId="77777777" w:rsidR="00D945D4" w:rsidRPr="00061D40" w:rsidRDefault="00DD6E89" w:rsidP="00E840BA">
      <w:pPr>
        <w:pStyle w:val="bodytextoutlinednumber"/>
      </w:pPr>
      <w:r w:rsidRPr="00061D40">
        <w:t>Complaints about breaches of privacy are to be referred to the Department’s National Office</w:t>
      </w:r>
      <w:r w:rsidR="00D945D4" w:rsidRPr="00061D40">
        <w:t xml:space="preserve"> at </w:t>
      </w:r>
      <w:hyperlink r:id="rId62" w:history="1">
        <w:r w:rsidR="00F02AE2" w:rsidRPr="004E71DF">
          <w:rPr>
            <w:rStyle w:val="Hyperlink"/>
            <w:rFonts w:cs="Garamond"/>
          </w:rPr>
          <w:t>privacy@deewr.gov.au</w:t>
        </w:r>
      </w:hyperlink>
      <w:r w:rsidR="00F02AE2">
        <w:t xml:space="preserve"> or at </w:t>
      </w:r>
      <w:r w:rsidR="00D945D4" w:rsidRPr="00061D40">
        <w:t>the following address:</w:t>
      </w:r>
    </w:p>
    <w:p w14:paraId="7F486957" w14:textId="77777777" w:rsidR="002A0170" w:rsidRDefault="004F4E6F" w:rsidP="002A0170">
      <w:pPr>
        <w:spacing w:before="0"/>
        <w:ind w:left="567"/>
      </w:pPr>
      <w:r>
        <w:t>Privacy Contact Officer</w:t>
      </w:r>
    </w:p>
    <w:p w14:paraId="7F486958" w14:textId="77777777" w:rsidR="002A0170" w:rsidRDefault="00F02AE2" w:rsidP="002A0170">
      <w:pPr>
        <w:spacing w:before="0"/>
        <w:ind w:left="567"/>
      </w:pPr>
      <w:r>
        <w:t>Freedom of Information, Privacy</w:t>
      </w:r>
      <w:r w:rsidR="00AA6BA2" w:rsidRPr="00061D40">
        <w:t xml:space="preserve"> </w:t>
      </w:r>
      <w:r w:rsidR="009421BD">
        <w:t xml:space="preserve">and People </w:t>
      </w:r>
      <w:r w:rsidR="00AA6BA2" w:rsidRPr="00061D40">
        <w:t>Branch</w:t>
      </w:r>
      <w:r w:rsidR="00AA6BA2" w:rsidRPr="00061D40">
        <w:br/>
        <w:t>Legal</w:t>
      </w:r>
      <w:r w:rsidR="005835A0">
        <w:t xml:space="preserve"> and</w:t>
      </w:r>
      <w:r w:rsidR="00AA6BA2" w:rsidRPr="00061D40">
        <w:t xml:space="preserve"> Investigations Group</w:t>
      </w:r>
      <w:r w:rsidR="00AA6BA2" w:rsidRPr="00061D40">
        <w:br/>
        <w:t xml:space="preserve">DEEWR – Loc </w:t>
      </w:r>
      <w:r w:rsidR="009421BD" w:rsidRPr="00061D40">
        <w:t>C1</w:t>
      </w:r>
      <w:r w:rsidR="009421BD">
        <w:t>2MT1</w:t>
      </w:r>
      <w:r w:rsidR="00AA6BA2" w:rsidRPr="00061D40">
        <w:br/>
        <w:t>GPO Box 9880</w:t>
      </w:r>
      <w:r w:rsidR="00AA6BA2" w:rsidRPr="00061D40">
        <w:br/>
        <w:t>CANBERRA ACT 2601</w:t>
      </w:r>
    </w:p>
    <w:p w14:paraId="7F486959" w14:textId="77777777" w:rsidR="00DD6E89" w:rsidRPr="00061D40" w:rsidRDefault="00DD6E89" w:rsidP="00E840BA">
      <w:pPr>
        <w:pStyle w:val="bodytextoutlinednumber"/>
      </w:pPr>
      <w:r w:rsidRPr="00061D40">
        <w:lastRenderedPageBreak/>
        <w:t xml:space="preserve">Privacy complaints can be made directly to the </w:t>
      </w:r>
      <w:r w:rsidR="004F4E6F">
        <w:t>Office of the Australian Information</w:t>
      </w:r>
      <w:r w:rsidRPr="00061D40">
        <w:t xml:space="preserve"> Commissioner. However, the Commissioner </w:t>
      </w:r>
      <w:r w:rsidR="004F4E6F">
        <w:t xml:space="preserve">generally </w:t>
      </w:r>
      <w:r w:rsidRPr="00061D40">
        <w:t>prefers that the Department be given an opportunity to deal with the complaint in the first instance.</w:t>
      </w:r>
    </w:p>
    <w:p w14:paraId="7F48695A" w14:textId="77777777" w:rsidR="00D32016" w:rsidRDefault="00DD6E89">
      <w:pPr>
        <w:pStyle w:val="Heading3"/>
        <w:rPr>
          <w:szCs w:val="22"/>
        </w:rPr>
      </w:pPr>
      <w:r w:rsidRPr="00061D40">
        <w:t>Freedom of information (FOI)</w:t>
      </w:r>
    </w:p>
    <w:p w14:paraId="7F48695B" w14:textId="77777777" w:rsidR="00D945D4" w:rsidRPr="00061D40" w:rsidRDefault="00DD6E89" w:rsidP="00E840BA">
      <w:pPr>
        <w:pStyle w:val="bodytextoutlinednumber"/>
      </w:pPr>
      <w:r w:rsidRPr="00061D40">
        <w:t xml:space="preserve">All documents </w:t>
      </w:r>
      <w:r w:rsidR="00D945D4" w:rsidRPr="00061D40">
        <w:t>in the possession of</w:t>
      </w:r>
      <w:r w:rsidRPr="00061D40">
        <w:t xml:space="preserve"> the Department</w:t>
      </w:r>
      <w:r w:rsidR="004F4E6F">
        <w:t>, including those in relation to its Programs,</w:t>
      </w:r>
      <w:r w:rsidRPr="00061D40">
        <w:t xml:space="preserve"> are subject to the </w:t>
      </w:r>
      <w:r w:rsidRPr="00061D40">
        <w:rPr>
          <w:i/>
        </w:rPr>
        <w:t xml:space="preserve">Freedom of </w:t>
      </w:r>
      <w:r w:rsidRPr="00061D40">
        <w:t>Information</w:t>
      </w:r>
      <w:r w:rsidRPr="00061D40">
        <w:rPr>
          <w:i/>
        </w:rPr>
        <w:t xml:space="preserve"> Act 1982</w:t>
      </w:r>
      <w:r w:rsidRPr="00061D40">
        <w:t xml:space="preserve"> (FOI Act). </w:t>
      </w:r>
      <w:r w:rsidR="00D945D4" w:rsidRPr="00061D40">
        <w:t>Decisions regarding requests for access will be made by the authorised FOI decision-maker in accordance with the requirements of the FOI Act.</w:t>
      </w:r>
    </w:p>
    <w:p w14:paraId="7F48695C" w14:textId="77777777" w:rsidR="00D945D4" w:rsidRPr="00061D40" w:rsidRDefault="00D945D4" w:rsidP="00E840BA">
      <w:pPr>
        <w:pStyle w:val="bodytextoutlinednumber"/>
      </w:pPr>
      <w:r w:rsidRPr="00061D40">
        <w:t>The FOI Act creates a general right of access to documents in the possession of the Department and this right of access is limited only by the exceptions and exemptions necessary for the protection of essential public interests, and the pri</w:t>
      </w:r>
      <w:r w:rsidR="004150A7" w:rsidRPr="00061D40">
        <w:t>v</w:t>
      </w:r>
      <w:r w:rsidRPr="00061D40">
        <w:t>acy and business affairs of persons in respect of whom the information relates.</w:t>
      </w:r>
    </w:p>
    <w:p w14:paraId="7F48695D" w14:textId="77777777" w:rsidR="00DD6E89" w:rsidRPr="00061D40" w:rsidRDefault="00D945D4" w:rsidP="00E840BA">
      <w:pPr>
        <w:pStyle w:val="bodytextoutlinednumber"/>
      </w:pPr>
      <w:r w:rsidRPr="00061D40">
        <w:t xml:space="preserve">To the extent required by the FOI Act, where </w:t>
      </w:r>
      <w:r w:rsidR="004F4E6F">
        <w:t xml:space="preserve">access to </w:t>
      </w:r>
      <w:r w:rsidRPr="00061D40">
        <w:t xml:space="preserve">documents </w:t>
      </w:r>
      <w:r w:rsidR="004F4E6F">
        <w:t>would involve the disclosure of</w:t>
      </w:r>
      <w:r w:rsidRPr="00061D40">
        <w:t xml:space="preserve"> personal information</w:t>
      </w:r>
      <w:r w:rsidR="009D36B5">
        <w:t>, affect</w:t>
      </w:r>
      <w:r w:rsidR="0023233B" w:rsidRPr="00061D40">
        <w:t xml:space="preserve"> the business, commercial or</w:t>
      </w:r>
      <w:r w:rsidRPr="00061D40">
        <w:t xml:space="preserve"> financial affairs of third parties, the Depart</w:t>
      </w:r>
      <w:r w:rsidR="0023233B" w:rsidRPr="00061D40">
        <w:t xml:space="preserve">ment will consult with </w:t>
      </w:r>
      <w:r w:rsidR="001E22CB" w:rsidRPr="00061D40">
        <w:t xml:space="preserve">affected </w:t>
      </w:r>
      <w:r w:rsidR="009D36B5">
        <w:t xml:space="preserve">third parties </w:t>
      </w:r>
      <w:r w:rsidR="001E22CB" w:rsidRPr="00061D40">
        <w:t>prior to making any decision on access to such documents.</w:t>
      </w:r>
    </w:p>
    <w:p w14:paraId="7F48695E" w14:textId="77777777" w:rsidR="001E22CB" w:rsidRPr="00061D40" w:rsidRDefault="00DD6E89" w:rsidP="00E840BA">
      <w:pPr>
        <w:pStyle w:val="bodytextoutlinednumber"/>
      </w:pPr>
      <w:r w:rsidRPr="00061D40">
        <w:t>All FOI requests are to be referred to the Department's National Office</w:t>
      </w:r>
      <w:r w:rsidR="001E22CB" w:rsidRPr="00061D40">
        <w:t xml:space="preserve"> at </w:t>
      </w:r>
      <w:hyperlink r:id="rId63" w:history="1">
        <w:r w:rsidR="00C35FAE" w:rsidRPr="0053758F">
          <w:rPr>
            <w:rStyle w:val="Hyperlink"/>
            <w:rFonts w:cs="Garamond"/>
          </w:rPr>
          <w:t>foi@deewr.gov.au</w:t>
        </w:r>
      </w:hyperlink>
      <w:r w:rsidR="00C35FAE">
        <w:t xml:space="preserve"> or at </w:t>
      </w:r>
      <w:r w:rsidR="001E22CB" w:rsidRPr="00061D40">
        <w:t>the following address:</w:t>
      </w:r>
      <w:r w:rsidR="001E22CB" w:rsidRPr="00061D40" w:rsidDel="001E22CB">
        <w:t xml:space="preserve"> </w:t>
      </w:r>
    </w:p>
    <w:p w14:paraId="7F48695F" w14:textId="77777777" w:rsidR="002A0170" w:rsidRDefault="00AA6BA2" w:rsidP="002A0170">
      <w:pPr>
        <w:spacing w:before="0"/>
        <w:ind w:left="567"/>
      </w:pPr>
      <w:r w:rsidRPr="00061D40">
        <w:t xml:space="preserve">FOI </w:t>
      </w:r>
      <w:r w:rsidR="009D36B5">
        <w:t>Team Leader</w:t>
      </w:r>
    </w:p>
    <w:p w14:paraId="7F486960" w14:textId="77777777" w:rsidR="002A0170" w:rsidRDefault="00D63F3E" w:rsidP="002A0170">
      <w:pPr>
        <w:spacing w:before="0"/>
        <w:ind w:left="567"/>
      </w:pPr>
      <w:r>
        <w:t>Freedom of Information, Privacy</w:t>
      </w:r>
      <w:r w:rsidR="009D36B5">
        <w:t xml:space="preserve"> </w:t>
      </w:r>
      <w:r w:rsidR="00C35FAE">
        <w:t xml:space="preserve">and People </w:t>
      </w:r>
      <w:r w:rsidR="009D36B5">
        <w:t>Branch</w:t>
      </w:r>
      <w:r w:rsidR="00AA6BA2" w:rsidRPr="00061D40">
        <w:br/>
        <w:t>Legal</w:t>
      </w:r>
      <w:r w:rsidR="000142AE">
        <w:t xml:space="preserve"> and</w:t>
      </w:r>
      <w:r w:rsidR="00AA6BA2" w:rsidRPr="00061D40">
        <w:t xml:space="preserve"> Investigations Group</w:t>
      </w:r>
      <w:r w:rsidR="00AA6BA2" w:rsidRPr="00061D40">
        <w:br/>
        <w:t xml:space="preserve">DEEWR – Loc </w:t>
      </w:r>
      <w:r w:rsidR="00C35FAE">
        <w:t>C12MT1</w:t>
      </w:r>
      <w:r w:rsidR="00AA6BA2" w:rsidRPr="00061D40">
        <w:br/>
        <w:t>GPO Box 9880</w:t>
      </w:r>
      <w:r w:rsidR="00AA6BA2" w:rsidRPr="00061D40">
        <w:br/>
        <w:t>CANBERRA ACT 2601</w:t>
      </w:r>
    </w:p>
    <w:p w14:paraId="7F486961" w14:textId="77777777" w:rsidR="00DD6E89" w:rsidRPr="00061D40" w:rsidRDefault="009D36B5" w:rsidP="00E840BA">
      <w:pPr>
        <w:pStyle w:val="bodytextoutlinednumber"/>
      </w:pPr>
      <w:r>
        <w:t>Further information about funding recipients’</w:t>
      </w:r>
      <w:r w:rsidRPr="00061D40">
        <w:t xml:space="preserve"> </w:t>
      </w:r>
      <w:r w:rsidR="00DD6E89" w:rsidRPr="00061D40">
        <w:t xml:space="preserve">obligations </w:t>
      </w:r>
      <w:r>
        <w:t xml:space="preserve">under the FOI Act </w:t>
      </w:r>
      <w:r w:rsidR="00DD6E89" w:rsidRPr="00061D40">
        <w:t>will be set out in detail in agreements with successful applicants.</w:t>
      </w:r>
    </w:p>
    <w:p w14:paraId="7F486962" w14:textId="77777777" w:rsidR="003860E5" w:rsidRPr="00061D40" w:rsidRDefault="00AA6BA2" w:rsidP="00B77818">
      <w:pPr>
        <w:pStyle w:val="Heading1"/>
      </w:pPr>
      <w:r w:rsidRPr="00061D40">
        <w:br w:type="page"/>
      </w:r>
      <w:bookmarkStart w:id="180" w:name="_Toc246483121"/>
      <w:bookmarkStart w:id="181" w:name="_Toc246493735"/>
      <w:bookmarkStart w:id="182" w:name="_Toc346205331"/>
      <w:r w:rsidR="004C2430" w:rsidRPr="00061D40">
        <w:lastRenderedPageBreak/>
        <w:t xml:space="preserve">Part </w:t>
      </w:r>
      <w:r w:rsidR="00472CEE" w:rsidRPr="00061D40">
        <w:t>6</w:t>
      </w:r>
      <w:r w:rsidR="004C2430" w:rsidRPr="00061D40">
        <w:t xml:space="preserve">: </w:t>
      </w:r>
      <w:r w:rsidR="003860E5" w:rsidRPr="00061D40">
        <w:t>Appendices</w:t>
      </w:r>
      <w:bookmarkEnd w:id="180"/>
      <w:bookmarkEnd w:id="181"/>
      <w:bookmarkEnd w:id="182"/>
    </w:p>
    <w:p w14:paraId="7F486963" w14:textId="77777777" w:rsidR="00A96CE2" w:rsidRPr="00061D40" w:rsidRDefault="00533FD5" w:rsidP="00A96CE2">
      <w:pPr>
        <w:pStyle w:val="Heading2"/>
      </w:pPr>
      <w:bookmarkStart w:id="183" w:name="_Toc346205332"/>
      <w:bookmarkEnd w:id="169"/>
      <w:bookmarkEnd w:id="170"/>
      <w:r w:rsidRPr="00061D40">
        <w:t>Appendix A</w:t>
      </w:r>
      <w:r w:rsidR="00A96CE2" w:rsidRPr="00061D40">
        <w:t>: Guidelines for Calculating an SES Score</w:t>
      </w:r>
      <w:bookmarkEnd w:id="183"/>
    </w:p>
    <w:p w14:paraId="7F486964" w14:textId="77777777" w:rsidR="00D27AC8" w:rsidRPr="00061D40" w:rsidRDefault="00D27AC8" w:rsidP="00A96CE2">
      <w:pPr>
        <w:pStyle w:val="Heading3"/>
      </w:pPr>
      <w:r w:rsidRPr="00061D40">
        <w:t>Introduction</w:t>
      </w:r>
    </w:p>
    <w:p w14:paraId="7F486965" w14:textId="77777777" w:rsidR="00D27AC8" w:rsidRPr="00061D40" w:rsidRDefault="00D27AC8" w:rsidP="00505ABD">
      <w:pPr>
        <w:pStyle w:val="StyleAppendicesBodyTextLinespacingsingle"/>
      </w:pPr>
      <w:r w:rsidRPr="00061D40">
        <w:t xml:space="preserve">Under section 72 of the Act, the Guidelines for Calculating a School SES Score are a legislative instrument for the purposes of the </w:t>
      </w:r>
      <w:r w:rsidRPr="00061D40">
        <w:rPr>
          <w:i/>
        </w:rPr>
        <w:t>Legislative Instruments Act 2003</w:t>
      </w:r>
      <w:r w:rsidRPr="00061D40">
        <w:t>.</w:t>
      </w:r>
    </w:p>
    <w:p w14:paraId="7F486966" w14:textId="77777777" w:rsidR="00D32016" w:rsidRDefault="00D27AC8">
      <w:pPr>
        <w:pStyle w:val="Heading3"/>
      </w:pPr>
      <w:r w:rsidRPr="00061D40">
        <w:t>Definitions</w:t>
      </w:r>
    </w:p>
    <w:p w14:paraId="7F486967" w14:textId="77777777" w:rsidR="00D27AC8" w:rsidRPr="00061D40" w:rsidRDefault="00D27AC8" w:rsidP="00505ABD">
      <w:pPr>
        <w:pStyle w:val="StyleAppendicesBodyTextLinespacingsingle"/>
      </w:pPr>
      <w:r w:rsidRPr="00061D40">
        <w:t>In these Guidelines, definitions and important concepts apply as set out in sections 4 to 10 of the Act.</w:t>
      </w:r>
      <w:r w:rsidR="008E5ABB" w:rsidRPr="00061D40">
        <w:t xml:space="preserve"> </w:t>
      </w:r>
      <w:r w:rsidRPr="00061D40">
        <w:t>In addition, the following definitions apply:</w:t>
      </w:r>
    </w:p>
    <w:p w14:paraId="7F486968" w14:textId="77777777" w:rsidR="00D27AC8" w:rsidRPr="00061D40" w:rsidRDefault="00D27AC8" w:rsidP="002F40D4">
      <w:pPr>
        <w:pStyle w:val="BodyTextIndent2"/>
        <w:tabs>
          <w:tab w:val="clear" w:pos="1021"/>
          <w:tab w:val="left" w:pos="600"/>
        </w:tabs>
        <w:spacing w:before="150" w:line="240" w:lineRule="auto"/>
        <w:ind w:left="0"/>
        <w:rPr>
          <w:i/>
          <w:iCs/>
          <w:szCs w:val="22"/>
        </w:rPr>
      </w:pPr>
      <w:r w:rsidRPr="00061D40">
        <w:rPr>
          <w:b/>
          <w:bCs/>
          <w:i/>
          <w:iCs/>
          <w:szCs w:val="22"/>
        </w:rPr>
        <w:t>Australian Bureau of Statistics</w:t>
      </w:r>
      <w:r w:rsidRPr="00061D40">
        <w:rPr>
          <w:i/>
          <w:iCs/>
          <w:szCs w:val="22"/>
        </w:rPr>
        <w:t xml:space="preserve"> </w:t>
      </w:r>
      <w:r w:rsidRPr="00061D40">
        <w:rPr>
          <w:szCs w:val="22"/>
        </w:rPr>
        <w:t xml:space="preserve">means the Australian Bureau of Statistics </w:t>
      </w:r>
      <w:r w:rsidR="005C5A6A" w:rsidRPr="00061D40">
        <w:rPr>
          <w:szCs w:val="22"/>
        </w:rPr>
        <w:t xml:space="preserve">(ABS) </w:t>
      </w:r>
      <w:r w:rsidRPr="00061D40">
        <w:rPr>
          <w:szCs w:val="22"/>
        </w:rPr>
        <w:t xml:space="preserve">established under section 5 of the </w:t>
      </w:r>
      <w:r w:rsidRPr="00061D40">
        <w:rPr>
          <w:i/>
          <w:iCs/>
          <w:szCs w:val="22"/>
        </w:rPr>
        <w:t>Australian Bureau of Statistics Act 1975</w:t>
      </w:r>
    </w:p>
    <w:p w14:paraId="7F486969" w14:textId="77777777" w:rsidR="00D27AC8" w:rsidRPr="00061D40" w:rsidRDefault="00D27AC8" w:rsidP="002F40D4">
      <w:pPr>
        <w:pStyle w:val="BodyTextIndent2"/>
        <w:tabs>
          <w:tab w:val="clear" w:pos="1021"/>
          <w:tab w:val="left" w:pos="600"/>
        </w:tabs>
        <w:spacing w:before="150" w:line="240" w:lineRule="auto"/>
        <w:ind w:left="0"/>
        <w:rPr>
          <w:szCs w:val="22"/>
        </w:rPr>
      </w:pPr>
      <w:r w:rsidRPr="00061D40">
        <w:rPr>
          <w:rFonts w:cs="Arial"/>
          <w:b/>
          <w:bCs/>
          <w:i/>
          <w:iCs/>
          <w:szCs w:val="22"/>
        </w:rPr>
        <w:t>CD number</w:t>
      </w:r>
      <w:r w:rsidRPr="00061D40">
        <w:rPr>
          <w:szCs w:val="22"/>
        </w:rPr>
        <w:t xml:space="preserve">, for a CD, means the number attributed to the CD by the </w:t>
      </w:r>
      <w:r w:rsidR="005C5A6A" w:rsidRPr="00061D40">
        <w:rPr>
          <w:szCs w:val="22"/>
        </w:rPr>
        <w:t xml:space="preserve">ABS </w:t>
      </w:r>
      <w:r w:rsidRPr="00061D40">
        <w:rPr>
          <w:szCs w:val="22"/>
        </w:rPr>
        <w:t>for the purposes of the Census</w:t>
      </w:r>
    </w:p>
    <w:p w14:paraId="7F48696A" w14:textId="77777777" w:rsidR="00D27AC8" w:rsidRPr="00061D40" w:rsidRDefault="00D27AC8" w:rsidP="002F40D4">
      <w:pPr>
        <w:pStyle w:val="BodyTextIndent2"/>
        <w:tabs>
          <w:tab w:val="clear" w:pos="1021"/>
          <w:tab w:val="left" w:pos="600"/>
        </w:tabs>
        <w:spacing w:before="150" w:line="240" w:lineRule="auto"/>
        <w:ind w:left="0"/>
        <w:rPr>
          <w:szCs w:val="22"/>
        </w:rPr>
      </w:pPr>
      <w:r w:rsidRPr="00061D40">
        <w:rPr>
          <w:rFonts w:cs="Arial"/>
          <w:b/>
          <w:bCs/>
          <w:i/>
          <w:iCs/>
          <w:szCs w:val="22"/>
        </w:rPr>
        <w:t>Census</w:t>
      </w:r>
      <w:r w:rsidRPr="00061D40">
        <w:rPr>
          <w:szCs w:val="22"/>
        </w:rPr>
        <w:t xml:space="preserve"> means the 2006 Census of Population and Housing conducted by the </w:t>
      </w:r>
      <w:r w:rsidR="005C5A6A" w:rsidRPr="00061D40">
        <w:rPr>
          <w:szCs w:val="22"/>
        </w:rPr>
        <w:t>ABS</w:t>
      </w:r>
    </w:p>
    <w:p w14:paraId="7F48696B" w14:textId="77777777" w:rsidR="00D27AC8" w:rsidRPr="00061D40" w:rsidRDefault="00D27AC8" w:rsidP="002F40D4">
      <w:pPr>
        <w:pStyle w:val="BodyTextIndent2"/>
        <w:tabs>
          <w:tab w:val="clear" w:pos="1021"/>
          <w:tab w:val="left" w:pos="600"/>
        </w:tabs>
        <w:spacing w:before="150" w:line="240" w:lineRule="auto"/>
        <w:ind w:left="0"/>
        <w:rPr>
          <w:szCs w:val="22"/>
        </w:rPr>
      </w:pPr>
      <w:r w:rsidRPr="00061D40">
        <w:rPr>
          <w:rFonts w:cs="Arial"/>
          <w:b/>
          <w:bCs/>
          <w:i/>
          <w:iCs/>
          <w:szCs w:val="22"/>
        </w:rPr>
        <w:t>Census Collection District</w:t>
      </w:r>
      <w:r w:rsidRPr="00061D40">
        <w:rPr>
          <w:szCs w:val="22"/>
        </w:rPr>
        <w:t xml:space="preserve"> (or </w:t>
      </w:r>
      <w:r w:rsidRPr="00061D40">
        <w:rPr>
          <w:rFonts w:cs="Arial"/>
          <w:b/>
          <w:bCs/>
          <w:i/>
          <w:iCs/>
          <w:szCs w:val="22"/>
        </w:rPr>
        <w:t>CD</w:t>
      </w:r>
      <w:r w:rsidRPr="00061D40">
        <w:rPr>
          <w:szCs w:val="22"/>
        </w:rPr>
        <w:t xml:space="preserve">) means an area designated by the </w:t>
      </w:r>
      <w:r w:rsidR="005C5A6A" w:rsidRPr="00061D40">
        <w:rPr>
          <w:szCs w:val="22"/>
        </w:rPr>
        <w:t xml:space="preserve">ABS </w:t>
      </w:r>
      <w:r w:rsidRPr="00061D40">
        <w:rPr>
          <w:szCs w:val="22"/>
        </w:rPr>
        <w:t>as a Census Collection District for the purposes of the Census</w:t>
      </w:r>
    </w:p>
    <w:p w14:paraId="7F48696C" w14:textId="77777777" w:rsidR="00D27AC8" w:rsidRPr="00061D40" w:rsidRDefault="00D27AC8" w:rsidP="002F40D4">
      <w:pPr>
        <w:pStyle w:val="BodyTextIndent2"/>
        <w:tabs>
          <w:tab w:val="clear" w:pos="1021"/>
          <w:tab w:val="left" w:pos="600"/>
        </w:tabs>
        <w:spacing w:before="150" w:line="240" w:lineRule="auto"/>
        <w:ind w:left="0"/>
        <w:rPr>
          <w:szCs w:val="22"/>
        </w:rPr>
      </w:pPr>
      <w:r w:rsidRPr="00061D40">
        <w:rPr>
          <w:rFonts w:cs="Arial"/>
          <w:b/>
          <w:bCs/>
          <w:i/>
          <w:iCs/>
          <w:szCs w:val="22"/>
        </w:rPr>
        <w:t>geocoding</w:t>
      </w:r>
      <w:r w:rsidRPr="00061D40">
        <w:rPr>
          <w:szCs w:val="22"/>
        </w:rPr>
        <w:t>, for a student residential address included in a statement of addresses for a school, means the process of assigning that address to a CD</w:t>
      </w:r>
    </w:p>
    <w:p w14:paraId="7F48696D" w14:textId="77777777" w:rsidR="00D27AC8" w:rsidRPr="00061D40" w:rsidRDefault="00D27AC8" w:rsidP="002F40D4">
      <w:pPr>
        <w:pStyle w:val="BodyTextIndent2"/>
        <w:tabs>
          <w:tab w:val="clear" w:pos="1021"/>
          <w:tab w:val="left" w:pos="600"/>
        </w:tabs>
        <w:spacing w:before="150" w:line="240" w:lineRule="auto"/>
        <w:ind w:left="0"/>
        <w:rPr>
          <w:szCs w:val="22"/>
        </w:rPr>
      </w:pPr>
      <w:r w:rsidRPr="00061D40">
        <w:rPr>
          <w:rFonts w:cs="Arial"/>
          <w:b/>
          <w:bCs/>
          <w:i/>
          <w:iCs/>
          <w:szCs w:val="22"/>
        </w:rPr>
        <w:t>school</w:t>
      </w:r>
      <w:r w:rsidRPr="00061D40">
        <w:rPr>
          <w:szCs w:val="22"/>
        </w:rPr>
        <w:t xml:space="preserve"> means a non-government school;</w:t>
      </w:r>
    </w:p>
    <w:p w14:paraId="7F48696E" w14:textId="77777777" w:rsidR="00D27AC8" w:rsidRPr="00061D40" w:rsidRDefault="00D27AC8" w:rsidP="002F40D4">
      <w:pPr>
        <w:pStyle w:val="BodyTextIndent2"/>
        <w:tabs>
          <w:tab w:val="clear" w:pos="1021"/>
          <w:tab w:val="left" w:pos="600"/>
        </w:tabs>
        <w:spacing w:before="150" w:line="240" w:lineRule="auto"/>
        <w:ind w:left="0"/>
        <w:rPr>
          <w:szCs w:val="22"/>
        </w:rPr>
      </w:pPr>
      <w:r w:rsidRPr="00061D40">
        <w:rPr>
          <w:rFonts w:cs="Arial"/>
          <w:b/>
          <w:bCs/>
          <w:i/>
          <w:iCs/>
          <w:szCs w:val="22"/>
        </w:rPr>
        <w:t>SES dimension</w:t>
      </w:r>
      <w:r w:rsidRPr="00061D40">
        <w:rPr>
          <w:szCs w:val="22"/>
        </w:rPr>
        <w:t xml:space="preserve"> means any of the following dimensions:</w:t>
      </w:r>
    </w:p>
    <w:p w14:paraId="7F48696F" w14:textId="77777777" w:rsidR="00D27AC8" w:rsidRPr="00061D40" w:rsidRDefault="00D27AC8" w:rsidP="002F40D4">
      <w:pPr>
        <w:pStyle w:val="AppendixBullet"/>
      </w:pPr>
      <w:r w:rsidRPr="00061D40">
        <w:t>Occupation</w:t>
      </w:r>
    </w:p>
    <w:p w14:paraId="7F486970" w14:textId="77777777" w:rsidR="00D27AC8" w:rsidRPr="00061D40" w:rsidRDefault="00D27AC8" w:rsidP="002F40D4">
      <w:pPr>
        <w:pStyle w:val="AppendixBullet"/>
      </w:pPr>
      <w:r w:rsidRPr="00061D40">
        <w:t>Education</w:t>
      </w:r>
    </w:p>
    <w:p w14:paraId="7F486971" w14:textId="77777777" w:rsidR="00D27AC8" w:rsidRPr="00061D40" w:rsidRDefault="00D27AC8" w:rsidP="002F40D4">
      <w:pPr>
        <w:pStyle w:val="AppendixBullet"/>
      </w:pPr>
      <w:r w:rsidRPr="00061D40">
        <w:t>Household Income</w:t>
      </w:r>
    </w:p>
    <w:p w14:paraId="7F486972" w14:textId="77777777" w:rsidR="00D27AC8" w:rsidRPr="00061D40" w:rsidRDefault="00D27AC8" w:rsidP="002F40D4">
      <w:pPr>
        <w:pStyle w:val="AppendixBullet"/>
      </w:pPr>
      <w:r w:rsidRPr="00061D40">
        <w:t>Household Income based on Families wi</w:t>
      </w:r>
      <w:r w:rsidR="00967066" w:rsidRPr="00061D40">
        <w:t xml:space="preserve">th Dependent Children (‘Family </w:t>
      </w:r>
      <w:r w:rsidRPr="00061D40">
        <w:t>Income’)</w:t>
      </w:r>
    </w:p>
    <w:p w14:paraId="7F486973" w14:textId="77777777" w:rsidR="00D27AC8" w:rsidRPr="00061D40" w:rsidRDefault="00D27AC8" w:rsidP="002F40D4">
      <w:pPr>
        <w:pStyle w:val="BodyTextIndent2"/>
        <w:tabs>
          <w:tab w:val="clear" w:pos="1021"/>
          <w:tab w:val="left" w:pos="600"/>
        </w:tabs>
        <w:spacing w:before="150" w:line="240" w:lineRule="auto"/>
        <w:ind w:left="0"/>
        <w:rPr>
          <w:szCs w:val="22"/>
        </w:rPr>
      </w:pPr>
      <w:r w:rsidRPr="00061D40">
        <w:rPr>
          <w:rFonts w:cs="Arial"/>
          <w:b/>
          <w:bCs/>
          <w:i/>
          <w:iCs/>
          <w:szCs w:val="22"/>
        </w:rPr>
        <w:t>SES dimension score</w:t>
      </w:r>
      <w:r w:rsidRPr="00061D40">
        <w:rPr>
          <w:szCs w:val="22"/>
        </w:rPr>
        <w:t xml:space="preserve"> for a CD, means the number, rounded to four (4) decimal places, derived from data for each SES dimension collected by the </w:t>
      </w:r>
      <w:r w:rsidR="005C5A6A" w:rsidRPr="00061D40">
        <w:rPr>
          <w:szCs w:val="22"/>
        </w:rPr>
        <w:t>ABS</w:t>
      </w:r>
      <w:r w:rsidRPr="00061D40">
        <w:rPr>
          <w:szCs w:val="22"/>
        </w:rPr>
        <w:t xml:space="preserve"> for the purposes of the Census</w:t>
      </w:r>
    </w:p>
    <w:p w14:paraId="7F486974" w14:textId="77777777" w:rsidR="00D27AC8" w:rsidRPr="00061D40" w:rsidRDefault="00D27AC8" w:rsidP="002F40D4">
      <w:pPr>
        <w:pStyle w:val="BodyTextIndent2"/>
        <w:tabs>
          <w:tab w:val="clear" w:pos="1021"/>
          <w:tab w:val="left" w:pos="600"/>
        </w:tabs>
        <w:spacing w:before="150" w:line="240" w:lineRule="auto"/>
        <w:ind w:left="0"/>
        <w:rPr>
          <w:szCs w:val="22"/>
        </w:rPr>
      </w:pPr>
      <w:r w:rsidRPr="00061D40">
        <w:rPr>
          <w:rFonts w:cs="Arial"/>
          <w:b/>
          <w:bCs/>
          <w:i/>
          <w:iCs/>
          <w:szCs w:val="22"/>
        </w:rPr>
        <w:t>statement of addresses</w:t>
      </w:r>
      <w:r w:rsidRPr="00061D40">
        <w:rPr>
          <w:szCs w:val="22"/>
        </w:rPr>
        <w:t xml:space="preserve"> for a school, means a statement:</w:t>
      </w:r>
    </w:p>
    <w:p w14:paraId="7F486975" w14:textId="77777777" w:rsidR="00D27AC8" w:rsidRPr="00061D40" w:rsidRDefault="00D27AC8" w:rsidP="002F40D4">
      <w:pPr>
        <w:pStyle w:val="AppendixBullet"/>
        <w:numPr>
          <w:ilvl w:val="0"/>
          <w:numId w:val="18"/>
        </w:numPr>
      </w:pPr>
      <w:r w:rsidRPr="00061D40">
        <w:t>that contains student residential addresses for the school for the calendar year specified in the statement</w:t>
      </w:r>
    </w:p>
    <w:p w14:paraId="7F486976" w14:textId="77777777" w:rsidR="00C8190E" w:rsidRPr="00061D40" w:rsidRDefault="00D27AC8" w:rsidP="002F40D4">
      <w:pPr>
        <w:pStyle w:val="AppendixBullet"/>
      </w:pPr>
      <w:r w:rsidRPr="00061D40">
        <w:t>that is provided by the approved authority of the school to the Department</w:t>
      </w:r>
      <w:r w:rsidR="00FB42C0" w:rsidRPr="00061D40">
        <w:t>.</w:t>
      </w:r>
    </w:p>
    <w:p w14:paraId="7F486977" w14:textId="77777777" w:rsidR="00D27AC8" w:rsidRPr="00061D40" w:rsidRDefault="00D27AC8" w:rsidP="002F40D4">
      <w:pPr>
        <w:spacing w:line="240" w:lineRule="auto"/>
      </w:pPr>
      <w:r w:rsidRPr="00061D40">
        <w:rPr>
          <w:rFonts w:cs="Arial"/>
          <w:b/>
          <w:bCs/>
          <w:i/>
          <w:iCs/>
        </w:rPr>
        <w:t>student residential address</w:t>
      </w:r>
      <w:r w:rsidRPr="00061D40">
        <w:t xml:space="preserve"> for a school, means the residential address of a student receiving primary education or secondary education at the school other than a student:</w:t>
      </w:r>
    </w:p>
    <w:p w14:paraId="7F486978" w14:textId="77777777" w:rsidR="002F40D4" w:rsidRPr="00061D40" w:rsidRDefault="00D27AC8" w:rsidP="002F40D4">
      <w:pPr>
        <w:pStyle w:val="AppendixBullet"/>
        <w:numPr>
          <w:ilvl w:val="0"/>
          <w:numId w:val="19"/>
        </w:numPr>
      </w:pPr>
      <w:r w:rsidRPr="00061D40">
        <w:t>who is an overseas student</w:t>
      </w:r>
    </w:p>
    <w:p w14:paraId="7F486979" w14:textId="77777777" w:rsidR="00C53DDE" w:rsidRPr="00061D40" w:rsidRDefault="00D27AC8" w:rsidP="00233820">
      <w:pPr>
        <w:spacing w:before="100"/>
        <w:ind w:left="851"/>
      </w:pPr>
      <w:r w:rsidRPr="00061D40">
        <w:lastRenderedPageBreak/>
        <w:t>or</w:t>
      </w:r>
    </w:p>
    <w:p w14:paraId="7F48697A" w14:textId="77777777" w:rsidR="00D27AC8" w:rsidRPr="00061D40" w:rsidRDefault="00D27AC8" w:rsidP="002F40D4">
      <w:pPr>
        <w:numPr>
          <w:ilvl w:val="0"/>
          <w:numId w:val="17"/>
        </w:numPr>
      </w:pPr>
      <w:r w:rsidRPr="00061D40">
        <w:t>who is receiving primary distance education or secondary distance education at the school.</w:t>
      </w:r>
    </w:p>
    <w:p w14:paraId="7F48697B" w14:textId="77777777" w:rsidR="00D32016" w:rsidRDefault="00D27AC8">
      <w:pPr>
        <w:pStyle w:val="Heading3"/>
      </w:pPr>
      <w:r w:rsidRPr="00061D40">
        <w:t>PART 1:</w:t>
      </w:r>
      <w:r w:rsidR="008E5ABB" w:rsidRPr="00061D40">
        <w:t xml:space="preserve"> </w:t>
      </w:r>
      <w:r w:rsidRPr="00061D40">
        <w:t>Schools other than Special Assistance Schools and Special Schools</w:t>
      </w:r>
    </w:p>
    <w:p w14:paraId="7F48697C" w14:textId="77777777" w:rsidR="00D32016" w:rsidRDefault="00D27AC8">
      <w:pPr>
        <w:pStyle w:val="Heading4"/>
      </w:pPr>
      <w:r w:rsidRPr="00061D40">
        <w:t>SES index</w:t>
      </w:r>
    </w:p>
    <w:p w14:paraId="7F48697D" w14:textId="77777777" w:rsidR="00D27AC8" w:rsidRPr="00061D40" w:rsidRDefault="00D27AC8" w:rsidP="00505ABD">
      <w:pPr>
        <w:pStyle w:val="StyleAppendicesBodyTextLinespacingsingle"/>
      </w:pPr>
      <w:r w:rsidRPr="00061D40">
        <w:t xml:space="preserve">The SES Index, from which the SES scores for schools are derived, comprises the following dimensions - Occupation, Education and Income (½ Household Income / ½ Family Income). </w:t>
      </w:r>
    </w:p>
    <w:p w14:paraId="7F48697E" w14:textId="77777777" w:rsidR="00D32016" w:rsidRDefault="00D27AC8">
      <w:pPr>
        <w:pStyle w:val="Heading4"/>
      </w:pPr>
      <w:r w:rsidRPr="00061D40">
        <w:t>SES dimension scores</w:t>
      </w:r>
    </w:p>
    <w:p w14:paraId="7F48697F" w14:textId="77777777" w:rsidR="00D37B2E" w:rsidRDefault="00D27AC8" w:rsidP="00D37B2E">
      <w:r w:rsidRPr="00061D40">
        <w:t>SES dimension scores for CDs for 2009-201</w:t>
      </w:r>
      <w:r w:rsidR="00DF4B97">
        <w:t>3</w:t>
      </w:r>
      <w:r w:rsidRPr="00061D40">
        <w:t>, derived by the Department from ABS Census data, are published at</w:t>
      </w:r>
      <w:r w:rsidR="00141498" w:rsidRPr="00061D40">
        <w:t xml:space="preserve">: </w:t>
      </w:r>
    </w:p>
    <w:p w14:paraId="7F486980" w14:textId="77777777" w:rsidR="00D37B2E" w:rsidRDefault="00C73D8D" w:rsidP="00D37B2E">
      <w:hyperlink r:id="rId64" w:history="1">
        <w:r w:rsidR="00D37B2E">
          <w:rPr>
            <w:rStyle w:val="Hyperlink"/>
          </w:rPr>
          <w:t>https://ssp.deewr.gov.au/ssp/help/html/ses/funding_09_12/dimension_scores.html</w:t>
        </w:r>
      </w:hyperlink>
      <w:r w:rsidR="001E3F51">
        <w:t>.</w:t>
      </w:r>
    </w:p>
    <w:p w14:paraId="7F486981" w14:textId="77777777" w:rsidR="001559D4" w:rsidRDefault="00F02ED7">
      <w:pPr>
        <w:pStyle w:val="Heading4"/>
      </w:pPr>
      <w:r w:rsidRPr="00F02ED7">
        <w:t>Geocoding of students’ residential addresses</w:t>
      </w:r>
    </w:p>
    <w:p w14:paraId="7F486982" w14:textId="77777777" w:rsidR="00D27AC8" w:rsidRPr="00061D40" w:rsidRDefault="00D27AC8" w:rsidP="00505ABD">
      <w:pPr>
        <w:pStyle w:val="StyleAppendicesBodyTextLinespacingsingle"/>
      </w:pPr>
      <w:r w:rsidRPr="00061D40">
        <w:t>Each student residential address contained in the statement of addresses for a school is to be geocoded unless it is not reasonably practicable to geocode that address.</w:t>
      </w:r>
      <w:r w:rsidR="008E5ABB" w:rsidRPr="00061D40">
        <w:t xml:space="preserve"> </w:t>
      </w:r>
      <w:r w:rsidRPr="00061D40">
        <w:t>A minimum of 95 per cent of total student residential addresses must be geocoded in order to calculate a school’s SES score.</w:t>
      </w:r>
    </w:p>
    <w:p w14:paraId="7F486983" w14:textId="77777777" w:rsidR="00D32016" w:rsidRDefault="00D27AC8">
      <w:pPr>
        <w:pStyle w:val="Heading4"/>
      </w:pPr>
      <w:r w:rsidRPr="00061D40">
        <w:t>Methodology for calculating a school SES score</w:t>
      </w:r>
    </w:p>
    <w:p w14:paraId="7F486984" w14:textId="77777777" w:rsidR="00D27AC8" w:rsidRPr="00061D40" w:rsidRDefault="00D27AC8" w:rsidP="00505ABD">
      <w:pPr>
        <w:pStyle w:val="StyleAppendicesBodyTextLinespacingsingle"/>
      </w:pPr>
      <w:r w:rsidRPr="00061D40">
        <w:t>It is possible for a CD not to have a</w:t>
      </w:r>
      <w:r w:rsidR="00BC4DF4" w:rsidRPr="00061D40">
        <w:t>n</w:t>
      </w:r>
      <w:r w:rsidRPr="00061D40">
        <w:t xml:space="preserve"> SES dimension score for the complete set of the four dimensions.</w:t>
      </w:r>
      <w:r w:rsidR="008E5ABB" w:rsidRPr="00061D40">
        <w:t xml:space="preserve"> </w:t>
      </w:r>
      <w:r w:rsidRPr="00061D40">
        <w:t>This is because the ABS will not release data which could potentially identify an individual.</w:t>
      </w:r>
      <w:r w:rsidR="008E5ABB" w:rsidRPr="00061D40">
        <w:t xml:space="preserve"> </w:t>
      </w:r>
      <w:r w:rsidRPr="00061D40">
        <w:t>In the 2006 Census this was the case for about three per cent of CDs in Australia.</w:t>
      </w:r>
      <w:r w:rsidR="008E5ABB" w:rsidRPr="00061D40">
        <w:t xml:space="preserve"> </w:t>
      </w:r>
      <w:r w:rsidRPr="00061D40">
        <w:t xml:space="preserve">If these CDs were omitted altogether from the calculation of the school SES score, the score would not be truly representative of the school community and this could either advantage or disadvantage the school. </w:t>
      </w:r>
    </w:p>
    <w:p w14:paraId="7F486985" w14:textId="77777777" w:rsidR="00D27AC8" w:rsidRPr="00061D40" w:rsidRDefault="00D27AC8" w:rsidP="00505ABD">
      <w:pPr>
        <w:pStyle w:val="StyleAppendicesBodyTextLinespacingsingle"/>
      </w:pPr>
      <w:r w:rsidRPr="00061D40">
        <w:t>So that every geocoded address contributes to the school SES score, the score is based on the four individual dimensions of the SES index for each CD.</w:t>
      </w:r>
      <w:r w:rsidR="008E5ABB" w:rsidRPr="00061D40">
        <w:t xml:space="preserve"> </w:t>
      </w:r>
      <w:r w:rsidRPr="00061D40">
        <w:t>The worked example in Table</w:t>
      </w:r>
      <w:r w:rsidR="00670F16" w:rsidRPr="00061D40">
        <w:t> </w:t>
      </w:r>
      <w:r w:rsidRPr="00061D40">
        <w:t>A</w:t>
      </w:r>
      <w:r w:rsidR="00670F16" w:rsidRPr="00061D40">
        <w:t>.1</w:t>
      </w:r>
      <w:r w:rsidRPr="00061D40">
        <w:t xml:space="preserve"> shows a school SES score calculated using CDs with missing SES dimension scores.</w:t>
      </w:r>
    </w:p>
    <w:p w14:paraId="7F486986" w14:textId="77777777" w:rsidR="00D27AC8" w:rsidRPr="00061D40" w:rsidRDefault="00D27AC8" w:rsidP="00505ABD">
      <w:pPr>
        <w:pStyle w:val="StyleAppendicesBodyTextLinespacingsingle"/>
      </w:pPr>
      <w:r w:rsidRPr="00061D40">
        <w:t>The methodology for calculating a school SES score is as follows:</w:t>
      </w:r>
    </w:p>
    <w:p w14:paraId="7F486987" w14:textId="77777777" w:rsidR="00D27AC8" w:rsidRPr="00061D40" w:rsidRDefault="00A842A2" w:rsidP="00670F16">
      <w:pPr>
        <w:pStyle w:val="AppendixBullet"/>
        <w:numPr>
          <w:ilvl w:val="0"/>
          <w:numId w:val="20"/>
        </w:numPr>
      </w:pPr>
      <w:r w:rsidRPr="00061D40">
        <w:t xml:space="preserve">take </w:t>
      </w:r>
      <w:r w:rsidR="00D27AC8" w:rsidRPr="00061D40">
        <w:t>the SES dimension scores of the CD to which each student residential address on a school’s statement of addresses has been geocoded</w:t>
      </w:r>
    </w:p>
    <w:p w14:paraId="7F486988" w14:textId="77777777" w:rsidR="00D27AC8" w:rsidRPr="00061D40" w:rsidRDefault="00A842A2" w:rsidP="00670F16">
      <w:pPr>
        <w:pStyle w:val="AppendixBullet"/>
        <w:numPr>
          <w:ilvl w:val="0"/>
          <w:numId w:val="20"/>
        </w:numPr>
      </w:pPr>
      <w:r w:rsidRPr="00061D40">
        <w:t xml:space="preserve">calculate </w:t>
      </w:r>
      <w:r w:rsidR="00D27AC8" w:rsidRPr="00061D40">
        <w:t>to four (4) decimal places the average value for each of the Occupation, Education, Household Income and Family Income dimensions.</w:t>
      </w:r>
      <w:r w:rsidR="008E5ABB" w:rsidRPr="00061D40">
        <w:t xml:space="preserve"> </w:t>
      </w:r>
      <w:r w:rsidR="00D27AC8" w:rsidRPr="00061D40">
        <w:t>The total for a dimension is averaged only by the number of addresses containing data for that dimension.</w:t>
      </w:r>
      <w:r w:rsidR="008E5ABB" w:rsidRPr="00061D40">
        <w:t xml:space="preserve"> </w:t>
      </w:r>
      <w:r w:rsidR="00D27AC8" w:rsidRPr="00061D40">
        <w:t>If an address has not been geocoded to a CD, the address is not included in the calculation</w:t>
      </w:r>
    </w:p>
    <w:p w14:paraId="7F486989" w14:textId="77777777" w:rsidR="00D27AC8" w:rsidRPr="00061D40" w:rsidRDefault="00A842A2" w:rsidP="00670F16">
      <w:pPr>
        <w:pStyle w:val="AppendixBullet"/>
        <w:numPr>
          <w:ilvl w:val="0"/>
          <w:numId w:val="20"/>
        </w:numPr>
      </w:pPr>
      <w:r w:rsidRPr="00061D40">
        <w:t xml:space="preserve">calculate </w:t>
      </w:r>
      <w:r w:rsidR="00D27AC8" w:rsidRPr="00061D40">
        <w:t>the school raw SES score to four (4) decimal places using the following formula:</w:t>
      </w:r>
    </w:p>
    <w:p w14:paraId="7F48698A" w14:textId="77777777" w:rsidR="00142036" w:rsidRPr="00061D40" w:rsidRDefault="00142036" w:rsidP="00670F16">
      <w:pPr>
        <w:ind w:left="3400" w:hanging="2549"/>
      </w:pPr>
      <w:r w:rsidRPr="00061D40">
        <w:lastRenderedPageBreak/>
        <w:t>School SES Score    =</w:t>
      </w:r>
      <w:r w:rsidRPr="00061D40">
        <w:tab/>
      </w:r>
      <w:r w:rsidR="00F40BC7">
        <w:t xml:space="preserve">   </w:t>
      </w:r>
      <w:r w:rsidRPr="00061D40">
        <w:t>Occupation dimension / 3</w:t>
      </w:r>
    </w:p>
    <w:p w14:paraId="7F48698B" w14:textId="77777777" w:rsidR="00142036" w:rsidRPr="00061D40" w:rsidRDefault="00142036" w:rsidP="00670F16">
      <w:pPr>
        <w:ind w:left="3400" w:hanging="2549"/>
      </w:pPr>
      <w:r w:rsidRPr="00061D40">
        <w:tab/>
        <w:t>+ Education dimension / 3</w:t>
      </w:r>
    </w:p>
    <w:p w14:paraId="7F48698C" w14:textId="77777777" w:rsidR="00142036" w:rsidRPr="00061D40" w:rsidRDefault="00142036" w:rsidP="00670F16">
      <w:pPr>
        <w:ind w:left="3400" w:hanging="2549"/>
      </w:pPr>
      <w:r w:rsidRPr="00061D40">
        <w:tab/>
        <w:t>+ Household Income dimension / 6</w:t>
      </w:r>
    </w:p>
    <w:p w14:paraId="7F48698D" w14:textId="77777777" w:rsidR="00142036" w:rsidRPr="00061D40" w:rsidRDefault="00142036" w:rsidP="00670F16">
      <w:pPr>
        <w:ind w:left="3400" w:hanging="2549"/>
      </w:pPr>
      <w:r w:rsidRPr="00061D40">
        <w:tab/>
        <w:t>+ Family Income dimension / 6</w:t>
      </w:r>
    </w:p>
    <w:p w14:paraId="7F48698E" w14:textId="77777777" w:rsidR="00D27AC8" w:rsidRPr="00061D40" w:rsidRDefault="00A842A2" w:rsidP="00670F16">
      <w:pPr>
        <w:pStyle w:val="AppendixBullet"/>
        <w:numPr>
          <w:ilvl w:val="0"/>
          <w:numId w:val="20"/>
        </w:numPr>
      </w:pPr>
      <w:r w:rsidRPr="00061D40">
        <w:t xml:space="preserve">round </w:t>
      </w:r>
      <w:r w:rsidR="00D27AC8" w:rsidRPr="00061D40">
        <w:t>the school raw SES score to the nearest whole number.</w:t>
      </w:r>
    </w:p>
    <w:p w14:paraId="7F48698F" w14:textId="77777777" w:rsidR="00D27AC8" w:rsidRPr="00061D40" w:rsidRDefault="00D27AC8" w:rsidP="00670F16">
      <w:pPr>
        <w:ind w:left="3400" w:hanging="2549"/>
      </w:pPr>
      <w:r w:rsidRPr="00061D40">
        <w:t>For example:</w:t>
      </w:r>
      <w:r w:rsidR="00142036" w:rsidRPr="00061D40">
        <w:tab/>
      </w:r>
      <w:r w:rsidRPr="00061D40">
        <w:t>95.4567 is rounded to 95</w:t>
      </w:r>
    </w:p>
    <w:p w14:paraId="7F486990" w14:textId="77777777" w:rsidR="00D27AC8" w:rsidRPr="00061D40" w:rsidRDefault="00D27AC8" w:rsidP="00670F16">
      <w:pPr>
        <w:ind w:left="3400" w:hanging="2549"/>
      </w:pPr>
      <w:r w:rsidRPr="00061D40">
        <w:tab/>
        <w:t>95.5123 is rounded to 96.</w:t>
      </w:r>
    </w:p>
    <w:p w14:paraId="7F486991" w14:textId="77777777" w:rsidR="00D27AC8" w:rsidRPr="00061D40" w:rsidRDefault="00D27AC8" w:rsidP="00670F16">
      <w:pPr>
        <w:tabs>
          <w:tab w:val="left" w:pos="540"/>
        </w:tabs>
        <w:autoSpaceDE w:val="0"/>
        <w:autoSpaceDN w:val="0"/>
        <w:adjustRightInd w:val="0"/>
        <w:spacing w:before="120" w:line="240" w:lineRule="auto"/>
        <w:ind w:right="-30"/>
        <w:rPr>
          <w:rFonts w:cs="Arial"/>
          <w:szCs w:val="22"/>
        </w:rPr>
      </w:pPr>
      <w:r w:rsidRPr="00061D40">
        <w:rPr>
          <w:rFonts w:cs="Arial"/>
          <w:szCs w:val="22"/>
        </w:rPr>
        <w:t xml:space="preserve">A practical example of how a school SES score is calculated is shown in </w:t>
      </w:r>
      <w:r w:rsidR="00670F16" w:rsidRPr="00061D40">
        <w:rPr>
          <w:rFonts w:cs="Arial"/>
          <w:szCs w:val="22"/>
        </w:rPr>
        <w:t>T</w:t>
      </w:r>
      <w:r w:rsidRPr="00061D40">
        <w:rPr>
          <w:rFonts w:cs="Arial"/>
          <w:szCs w:val="22"/>
        </w:rPr>
        <w:t>able</w:t>
      </w:r>
      <w:r w:rsidR="0002315C" w:rsidRPr="00061D40">
        <w:rPr>
          <w:rFonts w:cs="Arial"/>
          <w:szCs w:val="22"/>
        </w:rPr>
        <w:t> </w:t>
      </w:r>
      <w:r w:rsidRPr="00061D40">
        <w:rPr>
          <w:rFonts w:cs="Arial"/>
          <w:szCs w:val="22"/>
        </w:rPr>
        <w:t>A</w:t>
      </w:r>
      <w:r w:rsidR="00670F16" w:rsidRPr="00061D40">
        <w:rPr>
          <w:rFonts w:cs="Arial"/>
          <w:szCs w:val="22"/>
        </w:rPr>
        <w:t>.1</w:t>
      </w:r>
      <w:r w:rsidRPr="00061D40">
        <w:rPr>
          <w:rFonts w:cs="Arial"/>
          <w:szCs w:val="22"/>
        </w:rPr>
        <w:t>.</w:t>
      </w:r>
    </w:p>
    <w:p w14:paraId="7F486992" w14:textId="77777777" w:rsidR="00D27AC8" w:rsidRPr="00061D40" w:rsidRDefault="00D27AC8" w:rsidP="000142AE">
      <w:pPr>
        <w:pStyle w:val="TablefigureHeading1"/>
        <w:spacing w:after="60"/>
        <w:rPr>
          <w:szCs w:val="22"/>
        </w:rPr>
      </w:pPr>
      <w:r w:rsidRPr="00061D40">
        <w:rPr>
          <w:szCs w:val="22"/>
        </w:rPr>
        <w:t>Table A</w:t>
      </w:r>
      <w:r w:rsidR="00AA6BA2" w:rsidRPr="00061D40">
        <w:rPr>
          <w:szCs w:val="22"/>
        </w:rPr>
        <w:t>.1</w:t>
      </w:r>
      <w:r w:rsidRPr="00061D40">
        <w:rPr>
          <w:szCs w:val="22"/>
        </w:rPr>
        <w:t>: Example of calculation of the SES score for a school</w:t>
      </w:r>
    </w:p>
    <w:tbl>
      <w:tblPr>
        <w:tblW w:w="9681"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1762"/>
        <w:gridCol w:w="899"/>
        <w:gridCol w:w="1496"/>
        <w:gridCol w:w="1497"/>
        <w:gridCol w:w="1646"/>
        <w:gridCol w:w="1796"/>
      </w:tblGrid>
      <w:tr w:rsidR="00D27AC8" w:rsidRPr="00061D40" w14:paraId="7F48699A" w14:textId="77777777" w:rsidTr="00AA6BA2">
        <w:tc>
          <w:tcPr>
            <w:tcW w:w="585" w:type="dxa"/>
            <w:shd w:val="clear" w:color="auto" w:fill="999999"/>
            <w:vAlign w:val="center"/>
          </w:tcPr>
          <w:p w14:paraId="7F486993" w14:textId="77777777" w:rsidR="00D27AC8" w:rsidRPr="00061D40" w:rsidRDefault="00D27AC8" w:rsidP="006455DC">
            <w:pPr>
              <w:pStyle w:val="TableHeading2"/>
              <w:spacing w:line="240" w:lineRule="auto"/>
            </w:pPr>
            <w:r w:rsidRPr="00061D40">
              <w:t>SRN</w:t>
            </w:r>
          </w:p>
        </w:tc>
        <w:tc>
          <w:tcPr>
            <w:tcW w:w="1762" w:type="dxa"/>
            <w:shd w:val="clear" w:color="auto" w:fill="999999"/>
            <w:vAlign w:val="center"/>
          </w:tcPr>
          <w:p w14:paraId="7F486994" w14:textId="77777777" w:rsidR="00D27AC8" w:rsidRPr="00061D40" w:rsidRDefault="00D27AC8" w:rsidP="006455DC">
            <w:pPr>
              <w:pStyle w:val="TableHeading2"/>
              <w:spacing w:line="240" w:lineRule="auto"/>
            </w:pPr>
            <w:r w:rsidRPr="00061D40">
              <w:t>Address</w:t>
            </w:r>
          </w:p>
        </w:tc>
        <w:tc>
          <w:tcPr>
            <w:tcW w:w="899" w:type="dxa"/>
            <w:shd w:val="clear" w:color="auto" w:fill="999999"/>
            <w:vAlign w:val="center"/>
          </w:tcPr>
          <w:p w14:paraId="7F486995" w14:textId="77777777" w:rsidR="00D27AC8" w:rsidRPr="00061D40" w:rsidRDefault="00D27AC8" w:rsidP="006455DC">
            <w:pPr>
              <w:pStyle w:val="TableHeading2"/>
              <w:spacing w:line="240" w:lineRule="auto"/>
            </w:pPr>
            <w:r w:rsidRPr="00061D40">
              <w:t>CD</w:t>
            </w:r>
          </w:p>
        </w:tc>
        <w:tc>
          <w:tcPr>
            <w:tcW w:w="1496" w:type="dxa"/>
            <w:shd w:val="clear" w:color="auto" w:fill="999999"/>
            <w:vAlign w:val="center"/>
          </w:tcPr>
          <w:p w14:paraId="7F486996" w14:textId="77777777" w:rsidR="00D27AC8" w:rsidRPr="00061D40" w:rsidRDefault="00D27AC8" w:rsidP="006455DC">
            <w:pPr>
              <w:pStyle w:val="TableHeading2"/>
              <w:spacing w:line="240" w:lineRule="auto"/>
            </w:pPr>
            <w:r w:rsidRPr="00061D40">
              <w:t>Occupation</w:t>
            </w:r>
            <w:r w:rsidRPr="00061D40">
              <w:br/>
              <w:t>Dimension</w:t>
            </w:r>
          </w:p>
        </w:tc>
        <w:tc>
          <w:tcPr>
            <w:tcW w:w="1497" w:type="dxa"/>
            <w:shd w:val="clear" w:color="auto" w:fill="999999"/>
            <w:vAlign w:val="center"/>
          </w:tcPr>
          <w:p w14:paraId="7F486997" w14:textId="77777777" w:rsidR="00D27AC8" w:rsidRPr="00061D40" w:rsidRDefault="00D27AC8" w:rsidP="006455DC">
            <w:pPr>
              <w:pStyle w:val="TableHeading2"/>
              <w:spacing w:line="240" w:lineRule="auto"/>
            </w:pPr>
            <w:r w:rsidRPr="00061D40">
              <w:t>Education</w:t>
            </w:r>
            <w:r w:rsidRPr="00061D40">
              <w:br/>
              <w:t>Dimension</w:t>
            </w:r>
          </w:p>
        </w:tc>
        <w:tc>
          <w:tcPr>
            <w:tcW w:w="1646" w:type="dxa"/>
            <w:shd w:val="clear" w:color="auto" w:fill="999999"/>
            <w:vAlign w:val="center"/>
          </w:tcPr>
          <w:p w14:paraId="7F486998" w14:textId="77777777" w:rsidR="00D27AC8" w:rsidRPr="00061D40" w:rsidRDefault="00D27AC8" w:rsidP="006455DC">
            <w:pPr>
              <w:pStyle w:val="TableHeading2"/>
              <w:spacing w:line="240" w:lineRule="auto"/>
            </w:pPr>
            <w:r w:rsidRPr="00061D40">
              <w:t>Household</w:t>
            </w:r>
            <w:r w:rsidRPr="00061D40">
              <w:br/>
              <w:t>Income</w:t>
            </w:r>
            <w:r w:rsidRPr="00061D40">
              <w:br/>
              <w:t>Dimension</w:t>
            </w:r>
          </w:p>
        </w:tc>
        <w:tc>
          <w:tcPr>
            <w:tcW w:w="1796" w:type="dxa"/>
            <w:shd w:val="clear" w:color="auto" w:fill="999999"/>
            <w:vAlign w:val="center"/>
          </w:tcPr>
          <w:p w14:paraId="7F486999" w14:textId="77777777" w:rsidR="00D27AC8" w:rsidRPr="00061D40" w:rsidRDefault="00D27AC8" w:rsidP="006455DC">
            <w:pPr>
              <w:pStyle w:val="TableHeading2"/>
              <w:spacing w:line="240" w:lineRule="auto"/>
            </w:pPr>
            <w:r w:rsidRPr="00061D40">
              <w:t>Family</w:t>
            </w:r>
            <w:r w:rsidRPr="00061D40">
              <w:br/>
              <w:t>Income</w:t>
            </w:r>
            <w:r w:rsidRPr="00061D40">
              <w:br/>
              <w:t>Dimension</w:t>
            </w:r>
          </w:p>
        </w:tc>
      </w:tr>
      <w:tr w:rsidR="00D27AC8" w:rsidRPr="00061D40" w14:paraId="7F4869A2" w14:textId="77777777" w:rsidTr="00D27AC8">
        <w:tc>
          <w:tcPr>
            <w:tcW w:w="585" w:type="dxa"/>
          </w:tcPr>
          <w:p w14:paraId="7F48699B" w14:textId="77777777" w:rsidR="00D27AC8" w:rsidRPr="00061D40" w:rsidRDefault="00D27AC8" w:rsidP="00505ABD">
            <w:pPr>
              <w:pStyle w:val="TableText"/>
              <w:spacing w:before="0" w:after="0"/>
            </w:pPr>
            <w:r w:rsidRPr="00061D40">
              <w:t>1</w:t>
            </w:r>
          </w:p>
        </w:tc>
        <w:tc>
          <w:tcPr>
            <w:tcW w:w="1762" w:type="dxa"/>
          </w:tcPr>
          <w:p w14:paraId="7F48699C" w14:textId="77777777" w:rsidR="00D27AC8" w:rsidRPr="00061D40" w:rsidRDefault="00D27AC8" w:rsidP="00505ABD">
            <w:pPr>
              <w:pStyle w:val="TableText"/>
              <w:spacing w:before="0" w:after="0"/>
            </w:pPr>
            <w:r w:rsidRPr="00061D40">
              <w:t>5 Smooth St Curlcurl NSW 2000</w:t>
            </w:r>
          </w:p>
        </w:tc>
        <w:tc>
          <w:tcPr>
            <w:tcW w:w="899" w:type="dxa"/>
          </w:tcPr>
          <w:p w14:paraId="7F48699D" w14:textId="77777777" w:rsidR="00D27AC8" w:rsidRPr="00061D40" w:rsidRDefault="00D27AC8" w:rsidP="00505ABD">
            <w:pPr>
              <w:pStyle w:val="TableText"/>
              <w:spacing w:before="0" w:after="0"/>
            </w:pPr>
            <w:r w:rsidRPr="00061D40">
              <w:t>2587415</w:t>
            </w:r>
          </w:p>
        </w:tc>
        <w:tc>
          <w:tcPr>
            <w:tcW w:w="1496" w:type="dxa"/>
            <w:vAlign w:val="center"/>
          </w:tcPr>
          <w:p w14:paraId="7F48699E" w14:textId="77777777" w:rsidR="00D27AC8" w:rsidRPr="00061D40" w:rsidRDefault="00D27AC8" w:rsidP="0020777D">
            <w:pPr>
              <w:pStyle w:val="TableText"/>
              <w:spacing w:before="0" w:after="0"/>
              <w:jc w:val="center"/>
            </w:pPr>
            <w:r w:rsidRPr="00061D40">
              <w:t>140.2584</w:t>
            </w:r>
          </w:p>
        </w:tc>
        <w:tc>
          <w:tcPr>
            <w:tcW w:w="1497" w:type="dxa"/>
            <w:vAlign w:val="center"/>
          </w:tcPr>
          <w:p w14:paraId="7F48699F" w14:textId="77777777" w:rsidR="00D27AC8" w:rsidRPr="00061D40" w:rsidRDefault="00D27AC8" w:rsidP="0020777D">
            <w:pPr>
              <w:pStyle w:val="TableText"/>
              <w:spacing w:before="0" w:after="0"/>
              <w:jc w:val="center"/>
            </w:pPr>
            <w:r w:rsidRPr="00061D40">
              <w:t>126.6541</w:t>
            </w:r>
          </w:p>
        </w:tc>
        <w:tc>
          <w:tcPr>
            <w:tcW w:w="1646" w:type="dxa"/>
            <w:vAlign w:val="center"/>
          </w:tcPr>
          <w:p w14:paraId="7F4869A0" w14:textId="77777777" w:rsidR="00D27AC8" w:rsidRPr="00061D40" w:rsidRDefault="00D27AC8" w:rsidP="0020777D">
            <w:pPr>
              <w:pStyle w:val="TableText"/>
              <w:spacing w:before="0" w:after="0"/>
              <w:jc w:val="center"/>
            </w:pPr>
            <w:r w:rsidRPr="00061D40">
              <w:t>132.2541</w:t>
            </w:r>
          </w:p>
        </w:tc>
        <w:tc>
          <w:tcPr>
            <w:tcW w:w="1796" w:type="dxa"/>
            <w:vAlign w:val="center"/>
          </w:tcPr>
          <w:p w14:paraId="7F4869A1" w14:textId="77777777" w:rsidR="00D27AC8" w:rsidRPr="00061D40" w:rsidRDefault="00D27AC8" w:rsidP="0020777D">
            <w:pPr>
              <w:pStyle w:val="TableText"/>
              <w:spacing w:before="0" w:after="0"/>
              <w:jc w:val="center"/>
            </w:pPr>
            <w:r w:rsidRPr="00061D40">
              <w:t>131.8956</w:t>
            </w:r>
          </w:p>
        </w:tc>
      </w:tr>
      <w:tr w:rsidR="00D27AC8" w:rsidRPr="00061D40" w14:paraId="7F4869AA" w14:textId="77777777" w:rsidTr="00D27AC8">
        <w:tc>
          <w:tcPr>
            <w:tcW w:w="585" w:type="dxa"/>
          </w:tcPr>
          <w:p w14:paraId="7F4869A3" w14:textId="77777777" w:rsidR="00D27AC8" w:rsidRPr="00061D40" w:rsidRDefault="00D27AC8" w:rsidP="00505ABD">
            <w:pPr>
              <w:pStyle w:val="TableText"/>
              <w:spacing w:before="0" w:after="0"/>
            </w:pPr>
            <w:r w:rsidRPr="00061D40">
              <w:t>2</w:t>
            </w:r>
          </w:p>
        </w:tc>
        <w:tc>
          <w:tcPr>
            <w:tcW w:w="1762" w:type="dxa"/>
          </w:tcPr>
          <w:p w14:paraId="7F4869A4" w14:textId="77777777" w:rsidR="00D27AC8" w:rsidRPr="00061D40" w:rsidRDefault="00D27AC8" w:rsidP="00505ABD">
            <w:pPr>
              <w:pStyle w:val="TableText"/>
              <w:spacing w:before="0" w:after="0"/>
            </w:pPr>
            <w:r w:rsidRPr="00061D40">
              <w:t>4 Rough St Flattown NSW 2000</w:t>
            </w:r>
          </w:p>
        </w:tc>
        <w:tc>
          <w:tcPr>
            <w:tcW w:w="899" w:type="dxa"/>
          </w:tcPr>
          <w:p w14:paraId="7F4869A5" w14:textId="77777777" w:rsidR="00D27AC8" w:rsidRPr="00061D40" w:rsidRDefault="00D27AC8" w:rsidP="00505ABD">
            <w:pPr>
              <w:pStyle w:val="TableText"/>
              <w:spacing w:before="0" w:after="0"/>
            </w:pPr>
            <w:r w:rsidRPr="00061D40">
              <w:t>2587416</w:t>
            </w:r>
          </w:p>
        </w:tc>
        <w:tc>
          <w:tcPr>
            <w:tcW w:w="1496" w:type="dxa"/>
            <w:vAlign w:val="center"/>
          </w:tcPr>
          <w:p w14:paraId="7F4869A6" w14:textId="77777777" w:rsidR="00D27AC8" w:rsidRPr="00061D40" w:rsidRDefault="00D27AC8" w:rsidP="0020777D">
            <w:pPr>
              <w:pStyle w:val="TableText"/>
              <w:spacing w:before="0" w:after="0"/>
              <w:jc w:val="center"/>
            </w:pPr>
            <w:r w:rsidRPr="00061D40">
              <w:t>69.0125</w:t>
            </w:r>
          </w:p>
        </w:tc>
        <w:tc>
          <w:tcPr>
            <w:tcW w:w="1497" w:type="dxa"/>
            <w:vAlign w:val="center"/>
          </w:tcPr>
          <w:p w14:paraId="7F4869A7" w14:textId="77777777" w:rsidR="00D27AC8" w:rsidRPr="00061D40" w:rsidRDefault="00D27AC8" w:rsidP="0020777D">
            <w:pPr>
              <w:pStyle w:val="TableText"/>
              <w:spacing w:before="0" w:after="0"/>
              <w:jc w:val="center"/>
            </w:pPr>
            <w:r w:rsidRPr="00061D40">
              <w:t>78.2569</w:t>
            </w:r>
          </w:p>
        </w:tc>
        <w:tc>
          <w:tcPr>
            <w:tcW w:w="1646" w:type="dxa"/>
            <w:vAlign w:val="center"/>
          </w:tcPr>
          <w:p w14:paraId="7F4869A8" w14:textId="77777777" w:rsidR="00D27AC8" w:rsidRPr="00061D40" w:rsidRDefault="00D27AC8" w:rsidP="0020777D">
            <w:pPr>
              <w:pStyle w:val="TableText"/>
              <w:spacing w:before="0" w:after="0"/>
              <w:jc w:val="center"/>
            </w:pPr>
          </w:p>
        </w:tc>
        <w:tc>
          <w:tcPr>
            <w:tcW w:w="1796" w:type="dxa"/>
            <w:vAlign w:val="center"/>
          </w:tcPr>
          <w:p w14:paraId="7F4869A9" w14:textId="77777777" w:rsidR="00D27AC8" w:rsidRPr="00061D40" w:rsidRDefault="00D27AC8" w:rsidP="0020777D">
            <w:pPr>
              <w:pStyle w:val="TableText"/>
              <w:spacing w:before="0" w:after="0"/>
              <w:jc w:val="center"/>
            </w:pPr>
          </w:p>
        </w:tc>
      </w:tr>
      <w:tr w:rsidR="00D27AC8" w:rsidRPr="00061D40" w14:paraId="7F4869B2" w14:textId="77777777" w:rsidTr="00D27AC8">
        <w:tc>
          <w:tcPr>
            <w:tcW w:w="585" w:type="dxa"/>
          </w:tcPr>
          <w:p w14:paraId="7F4869AB" w14:textId="77777777" w:rsidR="00D27AC8" w:rsidRPr="00061D40" w:rsidRDefault="00D27AC8" w:rsidP="00505ABD">
            <w:pPr>
              <w:pStyle w:val="TableText"/>
              <w:spacing w:before="0" w:after="0"/>
            </w:pPr>
            <w:r w:rsidRPr="00061D40">
              <w:t>3</w:t>
            </w:r>
          </w:p>
        </w:tc>
        <w:tc>
          <w:tcPr>
            <w:tcW w:w="1762" w:type="dxa"/>
          </w:tcPr>
          <w:p w14:paraId="7F4869AC" w14:textId="77777777" w:rsidR="00D27AC8" w:rsidRPr="00061D40" w:rsidRDefault="00D27AC8" w:rsidP="00505ABD">
            <w:pPr>
              <w:pStyle w:val="TableText"/>
              <w:spacing w:before="0" w:after="0"/>
            </w:pPr>
            <w:r w:rsidRPr="00061D40">
              <w:t>7 Wavy St Ziptown NSW 2000</w:t>
            </w:r>
          </w:p>
        </w:tc>
        <w:tc>
          <w:tcPr>
            <w:tcW w:w="899" w:type="dxa"/>
          </w:tcPr>
          <w:p w14:paraId="7F4869AD" w14:textId="77777777" w:rsidR="00D27AC8" w:rsidRPr="00061D40" w:rsidRDefault="00D27AC8" w:rsidP="00505ABD">
            <w:pPr>
              <w:pStyle w:val="TableText"/>
              <w:spacing w:before="0" w:after="0"/>
            </w:pPr>
            <w:r w:rsidRPr="00061D40">
              <w:t>2587345</w:t>
            </w:r>
          </w:p>
        </w:tc>
        <w:tc>
          <w:tcPr>
            <w:tcW w:w="1496" w:type="dxa"/>
            <w:vAlign w:val="center"/>
          </w:tcPr>
          <w:p w14:paraId="7F4869AE" w14:textId="77777777" w:rsidR="00D27AC8" w:rsidRPr="00061D40" w:rsidRDefault="00D27AC8" w:rsidP="0020777D">
            <w:pPr>
              <w:pStyle w:val="TableText"/>
              <w:spacing w:before="0" w:after="0"/>
              <w:jc w:val="center"/>
            </w:pPr>
          </w:p>
        </w:tc>
        <w:tc>
          <w:tcPr>
            <w:tcW w:w="1497" w:type="dxa"/>
            <w:vAlign w:val="center"/>
          </w:tcPr>
          <w:p w14:paraId="7F4869AF" w14:textId="77777777" w:rsidR="00D27AC8" w:rsidRPr="00061D40" w:rsidRDefault="00D27AC8" w:rsidP="0020777D">
            <w:pPr>
              <w:pStyle w:val="TableText"/>
              <w:spacing w:before="0" w:after="0"/>
              <w:jc w:val="center"/>
            </w:pPr>
            <w:r w:rsidRPr="00061D40">
              <w:t>58.2143</w:t>
            </w:r>
          </w:p>
        </w:tc>
        <w:tc>
          <w:tcPr>
            <w:tcW w:w="1646" w:type="dxa"/>
            <w:vAlign w:val="center"/>
          </w:tcPr>
          <w:p w14:paraId="7F4869B0" w14:textId="77777777" w:rsidR="00D27AC8" w:rsidRPr="00061D40" w:rsidRDefault="00D27AC8" w:rsidP="0020777D">
            <w:pPr>
              <w:pStyle w:val="TableText"/>
              <w:spacing w:before="0" w:after="0"/>
              <w:jc w:val="center"/>
            </w:pPr>
            <w:r w:rsidRPr="00061D40">
              <w:t>85.2569</w:t>
            </w:r>
          </w:p>
        </w:tc>
        <w:tc>
          <w:tcPr>
            <w:tcW w:w="1796" w:type="dxa"/>
            <w:vAlign w:val="center"/>
          </w:tcPr>
          <w:p w14:paraId="7F4869B1" w14:textId="77777777" w:rsidR="00D27AC8" w:rsidRPr="00061D40" w:rsidRDefault="00D27AC8" w:rsidP="0020777D">
            <w:pPr>
              <w:pStyle w:val="TableText"/>
              <w:spacing w:before="0" w:after="0"/>
              <w:jc w:val="center"/>
            </w:pPr>
          </w:p>
        </w:tc>
      </w:tr>
      <w:tr w:rsidR="00D27AC8" w:rsidRPr="00061D40" w14:paraId="7F4869BA" w14:textId="77777777" w:rsidTr="00D27AC8">
        <w:tc>
          <w:tcPr>
            <w:tcW w:w="585" w:type="dxa"/>
          </w:tcPr>
          <w:p w14:paraId="7F4869B3" w14:textId="77777777" w:rsidR="00D27AC8" w:rsidRPr="00061D40" w:rsidRDefault="00D27AC8" w:rsidP="00505ABD">
            <w:pPr>
              <w:pStyle w:val="TableText"/>
              <w:spacing w:before="0" w:after="0"/>
            </w:pPr>
            <w:r w:rsidRPr="00061D40">
              <w:t>4</w:t>
            </w:r>
          </w:p>
        </w:tc>
        <w:tc>
          <w:tcPr>
            <w:tcW w:w="1762" w:type="dxa"/>
          </w:tcPr>
          <w:p w14:paraId="7F4869B4" w14:textId="77777777" w:rsidR="00D27AC8" w:rsidRPr="00061D40" w:rsidRDefault="00D27AC8" w:rsidP="00505ABD">
            <w:pPr>
              <w:pStyle w:val="TableText"/>
              <w:spacing w:before="0" w:after="0"/>
            </w:pPr>
            <w:r w:rsidRPr="00061D40">
              <w:t>2 Red St Red Town NSW 2000</w:t>
            </w:r>
          </w:p>
        </w:tc>
        <w:tc>
          <w:tcPr>
            <w:tcW w:w="899" w:type="dxa"/>
          </w:tcPr>
          <w:p w14:paraId="7F4869B5" w14:textId="77777777" w:rsidR="00D27AC8" w:rsidRPr="00061D40" w:rsidRDefault="00D27AC8" w:rsidP="00505ABD">
            <w:pPr>
              <w:pStyle w:val="TableText"/>
              <w:spacing w:before="0" w:after="0"/>
            </w:pPr>
          </w:p>
        </w:tc>
        <w:tc>
          <w:tcPr>
            <w:tcW w:w="1496" w:type="dxa"/>
            <w:vAlign w:val="center"/>
          </w:tcPr>
          <w:p w14:paraId="7F4869B6" w14:textId="77777777" w:rsidR="00D27AC8" w:rsidRPr="00061D40" w:rsidRDefault="00D27AC8" w:rsidP="0020777D">
            <w:pPr>
              <w:pStyle w:val="TableText"/>
              <w:spacing w:before="0" w:after="0"/>
              <w:jc w:val="center"/>
            </w:pPr>
          </w:p>
        </w:tc>
        <w:tc>
          <w:tcPr>
            <w:tcW w:w="1497" w:type="dxa"/>
            <w:vAlign w:val="center"/>
          </w:tcPr>
          <w:p w14:paraId="7F4869B7" w14:textId="77777777" w:rsidR="00D27AC8" w:rsidRPr="00061D40" w:rsidRDefault="00D27AC8" w:rsidP="0020777D">
            <w:pPr>
              <w:pStyle w:val="TableText"/>
              <w:spacing w:before="0" w:after="0"/>
              <w:jc w:val="center"/>
            </w:pPr>
          </w:p>
        </w:tc>
        <w:tc>
          <w:tcPr>
            <w:tcW w:w="1646" w:type="dxa"/>
            <w:vAlign w:val="center"/>
          </w:tcPr>
          <w:p w14:paraId="7F4869B8" w14:textId="77777777" w:rsidR="00D27AC8" w:rsidRPr="00061D40" w:rsidRDefault="00D27AC8" w:rsidP="0020777D">
            <w:pPr>
              <w:pStyle w:val="TableText"/>
              <w:spacing w:before="0" w:after="0"/>
              <w:jc w:val="center"/>
            </w:pPr>
          </w:p>
        </w:tc>
        <w:tc>
          <w:tcPr>
            <w:tcW w:w="1796" w:type="dxa"/>
            <w:vAlign w:val="center"/>
          </w:tcPr>
          <w:p w14:paraId="7F4869B9" w14:textId="77777777" w:rsidR="00D27AC8" w:rsidRPr="00061D40" w:rsidRDefault="00D27AC8" w:rsidP="0020777D">
            <w:pPr>
              <w:pStyle w:val="TableText"/>
              <w:spacing w:before="0" w:after="0"/>
              <w:jc w:val="center"/>
            </w:pPr>
          </w:p>
        </w:tc>
      </w:tr>
      <w:tr w:rsidR="00D27AC8" w:rsidRPr="00061D40" w14:paraId="7F4869C2" w14:textId="77777777" w:rsidTr="00D27AC8">
        <w:tc>
          <w:tcPr>
            <w:tcW w:w="585" w:type="dxa"/>
          </w:tcPr>
          <w:p w14:paraId="7F4869BB" w14:textId="77777777" w:rsidR="00D27AC8" w:rsidRPr="00061D40" w:rsidRDefault="00D27AC8" w:rsidP="00505ABD">
            <w:pPr>
              <w:pStyle w:val="TableText"/>
              <w:spacing w:before="0" w:after="0"/>
            </w:pPr>
            <w:r w:rsidRPr="00061D40">
              <w:t>5</w:t>
            </w:r>
          </w:p>
        </w:tc>
        <w:tc>
          <w:tcPr>
            <w:tcW w:w="1762" w:type="dxa"/>
          </w:tcPr>
          <w:p w14:paraId="7F4869BC" w14:textId="77777777" w:rsidR="00D27AC8" w:rsidRPr="00061D40" w:rsidRDefault="00D27AC8" w:rsidP="00505ABD">
            <w:pPr>
              <w:pStyle w:val="TableText"/>
              <w:spacing w:before="0" w:after="0"/>
            </w:pPr>
            <w:r w:rsidRPr="00061D40">
              <w:t>1 Flat Street, Flattown NSW 2000</w:t>
            </w:r>
          </w:p>
        </w:tc>
        <w:tc>
          <w:tcPr>
            <w:tcW w:w="899" w:type="dxa"/>
          </w:tcPr>
          <w:p w14:paraId="7F4869BD" w14:textId="77777777" w:rsidR="00D27AC8" w:rsidRPr="00061D40" w:rsidRDefault="00D27AC8" w:rsidP="00505ABD">
            <w:pPr>
              <w:pStyle w:val="TableText"/>
              <w:spacing w:before="0" w:after="0"/>
            </w:pPr>
            <w:r w:rsidRPr="00061D40">
              <w:t>2587417</w:t>
            </w:r>
          </w:p>
        </w:tc>
        <w:tc>
          <w:tcPr>
            <w:tcW w:w="1496" w:type="dxa"/>
            <w:vAlign w:val="center"/>
          </w:tcPr>
          <w:p w14:paraId="7F4869BE" w14:textId="77777777" w:rsidR="00D27AC8" w:rsidRPr="00061D40" w:rsidRDefault="00D27AC8" w:rsidP="0020777D">
            <w:pPr>
              <w:pStyle w:val="TableText"/>
              <w:spacing w:before="0" w:after="0"/>
              <w:jc w:val="center"/>
            </w:pPr>
            <w:r w:rsidRPr="00061D40">
              <w:t>51.2698</w:t>
            </w:r>
          </w:p>
        </w:tc>
        <w:tc>
          <w:tcPr>
            <w:tcW w:w="1497" w:type="dxa"/>
            <w:vAlign w:val="center"/>
          </w:tcPr>
          <w:p w14:paraId="7F4869BF" w14:textId="77777777" w:rsidR="00D27AC8" w:rsidRPr="00061D40" w:rsidRDefault="00D27AC8" w:rsidP="0020777D">
            <w:pPr>
              <w:pStyle w:val="TableText"/>
              <w:spacing w:before="0" w:after="0"/>
              <w:jc w:val="center"/>
            </w:pPr>
            <w:r w:rsidRPr="00061D40">
              <w:t>25.1587</w:t>
            </w:r>
          </w:p>
        </w:tc>
        <w:tc>
          <w:tcPr>
            <w:tcW w:w="1646" w:type="dxa"/>
            <w:vAlign w:val="center"/>
          </w:tcPr>
          <w:p w14:paraId="7F4869C0" w14:textId="77777777" w:rsidR="00D27AC8" w:rsidRPr="00061D40" w:rsidRDefault="00D27AC8" w:rsidP="0020777D">
            <w:pPr>
              <w:pStyle w:val="TableText"/>
              <w:spacing w:before="0" w:after="0"/>
              <w:jc w:val="center"/>
            </w:pPr>
          </w:p>
        </w:tc>
        <w:tc>
          <w:tcPr>
            <w:tcW w:w="1796" w:type="dxa"/>
            <w:vAlign w:val="center"/>
          </w:tcPr>
          <w:p w14:paraId="7F4869C1" w14:textId="77777777" w:rsidR="00D27AC8" w:rsidRPr="00061D40" w:rsidRDefault="00D27AC8" w:rsidP="0020777D">
            <w:pPr>
              <w:pStyle w:val="TableText"/>
              <w:spacing w:before="0" w:after="0"/>
              <w:jc w:val="center"/>
            </w:pPr>
            <w:r w:rsidRPr="00061D40">
              <w:t>41.3658</w:t>
            </w:r>
          </w:p>
        </w:tc>
      </w:tr>
      <w:tr w:rsidR="00D27AC8" w:rsidRPr="00061D40" w14:paraId="7F4869C8" w14:textId="77777777" w:rsidTr="00D27AC8">
        <w:trPr>
          <w:cantSplit/>
          <w:trHeight w:val="436"/>
        </w:trPr>
        <w:tc>
          <w:tcPr>
            <w:tcW w:w="3246" w:type="dxa"/>
            <w:gridSpan w:val="3"/>
            <w:vAlign w:val="center"/>
          </w:tcPr>
          <w:p w14:paraId="7F4869C3" w14:textId="77777777" w:rsidR="00D27AC8" w:rsidRPr="00061D40" w:rsidRDefault="00D27AC8" w:rsidP="00505ABD">
            <w:pPr>
              <w:pStyle w:val="TableText"/>
              <w:spacing w:before="0" w:after="0"/>
            </w:pPr>
            <w:r w:rsidRPr="00061D40">
              <w:t>(a) Total of the SES dimension scores</w:t>
            </w:r>
          </w:p>
        </w:tc>
        <w:tc>
          <w:tcPr>
            <w:tcW w:w="1496" w:type="dxa"/>
            <w:vAlign w:val="center"/>
          </w:tcPr>
          <w:p w14:paraId="7F4869C4" w14:textId="77777777" w:rsidR="00D27AC8" w:rsidRPr="00061D40" w:rsidRDefault="00D27AC8" w:rsidP="0020777D">
            <w:pPr>
              <w:pStyle w:val="TableText"/>
              <w:spacing w:before="0" w:after="0"/>
              <w:jc w:val="center"/>
            </w:pPr>
            <w:r w:rsidRPr="00061D40">
              <w:t>260.5407</w:t>
            </w:r>
          </w:p>
        </w:tc>
        <w:tc>
          <w:tcPr>
            <w:tcW w:w="1497" w:type="dxa"/>
            <w:vAlign w:val="center"/>
          </w:tcPr>
          <w:p w14:paraId="7F4869C5" w14:textId="77777777" w:rsidR="00D27AC8" w:rsidRPr="00061D40" w:rsidRDefault="00D27AC8" w:rsidP="0020777D">
            <w:pPr>
              <w:pStyle w:val="TableText"/>
              <w:spacing w:before="0" w:after="0"/>
              <w:jc w:val="center"/>
            </w:pPr>
            <w:r w:rsidRPr="00061D40">
              <w:t>288.2840</w:t>
            </w:r>
          </w:p>
        </w:tc>
        <w:tc>
          <w:tcPr>
            <w:tcW w:w="1646" w:type="dxa"/>
            <w:vAlign w:val="center"/>
          </w:tcPr>
          <w:p w14:paraId="7F4869C6" w14:textId="77777777" w:rsidR="00D27AC8" w:rsidRPr="00061D40" w:rsidRDefault="00D27AC8" w:rsidP="0020777D">
            <w:pPr>
              <w:pStyle w:val="TableText"/>
              <w:spacing w:before="0" w:after="0"/>
              <w:jc w:val="center"/>
            </w:pPr>
            <w:r w:rsidRPr="00061D40">
              <w:t>217.5110</w:t>
            </w:r>
          </w:p>
        </w:tc>
        <w:tc>
          <w:tcPr>
            <w:tcW w:w="1796" w:type="dxa"/>
            <w:vAlign w:val="center"/>
          </w:tcPr>
          <w:p w14:paraId="7F4869C7" w14:textId="77777777" w:rsidR="00D27AC8" w:rsidRPr="00061D40" w:rsidRDefault="00D27AC8" w:rsidP="0020777D">
            <w:pPr>
              <w:pStyle w:val="TableText"/>
              <w:spacing w:before="0" w:after="0"/>
              <w:jc w:val="center"/>
            </w:pPr>
            <w:r w:rsidRPr="00061D40">
              <w:t>173.2614</w:t>
            </w:r>
          </w:p>
        </w:tc>
      </w:tr>
      <w:tr w:rsidR="00D27AC8" w:rsidRPr="00061D40" w14:paraId="7F4869CE" w14:textId="77777777" w:rsidTr="00D27AC8">
        <w:trPr>
          <w:cantSplit/>
          <w:trHeight w:val="436"/>
        </w:trPr>
        <w:tc>
          <w:tcPr>
            <w:tcW w:w="3246" w:type="dxa"/>
            <w:gridSpan w:val="3"/>
            <w:vAlign w:val="center"/>
          </w:tcPr>
          <w:p w14:paraId="7F4869C9" w14:textId="77777777" w:rsidR="00D27AC8" w:rsidRPr="00061D40" w:rsidRDefault="00D27AC8" w:rsidP="00505ABD">
            <w:pPr>
              <w:pStyle w:val="TableText"/>
              <w:spacing w:before="0" w:after="0"/>
            </w:pPr>
            <w:r w:rsidRPr="00061D40">
              <w:t>(b) Total number of geocoded student residential addresses with a score for that dimension</w:t>
            </w:r>
          </w:p>
        </w:tc>
        <w:tc>
          <w:tcPr>
            <w:tcW w:w="1496" w:type="dxa"/>
            <w:vAlign w:val="center"/>
          </w:tcPr>
          <w:p w14:paraId="7F4869CA" w14:textId="77777777" w:rsidR="00D27AC8" w:rsidRPr="00061D40" w:rsidRDefault="00D27AC8" w:rsidP="0020777D">
            <w:pPr>
              <w:pStyle w:val="TableText"/>
              <w:spacing w:before="0" w:after="0"/>
              <w:jc w:val="center"/>
            </w:pPr>
            <w:r w:rsidRPr="00061D40">
              <w:t>3</w:t>
            </w:r>
          </w:p>
        </w:tc>
        <w:tc>
          <w:tcPr>
            <w:tcW w:w="1497" w:type="dxa"/>
            <w:vAlign w:val="center"/>
          </w:tcPr>
          <w:p w14:paraId="7F4869CB" w14:textId="77777777" w:rsidR="00D27AC8" w:rsidRPr="00061D40" w:rsidRDefault="00D27AC8" w:rsidP="0020777D">
            <w:pPr>
              <w:pStyle w:val="TableText"/>
              <w:spacing w:before="0" w:after="0"/>
              <w:jc w:val="center"/>
            </w:pPr>
            <w:r w:rsidRPr="00061D40">
              <w:t>4</w:t>
            </w:r>
          </w:p>
        </w:tc>
        <w:tc>
          <w:tcPr>
            <w:tcW w:w="1646" w:type="dxa"/>
            <w:vAlign w:val="center"/>
          </w:tcPr>
          <w:p w14:paraId="7F4869CC" w14:textId="77777777" w:rsidR="00D27AC8" w:rsidRPr="00061D40" w:rsidRDefault="00D27AC8" w:rsidP="0020777D">
            <w:pPr>
              <w:pStyle w:val="TableText"/>
              <w:spacing w:before="0" w:after="0"/>
              <w:jc w:val="center"/>
            </w:pPr>
            <w:r w:rsidRPr="00061D40">
              <w:t>2</w:t>
            </w:r>
          </w:p>
        </w:tc>
        <w:tc>
          <w:tcPr>
            <w:tcW w:w="1796" w:type="dxa"/>
            <w:vAlign w:val="center"/>
          </w:tcPr>
          <w:p w14:paraId="7F4869CD" w14:textId="77777777" w:rsidR="00D27AC8" w:rsidRPr="00061D40" w:rsidRDefault="00D27AC8" w:rsidP="0020777D">
            <w:pPr>
              <w:pStyle w:val="TableText"/>
              <w:spacing w:before="0" w:after="0"/>
              <w:jc w:val="center"/>
            </w:pPr>
            <w:r w:rsidRPr="00061D40">
              <w:t>2</w:t>
            </w:r>
          </w:p>
        </w:tc>
      </w:tr>
      <w:tr w:rsidR="00D27AC8" w:rsidRPr="00061D40" w14:paraId="7F4869D5" w14:textId="77777777" w:rsidTr="00D27AC8">
        <w:trPr>
          <w:cantSplit/>
          <w:trHeight w:val="436"/>
        </w:trPr>
        <w:tc>
          <w:tcPr>
            <w:tcW w:w="3246" w:type="dxa"/>
            <w:gridSpan w:val="3"/>
            <w:vAlign w:val="center"/>
          </w:tcPr>
          <w:p w14:paraId="7F4869CF" w14:textId="77777777" w:rsidR="00D27AC8" w:rsidRPr="00061D40" w:rsidRDefault="00D27AC8" w:rsidP="00505ABD">
            <w:pPr>
              <w:pStyle w:val="TableText"/>
              <w:spacing w:before="0" w:after="0"/>
            </w:pPr>
            <w:r w:rsidRPr="00061D40">
              <w:t>Average value of dimension</w:t>
            </w:r>
          </w:p>
          <w:p w14:paraId="7F4869D0" w14:textId="77777777" w:rsidR="00D27AC8" w:rsidRPr="00061D40" w:rsidRDefault="00D27AC8" w:rsidP="00505ABD">
            <w:pPr>
              <w:pStyle w:val="TableText"/>
              <w:spacing w:before="0" w:after="0"/>
            </w:pPr>
            <w:r w:rsidRPr="00061D40">
              <w:t>[(a) divided by (b)]</w:t>
            </w:r>
          </w:p>
        </w:tc>
        <w:tc>
          <w:tcPr>
            <w:tcW w:w="1496" w:type="dxa"/>
            <w:vAlign w:val="center"/>
          </w:tcPr>
          <w:p w14:paraId="7F4869D1" w14:textId="77777777" w:rsidR="00D27AC8" w:rsidRPr="00061D40" w:rsidRDefault="000945C2" w:rsidP="0020777D">
            <w:pPr>
              <w:pStyle w:val="TableText"/>
              <w:spacing w:before="0" w:after="0"/>
              <w:jc w:val="center"/>
            </w:pPr>
            <w:r>
              <w:fldChar w:fldCharType="begin"/>
            </w:r>
            <w:r w:rsidR="002A0170">
              <w:instrText xml:space="preserve"> =AVERAGE(d2:d6) </w:instrText>
            </w:r>
            <w:r>
              <w:fldChar w:fldCharType="separate"/>
            </w:r>
            <w:r w:rsidR="00D27AC8" w:rsidRPr="00061D40">
              <w:t>86.8469</w:t>
            </w:r>
            <w:r>
              <w:fldChar w:fldCharType="end"/>
            </w:r>
            <w:r w:rsidRPr="00061D40">
              <w:fldChar w:fldCharType="begin"/>
            </w:r>
            <w:r w:rsidR="00D27AC8" w:rsidRPr="00061D40">
              <w:instrText xml:space="preserve"> AVERAGE(above) </w:instrText>
            </w:r>
            <w:r w:rsidRPr="00061D40">
              <w:fldChar w:fldCharType="end"/>
            </w:r>
            <w:r w:rsidRPr="00061D40">
              <w:fldChar w:fldCharType="begin"/>
            </w:r>
            <w:r w:rsidR="00D27AC8" w:rsidRPr="00061D40">
              <w:instrText xml:space="preserve"> AVERAGE(above) </w:instrText>
            </w:r>
            <w:r w:rsidRPr="00061D40">
              <w:fldChar w:fldCharType="end"/>
            </w:r>
          </w:p>
        </w:tc>
        <w:tc>
          <w:tcPr>
            <w:tcW w:w="1497" w:type="dxa"/>
            <w:vAlign w:val="center"/>
          </w:tcPr>
          <w:p w14:paraId="7F4869D2" w14:textId="77777777" w:rsidR="00D27AC8" w:rsidRPr="00061D40" w:rsidRDefault="000945C2" w:rsidP="0020777D">
            <w:pPr>
              <w:pStyle w:val="TableText"/>
              <w:spacing w:before="0" w:after="0"/>
              <w:jc w:val="center"/>
            </w:pPr>
            <w:r>
              <w:fldChar w:fldCharType="begin"/>
            </w:r>
            <w:r w:rsidR="002A0170">
              <w:instrText xml:space="preserve"> =AVERAGE(e2:e6) \# "##0.0000" </w:instrText>
            </w:r>
            <w:r>
              <w:fldChar w:fldCharType="separate"/>
            </w:r>
            <w:r w:rsidR="00D27AC8" w:rsidRPr="00061D40">
              <w:t xml:space="preserve"> 72.0710</w:t>
            </w:r>
            <w:r>
              <w:fldChar w:fldCharType="end"/>
            </w:r>
            <w:r w:rsidRPr="00061D40">
              <w:fldChar w:fldCharType="begin"/>
            </w:r>
            <w:r w:rsidR="00D27AC8" w:rsidRPr="00061D40">
              <w:instrText xml:space="preserve"> AVERAGE(above) </w:instrText>
            </w:r>
            <w:r w:rsidRPr="00061D40">
              <w:fldChar w:fldCharType="end"/>
            </w:r>
            <w:r w:rsidRPr="00061D40">
              <w:fldChar w:fldCharType="begin"/>
            </w:r>
            <w:r w:rsidR="00D27AC8" w:rsidRPr="00061D40">
              <w:instrText xml:space="preserve"> AVERAGE(above) </w:instrText>
            </w:r>
            <w:r w:rsidRPr="00061D40">
              <w:fldChar w:fldCharType="end"/>
            </w:r>
          </w:p>
        </w:tc>
        <w:tc>
          <w:tcPr>
            <w:tcW w:w="1646" w:type="dxa"/>
            <w:vAlign w:val="center"/>
          </w:tcPr>
          <w:p w14:paraId="7F4869D3" w14:textId="77777777" w:rsidR="00D27AC8" w:rsidRPr="00061D40" w:rsidRDefault="000945C2" w:rsidP="0020777D">
            <w:pPr>
              <w:pStyle w:val="TableText"/>
              <w:spacing w:before="0" w:after="0"/>
              <w:jc w:val="center"/>
            </w:pPr>
            <w:r>
              <w:fldChar w:fldCharType="begin"/>
            </w:r>
            <w:r w:rsidR="002A0170">
              <w:instrText xml:space="preserve"> =AVERAGE(f2:f6) </w:instrText>
            </w:r>
            <w:r>
              <w:fldChar w:fldCharType="separate"/>
            </w:r>
            <w:r w:rsidR="00D27AC8" w:rsidRPr="00061D40">
              <w:t>108.7555</w:t>
            </w:r>
            <w:r>
              <w:fldChar w:fldCharType="end"/>
            </w:r>
          </w:p>
        </w:tc>
        <w:tc>
          <w:tcPr>
            <w:tcW w:w="1796" w:type="dxa"/>
            <w:vAlign w:val="center"/>
          </w:tcPr>
          <w:p w14:paraId="7F4869D4" w14:textId="77777777" w:rsidR="00D27AC8" w:rsidRPr="00061D40" w:rsidRDefault="000945C2" w:rsidP="0020777D">
            <w:pPr>
              <w:pStyle w:val="TableText"/>
              <w:spacing w:before="0" w:after="0"/>
              <w:jc w:val="center"/>
            </w:pPr>
            <w:r>
              <w:fldChar w:fldCharType="begin"/>
            </w:r>
            <w:r w:rsidR="002A0170">
              <w:instrText xml:space="preserve"> =AVERAGE(g2:g6) </w:instrText>
            </w:r>
            <w:r>
              <w:fldChar w:fldCharType="separate"/>
            </w:r>
            <w:r w:rsidR="00D27AC8" w:rsidRPr="00061D40">
              <w:t>86.6307</w:t>
            </w:r>
            <w:r>
              <w:fldChar w:fldCharType="end"/>
            </w:r>
          </w:p>
        </w:tc>
      </w:tr>
      <w:tr w:rsidR="00D27AC8" w:rsidRPr="00061D40" w14:paraId="7F4869D9" w14:textId="77777777" w:rsidTr="00D27AC8">
        <w:trPr>
          <w:cantSplit/>
          <w:trHeight w:val="436"/>
        </w:trPr>
        <w:tc>
          <w:tcPr>
            <w:tcW w:w="6239" w:type="dxa"/>
            <w:gridSpan w:val="5"/>
            <w:vAlign w:val="center"/>
          </w:tcPr>
          <w:p w14:paraId="7F4869D6" w14:textId="77777777" w:rsidR="00D27AC8" w:rsidRPr="00061D40" w:rsidRDefault="00D27AC8" w:rsidP="00505ABD">
            <w:pPr>
              <w:pStyle w:val="TableText"/>
              <w:spacing w:before="0" w:after="0"/>
            </w:pPr>
            <w:r w:rsidRPr="00061D40">
              <w:t>Occupation dimension/3 + Education dimension/3 +Household Income dimension/6 + Family Income dimension/6</w:t>
            </w:r>
          </w:p>
        </w:tc>
        <w:tc>
          <w:tcPr>
            <w:tcW w:w="3442" w:type="dxa"/>
            <w:gridSpan w:val="2"/>
            <w:vAlign w:val="center"/>
          </w:tcPr>
          <w:p w14:paraId="7F4869D7" w14:textId="77777777" w:rsidR="00D27AC8" w:rsidRPr="00061D40" w:rsidRDefault="00D27AC8" w:rsidP="0020777D">
            <w:pPr>
              <w:pStyle w:val="TableText"/>
              <w:spacing w:before="0" w:after="0"/>
              <w:jc w:val="center"/>
            </w:pPr>
            <w:r w:rsidRPr="00061D40">
              <w:t>86.8469 / 3 + 72.0710 / 3 +</w:t>
            </w:r>
          </w:p>
          <w:p w14:paraId="7F4869D8" w14:textId="77777777" w:rsidR="00D27AC8" w:rsidRPr="00061D40" w:rsidRDefault="00D27AC8" w:rsidP="0020777D">
            <w:pPr>
              <w:pStyle w:val="TableText"/>
              <w:spacing w:before="0" w:after="0"/>
              <w:jc w:val="center"/>
            </w:pPr>
            <w:r w:rsidRPr="00061D40">
              <w:t>108.7555 / 6 + 86.6307/6</w:t>
            </w:r>
          </w:p>
        </w:tc>
      </w:tr>
      <w:tr w:rsidR="00D27AC8" w:rsidRPr="00061D40" w14:paraId="7F4869DD" w14:textId="77777777" w:rsidTr="00D27AC8">
        <w:trPr>
          <w:cantSplit/>
          <w:trHeight w:val="436"/>
        </w:trPr>
        <w:tc>
          <w:tcPr>
            <w:tcW w:w="6239" w:type="dxa"/>
            <w:gridSpan w:val="5"/>
            <w:vAlign w:val="center"/>
          </w:tcPr>
          <w:p w14:paraId="7F4869DA" w14:textId="77777777" w:rsidR="00D27AC8" w:rsidRPr="00061D40" w:rsidRDefault="00D27AC8" w:rsidP="00505ABD">
            <w:pPr>
              <w:pStyle w:val="TableText"/>
              <w:spacing w:before="0" w:after="0"/>
            </w:pPr>
            <w:r w:rsidRPr="00061D40">
              <w:t>=</w:t>
            </w:r>
          </w:p>
        </w:tc>
        <w:tc>
          <w:tcPr>
            <w:tcW w:w="3442" w:type="dxa"/>
            <w:gridSpan w:val="2"/>
            <w:vAlign w:val="center"/>
          </w:tcPr>
          <w:p w14:paraId="7F4869DB" w14:textId="77777777" w:rsidR="00D27AC8" w:rsidRPr="00061D40" w:rsidRDefault="00D27AC8" w:rsidP="0020777D">
            <w:pPr>
              <w:pStyle w:val="TableText"/>
              <w:spacing w:before="0" w:after="0"/>
              <w:jc w:val="center"/>
            </w:pPr>
            <w:r w:rsidRPr="00061D40">
              <w:t>28.9490 + 24.0237 + 18.1259 +</w:t>
            </w:r>
          </w:p>
          <w:p w14:paraId="7F4869DC" w14:textId="77777777" w:rsidR="00D27AC8" w:rsidRPr="00061D40" w:rsidRDefault="00D27AC8" w:rsidP="0020777D">
            <w:pPr>
              <w:pStyle w:val="TableText"/>
              <w:spacing w:before="0" w:after="0"/>
              <w:jc w:val="center"/>
            </w:pPr>
            <w:r w:rsidRPr="00061D40">
              <w:t>14.4385</w:t>
            </w:r>
          </w:p>
        </w:tc>
      </w:tr>
      <w:tr w:rsidR="00D27AC8" w:rsidRPr="00061D40" w14:paraId="7F4869E0" w14:textId="77777777" w:rsidTr="00D27AC8">
        <w:trPr>
          <w:cantSplit/>
          <w:trHeight w:val="436"/>
        </w:trPr>
        <w:tc>
          <w:tcPr>
            <w:tcW w:w="7885" w:type="dxa"/>
            <w:gridSpan w:val="6"/>
            <w:vAlign w:val="center"/>
          </w:tcPr>
          <w:p w14:paraId="7F4869DE" w14:textId="77777777" w:rsidR="00D27AC8" w:rsidRPr="00061D40" w:rsidRDefault="00D27AC8" w:rsidP="00505ABD">
            <w:pPr>
              <w:pStyle w:val="TableText"/>
              <w:spacing w:before="0" w:after="0"/>
            </w:pPr>
            <w:r w:rsidRPr="00061D40">
              <w:t>School’s raw SES score (to 4 decimal places)</w:t>
            </w:r>
          </w:p>
        </w:tc>
        <w:tc>
          <w:tcPr>
            <w:tcW w:w="1796" w:type="dxa"/>
            <w:vAlign w:val="center"/>
          </w:tcPr>
          <w:p w14:paraId="7F4869DF" w14:textId="77777777" w:rsidR="00D27AC8" w:rsidRPr="00061D40" w:rsidRDefault="00D27AC8" w:rsidP="0020777D">
            <w:pPr>
              <w:pStyle w:val="TableText"/>
              <w:spacing w:before="0" w:after="0"/>
              <w:jc w:val="center"/>
            </w:pPr>
            <w:r w:rsidRPr="00061D40">
              <w:t>85.5371</w:t>
            </w:r>
          </w:p>
        </w:tc>
      </w:tr>
      <w:tr w:rsidR="00D27AC8" w:rsidRPr="00061D40" w14:paraId="7F4869E3" w14:textId="77777777" w:rsidTr="00D27AC8">
        <w:trPr>
          <w:cantSplit/>
          <w:trHeight w:val="436"/>
        </w:trPr>
        <w:tc>
          <w:tcPr>
            <w:tcW w:w="7885" w:type="dxa"/>
            <w:gridSpan w:val="6"/>
            <w:vAlign w:val="center"/>
          </w:tcPr>
          <w:p w14:paraId="7F4869E1" w14:textId="77777777" w:rsidR="00D27AC8" w:rsidRPr="00061D40" w:rsidRDefault="00D27AC8" w:rsidP="00505ABD">
            <w:pPr>
              <w:pStyle w:val="TableText"/>
              <w:spacing w:before="0" w:after="0"/>
            </w:pPr>
            <w:r w:rsidRPr="00061D40">
              <w:t>School’s SES score (rounded)</w:t>
            </w:r>
          </w:p>
        </w:tc>
        <w:tc>
          <w:tcPr>
            <w:tcW w:w="1796" w:type="dxa"/>
            <w:vAlign w:val="center"/>
          </w:tcPr>
          <w:p w14:paraId="7F4869E2" w14:textId="77777777" w:rsidR="00D27AC8" w:rsidRPr="00061D40" w:rsidRDefault="00D27AC8" w:rsidP="0020777D">
            <w:pPr>
              <w:pStyle w:val="TableText"/>
              <w:spacing w:before="0" w:after="0"/>
              <w:jc w:val="center"/>
            </w:pPr>
            <w:r w:rsidRPr="00061D40">
              <w:t>86</w:t>
            </w:r>
          </w:p>
        </w:tc>
      </w:tr>
    </w:tbl>
    <w:p w14:paraId="7F4869E4" w14:textId="77777777" w:rsidR="00D27AC8" w:rsidRPr="00061D40" w:rsidRDefault="00D27AC8" w:rsidP="00505ABD">
      <w:pPr>
        <w:pStyle w:val="Tablefootnote"/>
        <w:rPr>
          <w:szCs w:val="20"/>
        </w:rPr>
      </w:pPr>
      <w:r w:rsidRPr="00061D40">
        <w:rPr>
          <w:szCs w:val="20"/>
        </w:rPr>
        <w:t>Also refer to the SES funding information provided at:</w:t>
      </w:r>
      <w:r w:rsidR="00505ABD" w:rsidRPr="00061D40">
        <w:rPr>
          <w:szCs w:val="20"/>
        </w:rPr>
        <w:t xml:space="preserve"> </w:t>
      </w:r>
      <w:hyperlink r:id="rId65" w:history="1">
        <w:r w:rsidR="00785256" w:rsidRPr="00CB52EC">
          <w:rPr>
            <w:rStyle w:val="Hyperlink"/>
            <w:rFonts w:cs="Arial Narrow"/>
            <w:sz w:val="20"/>
            <w:szCs w:val="20"/>
          </w:rPr>
          <w:t>https://ssp.deewr.gov.au/ssp/help/html/ses/index.html</w:t>
        </w:r>
      </w:hyperlink>
      <w:r w:rsidR="00785256">
        <w:rPr>
          <w:szCs w:val="20"/>
        </w:rPr>
        <w:t xml:space="preserve"> </w:t>
      </w:r>
      <w:r w:rsidR="001E3F51">
        <w:rPr>
          <w:szCs w:val="20"/>
        </w:rPr>
        <w:t>.</w:t>
      </w:r>
    </w:p>
    <w:p w14:paraId="7F4869E5" w14:textId="77777777" w:rsidR="00D32016" w:rsidRDefault="00D27AC8">
      <w:pPr>
        <w:pStyle w:val="Heading3"/>
      </w:pPr>
      <w:r w:rsidRPr="00061D40">
        <w:t>PART 2: Special Assistance Schools and Special Schools</w:t>
      </w:r>
    </w:p>
    <w:p w14:paraId="7F4869E6" w14:textId="77777777" w:rsidR="00D27AC8" w:rsidRPr="00061D40" w:rsidRDefault="00D27AC8" w:rsidP="00505ABD">
      <w:pPr>
        <w:pStyle w:val="StyleAppendicesBodyTextLinespacingsingle"/>
      </w:pPr>
      <w:r w:rsidRPr="00061D40">
        <w:t>Special Assistance Schools and Special Schools are not required to submit a statement of addresses.</w:t>
      </w:r>
      <w:r w:rsidR="008E5ABB" w:rsidRPr="00061D40">
        <w:t xml:space="preserve"> </w:t>
      </w:r>
      <w:r w:rsidRPr="00061D40">
        <w:t>These schools receive maximum SES funding under Division 6 of the Act.</w:t>
      </w:r>
    </w:p>
    <w:p w14:paraId="7F4869E7" w14:textId="77777777" w:rsidR="00D27AC8" w:rsidRPr="00061D40" w:rsidRDefault="00D27AC8" w:rsidP="00505ABD">
      <w:pPr>
        <w:pStyle w:val="StyleAppendicesBodyTextLinespacingsingle"/>
      </w:pPr>
      <w:r w:rsidRPr="00061D40">
        <w:t>The SES score for Special Assistance Schools and Special Schools will be the score that, for the purposes of the table in Schedule 1 of the Act, has an associated current SES funding level of 70 per cent of Average Government School Recurrent Costs.</w:t>
      </w:r>
    </w:p>
    <w:p w14:paraId="7F4869E8" w14:textId="77777777" w:rsidR="00D32016" w:rsidRDefault="00D27AC8">
      <w:pPr>
        <w:pStyle w:val="Heading3"/>
      </w:pPr>
      <w:r w:rsidRPr="00061D40">
        <w:lastRenderedPageBreak/>
        <w:t>PART 3: Majority Indigenous Student Schools</w:t>
      </w:r>
    </w:p>
    <w:p w14:paraId="7F4869E9" w14:textId="77777777" w:rsidR="00A21C2E" w:rsidRPr="00061D40" w:rsidRDefault="00D27AC8" w:rsidP="00505ABD">
      <w:pPr>
        <w:pStyle w:val="StyleAppendicesBodyTextLinespacingsingle"/>
      </w:pPr>
      <w:r w:rsidRPr="00061D40">
        <w:t>In a program year where Division 6 (maximum SES funding) applies to a school meeting the definition of Majority Indigenous Student School, the SES score for the school will be the score that, for the purposes of the table in Schedule 1 of the Act, has an associated current SES funding level of 70 per cent of Average Government School Recurrent Costs.</w:t>
      </w:r>
    </w:p>
    <w:p w14:paraId="7F4869EA" w14:textId="77777777" w:rsidR="00AC30F9" w:rsidRPr="00061D40" w:rsidRDefault="00AC30F9" w:rsidP="00B77818">
      <w:pPr>
        <w:pStyle w:val="Heading1"/>
        <w:sectPr w:rsidR="00AC30F9" w:rsidRPr="00061D40" w:rsidSect="00963340">
          <w:pgSz w:w="11906" w:h="16838" w:code="9"/>
          <w:pgMar w:top="1418" w:right="1418" w:bottom="1134" w:left="1418" w:header="567" w:footer="567" w:gutter="0"/>
          <w:cols w:space="720"/>
          <w:docGrid w:linePitch="272"/>
        </w:sectPr>
      </w:pPr>
    </w:p>
    <w:p w14:paraId="7F4869EB" w14:textId="77777777" w:rsidR="00D32016" w:rsidRDefault="00F02ED7">
      <w:pPr>
        <w:pStyle w:val="Heading2"/>
      </w:pPr>
      <w:bookmarkStart w:id="184" w:name="_Appendix_B:_Review"/>
      <w:bookmarkStart w:id="185" w:name="_Ref246737520"/>
      <w:bookmarkStart w:id="186" w:name="_Toc346205333"/>
      <w:bookmarkStart w:id="187" w:name="OLE_LINK51"/>
      <w:bookmarkStart w:id="188" w:name="OLE_LINK52"/>
      <w:bookmarkEnd w:id="184"/>
      <w:r w:rsidRPr="00F02ED7">
        <w:lastRenderedPageBreak/>
        <w:t>Appendix B</w:t>
      </w:r>
      <w:bookmarkEnd w:id="185"/>
      <w:r w:rsidRPr="00F02ED7">
        <w:t xml:space="preserve">: </w:t>
      </w:r>
      <w:bookmarkStart w:id="189" w:name="_Toc246493737"/>
      <w:r w:rsidRPr="00F02ED7">
        <w:t>Review of Non-government Schools’ SES Scores</w:t>
      </w:r>
      <w:bookmarkEnd w:id="186"/>
      <w:r w:rsidRPr="00F02ED7">
        <w:t xml:space="preserve"> </w:t>
      </w:r>
      <w:bookmarkStart w:id="190" w:name="_Toc503145925"/>
      <w:bookmarkStart w:id="191" w:name="_Toc503147467"/>
      <w:bookmarkStart w:id="192" w:name="_Toc503151386"/>
      <w:bookmarkStart w:id="193" w:name="_Toc55968478"/>
      <w:bookmarkStart w:id="194" w:name="_Toc182292875"/>
      <w:bookmarkEnd w:id="187"/>
      <w:bookmarkEnd w:id="188"/>
      <w:bookmarkEnd w:id="189"/>
    </w:p>
    <w:p w14:paraId="7F4869EC" w14:textId="77777777" w:rsidR="00976F6F" w:rsidRPr="00061D40" w:rsidRDefault="00976F6F" w:rsidP="00C8190E">
      <w:pPr>
        <w:rPr>
          <w:b/>
        </w:rPr>
      </w:pPr>
      <w:r w:rsidRPr="00061D40">
        <w:rPr>
          <w:b/>
        </w:rPr>
        <w:t xml:space="preserve">Application process for change proposals under section 76(1)(a) and (c), Part 4, </w:t>
      </w:r>
      <w:r w:rsidR="00F568E0" w:rsidRPr="00061D40">
        <w:rPr>
          <w:b/>
        </w:rPr>
        <w:t>Division </w:t>
      </w:r>
      <w:r w:rsidRPr="00061D40">
        <w:rPr>
          <w:b/>
        </w:rPr>
        <w:t xml:space="preserve">11 of the </w:t>
      </w:r>
      <w:r w:rsidR="001E165B" w:rsidRPr="00061D40">
        <w:rPr>
          <w:b/>
        </w:rPr>
        <w:t>Act</w:t>
      </w:r>
      <w:r w:rsidRPr="00061D40">
        <w:rPr>
          <w:b/>
        </w:rPr>
        <w:t xml:space="preserve"> </w:t>
      </w:r>
    </w:p>
    <w:p w14:paraId="7F4869ED" w14:textId="77777777" w:rsidR="00D32016" w:rsidRDefault="00976F6F">
      <w:pPr>
        <w:pStyle w:val="Heading3"/>
      </w:pPr>
      <w:r w:rsidRPr="00061D40">
        <w:t>Purpose</w:t>
      </w:r>
    </w:p>
    <w:p w14:paraId="7F4869EE" w14:textId="77777777" w:rsidR="00976F6F" w:rsidRPr="00061D40" w:rsidRDefault="00976F6F" w:rsidP="00C30212">
      <w:pPr>
        <w:pStyle w:val="StyleAppendicesBodyTextAfter6pt"/>
        <w:spacing w:after="0" w:line="240" w:lineRule="auto"/>
      </w:pPr>
      <w:r w:rsidRPr="00061D40">
        <w:t>The SES score shows the relative capacity of a school community to support its school.</w:t>
      </w:r>
      <w:r w:rsidR="008E5ABB" w:rsidRPr="00061D40">
        <w:t xml:space="preserve"> </w:t>
      </w:r>
      <w:r w:rsidRPr="00061D40">
        <w:t>The SES score represents the average socioeconomic profile of the community supporting a school.</w:t>
      </w:r>
    </w:p>
    <w:p w14:paraId="7F4869EF" w14:textId="77777777" w:rsidR="00976F6F" w:rsidRPr="00061D40" w:rsidRDefault="00976F6F" w:rsidP="00C30212">
      <w:pPr>
        <w:pStyle w:val="StyleAppendicesBodyTextAfter6pt"/>
        <w:spacing w:after="0" w:line="240" w:lineRule="auto"/>
      </w:pPr>
      <w:r w:rsidRPr="00061D40">
        <w:t>Th</w:t>
      </w:r>
      <w:r w:rsidR="000133A8">
        <w:t>is</w:t>
      </w:r>
      <w:r w:rsidRPr="00061D40">
        <w:t xml:space="preserve"> </w:t>
      </w:r>
      <w:r w:rsidR="000133A8">
        <w:t>Appendix</w:t>
      </w:r>
      <w:r w:rsidRPr="00061D40">
        <w:t xml:space="preserve"> provide</w:t>
      </w:r>
      <w:r w:rsidR="000133A8">
        <w:t>s</w:t>
      </w:r>
      <w:r w:rsidRPr="00061D40">
        <w:t xml:space="preserve"> information on:</w:t>
      </w:r>
    </w:p>
    <w:p w14:paraId="7F4869F0" w14:textId="77777777" w:rsidR="00976F6F" w:rsidRPr="00061D40" w:rsidRDefault="00976F6F" w:rsidP="006067EC">
      <w:pPr>
        <w:pStyle w:val="StyleStyledotpointAfter75ptLinespacingsingle"/>
      </w:pPr>
      <w:r w:rsidRPr="00061D40">
        <w:t>what a school can do if it considers that its SES score has not been determined correctly or is no longer accurate because of a significant change in the school’s circumstances</w:t>
      </w:r>
    </w:p>
    <w:p w14:paraId="7F4869F1" w14:textId="77777777" w:rsidR="00976F6F" w:rsidRPr="00061D40" w:rsidRDefault="00976F6F" w:rsidP="006067EC">
      <w:pPr>
        <w:pStyle w:val="StyleStyledotpointAfter75ptLinespacingsingle"/>
      </w:pPr>
      <w:r w:rsidRPr="00061D40">
        <w:t>the procedure for reviewing a school’s application to change its funding level.</w:t>
      </w:r>
    </w:p>
    <w:p w14:paraId="7F4869F2" w14:textId="77777777" w:rsidR="00D32016" w:rsidRDefault="00976F6F">
      <w:pPr>
        <w:pStyle w:val="Heading3"/>
      </w:pPr>
      <w:r w:rsidRPr="00061D40">
        <w:t>Power under the Act</w:t>
      </w:r>
    </w:p>
    <w:p w14:paraId="7F4869F3" w14:textId="77777777" w:rsidR="00976F6F" w:rsidRPr="00061D40" w:rsidRDefault="00976F6F" w:rsidP="00C30212">
      <w:pPr>
        <w:pStyle w:val="StyleAppendicesBodyTextAfter6pt"/>
        <w:spacing w:after="0" w:line="240" w:lineRule="auto"/>
      </w:pPr>
      <w:r w:rsidRPr="00061D40">
        <w:t>SES scores for a school are determined by the Minister under section 72 of</w:t>
      </w:r>
      <w:r w:rsidR="001E165B" w:rsidRPr="00061D40">
        <w:t xml:space="preserve"> </w:t>
      </w:r>
      <w:r w:rsidRPr="00061D40">
        <w:t>the Act.</w:t>
      </w:r>
      <w:r w:rsidR="008E5ABB" w:rsidRPr="00061D40">
        <w:t xml:space="preserve"> </w:t>
      </w:r>
      <w:r w:rsidRPr="00061D40">
        <w:t>Pursuant to section 76(1)(a) and (c) of the Act, the approved authority of a school with an SES score may seek a review of a school’s SES score if it is considered that the SES score:</w:t>
      </w:r>
    </w:p>
    <w:p w14:paraId="7F4869F4" w14:textId="77777777" w:rsidR="00AA6BA2" w:rsidRPr="00061D40" w:rsidRDefault="00976F6F" w:rsidP="006067EC">
      <w:pPr>
        <w:pStyle w:val="StyleStyledotpointAfter75ptLinespacingsingle"/>
      </w:pPr>
      <w:r w:rsidRPr="00061D40">
        <w:t>has not been determined correctly</w:t>
      </w:r>
    </w:p>
    <w:p w14:paraId="7F4869F5" w14:textId="77777777" w:rsidR="00976F6F" w:rsidRPr="00061D40" w:rsidRDefault="00976F6F" w:rsidP="006719AF">
      <w:pPr>
        <w:pStyle w:val="StyledotpointAfter75pt"/>
        <w:spacing w:line="240" w:lineRule="auto"/>
        <w:ind w:left="851"/>
      </w:pPr>
      <w:r w:rsidRPr="00061D40">
        <w:t>or</w:t>
      </w:r>
    </w:p>
    <w:p w14:paraId="7F4869F6" w14:textId="77777777" w:rsidR="00976F6F" w:rsidRPr="00061D40" w:rsidRDefault="00976F6F" w:rsidP="006067EC">
      <w:pPr>
        <w:pStyle w:val="StyleStyledotpointAfter75ptLinespacingsingle"/>
      </w:pPr>
      <w:r w:rsidRPr="00061D40">
        <w:t>is no longer accurate because of a significant change in the school’s circumstances.</w:t>
      </w:r>
    </w:p>
    <w:p w14:paraId="7F4869F7" w14:textId="77777777" w:rsidR="00976F6F" w:rsidRPr="00061D40" w:rsidRDefault="00976F6F" w:rsidP="00C30212">
      <w:pPr>
        <w:pStyle w:val="StyleAppendicesBodyTextAfter6pt"/>
        <w:spacing w:after="0" w:line="240" w:lineRule="auto"/>
      </w:pPr>
      <w:r w:rsidRPr="00061D40">
        <w:t>The Minister has a power to determine a different SES score pursuant to section 80 of the Act on condition that a school meets the requirements set out in section 76 and the Minister is satisfied that the school’s old SES score has not been determined correctly or is no longer accurate because of a significant change in the school’s circumstances.</w:t>
      </w:r>
    </w:p>
    <w:p w14:paraId="7F4869F8" w14:textId="77777777" w:rsidR="00D32016" w:rsidRDefault="00976F6F">
      <w:pPr>
        <w:pStyle w:val="Heading3"/>
      </w:pPr>
      <w:r w:rsidRPr="00061D40">
        <w:t>What can a school do if it considers that its SES score has not been determined correctly or is no longer accurate because of a significant change in the school’s circumstances?</w:t>
      </w:r>
    </w:p>
    <w:p w14:paraId="7F4869F9" w14:textId="77777777" w:rsidR="00976F6F" w:rsidRPr="00061D40" w:rsidRDefault="00976F6F" w:rsidP="00C30212">
      <w:pPr>
        <w:pStyle w:val="StyleAppendicesBodyTextAfter6pt"/>
        <w:spacing w:after="0" w:line="240" w:lineRule="auto"/>
      </w:pPr>
      <w:r w:rsidRPr="00061D40">
        <w:t>A school can submit an application to the Department if it considers that its SES score has not been determined correctly or is no longer accurate because of a significant change in the school’s circumstances.</w:t>
      </w:r>
    </w:p>
    <w:p w14:paraId="7F4869FA" w14:textId="77777777" w:rsidR="00976F6F" w:rsidRPr="00061D40" w:rsidRDefault="00976F6F" w:rsidP="00C30212">
      <w:pPr>
        <w:pStyle w:val="StyleAppendicesBodyTextAfter6pt"/>
        <w:spacing w:after="0" w:line="240" w:lineRule="auto"/>
      </w:pPr>
      <w:r w:rsidRPr="00061D40">
        <w:t>A school must ensure that the application meets the following requirements as set out in section 77(2).</w:t>
      </w:r>
      <w:r w:rsidR="008E5ABB" w:rsidRPr="00061D40">
        <w:t xml:space="preserve"> </w:t>
      </w:r>
      <w:r w:rsidRPr="00061D40">
        <w:t>The application must:</w:t>
      </w:r>
    </w:p>
    <w:p w14:paraId="7F4869FB" w14:textId="77777777" w:rsidR="00976F6F" w:rsidRPr="00061D40" w:rsidRDefault="00976F6F" w:rsidP="006067EC">
      <w:pPr>
        <w:pStyle w:val="StyleStyledotpointAfter75ptLinespacingsingle"/>
      </w:pPr>
      <w:r w:rsidRPr="00061D40">
        <w:t>be in writing</w:t>
      </w:r>
    </w:p>
    <w:p w14:paraId="7F4869FC" w14:textId="77777777" w:rsidR="00976F6F" w:rsidRPr="00061D40" w:rsidRDefault="00976F6F" w:rsidP="006067EC">
      <w:pPr>
        <w:pStyle w:val="StyleStyledotpointAfter75ptLinespacingsingle"/>
      </w:pPr>
      <w:r w:rsidRPr="00061D40">
        <w:t>set out the name and address of the school and of the approved authority of the school</w:t>
      </w:r>
    </w:p>
    <w:p w14:paraId="7F4869FD" w14:textId="77777777" w:rsidR="00976F6F" w:rsidRPr="00061D40" w:rsidRDefault="00976F6F" w:rsidP="006067EC">
      <w:pPr>
        <w:pStyle w:val="StyleStyledotpointAfter75ptLinespacingsingle"/>
      </w:pPr>
      <w:r w:rsidRPr="00061D40">
        <w:lastRenderedPageBreak/>
        <w:t>if the school is a systemic school – set out the name of the approved school system</w:t>
      </w:r>
    </w:p>
    <w:p w14:paraId="7F4869FE" w14:textId="77777777" w:rsidR="00976F6F" w:rsidRPr="00061D40" w:rsidRDefault="00976F6F" w:rsidP="006067EC">
      <w:pPr>
        <w:pStyle w:val="StyleStyledotpointAfter75ptLinespacingsingle"/>
      </w:pPr>
      <w:r w:rsidRPr="00061D40">
        <w:t>set out the reasons why the approved authority considers the SES score should be changed.</w:t>
      </w:r>
    </w:p>
    <w:p w14:paraId="7F4869FF" w14:textId="77777777" w:rsidR="00D32016" w:rsidRDefault="00976F6F">
      <w:pPr>
        <w:pStyle w:val="Heading3"/>
      </w:pPr>
      <w:r w:rsidRPr="00061D40">
        <w:t>How will the application be processed?</w:t>
      </w:r>
    </w:p>
    <w:p w14:paraId="7F486A00" w14:textId="77777777" w:rsidR="00976F6F" w:rsidRPr="00061D40" w:rsidRDefault="00976F6F" w:rsidP="00C30212">
      <w:pPr>
        <w:pStyle w:val="StyleAppendicesBodyTextAfter6pt"/>
        <w:spacing w:after="0" w:line="240" w:lineRule="auto"/>
      </w:pPr>
      <w:r w:rsidRPr="00061D40">
        <w:t>A review will be undertaken on the basis of the geocoding of the residential addresses of the students at the school at the time of the application for a review.</w:t>
      </w:r>
    </w:p>
    <w:p w14:paraId="7F486A01" w14:textId="77777777" w:rsidR="00976F6F" w:rsidRPr="00061D40" w:rsidRDefault="00976F6F" w:rsidP="00C30212">
      <w:pPr>
        <w:pStyle w:val="StyleAppendicesBodyTextAfter6pt"/>
        <w:spacing w:after="0" w:line="240" w:lineRule="auto"/>
      </w:pPr>
      <w:r w:rsidRPr="00061D40">
        <w:t>A school’s score must change by at least one whole number before it will receive additional funding or have its funding reduced.</w:t>
      </w:r>
      <w:r w:rsidR="008E5ABB" w:rsidRPr="00061D40">
        <w:t xml:space="preserve"> </w:t>
      </w:r>
      <w:r w:rsidRPr="00061D40">
        <w:t>An SES score is a whole number, determined by rounding to the nearest whole number.</w:t>
      </w:r>
      <w:r w:rsidR="008E5ABB" w:rsidRPr="00061D40">
        <w:t xml:space="preserve"> </w:t>
      </w:r>
      <w:r w:rsidRPr="00061D40">
        <w:t>The score on which a change of funding is judged is a school’s raw SES score, not its rounded score.</w:t>
      </w:r>
      <w:r w:rsidR="008E5ABB" w:rsidRPr="00061D40">
        <w:t xml:space="preserve"> </w:t>
      </w:r>
      <w:r w:rsidRPr="00061D40">
        <w:t>For example, a school with a raw calculated SES score of 95.4567 would have its SES score rounded to 95.</w:t>
      </w:r>
      <w:r w:rsidR="008E5ABB" w:rsidRPr="00061D40">
        <w:t xml:space="preserve"> </w:t>
      </w:r>
      <w:r w:rsidRPr="00061D40">
        <w:t>Its raw score would have to decrease to 94.4567 or lower before it would be eligible to receive additional per capita funding.</w:t>
      </w:r>
      <w:r w:rsidR="008E5ABB" w:rsidRPr="00061D40">
        <w:t xml:space="preserve"> </w:t>
      </w:r>
      <w:r w:rsidRPr="00061D40">
        <w:t>Similarly, for the same school, the SES score before rounding would have to increase to 96.4567 or higher, before it would be liable to have its per capita funding reduced.</w:t>
      </w:r>
      <w:r w:rsidR="008E5ABB" w:rsidRPr="00061D40">
        <w:t xml:space="preserve"> </w:t>
      </w:r>
    </w:p>
    <w:p w14:paraId="7F486A02" w14:textId="77777777" w:rsidR="00976F6F" w:rsidRPr="00061D40" w:rsidRDefault="00976F6F" w:rsidP="00C30212">
      <w:pPr>
        <w:pStyle w:val="StyleAppendicesBodyTextAfter6pt"/>
        <w:spacing w:after="0" w:line="240" w:lineRule="auto"/>
      </w:pPr>
      <w:r w:rsidRPr="00061D40">
        <w:t>A funding maintained or a funding guaranteed school that believes that its SES score has decreased to the extent that it would receive a higher rate of per capita funding if it were funded on the basis of the SES score of its school community may apply for a review of its SES score.</w:t>
      </w:r>
    </w:p>
    <w:p w14:paraId="7F486A03" w14:textId="77777777" w:rsidR="00976F6F" w:rsidRPr="00061D40" w:rsidRDefault="00976F6F" w:rsidP="00C30212">
      <w:pPr>
        <w:pStyle w:val="StyleAppendicesBodyTextAfter6pt"/>
        <w:spacing w:after="0" w:line="240" w:lineRule="auto"/>
      </w:pPr>
      <w:r w:rsidRPr="00061D40">
        <w:t>Reviews during the 2009-201</w:t>
      </w:r>
      <w:r w:rsidR="00DF4B97">
        <w:t>3</w:t>
      </w:r>
      <w:r w:rsidRPr="00061D40">
        <w:t xml:space="preserve"> funding period will be based on </w:t>
      </w:r>
      <w:r w:rsidR="005C5A6A" w:rsidRPr="00061D40">
        <w:t>ABS</w:t>
      </w:r>
      <w:r w:rsidRPr="00061D40">
        <w:t xml:space="preserve"> 2006 Census of Population and Housing data.</w:t>
      </w:r>
    </w:p>
    <w:p w14:paraId="7F486A04" w14:textId="77777777" w:rsidR="00D32016" w:rsidRDefault="00976F6F">
      <w:pPr>
        <w:pStyle w:val="Heading4"/>
      </w:pPr>
      <w:r w:rsidRPr="00061D40">
        <w:t xml:space="preserve">What is the procedure for reviewing a </w:t>
      </w:r>
      <w:r w:rsidR="00485B66" w:rsidRPr="00061D40">
        <w:t>school’s a</w:t>
      </w:r>
      <w:r w:rsidRPr="00061D40">
        <w:t>pplication?</w:t>
      </w:r>
    </w:p>
    <w:p w14:paraId="7F486A05" w14:textId="77777777" w:rsidR="00976F6F" w:rsidRPr="00061D40" w:rsidRDefault="00976F6F" w:rsidP="00C30212">
      <w:pPr>
        <w:pStyle w:val="StyleAppendicesBodyTextAfter6pt"/>
        <w:spacing w:after="0" w:line="240" w:lineRule="auto"/>
      </w:pPr>
      <w:r w:rsidRPr="00061D40">
        <w:t>A school will be permitted one funding review in any program year.</w:t>
      </w:r>
    </w:p>
    <w:p w14:paraId="7F486A06" w14:textId="77777777" w:rsidR="00976F6F" w:rsidRPr="00061D40" w:rsidRDefault="00976F6F" w:rsidP="00C30212">
      <w:pPr>
        <w:pStyle w:val="StyleAppendicesBodyTextAfter6pt"/>
        <w:spacing w:after="0" w:line="240" w:lineRule="auto"/>
      </w:pPr>
      <w:r w:rsidRPr="00061D40">
        <w:t>A school requesting a review of its SES score must provide the Department with a written application that sets out the name and address of the school, the name of the system if it is a systemic school, and the name and address of the approved authority of the school.</w:t>
      </w:r>
      <w:r w:rsidR="008E5ABB" w:rsidRPr="00061D40">
        <w:t xml:space="preserve"> </w:t>
      </w:r>
      <w:r w:rsidRPr="00061D40">
        <w:t xml:space="preserve">All applications must be received </w:t>
      </w:r>
      <w:r w:rsidRPr="00061D40">
        <w:rPr>
          <w:b/>
          <w:u w:val="single"/>
        </w:rPr>
        <w:t>by 1</w:t>
      </w:r>
      <w:r w:rsidR="00F568E0" w:rsidRPr="00061D40">
        <w:rPr>
          <w:b/>
          <w:u w:val="single"/>
        </w:rPr>
        <w:t xml:space="preserve"> July </w:t>
      </w:r>
      <w:r w:rsidRPr="00061D40">
        <w:rPr>
          <w:b/>
          <w:u w:val="single"/>
        </w:rPr>
        <w:t>of the relevant program year</w:t>
      </w:r>
      <w:r w:rsidRPr="00061D40">
        <w:t>.</w:t>
      </w:r>
      <w:r w:rsidR="008E5ABB" w:rsidRPr="00061D40">
        <w:t xml:space="preserve"> </w:t>
      </w:r>
      <w:r w:rsidRPr="00061D40">
        <w:t>Applications received after this date will not be considered.</w:t>
      </w:r>
    </w:p>
    <w:p w14:paraId="7F486A07" w14:textId="77777777" w:rsidR="00976F6F" w:rsidRPr="00061D40" w:rsidRDefault="00976F6F" w:rsidP="00C30212">
      <w:pPr>
        <w:pStyle w:val="StyleAppendicesBodyTextAfter6pt"/>
        <w:spacing w:after="0" w:line="240" w:lineRule="auto"/>
      </w:pPr>
      <w:r w:rsidRPr="00061D40">
        <w:t>A school seeking a review must provide the addresses of all currently enrolled eligible students and a covering Statutory Declaration declaring that the addresses supplied to the Department are true and correct, and that a Privacy Notice has been sent to the parents / legal guardians of each student whose address is submitted.</w:t>
      </w:r>
      <w:r w:rsidR="008E5ABB" w:rsidRPr="00061D40">
        <w:t xml:space="preserve"> </w:t>
      </w:r>
      <w:r w:rsidRPr="00061D40">
        <w:t>In order to geocode the student address data effectively, the Department requires that these addresses be submitted in the format specified by the Department.</w:t>
      </w:r>
      <w:r w:rsidR="008E5ABB" w:rsidRPr="00061D40">
        <w:t xml:space="preserve"> </w:t>
      </w:r>
      <w:r w:rsidRPr="00061D40">
        <w:t>A new SES score will be calculated following the geocoding of the student addresses.</w:t>
      </w:r>
    </w:p>
    <w:p w14:paraId="7F486A08" w14:textId="77777777" w:rsidR="00976F6F" w:rsidRPr="00061D40" w:rsidRDefault="00976F6F" w:rsidP="00C30212">
      <w:pPr>
        <w:pStyle w:val="StyleAppendicesBodyTextAfter6pt"/>
        <w:spacing w:after="0" w:line="240" w:lineRule="auto"/>
      </w:pPr>
      <w:r w:rsidRPr="00061D40">
        <w:t>Following the acceptance of a written application which includes the student address data, the Department will consider the school’s application.</w:t>
      </w:r>
      <w:r w:rsidR="008E5ABB" w:rsidRPr="00061D40">
        <w:t xml:space="preserve"> </w:t>
      </w:r>
      <w:r w:rsidRPr="00061D40">
        <w:t>The school may be required to provide additional information and documentation in relation to its student residential addresses before the Department can forward a recommendation to the Minister.</w:t>
      </w:r>
    </w:p>
    <w:p w14:paraId="7F486A09" w14:textId="77777777" w:rsidR="00D32016" w:rsidRDefault="00976F6F">
      <w:pPr>
        <w:pStyle w:val="Heading3"/>
      </w:pPr>
      <w:r w:rsidRPr="00061D40">
        <w:lastRenderedPageBreak/>
        <w:t xml:space="preserve">Outcome of </w:t>
      </w:r>
      <w:r w:rsidR="00485B66" w:rsidRPr="00061D40">
        <w:t>review</w:t>
      </w:r>
    </w:p>
    <w:p w14:paraId="7F486A0A" w14:textId="77777777" w:rsidR="00976F6F" w:rsidRPr="00061D40" w:rsidRDefault="00976F6F" w:rsidP="00C30212">
      <w:pPr>
        <w:pStyle w:val="StyleAppendicesBodyTextAfter6pt"/>
        <w:spacing w:after="0" w:line="240" w:lineRule="auto"/>
      </w:pPr>
      <w:r w:rsidRPr="00061D40">
        <w:t>The school will receive written notification of the outcome of the review when the Minister has considered the Department’s recommendation.</w:t>
      </w:r>
      <w:r w:rsidR="008E5ABB" w:rsidRPr="00061D40">
        <w:t xml:space="preserve"> </w:t>
      </w:r>
      <w:r w:rsidRPr="00061D40">
        <w:t>Where, as an outcome of the review, it is accepted that the school should have a different SES score to its current SES score, new funding will be determined based on the recalculated SES score.</w:t>
      </w:r>
    </w:p>
    <w:p w14:paraId="7F486A0B" w14:textId="77777777" w:rsidR="00976F6F" w:rsidRPr="00061D40" w:rsidRDefault="00976F6F" w:rsidP="00C30212">
      <w:pPr>
        <w:pStyle w:val="StyleAppendicesBodyTextAfter6pt"/>
        <w:spacing w:after="0" w:line="240" w:lineRule="auto"/>
      </w:pPr>
      <w:r w:rsidRPr="00061D40">
        <w:t>The outcome of the review determines an SES score as the funding level for the school.</w:t>
      </w:r>
      <w:r w:rsidR="008E5ABB" w:rsidRPr="00061D40">
        <w:t xml:space="preserve"> </w:t>
      </w:r>
      <w:r w:rsidRPr="00061D40">
        <w:t xml:space="preserve">The school will not be able to retain its former funding level (i.e. previous SES funding level, funding maintained level or funding guaranteed level), even if that funding is more favourable. </w:t>
      </w:r>
    </w:p>
    <w:p w14:paraId="7F486A0C" w14:textId="77777777" w:rsidR="00D32016" w:rsidRDefault="00976F6F">
      <w:pPr>
        <w:pStyle w:val="Heading3"/>
      </w:pPr>
      <w:r w:rsidRPr="00061D40">
        <w:t xml:space="preserve">Date of </w:t>
      </w:r>
      <w:r w:rsidR="00485B66" w:rsidRPr="00061D40">
        <w:t>effect</w:t>
      </w:r>
    </w:p>
    <w:p w14:paraId="7F486A0D" w14:textId="77777777" w:rsidR="00976F6F" w:rsidRPr="00061D40" w:rsidRDefault="00976F6F" w:rsidP="00C30212">
      <w:pPr>
        <w:pStyle w:val="StyleAppendicesBodyTextAfter6pt"/>
        <w:spacing w:after="0" w:line="240" w:lineRule="auto"/>
      </w:pPr>
      <w:r w:rsidRPr="00061D40">
        <w:t xml:space="preserve">If the outcome of a review is favourable, in that the school receives a different SES score which entitles it to an increase in recurrent grant funding, then the date of effect of the change in funding will be no earlier than 1 January in the program year in which the review application, including the appropriate data, was lodged with the Department. </w:t>
      </w:r>
    </w:p>
    <w:p w14:paraId="7F486A0E" w14:textId="77777777" w:rsidR="00976F6F" w:rsidRPr="00061D40" w:rsidRDefault="00976F6F" w:rsidP="00C30212">
      <w:pPr>
        <w:pStyle w:val="StyleAppendicesBodyTextAfter6pt"/>
        <w:spacing w:after="0" w:line="240" w:lineRule="auto"/>
      </w:pPr>
      <w:r w:rsidRPr="00061D40">
        <w:t>If the outcome of a review is unfavourable, in that the school receives an SES score which would result in a decrease in recurrent grant funding, the change in funding will be no earlier than 1 January of the year following that in which the school lodged its application.</w:t>
      </w:r>
      <w:r w:rsidR="008E5ABB" w:rsidRPr="00061D40">
        <w:t xml:space="preserve"> </w:t>
      </w:r>
    </w:p>
    <w:p w14:paraId="7F486A0F" w14:textId="77777777" w:rsidR="00BC2B9A" w:rsidRPr="00061D40" w:rsidRDefault="00976F6F" w:rsidP="00BD1D1C">
      <w:pPr>
        <w:pStyle w:val="Heading2"/>
        <w:spacing w:before="0"/>
        <w:rPr>
          <w:b w:val="0"/>
          <w:bCs w:val="0"/>
          <w:szCs w:val="24"/>
        </w:rPr>
      </w:pPr>
      <w:bookmarkStart w:id="195" w:name="_Appendix_C:_Appeal"/>
      <w:bookmarkEnd w:id="195"/>
      <w:r w:rsidRPr="00061D40">
        <w:br w:type="page"/>
      </w:r>
      <w:bookmarkStart w:id="196" w:name="AppendixC"/>
      <w:bookmarkStart w:id="197" w:name="_Ref246737118"/>
      <w:bookmarkStart w:id="198" w:name="_Toc346205334"/>
      <w:bookmarkEnd w:id="196"/>
      <w:r w:rsidR="009C5BBC" w:rsidRPr="00061D40">
        <w:lastRenderedPageBreak/>
        <w:t>Appendix C</w:t>
      </w:r>
      <w:bookmarkEnd w:id="197"/>
      <w:r w:rsidR="00AA6BA2" w:rsidRPr="00061D40">
        <w:t xml:space="preserve">: </w:t>
      </w:r>
      <w:bookmarkStart w:id="199" w:name="_Toc246493738"/>
      <w:r w:rsidR="009C5BBC" w:rsidRPr="00061D40">
        <w:t xml:space="preserve">Appeal </w:t>
      </w:r>
      <w:r w:rsidR="008159F3" w:rsidRPr="00061D40">
        <w:t>of</w:t>
      </w:r>
      <w:r w:rsidR="009C5BBC" w:rsidRPr="00061D40">
        <w:t xml:space="preserve"> Non-</w:t>
      </w:r>
      <w:r w:rsidR="0091141A" w:rsidRPr="00061D40">
        <w:t xml:space="preserve">government </w:t>
      </w:r>
      <w:r w:rsidR="009C5BBC" w:rsidRPr="00061D40">
        <w:t>Schools’ SES Scores</w:t>
      </w:r>
      <w:bookmarkEnd w:id="198"/>
      <w:r w:rsidR="009C5BBC" w:rsidRPr="00061D40">
        <w:t xml:space="preserve"> </w:t>
      </w:r>
      <w:bookmarkEnd w:id="199"/>
    </w:p>
    <w:p w14:paraId="7F486A10" w14:textId="77777777" w:rsidR="00BC2B9A" w:rsidRPr="00061D40" w:rsidRDefault="00BC2B9A" w:rsidP="00C8190E">
      <w:pPr>
        <w:rPr>
          <w:b/>
        </w:rPr>
      </w:pPr>
      <w:bookmarkStart w:id="200" w:name="_Toc262651000"/>
      <w:bookmarkStart w:id="201" w:name="_Toc262651693"/>
      <w:bookmarkStart w:id="202" w:name="_Toc262651896"/>
      <w:bookmarkStart w:id="203" w:name="_Toc262652140"/>
      <w:r w:rsidRPr="00061D40">
        <w:rPr>
          <w:b/>
        </w:rPr>
        <w:t xml:space="preserve">Application process for change proposals under section 76(1)(b), Part 4, Division 11 of the </w:t>
      </w:r>
      <w:r w:rsidRPr="00061D40">
        <w:rPr>
          <w:b/>
          <w:i/>
        </w:rPr>
        <w:t>Schools Assistance Act 2008</w:t>
      </w:r>
      <w:r w:rsidRPr="00061D40">
        <w:rPr>
          <w:b/>
        </w:rPr>
        <w:t xml:space="preserve"> (the Act)</w:t>
      </w:r>
      <w:bookmarkEnd w:id="200"/>
      <w:bookmarkEnd w:id="201"/>
      <w:bookmarkEnd w:id="202"/>
      <w:bookmarkEnd w:id="203"/>
    </w:p>
    <w:p w14:paraId="7F486A11" w14:textId="77777777" w:rsidR="00976F6F" w:rsidRPr="00061D40" w:rsidRDefault="00976F6F" w:rsidP="00C8190E">
      <w:pPr>
        <w:pStyle w:val="Heading3"/>
      </w:pPr>
      <w:r w:rsidRPr="00061D40">
        <w:t>Purpose</w:t>
      </w:r>
    </w:p>
    <w:p w14:paraId="7F486A12" w14:textId="77777777" w:rsidR="00976F6F" w:rsidRPr="00061D40" w:rsidRDefault="00976F6F" w:rsidP="00C30212">
      <w:pPr>
        <w:pStyle w:val="StyleAppendicesBodyTextAfter6pt"/>
        <w:spacing w:after="0" w:line="240" w:lineRule="auto"/>
      </w:pPr>
      <w:r w:rsidRPr="00061D40">
        <w:t>The socioeconomic status (SES) score shows the relative capacity of a school community to support its school.</w:t>
      </w:r>
      <w:r w:rsidR="008E5ABB" w:rsidRPr="00061D40">
        <w:t xml:space="preserve"> </w:t>
      </w:r>
      <w:r w:rsidRPr="00061D40">
        <w:t>The SES score represents the average socioeconomic profile of the community supporting a school.</w:t>
      </w:r>
    </w:p>
    <w:p w14:paraId="7F486A13" w14:textId="77777777" w:rsidR="00976F6F" w:rsidRPr="00061D40" w:rsidRDefault="00976F6F" w:rsidP="00C30212">
      <w:pPr>
        <w:pStyle w:val="StyleAppendicesBodyTextAfter6pt"/>
        <w:spacing w:after="0" w:line="240" w:lineRule="auto"/>
      </w:pPr>
      <w:r w:rsidRPr="00061D40">
        <w:t>Th</w:t>
      </w:r>
      <w:r w:rsidR="000133A8">
        <w:t>is</w:t>
      </w:r>
      <w:r w:rsidRPr="00061D40">
        <w:t xml:space="preserve"> </w:t>
      </w:r>
      <w:r w:rsidR="000133A8">
        <w:t>Appendix</w:t>
      </w:r>
      <w:r w:rsidRPr="00061D40">
        <w:t xml:space="preserve"> provide</w:t>
      </w:r>
      <w:r w:rsidR="000133A8">
        <w:t>s</w:t>
      </w:r>
      <w:r w:rsidRPr="00061D40">
        <w:t xml:space="preserve"> information on:</w:t>
      </w:r>
    </w:p>
    <w:p w14:paraId="7F486A14" w14:textId="77777777" w:rsidR="00976F6F" w:rsidRPr="00061D40" w:rsidRDefault="00976F6F" w:rsidP="006067EC">
      <w:pPr>
        <w:pStyle w:val="StyleStyledotpointAfter75ptLinespacingsingle"/>
      </w:pPr>
      <w:r w:rsidRPr="00061D40">
        <w:t xml:space="preserve">what a school can do if it considers that its SES score does not reflect the socioeconomic circumstances of the school’s community; and </w:t>
      </w:r>
    </w:p>
    <w:p w14:paraId="7F486A15" w14:textId="77777777" w:rsidR="00976F6F" w:rsidRPr="00061D40" w:rsidRDefault="00976F6F" w:rsidP="006067EC">
      <w:pPr>
        <w:pStyle w:val="StyleStyledotpointAfter75ptLinespacingsingle"/>
      </w:pPr>
      <w:r w:rsidRPr="00061D40">
        <w:t>the procedure for assessing a school’s application to change its funding level.</w:t>
      </w:r>
    </w:p>
    <w:p w14:paraId="7F486A16" w14:textId="77777777" w:rsidR="00976F6F" w:rsidRPr="00061D40" w:rsidRDefault="00976F6F" w:rsidP="00C8190E">
      <w:pPr>
        <w:pStyle w:val="Heading3"/>
      </w:pPr>
      <w:r w:rsidRPr="00061D40">
        <w:t>Power under the Act</w:t>
      </w:r>
    </w:p>
    <w:p w14:paraId="7F486A17" w14:textId="77777777" w:rsidR="00976F6F" w:rsidRPr="00061D40" w:rsidRDefault="00976F6F" w:rsidP="00C30212">
      <w:pPr>
        <w:pStyle w:val="StyleAppendicesBodyTextAfter6pt"/>
        <w:spacing w:after="0" w:line="240" w:lineRule="auto"/>
      </w:pPr>
      <w:r w:rsidRPr="00061D40">
        <w:t>SES scores for a school are determined by the Minister under section 72 of the</w:t>
      </w:r>
      <w:r w:rsidR="001E165B" w:rsidRPr="00061D40">
        <w:t xml:space="preserve"> Act</w:t>
      </w:r>
      <w:r w:rsidRPr="00061D40">
        <w:t>.</w:t>
      </w:r>
      <w:r w:rsidR="008E5ABB" w:rsidRPr="00061D40">
        <w:t xml:space="preserve"> </w:t>
      </w:r>
      <w:r w:rsidRPr="00061D40">
        <w:t>Pursuant to section 76(1)(b) of the Act, the approved authority of a school can apply to change its level of funding if a school considers that the SES score does not reflect the socioeconomic circumstances of the school’s community.</w:t>
      </w:r>
    </w:p>
    <w:p w14:paraId="7F486A18" w14:textId="77777777" w:rsidR="00976F6F" w:rsidRPr="00061D40" w:rsidRDefault="00976F6F" w:rsidP="00C30212">
      <w:pPr>
        <w:pStyle w:val="StyleAppendicesBodyTextAfter6pt"/>
        <w:spacing w:after="0" w:line="240" w:lineRule="auto"/>
      </w:pPr>
      <w:r w:rsidRPr="00061D40">
        <w:t>The Minister has a power to determine a different SES score pursuant to section 80 of the Act on condition that a school meets the requirements set out in section 76 and the Minister is satisfied that the school’s old SES score does not reflect the socioeconomic circumstances of the school’s community.</w:t>
      </w:r>
    </w:p>
    <w:p w14:paraId="7F486A19" w14:textId="77777777" w:rsidR="00D32016" w:rsidRDefault="00976F6F">
      <w:pPr>
        <w:pStyle w:val="Heading3"/>
      </w:pPr>
      <w:r w:rsidRPr="00061D40">
        <w:t>What can a school do if it considers that its SES score does not reflect the socioeconomic circumstances of the school’s community?</w:t>
      </w:r>
    </w:p>
    <w:p w14:paraId="7F486A1A" w14:textId="77777777" w:rsidR="00976F6F" w:rsidRPr="00061D40" w:rsidRDefault="00976F6F" w:rsidP="00C30212">
      <w:pPr>
        <w:pStyle w:val="StyleAppendicesBodyTextAfter6pt"/>
        <w:spacing w:after="0" w:line="240" w:lineRule="auto"/>
      </w:pPr>
      <w:r w:rsidRPr="00061D40">
        <w:t>A school can submit an application to the Department if it considers that the SES score does not reflect the socioeconomic circumstances of the school’s community.</w:t>
      </w:r>
    </w:p>
    <w:p w14:paraId="7F486A1B" w14:textId="77777777" w:rsidR="00976F6F" w:rsidRPr="00061D40" w:rsidRDefault="00976F6F" w:rsidP="00C30212">
      <w:pPr>
        <w:pStyle w:val="StyleAppendicesBodyTextAfter6pt"/>
        <w:spacing w:after="0" w:line="240" w:lineRule="auto"/>
      </w:pPr>
      <w:r w:rsidRPr="00061D40">
        <w:t>A school must ensure that the application meets the following requirements as set out in section 77(2).</w:t>
      </w:r>
      <w:r w:rsidR="008E5ABB" w:rsidRPr="00061D40">
        <w:t xml:space="preserve"> </w:t>
      </w:r>
      <w:r w:rsidRPr="00061D40">
        <w:t>The application must:</w:t>
      </w:r>
    </w:p>
    <w:p w14:paraId="7F486A1C" w14:textId="77777777" w:rsidR="00976F6F" w:rsidRPr="00061D40" w:rsidRDefault="00976F6F" w:rsidP="006067EC">
      <w:pPr>
        <w:pStyle w:val="StyleStyledotpointAfter75ptLinespacingsingle"/>
      </w:pPr>
      <w:r w:rsidRPr="00061D40">
        <w:t>be in writing</w:t>
      </w:r>
    </w:p>
    <w:p w14:paraId="7F486A1D" w14:textId="77777777" w:rsidR="00976F6F" w:rsidRPr="00061D40" w:rsidRDefault="00976F6F" w:rsidP="006067EC">
      <w:pPr>
        <w:pStyle w:val="StyleStyledotpointAfter75ptLinespacingsingle"/>
      </w:pPr>
      <w:r w:rsidRPr="00061D40">
        <w:t>set out the name and address of the school and of the approved authority of the school</w:t>
      </w:r>
    </w:p>
    <w:p w14:paraId="7F486A1E" w14:textId="77777777" w:rsidR="00976F6F" w:rsidRPr="00061D40" w:rsidRDefault="00976F6F" w:rsidP="006067EC">
      <w:pPr>
        <w:pStyle w:val="StyleStyledotpointAfter75ptLinespacingsingle"/>
      </w:pPr>
      <w:r w:rsidRPr="00061D40">
        <w:t>if the school is a systemic school – set out the name of the approved school system</w:t>
      </w:r>
    </w:p>
    <w:p w14:paraId="7F486A1F" w14:textId="77777777" w:rsidR="00976F6F" w:rsidRPr="00061D40" w:rsidRDefault="00976F6F" w:rsidP="006067EC">
      <w:pPr>
        <w:pStyle w:val="StyleStyledotpointAfter75ptLinespacingsingle"/>
        <w:rPr>
          <w:rStyle w:val="StyledotpointAfter75ptChar"/>
        </w:rPr>
      </w:pPr>
      <w:r w:rsidRPr="00061D40">
        <w:rPr>
          <w:rStyle w:val="StyledotpointAfter75ptChar"/>
        </w:rPr>
        <w:t>set out the reasons why the approved authority considers the SES score should</w:t>
      </w:r>
      <w:r w:rsidRPr="00061D40">
        <w:t xml:space="preserve"> </w:t>
      </w:r>
      <w:r w:rsidRPr="00061D40">
        <w:rPr>
          <w:rStyle w:val="StyledotpointAfter75ptChar"/>
        </w:rPr>
        <w:t>be changed.</w:t>
      </w:r>
    </w:p>
    <w:p w14:paraId="7F486A20" w14:textId="77777777" w:rsidR="00976F6F" w:rsidRPr="00061D40" w:rsidRDefault="00976F6F" w:rsidP="00672707">
      <w:pPr>
        <w:pStyle w:val="StyleAppendicesBodyTextAfter6pt"/>
        <w:spacing w:after="0" w:line="240" w:lineRule="auto"/>
      </w:pPr>
      <w:r w:rsidRPr="00061D40">
        <w:t>In relation to section 77(2)(d), a school should provide empirically-based evidence which demonstrates how the SES score does not reflect the socioeconomic circumstances of the school’s community.</w:t>
      </w:r>
      <w:r w:rsidR="008E5ABB" w:rsidRPr="00061D40">
        <w:t xml:space="preserve"> </w:t>
      </w:r>
      <w:r w:rsidRPr="00061D40">
        <w:t>In other words, demonstrate:</w:t>
      </w:r>
    </w:p>
    <w:p w14:paraId="7F486A21" w14:textId="77777777" w:rsidR="00AA6BA2" w:rsidRPr="00061D40" w:rsidRDefault="00976F6F" w:rsidP="006067EC">
      <w:pPr>
        <w:pStyle w:val="StyleStyledotpointAfter75ptLinespacingsingle"/>
      </w:pPr>
      <w:r w:rsidRPr="00061D40">
        <w:lastRenderedPageBreak/>
        <w:t>how the circumstances of the community have changed significantly since the 2006 ABS Population Census and how this has affected the school.</w:t>
      </w:r>
      <w:r w:rsidR="008E5ABB" w:rsidRPr="00061D40">
        <w:t xml:space="preserve"> </w:t>
      </w:r>
      <w:r w:rsidRPr="00061D40">
        <w:t>For example, a high proportion of families at the school may have been financially disadvantaged by the closure of a major industry</w:t>
      </w:r>
    </w:p>
    <w:p w14:paraId="7F486A22" w14:textId="77777777" w:rsidR="00976F6F" w:rsidRPr="00061D40" w:rsidRDefault="00976F6F" w:rsidP="00C74D4D">
      <w:pPr>
        <w:ind w:left="851"/>
      </w:pPr>
      <w:r w:rsidRPr="00061D40">
        <w:t>or</w:t>
      </w:r>
    </w:p>
    <w:p w14:paraId="7F486A23" w14:textId="77777777" w:rsidR="00976F6F" w:rsidRPr="00061D40" w:rsidRDefault="00976F6F" w:rsidP="006067EC">
      <w:pPr>
        <w:pStyle w:val="StyleStyledotpointAfter75ptLinespacingsingle"/>
      </w:pPr>
      <w:r w:rsidRPr="00061D40">
        <w:t>that there is an identifiably unique characteristic of the families at the school which affects the school community’s capacity to support the school.</w:t>
      </w:r>
      <w:r w:rsidR="008E5ABB" w:rsidRPr="00061D40">
        <w:t xml:space="preserve"> </w:t>
      </w:r>
      <w:r w:rsidRPr="00061D40">
        <w:t xml:space="preserve">For example, a survey of parents at the school would show the disproportionate impact on the school of a particular social characteristic. </w:t>
      </w:r>
    </w:p>
    <w:p w14:paraId="7F486A24" w14:textId="77777777" w:rsidR="00976F6F" w:rsidRPr="00061D40" w:rsidRDefault="00976F6F" w:rsidP="00C30212">
      <w:pPr>
        <w:pStyle w:val="StyleAppendicesBodyTextAfter6pt"/>
        <w:spacing w:after="0" w:line="240" w:lineRule="auto"/>
      </w:pPr>
      <w:r w:rsidRPr="00061D40">
        <w:t>This evidence must be attached to the application.</w:t>
      </w:r>
      <w:r w:rsidR="008E5ABB" w:rsidRPr="00061D40">
        <w:t xml:space="preserve"> </w:t>
      </w:r>
      <w:r w:rsidRPr="00061D40">
        <w:t>This may include specific data such as evidence of the number of students who come from families holding a health care card or the proportion of unemployed parents.</w:t>
      </w:r>
      <w:r w:rsidR="008E5ABB" w:rsidRPr="00061D40">
        <w:t xml:space="preserve"> </w:t>
      </w:r>
      <w:r w:rsidRPr="00061D40">
        <w:t>A school must provide any additional information that the Department requests.</w:t>
      </w:r>
    </w:p>
    <w:p w14:paraId="7F486A25" w14:textId="77777777" w:rsidR="00976F6F" w:rsidRPr="00061D40" w:rsidRDefault="00976F6F" w:rsidP="00C30212">
      <w:pPr>
        <w:pStyle w:val="StyleAppendicesBodyTextAfter6pt"/>
        <w:spacing w:after="0" w:line="240" w:lineRule="auto"/>
      </w:pPr>
      <w:r w:rsidRPr="00061D40">
        <w:t>A school must also provide with the application a statement declaring that at least 95 per</w:t>
      </w:r>
      <w:r w:rsidR="00AA2BE3">
        <w:t> </w:t>
      </w:r>
      <w:r w:rsidRPr="00061D40">
        <w:t>cent of the families of students at the school would be willing to complete a survey to determine the income, occupation and education levels of parents with children attending the school.</w:t>
      </w:r>
      <w:r w:rsidR="008E5ABB" w:rsidRPr="00061D40">
        <w:t xml:space="preserve"> </w:t>
      </w:r>
      <w:r w:rsidRPr="00061D40">
        <w:t xml:space="preserve">These surveys, to be undertaken by the Department if the school’s application is deemed to have merit, will enable a School Community Profile to be constructed. </w:t>
      </w:r>
    </w:p>
    <w:p w14:paraId="7F486A26" w14:textId="77777777" w:rsidR="00D32016" w:rsidRDefault="00976F6F">
      <w:pPr>
        <w:pStyle w:val="Heading3"/>
      </w:pPr>
      <w:r w:rsidRPr="00061D40">
        <w:t>How will the application be processed?</w:t>
      </w:r>
    </w:p>
    <w:p w14:paraId="7F486A27" w14:textId="77777777" w:rsidR="00976F6F" w:rsidRPr="00061D40" w:rsidRDefault="00976F6F" w:rsidP="00672707">
      <w:pPr>
        <w:pStyle w:val="StyleAppendicesBodyTextAfter6pt"/>
        <w:spacing w:after="0" w:line="240" w:lineRule="auto"/>
      </w:pPr>
      <w:r w:rsidRPr="00061D40">
        <w:t>The Department will convene a committee which will consist of a senior Departmental officer, an independent statistician and a person independent of both the Department and the school.</w:t>
      </w:r>
    </w:p>
    <w:p w14:paraId="7F486A28" w14:textId="77777777" w:rsidR="00976F6F" w:rsidRPr="00061D40" w:rsidRDefault="00976F6F" w:rsidP="00672707">
      <w:pPr>
        <w:pStyle w:val="StyleAppendicesBodyTextAfter6pt"/>
        <w:spacing w:after="0" w:line="240" w:lineRule="auto"/>
      </w:pPr>
      <w:r w:rsidRPr="00061D40">
        <w:t>The Committee’s role will be to assess a school’s application and determine whether a school has sufficient grounds to show that its SES score does not reflect the socioeconomic circumstances of the school’s community.</w:t>
      </w:r>
      <w:r w:rsidR="008E5ABB" w:rsidRPr="00061D40">
        <w:t xml:space="preserve"> </w:t>
      </w:r>
      <w:r w:rsidRPr="00061D40">
        <w:t>Before making its assessment, the Committee may, at its discretion, request a school to provide further information in relation to its application.</w:t>
      </w:r>
    </w:p>
    <w:p w14:paraId="7F486A29" w14:textId="77777777" w:rsidR="00976F6F" w:rsidRPr="00061D40" w:rsidRDefault="00976F6F" w:rsidP="00672707">
      <w:pPr>
        <w:pStyle w:val="StyleAppendicesBodyTextAfter6pt"/>
        <w:spacing w:after="0" w:line="240" w:lineRule="auto"/>
      </w:pPr>
      <w:r w:rsidRPr="00061D40">
        <w:t>If a school does demonstrate sufficient grounds to show that its SES score does not reflect the socioeconomic circumstances of its community, the Committee will compare the School Community Profile with the profiles of all non</w:t>
      </w:r>
      <w:r w:rsidRPr="00061D40">
        <w:noBreakHyphen/>
        <w:t>government schools in the Benchmark Data Set.</w:t>
      </w:r>
    </w:p>
    <w:p w14:paraId="7F486A2A" w14:textId="77777777" w:rsidR="00976F6F" w:rsidRPr="00061D40" w:rsidRDefault="00976F6F" w:rsidP="00672707">
      <w:pPr>
        <w:pStyle w:val="StyleAppendicesBodyTextAfter6pt"/>
        <w:spacing w:after="0" w:line="240" w:lineRule="auto"/>
      </w:pPr>
      <w:r w:rsidRPr="00061D40">
        <w:t>The Benchmark Data Set consists of profiles for every non</w:t>
      </w:r>
      <w:r w:rsidRPr="00061D40">
        <w:noBreakHyphen/>
        <w:t>government school.</w:t>
      </w:r>
      <w:r w:rsidR="008E5ABB" w:rsidRPr="00061D40">
        <w:t xml:space="preserve"> </w:t>
      </w:r>
      <w:r w:rsidRPr="00061D40">
        <w:t xml:space="preserve">These profiles have been constructed using income, education and occupation data derived from the unit record files of the </w:t>
      </w:r>
      <w:r w:rsidR="005C5A6A" w:rsidRPr="00061D40">
        <w:t>ABS</w:t>
      </w:r>
      <w:r w:rsidRPr="00061D40">
        <w:t xml:space="preserve"> 2006 national Census.</w:t>
      </w:r>
    </w:p>
    <w:p w14:paraId="7F486A2B" w14:textId="77777777" w:rsidR="00976F6F" w:rsidRPr="00061D40" w:rsidRDefault="00976F6F" w:rsidP="00672707">
      <w:pPr>
        <w:pStyle w:val="StyleAppendicesBodyTextAfter6pt"/>
        <w:spacing w:after="0" w:line="240" w:lineRule="auto"/>
      </w:pPr>
      <w:r w:rsidRPr="00061D40">
        <w:t>For an application to be successful, the School Community Profile must differ significantly from the profiles of schools with similar SES scores in the Benchmark Data Set.</w:t>
      </w:r>
    </w:p>
    <w:p w14:paraId="7F486A2C" w14:textId="77777777" w:rsidR="00976F6F" w:rsidRPr="00061D40" w:rsidRDefault="00976F6F" w:rsidP="00672707">
      <w:pPr>
        <w:pStyle w:val="StyleAppendicesBodyTextAfter6pt"/>
        <w:spacing w:after="0" w:line="240" w:lineRule="auto"/>
      </w:pPr>
      <w:r w:rsidRPr="00061D40">
        <w:t>The Committee will consider each application according to its merits, ensuring that a school receives a fair and impartial assessment of its case.</w:t>
      </w:r>
    </w:p>
    <w:p w14:paraId="7F486A2D" w14:textId="77777777" w:rsidR="00976F6F" w:rsidRPr="00061D40" w:rsidRDefault="00976F6F" w:rsidP="00C30212">
      <w:pPr>
        <w:pStyle w:val="StyleAppendicesBodyTextAfter6pt"/>
        <w:spacing w:after="0" w:line="240" w:lineRule="auto"/>
      </w:pPr>
      <w:r w:rsidRPr="00061D40">
        <w:t>Once the Committee has made its assessment, it will make a recommendation to the Minister.</w:t>
      </w:r>
      <w:r w:rsidR="008E5ABB" w:rsidRPr="00061D40">
        <w:t xml:space="preserve"> </w:t>
      </w:r>
    </w:p>
    <w:p w14:paraId="7F486A2E" w14:textId="77777777" w:rsidR="00976F6F" w:rsidRPr="00061D40" w:rsidRDefault="00976F6F" w:rsidP="00C30212">
      <w:pPr>
        <w:pStyle w:val="StyleAppendicesBodyTextAfter6pt"/>
        <w:spacing w:after="0" w:line="240" w:lineRule="auto"/>
      </w:pPr>
      <w:r w:rsidRPr="00061D40">
        <w:lastRenderedPageBreak/>
        <w:t>The Minister will then review the Committee’s recommendation, the information provided in the school’s application, the School Community Profile and any other relevant information to determine whether he/she is satisfied that the SES score should be changed.</w:t>
      </w:r>
    </w:p>
    <w:p w14:paraId="7F486A2F" w14:textId="77777777" w:rsidR="00D32016" w:rsidRDefault="00976F6F">
      <w:pPr>
        <w:pStyle w:val="Heading3"/>
      </w:pPr>
      <w:r w:rsidRPr="00061D40">
        <w:t>What is the procedure for assessing a school’s application?</w:t>
      </w:r>
    </w:p>
    <w:p w14:paraId="7F486A30" w14:textId="77777777" w:rsidR="00976F6F" w:rsidRPr="00061D40" w:rsidRDefault="00976F6F" w:rsidP="00C30212">
      <w:pPr>
        <w:pStyle w:val="StyleAppendicesBodyTextAfter6pt"/>
        <w:spacing w:after="0" w:line="240" w:lineRule="auto"/>
      </w:pPr>
      <w:r w:rsidRPr="00061D40">
        <w:t>The procedure for assessing a school’s application involves the following steps:</w:t>
      </w:r>
    </w:p>
    <w:p w14:paraId="7F486A31" w14:textId="77777777" w:rsidR="00976F6F" w:rsidRPr="00061D40" w:rsidRDefault="00976F6F" w:rsidP="006067EC">
      <w:pPr>
        <w:pStyle w:val="StyleStyledotpointAfter75ptLinespacingsingle"/>
      </w:pPr>
      <w:r w:rsidRPr="00061D40">
        <w:t>A school lodges an application with the Department.</w:t>
      </w:r>
      <w:r w:rsidR="008E5ABB" w:rsidRPr="00061D40">
        <w:t xml:space="preserve"> </w:t>
      </w:r>
      <w:r w:rsidRPr="00061D40">
        <w:t>The Department will forward the application to the Committee for assessment.</w:t>
      </w:r>
      <w:r w:rsidR="008E5ABB" w:rsidRPr="00061D40">
        <w:t xml:space="preserve"> </w:t>
      </w:r>
      <w:r w:rsidRPr="00061D40">
        <w:t xml:space="preserve">All applications must be received by </w:t>
      </w:r>
      <w:r w:rsidRPr="00061D40">
        <w:rPr>
          <w:b/>
          <w:u w:val="single"/>
        </w:rPr>
        <w:t>1</w:t>
      </w:r>
      <w:r w:rsidR="00F568E0" w:rsidRPr="00061D40">
        <w:rPr>
          <w:b/>
          <w:u w:val="single"/>
        </w:rPr>
        <w:t> July</w:t>
      </w:r>
      <w:r w:rsidR="00F568E0" w:rsidRPr="00061D40">
        <w:t xml:space="preserve"> </w:t>
      </w:r>
      <w:r w:rsidR="00B97D16" w:rsidRPr="00061D40">
        <w:t>of the relevant program year</w:t>
      </w:r>
      <w:r w:rsidR="00AA2BE3">
        <w:t>.</w:t>
      </w:r>
    </w:p>
    <w:p w14:paraId="7F486A32" w14:textId="77777777" w:rsidR="00976F6F" w:rsidRPr="00061D40" w:rsidRDefault="00976F6F" w:rsidP="006067EC">
      <w:pPr>
        <w:pStyle w:val="StyleStyledotpointAfter75ptLinespacingsingle"/>
      </w:pPr>
      <w:r w:rsidRPr="00061D40">
        <w:t xml:space="preserve">The Committee will review the application to ensure it meets the requirements of </w:t>
      </w:r>
      <w:r w:rsidR="003B61E3" w:rsidRPr="00061D40">
        <w:t>section </w:t>
      </w:r>
      <w:r w:rsidRPr="00061D40">
        <w:t>77 and by following the Assessment Process set out below</w:t>
      </w:r>
      <w:r w:rsidR="00AA2BE3">
        <w:t>.</w:t>
      </w:r>
    </w:p>
    <w:p w14:paraId="7F486A33" w14:textId="77777777" w:rsidR="00976F6F" w:rsidRPr="00061D40" w:rsidRDefault="00976F6F" w:rsidP="006067EC">
      <w:pPr>
        <w:pStyle w:val="StyleStyledotpointAfter75ptLinespacingsingle"/>
      </w:pPr>
      <w:r w:rsidRPr="00061D40">
        <w:t>The Committee will provide a recommendation to the Minister.</w:t>
      </w:r>
      <w:r w:rsidR="008E5ABB" w:rsidRPr="00061D40">
        <w:t xml:space="preserve"> </w:t>
      </w:r>
      <w:r w:rsidRPr="00061D40">
        <w:t>The Minister will determine whether he/she is satisfied that the school has met the requirements of subsection 79 (b)</w:t>
      </w:r>
      <w:r w:rsidR="00AA2BE3">
        <w:t>.</w:t>
      </w:r>
    </w:p>
    <w:p w14:paraId="7F486A34" w14:textId="77777777" w:rsidR="00976F6F" w:rsidRPr="00061D40" w:rsidRDefault="00976F6F" w:rsidP="006067EC">
      <w:pPr>
        <w:pStyle w:val="StyleStyledotpointAfter75ptLinespacingsingle"/>
      </w:pPr>
      <w:r w:rsidRPr="00061D40">
        <w:t>If a school’s application complies with the requirements of section 77 and the Minister is satisfied under subsection under 79 (b) that the SES score is no longer accurate, the Minister must make the determinations provided for in section 80</w:t>
      </w:r>
      <w:r w:rsidR="00AA2BE3">
        <w:t>.</w:t>
      </w:r>
    </w:p>
    <w:p w14:paraId="7F486A35" w14:textId="77777777" w:rsidR="00976F6F" w:rsidRPr="00061D40" w:rsidRDefault="00976F6F" w:rsidP="006067EC">
      <w:pPr>
        <w:pStyle w:val="StyleStyledotpointAfter75ptLinespacingsingle"/>
      </w:pPr>
      <w:r w:rsidRPr="00061D40">
        <w:t>If a school’s application does not satisfy the Minister under section 79 (b), the Minister must refuse the application.</w:t>
      </w:r>
    </w:p>
    <w:p w14:paraId="7F486A36" w14:textId="77777777" w:rsidR="00D32016" w:rsidRDefault="00976F6F">
      <w:pPr>
        <w:pStyle w:val="Heading3"/>
      </w:pPr>
      <w:r w:rsidRPr="00061D40">
        <w:t>How will the Committee assess the application?</w:t>
      </w:r>
    </w:p>
    <w:p w14:paraId="7F486A37" w14:textId="77777777" w:rsidR="00976F6F" w:rsidRPr="00061D40" w:rsidRDefault="00976F6F" w:rsidP="00C30212">
      <w:pPr>
        <w:pStyle w:val="StyleAppendicesBodyTextAfter6pt"/>
        <w:spacing w:after="0" w:line="240" w:lineRule="auto"/>
      </w:pPr>
      <w:bookmarkStart w:id="204" w:name="_Ref219089774"/>
      <w:r w:rsidRPr="00061D40">
        <w:t>The Committee will assess whether the application: (1) complies with section 77 of the Act, and (2) whether, in its view, a school has provided sufficient reasons why it considers that the SES score should be changed.</w:t>
      </w:r>
      <w:bookmarkEnd w:id="204"/>
    </w:p>
    <w:p w14:paraId="7F486A38" w14:textId="77777777" w:rsidR="00182F8E" w:rsidRPr="00061D40" w:rsidRDefault="00976F6F" w:rsidP="00C30212">
      <w:pPr>
        <w:pStyle w:val="StyleAppendicesBodyTextAfter6pt"/>
        <w:spacing w:after="0" w:line="240" w:lineRule="auto"/>
      </w:pPr>
      <w:r w:rsidRPr="00061D40">
        <w:t xml:space="preserve">If the Committee considers that a school’s application meets the requirements of section 77 and provides sufficient reasons as set out in </w:t>
      </w:r>
      <w:r w:rsidR="0052574C" w:rsidRPr="00061D40">
        <w:t xml:space="preserve">the above </w:t>
      </w:r>
      <w:r w:rsidR="00182F8E" w:rsidRPr="00061D40">
        <w:t>paragraph</w:t>
      </w:r>
      <w:r w:rsidRPr="00061D40">
        <w:t>, the Committee will ask the Department to collect the necessary information to construct a School Community Profil</w:t>
      </w:r>
      <w:r w:rsidR="00182F8E" w:rsidRPr="00061D40">
        <w:t>e based on actual parent data.</w:t>
      </w:r>
    </w:p>
    <w:p w14:paraId="7F486A39" w14:textId="77777777" w:rsidR="00976F6F" w:rsidRPr="00061D40" w:rsidRDefault="00976F6F" w:rsidP="00C30212">
      <w:pPr>
        <w:pStyle w:val="StyleAppendicesBodyTextAfter6pt"/>
        <w:spacing w:after="0" w:line="240" w:lineRule="auto"/>
      </w:pPr>
      <w:r w:rsidRPr="00061D40">
        <w:t>The School Community Profile will be constructed from information about income, education and occupation collected from parents of students attending the school and any other information the Department considers necessary or relevant.</w:t>
      </w:r>
      <w:r w:rsidR="008E5ABB" w:rsidRPr="00061D40">
        <w:t xml:space="preserve"> </w:t>
      </w:r>
      <w:r w:rsidRPr="00061D40">
        <w:t>Where the appeal is based on the size of families attending the school, the profile will be constructed solely on the basis of income, with the education and occupation information used to validate the income data.</w:t>
      </w:r>
    </w:p>
    <w:p w14:paraId="7F486A3A" w14:textId="77777777" w:rsidR="00AC30F9" w:rsidRPr="00061D40" w:rsidRDefault="00976F6F" w:rsidP="00C30212">
      <w:pPr>
        <w:pStyle w:val="StyleAppendicesBodyTextAfter6pt"/>
        <w:spacing w:after="0" w:line="240" w:lineRule="auto"/>
      </w:pPr>
      <w:r w:rsidRPr="00061D40">
        <w:t>The school will be given the opportunity to review its School Community Profile, along with comparison information from the Benchmark Data Set, to determine whether it will proceed with its appeal.</w:t>
      </w:r>
    </w:p>
    <w:p w14:paraId="7F486A3B" w14:textId="77777777" w:rsidR="00976F6F" w:rsidRPr="00061D40" w:rsidRDefault="00976F6F" w:rsidP="00C30212">
      <w:pPr>
        <w:pStyle w:val="StyleAppendicesBodyTextAfter6pt"/>
        <w:spacing w:after="0" w:line="240" w:lineRule="auto"/>
      </w:pPr>
      <w:r w:rsidRPr="00061D40">
        <w:t>The School Community Profile will be compared with the profiles of all non</w:t>
      </w:r>
      <w:r w:rsidRPr="00061D40">
        <w:noBreakHyphen/>
        <w:t>government schools in the Benchmark Data Set in order to measure whether, in the Committee’s opinion, it differs significantly from the profiles of schools with similar SES scores.</w:t>
      </w:r>
    </w:p>
    <w:p w14:paraId="7F486A3C" w14:textId="77777777" w:rsidR="00976F6F" w:rsidRPr="00061D40" w:rsidRDefault="00976F6F" w:rsidP="00C30212">
      <w:pPr>
        <w:pStyle w:val="StyleAppendicesBodyTextAfter6pt"/>
        <w:spacing w:after="0" w:line="240" w:lineRule="auto"/>
      </w:pPr>
      <w:r w:rsidRPr="00061D40">
        <w:lastRenderedPageBreak/>
        <w:t>Taking into account the results of the School Community Profile, the Committee will provide a recommendation and reasons to the Minister about section 79 (b): whether or not the SES score reflects the socioeconomic circumstances of the school’s community.</w:t>
      </w:r>
    </w:p>
    <w:p w14:paraId="7F486A3D" w14:textId="77777777" w:rsidR="00976F6F" w:rsidRPr="00061D40" w:rsidRDefault="00976F6F" w:rsidP="00C30212">
      <w:pPr>
        <w:pStyle w:val="StyleAppendicesBodyTextAfter6pt"/>
        <w:spacing w:after="0" w:line="240" w:lineRule="auto"/>
      </w:pPr>
      <w:r w:rsidRPr="00061D40">
        <w:t xml:space="preserve">The Minister must then review the Committee’s recommendation and any other relevant information. </w:t>
      </w:r>
    </w:p>
    <w:p w14:paraId="7F486A3E" w14:textId="77777777" w:rsidR="00976F6F" w:rsidRPr="00061D40" w:rsidRDefault="00976F6F" w:rsidP="00C30212">
      <w:pPr>
        <w:pStyle w:val="StyleAppendicesBodyTextAfter6pt"/>
        <w:spacing w:after="0" w:line="240" w:lineRule="auto"/>
      </w:pPr>
      <w:r w:rsidRPr="00061D40">
        <w:t>If the Minister is satisfied that the school’s application meets th</w:t>
      </w:r>
      <w:r w:rsidR="00182F8E" w:rsidRPr="00061D40">
        <w:t>e requirements of subsection 79</w:t>
      </w:r>
      <w:r w:rsidRPr="00061D40">
        <w:t>(b), then the Minister must adjust the SES score by making the relevant determinations provided for in section 80 of the Act.</w:t>
      </w:r>
      <w:r w:rsidR="008E5ABB" w:rsidRPr="00061D40">
        <w:t xml:space="preserve"> </w:t>
      </w:r>
    </w:p>
    <w:p w14:paraId="7F486A3F" w14:textId="77777777" w:rsidR="00976F6F" w:rsidRPr="00061D40" w:rsidRDefault="00976F6F" w:rsidP="00C30212">
      <w:pPr>
        <w:pStyle w:val="StyleAppendicesBodyTextAfter6pt"/>
        <w:spacing w:after="0" w:line="240" w:lineRule="auto"/>
      </w:pPr>
      <w:r w:rsidRPr="00061D40">
        <w:t>The adjusted score will apply:</w:t>
      </w:r>
    </w:p>
    <w:p w14:paraId="7F486A40" w14:textId="77777777" w:rsidR="00AA6BA2" w:rsidRPr="00061D40" w:rsidRDefault="00976F6F" w:rsidP="006067EC">
      <w:pPr>
        <w:pStyle w:val="StyleStyledotpointAfter75ptLinespacingsingle"/>
      </w:pPr>
      <w:r w:rsidRPr="00061D40">
        <w:t xml:space="preserve">in the program year the </w:t>
      </w:r>
      <w:r w:rsidR="0045448F" w:rsidRPr="00061D40">
        <w:t xml:space="preserve">variation </w:t>
      </w:r>
      <w:r w:rsidRPr="00061D40">
        <w:t>is made if the current SES funding level is equal to or greater than the percentage of Average Government School Recurrent Costs (AGSRC) relating to the school’s old SES score</w:t>
      </w:r>
    </w:p>
    <w:p w14:paraId="7F486A41" w14:textId="77777777" w:rsidR="00976F6F" w:rsidRPr="00061D40" w:rsidRDefault="00976F6F" w:rsidP="00672707">
      <w:pPr>
        <w:pStyle w:val="Paragraphstyle0"/>
        <w:tabs>
          <w:tab w:val="clear" w:pos="567"/>
        </w:tabs>
        <w:spacing w:after="120" w:line="240" w:lineRule="auto"/>
        <w:ind w:left="851" w:firstLine="0"/>
      </w:pPr>
      <w:r w:rsidRPr="00061D40">
        <w:t>or</w:t>
      </w:r>
    </w:p>
    <w:p w14:paraId="7F486A42" w14:textId="77777777" w:rsidR="00976F6F" w:rsidRPr="00061D40" w:rsidRDefault="00976F6F" w:rsidP="006067EC">
      <w:pPr>
        <w:pStyle w:val="StyleStyledotpointAfter75ptLinespacingsingle"/>
      </w:pPr>
      <w:r w:rsidRPr="00061D40">
        <w:t xml:space="preserve">in the program year immediately after the program year the </w:t>
      </w:r>
      <w:r w:rsidR="0045448F" w:rsidRPr="00061D40">
        <w:t xml:space="preserve">variation </w:t>
      </w:r>
      <w:r w:rsidRPr="00061D40">
        <w:t>is made if the current SES funding level is less than the percentage of AGSRC relating the school’s old SES score.</w:t>
      </w:r>
    </w:p>
    <w:p w14:paraId="7F486A43" w14:textId="77777777" w:rsidR="00976F6F" w:rsidRPr="00061D40" w:rsidRDefault="00976F6F" w:rsidP="00C30212">
      <w:pPr>
        <w:pStyle w:val="StyleAppendicesBodyTextAfter6pt"/>
        <w:spacing w:after="0" w:line="240" w:lineRule="auto"/>
      </w:pPr>
      <w:r w:rsidRPr="00061D40">
        <w:t>If the Minister is not satisfied as described above</w:t>
      </w:r>
      <w:r w:rsidR="00EC61C1">
        <w:t>,</w:t>
      </w:r>
      <w:r w:rsidRPr="00061D40">
        <w:t xml:space="preserve"> then the school’s SES score is not changed.</w:t>
      </w:r>
    </w:p>
    <w:p w14:paraId="7F486A44" w14:textId="77777777" w:rsidR="00AC30F9" w:rsidRPr="00061D40" w:rsidRDefault="00AC30F9" w:rsidP="00C30212">
      <w:pPr>
        <w:pStyle w:val="StyleAppendicesBodyTextAfter6pt"/>
        <w:spacing w:after="0" w:line="240" w:lineRule="auto"/>
        <w:sectPr w:rsidR="00AC30F9" w:rsidRPr="00061D40" w:rsidSect="00963340">
          <w:pgSz w:w="11906" w:h="16838" w:code="9"/>
          <w:pgMar w:top="1418" w:right="1418" w:bottom="1134" w:left="1418" w:header="567" w:footer="567" w:gutter="0"/>
          <w:cols w:space="720"/>
          <w:docGrid w:linePitch="272"/>
        </w:sectPr>
      </w:pPr>
    </w:p>
    <w:p w14:paraId="7F486A45" w14:textId="77777777" w:rsidR="00F568E0" w:rsidRPr="00061D40" w:rsidRDefault="00F568E0" w:rsidP="00BD1D1C">
      <w:pPr>
        <w:pStyle w:val="Heading2"/>
        <w:spacing w:before="0"/>
      </w:pPr>
      <w:bookmarkStart w:id="205" w:name="_Appendix_D:_Process"/>
      <w:bookmarkStart w:id="206" w:name="_Ref247452090"/>
      <w:bookmarkStart w:id="207" w:name="_Toc346205335"/>
      <w:bookmarkEnd w:id="205"/>
      <w:r w:rsidRPr="00061D40">
        <w:lastRenderedPageBreak/>
        <w:t xml:space="preserve">Appendix </w:t>
      </w:r>
      <w:r w:rsidR="00F47232" w:rsidRPr="00061D40">
        <w:t>D</w:t>
      </w:r>
      <w:bookmarkEnd w:id="206"/>
      <w:r w:rsidR="00AA6BA2" w:rsidRPr="00061D40">
        <w:t xml:space="preserve">: </w:t>
      </w:r>
      <w:bookmarkStart w:id="208" w:name="_Toc246493739"/>
      <w:r w:rsidRPr="00061D40">
        <w:t>Process for Approving New Non-government School Systems</w:t>
      </w:r>
      <w:bookmarkEnd w:id="208"/>
      <w:bookmarkEnd w:id="207"/>
    </w:p>
    <w:p w14:paraId="7F486A46" w14:textId="77777777" w:rsidR="00F568E0" w:rsidRPr="00061D40" w:rsidRDefault="00F568E0" w:rsidP="00C8190E">
      <w:pPr>
        <w:rPr>
          <w:b/>
        </w:rPr>
      </w:pPr>
      <w:bookmarkStart w:id="209" w:name="_Toc262651002"/>
      <w:bookmarkStart w:id="210" w:name="_Toc262651695"/>
      <w:bookmarkStart w:id="211" w:name="_Toc262651898"/>
      <w:bookmarkStart w:id="212" w:name="_Toc262652142"/>
      <w:r w:rsidRPr="00061D40">
        <w:rPr>
          <w:b/>
        </w:rPr>
        <w:t>Applications for the formation of new school systems under section 129, Division</w:t>
      </w:r>
      <w:r w:rsidR="00562478" w:rsidRPr="00061D40">
        <w:rPr>
          <w:b/>
        </w:rPr>
        <w:t> </w:t>
      </w:r>
      <w:r w:rsidRPr="00061D40">
        <w:rPr>
          <w:b/>
        </w:rPr>
        <w:t xml:space="preserve">4 of the </w:t>
      </w:r>
      <w:r w:rsidRPr="00061D40">
        <w:rPr>
          <w:b/>
          <w:i/>
        </w:rPr>
        <w:t>Schools Assistance Act 2008</w:t>
      </w:r>
      <w:r w:rsidRPr="00061D40">
        <w:rPr>
          <w:b/>
        </w:rPr>
        <w:t xml:space="preserve"> (the Act)</w:t>
      </w:r>
      <w:bookmarkEnd w:id="209"/>
      <w:bookmarkEnd w:id="210"/>
      <w:bookmarkEnd w:id="211"/>
      <w:bookmarkEnd w:id="212"/>
    </w:p>
    <w:p w14:paraId="7F486A47" w14:textId="77777777" w:rsidR="00D32016" w:rsidRDefault="00F568E0">
      <w:pPr>
        <w:pStyle w:val="Heading3"/>
      </w:pPr>
      <w:r w:rsidRPr="00061D40">
        <w:t>Purpose</w:t>
      </w:r>
    </w:p>
    <w:p w14:paraId="7F486A48" w14:textId="77777777" w:rsidR="00F568E0" w:rsidRPr="00061D40" w:rsidRDefault="00F568E0" w:rsidP="00C30212">
      <w:pPr>
        <w:pStyle w:val="StyleAppendicesBodyTextAfter6pt"/>
        <w:spacing w:after="0" w:line="240" w:lineRule="auto"/>
      </w:pPr>
      <w:r w:rsidRPr="00061D40">
        <w:t>Th</w:t>
      </w:r>
      <w:r w:rsidR="000133A8">
        <w:t>is</w:t>
      </w:r>
      <w:r w:rsidRPr="00061D40">
        <w:t xml:space="preserve"> </w:t>
      </w:r>
      <w:r w:rsidR="000133A8">
        <w:t>Appendix</w:t>
      </w:r>
      <w:r w:rsidRPr="00061D40">
        <w:t xml:space="preserve"> provide</w:t>
      </w:r>
      <w:r w:rsidR="000133A8">
        <w:t>s</w:t>
      </w:r>
      <w:r w:rsidRPr="00061D40">
        <w:t xml:space="preserve"> information on the application</w:t>
      </w:r>
      <w:r w:rsidR="000327BA" w:rsidRPr="00061D40">
        <w:t xml:space="preserve"> and approval</w:t>
      </w:r>
      <w:r w:rsidRPr="00061D40">
        <w:t xml:space="preserve"> process for:</w:t>
      </w:r>
    </w:p>
    <w:p w14:paraId="7F486A49" w14:textId="77777777" w:rsidR="00F568E0" w:rsidRPr="00061D40" w:rsidRDefault="00F568E0" w:rsidP="006067EC">
      <w:pPr>
        <w:pStyle w:val="StyleStyledotpointAfter75ptLinespacingsingle"/>
      </w:pPr>
      <w:r w:rsidRPr="00061D40">
        <w:t>a body wishing to form a new school system</w:t>
      </w:r>
    </w:p>
    <w:p w14:paraId="7F486A4A" w14:textId="77777777" w:rsidR="00F568E0" w:rsidRPr="00061D40" w:rsidRDefault="00F568E0" w:rsidP="006067EC">
      <w:pPr>
        <w:pStyle w:val="StyleStyledotpointAfter75ptLinespacingsingle"/>
      </w:pPr>
      <w:r w:rsidRPr="00061D40">
        <w:t>an approved school to become a member of that new school system.</w:t>
      </w:r>
    </w:p>
    <w:p w14:paraId="7F486A4B" w14:textId="77777777" w:rsidR="00D32016" w:rsidRDefault="00F568E0">
      <w:pPr>
        <w:pStyle w:val="Heading3"/>
      </w:pPr>
      <w:r w:rsidRPr="00061D40">
        <w:t>Power under the Act</w:t>
      </w:r>
    </w:p>
    <w:p w14:paraId="7F486A4C" w14:textId="77777777" w:rsidR="00F568E0" w:rsidRPr="00061D40" w:rsidRDefault="00F568E0" w:rsidP="00C30212">
      <w:pPr>
        <w:pStyle w:val="StyleAppendicesBodyTextAfter6pt"/>
        <w:spacing w:after="0" w:line="240" w:lineRule="auto"/>
      </w:pPr>
      <w:r w:rsidRPr="00061D40">
        <w:t>Under section 129 of the Act, the Minister may, by determination:</w:t>
      </w:r>
    </w:p>
    <w:p w14:paraId="7F486A4D" w14:textId="77777777" w:rsidR="00F568E0" w:rsidRPr="00061D40" w:rsidRDefault="00F568E0" w:rsidP="00D0678A">
      <w:pPr>
        <w:pStyle w:val="StyleNumberedParagraphAfter75ptLinespacingsingle"/>
        <w:numPr>
          <w:ilvl w:val="1"/>
          <w:numId w:val="15"/>
        </w:numPr>
      </w:pPr>
      <w:r w:rsidRPr="00061D40">
        <w:t>approve a body as an approved school system</w:t>
      </w:r>
    </w:p>
    <w:p w14:paraId="7F486A4E" w14:textId="77777777" w:rsidR="00F568E0" w:rsidRPr="00061D40" w:rsidRDefault="00F568E0" w:rsidP="00D0678A">
      <w:pPr>
        <w:pStyle w:val="StyleNumberedParagraphAfter75ptLinespacingsingle"/>
        <w:numPr>
          <w:ilvl w:val="1"/>
          <w:numId w:val="15"/>
        </w:numPr>
      </w:pPr>
      <w:r w:rsidRPr="00061D40">
        <w:t>approve an approved school (or schools) as a member (or members) of the system.</w:t>
      </w:r>
    </w:p>
    <w:p w14:paraId="7F486A4F" w14:textId="77777777" w:rsidR="00D32016" w:rsidRDefault="00F568E0">
      <w:pPr>
        <w:pStyle w:val="Heading3"/>
      </w:pPr>
      <w:r w:rsidRPr="00061D40">
        <w:t>Application requirements for the formation of a new school system</w:t>
      </w:r>
    </w:p>
    <w:p w14:paraId="7F486A50" w14:textId="77777777" w:rsidR="00F568E0" w:rsidRPr="00061D40" w:rsidRDefault="00F568E0" w:rsidP="00C30212">
      <w:pPr>
        <w:pStyle w:val="StyleAppendicesBodyTextAfter6pt"/>
        <w:spacing w:after="0" w:line="240" w:lineRule="auto"/>
      </w:pPr>
      <w:r w:rsidRPr="00061D40">
        <w:t xml:space="preserve">A body wishing to form a new school system must submit an application to the Department by </w:t>
      </w:r>
      <w:r w:rsidRPr="00061D40">
        <w:rPr>
          <w:rStyle w:val="StyleStyleAppendicesBodyTextAfter6ptBoldChar"/>
        </w:rPr>
        <w:t>1 July</w:t>
      </w:r>
      <w:r w:rsidRPr="00061D40">
        <w:t xml:space="preserve"> in the funding year prior to the proposed commencement of the proposed school system.</w:t>
      </w:r>
    </w:p>
    <w:p w14:paraId="7F486A51" w14:textId="77777777" w:rsidR="00F568E0" w:rsidRPr="00061D40" w:rsidRDefault="00F568E0" w:rsidP="00C30212">
      <w:pPr>
        <w:pStyle w:val="StyleAppendicesBodyTextAfter6pt"/>
        <w:spacing w:after="0" w:line="240" w:lineRule="auto"/>
      </w:pPr>
      <w:r w:rsidRPr="00061D40">
        <w:t xml:space="preserve">The body must ensure that the application meets the </w:t>
      </w:r>
      <w:r w:rsidR="000327BA" w:rsidRPr="00061D40">
        <w:t xml:space="preserve">following </w:t>
      </w:r>
      <w:r w:rsidRPr="00061D40">
        <w:t>requirements for the formation of new school systems.</w:t>
      </w:r>
      <w:r w:rsidR="00562478" w:rsidRPr="00061D40">
        <w:t xml:space="preserve"> </w:t>
      </w:r>
      <w:r w:rsidRPr="00061D40">
        <w:t>The application must:</w:t>
      </w:r>
    </w:p>
    <w:p w14:paraId="7F486A52" w14:textId="77777777" w:rsidR="00F568E0" w:rsidRPr="00061D40" w:rsidRDefault="00845AF6" w:rsidP="00D0678A">
      <w:pPr>
        <w:pStyle w:val="StyleNumberedParagraphAfter75ptLinespacingsingle"/>
        <w:numPr>
          <w:ilvl w:val="1"/>
          <w:numId w:val="16"/>
        </w:numPr>
      </w:pPr>
      <w:r w:rsidRPr="00061D40">
        <w:t>be in writing</w:t>
      </w:r>
    </w:p>
    <w:p w14:paraId="7F486A53" w14:textId="77777777" w:rsidR="00F568E0" w:rsidRPr="00061D40" w:rsidRDefault="00F568E0" w:rsidP="00D0678A">
      <w:pPr>
        <w:pStyle w:val="StyleNumberedParagraphAfter75ptLinespacingsingle"/>
        <w:numPr>
          <w:ilvl w:val="1"/>
          <w:numId w:val="16"/>
        </w:numPr>
      </w:pPr>
      <w:r w:rsidRPr="00061D40">
        <w:t>set out the name and address of the proposed school system and its nominate</w:t>
      </w:r>
      <w:r w:rsidR="00845AF6" w:rsidRPr="00061D40">
        <w:t>d approved authority</w:t>
      </w:r>
    </w:p>
    <w:p w14:paraId="7F486A54" w14:textId="77777777" w:rsidR="00F568E0" w:rsidRPr="00061D40" w:rsidRDefault="00F568E0" w:rsidP="00D0678A">
      <w:pPr>
        <w:pStyle w:val="StyleNumberedParagraphAfter75ptLinespacingsingle"/>
        <w:numPr>
          <w:ilvl w:val="1"/>
          <w:numId w:val="16"/>
        </w:numPr>
      </w:pPr>
      <w:r w:rsidRPr="00061D40">
        <w:t xml:space="preserve">set out the name and address of </w:t>
      </w:r>
      <w:r w:rsidR="00845AF6" w:rsidRPr="00061D40">
        <w:t>the proposed member schools</w:t>
      </w:r>
    </w:p>
    <w:p w14:paraId="7F486A55" w14:textId="77777777" w:rsidR="00F568E0" w:rsidRPr="00061D40" w:rsidRDefault="00F568E0" w:rsidP="00D0678A">
      <w:pPr>
        <w:pStyle w:val="StyleNumberedParagraphAfter75ptLinespacingsingle"/>
        <w:numPr>
          <w:ilvl w:val="1"/>
          <w:numId w:val="16"/>
        </w:numPr>
      </w:pPr>
      <w:r w:rsidRPr="00061D40">
        <w:t>be accompanied by evidence that the approved authority of proposed member schools agree to become members of the proposed sc</w:t>
      </w:r>
      <w:r w:rsidR="00845AF6" w:rsidRPr="00061D40">
        <w:t>hool system</w:t>
      </w:r>
    </w:p>
    <w:p w14:paraId="7F486A56" w14:textId="77777777" w:rsidR="00F568E0" w:rsidRPr="00061D40" w:rsidRDefault="00F568E0" w:rsidP="00D0678A">
      <w:pPr>
        <w:pStyle w:val="StyleNumberedParagraphAfter75ptLinespacingsingle"/>
        <w:numPr>
          <w:ilvl w:val="1"/>
          <w:numId w:val="16"/>
        </w:numPr>
      </w:pPr>
      <w:r w:rsidRPr="00061D40">
        <w:t>state the earliest program year to which the proposal relates</w:t>
      </w:r>
    </w:p>
    <w:p w14:paraId="7F486A57" w14:textId="77777777" w:rsidR="00F568E0" w:rsidRPr="00061D40" w:rsidRDefault="00F568E0" w:rsidP="00D0678A">
      <w:pPr>
        <w:pStyle w:val="StyleNumberedParagraphAfter75ptLinespacingsingle"/>
        <w:numPr>
          <w:ilvl w:val="1"/>
          <w:numId w:val="16"/>
        </w:numPr>
      </w:pPr>
      <w:r w:rsidRPr="00061D40">
        <w:t>state whether the approved authority of the proposed school system agrees to fulfil the obligations (if any) under this Act or the former Act of proposed member schools.</w:t>
      </w:r>
    </w:p>
    <w:p w14:paraId="7F486A58" w14:textId="77777777" w:rsidR="00F568E0" w:rsidRPr="00061D40" w:rsidRDefault="00F568E0" w:rsidP="00C30212">
      <w:pPr>
        <w:pStyle w:val="StyleAppendicesBodyTextAfter6pt"/>
        <w:spacing w:after="0" w:line="240" w:lineRule="auto"/>
      </w:pPr>
      <w:r w:rsidRPr="00061D40">
        <w:t>The following criteria will be considered when assessing an application to form a new school system:</w:t>
      </w:r>
    </w:p>
    <w:p w14:paraId="7F486A59" w14:textId="77777777" w:rsidR="00F568E0" w:rsidRPr="00061D40" w:rsidRDefault="00AA6BA2" w:rsidP="006067EC">
      <w:pPr>
        <w:pStyle w:val="StyleStyledotpointAfter75ptLinespacingsingle"/>
      </w:pPr>
      <w:r w:rsidRPr="00061D40">
        <w:t>t</w:t>
      </w:r>
      <w:r w:rsidR="00F568E0" w:rsidRPr="00061D40">
        <w:t>he proposed school system must consist of a minimum of 20 approved schools which are in receipt of Commonwealt</w:t>
      </w:r>
      <w:r w:rsidRPr="00061D40">
        <w:t>h recurrent expenditure funding</w:t>
      </w:r>
    </w:p>
    <w:p w14:paraId="7F486A5A" w14:textId="77777777" w:rsidR="00F568E0" w:rsidRPr="00061D40" w:rsidRDefault="00AA6BA2" w:rsidP="006067EC">
      <w:pPr>
        <w:pStyle w:val="StyleStyledotpointAfter75ptLinespacingsingle"/>
      </w:pPr>
      <w:r w:rsidRPr="00061D40">
        <w:t>e</w:t>
      </w:r>
      <w:r w:rsidR="00F568E0" w:rsidRPr="00061D40">
        <w:t>ach approved authority of proposed member schools must formally agree, in writing, t</w:t>
      </w:r>
      <w:r w:rsidRPr="00061D40">
        <w:t>o become part of the new system</w:t>
      </w:r>
    </w:p>
    <w:p w14:paraId="7F486A5B" w14:textId="77777777" w:rsidR="00F568E0" w:rsidRPr="00061D40" w:rsidRDefault="00845AF6" w:rsidP="006067EC">
      <w:pPr>
        <w:pStyle w:val="StyleStyledotpointAfter75ptLinespacingsingle"/>
      </w:pPr>
      <w:r w:rsidRPr="00061D40">
        <w:lastRenderedPageBreak/>
        <w:t>t</w:t>
      </w:r>
      <w:r w:rsidR="00F568E0" w:rsidRPr="00061D40">
        <w:t>he proposed school system must demonstrate common ownership or ethos of the proposed member schools.</w:t>
      </w:r>
    </w:p>
    <w:p w14:paraId="7F486A5C" w14:textId="77777777" w:rsidR="00F568E0" w:rsidRPr="00061D40" w:rsidRDefault="00845AF6" w:rsidP="006067EC">
      <w:pPr>
        <w:pStyle w:val="StyleStyledotpointAfter75ptLinespacingsingle"/>
      </w:pPr>
      <w:r w:rsidRPr="00061D40">
        <w:t>t</w:t>
      </w:r>
      <w:r w:rsidR="00F568E0" w:rsidRPr="00061D40">
        <w:t>he proposed school system must provide a written assurance that member schools will operate in accordance with a common set of educational policies and standards.</w:t>
      </w:r>
    </w:p>
    <w:p w14:paraId="7F486A5D" w14:textId="77777777" w:rsidR="00F568E0" w:rsidRPr="00061D40" w:rsidRDefault="00845AF6" w:rsidP="006067EC">
      <w:pPr>
        <w:pStyle w:val="StyleStyledotpointAfter75ptLinespacingsingle"/>
      </w:pPr>
      <w:r w:rsidRPr="00061D40">
        <w:t>t</w:t>
      </w:r>
      <w:r w:rsidR="00F568E0" w:rsidRPr="00061D40">
        <w:t>he proposed school system must nominate an approved authority.</w:t>
      </w:r>
    </w:p>
    <w:p w14:paraId="7F486A5E" w14:textId="77777777" w:rsidR="000228B3" w:rsidRPr="00061D40" w:rsidRDefault="00845AF6" w:rsidP="006067EC">
      <w:pPr>
        <w:pStyle w:val="StyleStyledotpointAfter75ptLinespacingsingle"/>
      </w:pPr>
      <w:r w:rsidRPr="00061D40">
        <w:t>t</w:t>
      </w:r>
      <w:r w:rsidR="00F568E0" w:rsidRPr="00061D40">
        <w:t>he approved authority of the proposed school system must be a body corporate.</w:t>
      </w:r>
      <w:r w:rsidR="000327BA" w:rsidRPr="00061D40">
        <w:t xml:space="preserve"> The memorandum and articles or other instruments by which information is effected must:</w:t>
      </w:r>
    </w:p>
    <w:p w14:paraId="7F486A5F" w14:textId="77777777" w:rsidR="000228B3" w:rsidRPr="00061D40" w:rsidRDefault="000327BA" w:rsidP="00A23B40">
      <w:pPr>
        <w:pStyle w:val="dotpoint2"/>
      </w:pPr>
      <w:r w:rsidRPr="00061D40">
        <w:t>include the power of the incorporated body to conduct schools</w:t>
      </w:r>
    </w:p>
    <w:p w14:paraId="7F486A60" w14:textId="77777777" w:rsidR="000327BA" w:rsidRPr="00061D40" w:rsidRDefault="000327BA" w:rsidP="00A23B40">
      <w:pPr>
        <w:pStyle w:val="dotpoint2"/>
      </w:pPr>
      <w:r w:rsidRPr="00061D40">
        <w:t>provide for the non-profit status of the body and for a requirement that any surpluses generated by the authority be used for the purposes of the authority and not be transferred to any other activity that the body is authorised to undertake</w:t>
      </w:r>
    </w:p>
    <w:p w14:paraId="7F486A61" w14:textId="77777777" w:rsidR="000327BA" w:rsidRPr="00061D40" w:rsidRDefault="000327BA" w:rsidP="00A23B40">
      <w:pPr>
        <w:pStyle w:val="dotpoint2"/>
      </w:pPr>
      <w:r w:rsidRPr="00061D40">
        <w:t>state that, if the body is wound up, the net assets remaining after all obligations have been met (including any Commonwealth right to repayment) must be donated to a non-profit body within the Commonwealth of Australia which provides related educational services to school-age children or students, for the purposes of those services</w:t>
      </w:r>
    </w:p>
    <w:p w14:paraId="7F486A62" w14:textId="77777777" w:rsidR="00F568E0" w:rsidRPr="00061D40" w:rsidRDefault="000327BA" w:rsidP="00A23B40">
      <w:pPr>
        <w:pStyle w:val="dotpoint2"/>
      </w:pPr>
      <w:r w:rsidRPr="00061D40">
        <w:t>not be inconsistent with the Commonwealth’s right to recovery of Commonwealth grants in certain circumstances.</w:t>
      </w:r>
    </w:p>
    <w:p w14:paraId="7F486A63" w14:textId="77777777" w:rsidR="00F568E0" w:rsidRPr="00061D40" w:rsidRDefault="00845AF6" w:rsidP="006067EC">
      <w:pPr>
        <w:pStyle w:val="StyleStyledotpointAfter75ptLinespacingsingle"/>
      </w:pPr>
      <w:r w:rsidRPr="00061D40">
        <w:t>t</w:t>
      </w:r>
      <w:r w:rsidR="00F568E0" w:rsidRPr="00061D40">
        <w:t>he proposed school system must undertake to be the point of contact for the Commonwealth for its member schools.</w:t>
      </w:r>
    </w:p>
    <w:p w14:paraId="7F486A64" w14:textId="77777777" w:rsidR="00D32016" w:rsidRDefault="00F568E0">
      <w:pPr>
        <w:pStyle w:val="Heading3"/>
      </w:pPr>
      <w:r w:rsidRPr="00061D40">
        <w:t>Procedure for assessing the application</w:t>
      </w:r>
    </w:p>
    <w:p w14:paraId="7F486A65" w14:textId="77777777" w:rsidR="00F568E0" w:rsidRPr="00061D40" w:rsidRDefault="00F568E0" w:rsidP="00C30212">
      <w:pPr>
        <w:pStyle w:val="StyleAppendicesBodyTextAfter6pt"/>
        <w:spacing w:after="0" w:line="240" w:lineRule="auto"/>
      </w:pPr>
      <w:r w:rsidRPr="00061D40">
        <w:t>The procedure for assessing an application to form a new school system is set out below:</w:t>
      </w:r>
    </w:p>
    <w:p w14:paraId="7F486A66" w14:textId="77777777" w:rsidR="00F568E0" w:rsidRPr="00061D40" w:rsidRDefault="00AA6BA2" w:rsidP="00D0678A">
      <w:pPr>
        <w:pStyle w:val="StyleNumberedParagraphAfter75ptLinespacingsingle"/>
        <w:numPr>
          <w:ilvl w:val="1"/>
          <w:numId w:val="14"/>
        </w:numPr>
      </w:pPr>
      <w:r w:rsidRPr="00061D40">
        <w:t>t</w:t>
      </w:r>
      <w:r w:rsidR="00F568E0" w:rsidRPr="00061D40">
        <w:t xml:space="preserve">he Department will assess the application to ensure that it complies with each of the criteria set out above </w:t>
      </w:r>
      <w:r w:rsidR="00B97FB6" w:rsidRPr="00061D40">
        <w:t>for the approval of new school systems</w:t>
      </w:r>
    </w:p>
    <w:p w14:paraId="7F486A67" w14:textId="77777777" w:rsidR="00F568E0" w:rsidRPr="00061D40" w:rsidRDefault="00AA6BA2" w:rsidP="00D0678A">
      <w:pPr>
        <w:pStyle w:val="StyleNumberedParagraphAfter75ptLinespacingsingle"/>
        <w:numPr>
          <w:ilvl w:val="1"/>
          <w:numId w:val="14"/>
        </w:numPr>
      </w:pPr>
      <w:r w:rsidRPr="00061D40">
        <w:t>t</w:t>
      </w:r>
      <w:r w:rsidR="00F568E0" w:rsidRPr="00061D40">
        <w:t>he Department will check that each proposed member school is an approved school under the Act and currently in receipt o</w:t>
      </w:r>
      <w:r w:rsidRPr="00061D40">
        <w:t>f recurrent expenditure funding</w:t>
      </w:r>
    </w:p>
    <w:p w14:paraId="7F486A68" w14:textId="77777777" w:rsidR="00F568E0" w:rsidRPr="00061D40" w:rsidRDefault="00AA6BA2" w:rsidP="00D0678A">
      <w:pPr>
        <w:pStyle w:val="StyleNumberedParagraphAfter75ptLinespacingsingle"/>
        <w:numPr>
          <w:ilvl w:val="1"/>
          <w:numId w:val="14"/>
        </w:numPr>
      </w:pPr>
      <w:r w:rsidRPr="00061D40">
        <w:t>t</w:t>
      </w:r>
      <w:r w:rsidR="00F568E0" w:rsidRPr="00061D40">
        <w:t>he Department will consult with existing approved school systems to ensure that the rights and responsibilities of exist</w:t>
      </w:r>
      <w:r w:rsidRPr="00061D40">
        <w:t>ing systems are not compromised</w:t>
      </w:r>
    </w:p>
    <w:p w14:paraId="7F486A69" w14:textId="77777777" w:rsidR="00F568E0" w:rsidRPr="00061D40" w:rsidRDefault="00AA6BA2" w:rsidP="00D0678A">
      <w:pPr>
        <w:pStyle w:val="StyleNumberedParagraphAfter75ptLinespacingsingle"/>
        <w:numPr>
          <w:ilvl w:val="1"/>
          <w:numId w:val="14"/>
        </w:numPr>
      </w:pPr>
      <w:r w:rsidRPr="00061D40">
        <w:t>t</w:t>
      </w:r>
      <w:r w:rsidR="00F568E0" w:rsidRPr="00061D40">
        <w:t xml:space="preserve">he Department may consult </w:t>
      </w:r>
      <w:r w:rsidR="000228B3" w:rsidRPr="00061D40">
        <w:t xml:space="preserve">with </w:t>
      </w:r>
      <w:r w:rsidR="00F568E0" w:rsidRPr="00061D40">
        <w:t>any other appropriate non</w:t>
      </w:r>
      <w:r w:rsidR="00F568E0" w:rsidRPr="00061D40">
        <w:noBreakHyphen/>
      </w:r>
      <w:r w:rsidRPr="00061D40">
        <w:t>government school organisations</w:t>
      </w:r>
    </w:p>
    <w:p w14:paraId="7F486A6A" w14:textId="77777777" w:rsidR="00F568E0" w:rsidRPr="00061D40" w:rsidRDefault="00AA6BA2" w:rsidP="00D0678A">
      <w:pPr>
        <w:pStyle w:val="StyleNumberedParagraphAfter75ptLinespacingsingle"/>
        <w:numPr>
          <w:ilvl w:val="1"/>
          <w:numId w:val="14"/>
        </w:numPr>
      </w:pPr>
      <w:r w:rsidRPr="00061D40">
        <w:t>w</w:t>
      </w:r>
      <w:r w:rsidR="00F568E0" w:rsidRPr="00061D40">
        <w:t xml:space="preserve">hen all conditions set out in the </w:t>
      </w:r>
      <w:r w:rsidR="008730C5" w:rsidRPr="008730C5">
        <w:t>Administrative Guidelines</w:t>
      </w:r>
      <w:r w:rsidR="00F568E0" w:rsidRPr="00061D40">
        <w:t xml:space="preserve"> have been met, the Department will provide recommendations to the Minister’s del</w:t>
      </w:r>
      <w:r w:rsidRPr="00061D40">
        <w:t>egate regarding the application</w:t>
      </w:r>
    </w:p>
    <w:p w14:paraId="7F486A6B" w14:textId="77777777" w:rsidR="00F568E0" w:rsidRPr="00061D40" w:rsidRDefault="00AA6BA2" w:rsidP="00D0678A">
      <w:pPr>
        <w:pStyle w:val="StyleNumberedParagraphAfter75ptLinespacingsingle"/>
        <w:numPr>
          <w:ilvl w:val="1"/>
          <w:numId w:val="14"/>
        </w:numPr>
      </w:pPr>
      <w:r w:rsidRPr="00061D40">
        <w:t>i</w:t>
      </w:r>
      <w:r w:rsidR="00F568E0" w:rsidRPr="00061D40">
        <w:t>f the application for a new school system is approved, the Minister’s delegate will also approve a body as the approved authority of the syst</w:t>
      </w:r>
      <w:r w:rsidRPr="00061D40">
        <w:t>em under section 151 of the Act</w:t>
      </w:r>
    </w:p>
    <w:p w14:paraId="7F486A6C" w14:textId="77777777" w:rsidR="00F568E0" w:rsidRPr="00061D40" w:rsidRDefault="00AA6BA2" w:rsidP="00D0678A">
      <w:pPr>
        <w:pStyle w:val="StyleNumberedParagraphAfter75ptLinespacingsingle"/>
        <w:numPr>
          <w:ilvl w:val="1"/>
          <w:numId w:val="14"/>
        </w:numPr>
      </w:pPr>
      <w:r w:rsidRPr="00061D40">
        <w:lastRenderedPageBreak/>
        <w:t>t</w:t>
      </w:r>
      <w:r w:rsidR="00F568E0" w:rsidRPr="00061D40">
        <w:t>he approved school system determination for the approved school system will contain:</w:t>
      </w:r>
    </w:p>
    <w:p w14:paraId="7F486A6D" w14:textId="77777777" w:rsidR="00F568E0" w:rsidRPr="00061D40" w:rsidRDefault="00963340" w:rsidP="006455DC">
      <w:pPr>
        <w:pStyle w:val="NumberedParagraph"/>
        <w:numPr>
          <w:ilvl w:val="2"/>
          <w:numId w:val="8"/>
        </w:numPr>
        <w:spacing w:line="240" w:lineRule="auto"/>
      </w:pPr>
      <w:r w:rsidRPr="00061D40">
        <w:t>t</w:t>
      </w:r>
      <w:r w:rsidR="00F568E0" w:rsidRPr="00061D40">
        <w:t>he name of</w:t>
      </w:r>
      <w:r w:rsidR="00845AF6" w:rsidRPr="00061D40">
        <w:t xml:space="preserve"> the approved school system</w:t>
      </w:r>
    </w:p>
    <w:p w14:paraId="7F486A6E" w14:textId="77777777" w:rsidR="00F568E0" w:rsidRPr="00061D40" w:rsidRDefault="00963340" w:rsidP="006455DC">
      <w:pPr>
        <w:pStyle w:val="NumberedParagraph"/>
        <w:numPr>
          <w:ilvl w:val="2"/>
          <w:numId w:val="8"/>
        </w:numPr>
        <w:spacing w:line="240" w:lineRule="auto"/>
      </w:pPr>
      <w:r w:rsidRPr="00061D40">
        <w:t>t</w:t>
      </w:r>
      <w:r w:rsidR="00F568E0" w:rsidRPr="00061D40">
        <w:t>he name of each member of the system.</w:t>
      </w:r>
    </w:p>
    <w:p w14:paraId="7F486A6F" w14:textId="77777777" w:rsidR="00F568E0" w:rsidRPr="00061D40" w:rsidRDefault="00F568E0" w:rsidP="00C30212">
      <w:pPr>
        <w:pStyle w:val="StyleAppendicesBodyTextAfter6pt"/>
        <w:spacing w:after="0" w:line="240" w:lineRule="auto"/>
      </w:pPr>
      <w:r w:rsidRPr="00061D40">
        <w:t>The Department will advise the proponent if any of the conditions set out in the Administrative Guidelines have not been met.</w:t>
      </w:r>
      <w:r w:rsidR="00562478" w:rsidRPr="00061D40">
        <w:t xml:space="preserve"> </w:t>
      </w:r>
      <w:r w:rsidRPr="00061D40">
        <w:t>If additional information is requested, this must be provided before the application will be considered further.</w:t>
      </w:r>
    </w:p>
    <w:p w14:paraId="7F486A70" w14:textId="77777777" w:rsidR="00F568E0" w:rsidRPr="00061D40" w:rsidRDefault="00F568E0" w:rsidP="00C30212">
      <w:pPr>
        <w:pStyle w:val="StyleAppendicesBodyTextAfter6pt"/>
        <w:spacing w:after="0" w:line="240" w:lineRule="auto"/>
      </w:pPr>
      <w:r w:rsidRPr="00061D40">
        <w:t>If the application does not comply with all the conditions set out in the Administrative Guidelines, the Minister (or delegate) may refuse the application.</w:t>
      </w:r>
    </w:p>
    <w:p w14:paraId="7F486A71" w14:textId="77777777" w:rsidR="000228B3" w:rsidRPr="00061D40" w:rsidRDefault="000228B3" w:rsidP="000228B3">
      <w:pPr>
        <w:pStyle w:val="StyleAppendicesBodyTextAfter6pt"/>
        <w:spacing w:after="0" w:line="240" w:lineRule="auto"/>
      </w:pPr>
      <w:r w:rsidRPr="00061D40">
        <w:t>A new system will only be recognised from the beginning of the funding year following the application.</w:t>
      </w:r>
    </w:p>
    <w:p w14:paraId="7F486A72" w14:textId="77777777" w:rsidR="000228B3" w:rsidRPr="00061D40" w:rsidRDefault="000228B3" w:rsidP="000228B3">
      <w:pPr>
        <w:pStyle w:val="StyleAppendicesBodyTextAfter6pt"/>
        <w:spacing w:after="0" w:line="240" w:lineRule="auto"/>
      </w:pPr>
      <w:r w:rsidRPr="00061D40">
        <w:t xml:space="preserve">The operational requirements for approved school systems are set out in </w:t>
      </w:r>
      <w:hyperlink w:anchor="_Appendix_E:_Operational" w:history="1">
        <w:r w:rsidRPr="00C62F43">
          <w:rPr>
            <w:rStyle w:val="Hyperlink"/>
          </w:rPr>
          <w:t>Appendix E</w:t>
        </w:r>
      </w:hyperlink>
      <w:r w:rsidRPr="00061D40">
        <w:t>.</w:t>
      </w:r>
    </w:p>
    <w:p w14:paraId="7F486A73" w14:textId="77777777" w:rsidR="000228B3" w:rsidRPr="00061D40" w:rsidRDefault="000228B3" w:rsidP="00C30212">
      <w:pPr>
        <w:pStyle w:val="StyleAppendicesBodyTextAfter6pt"/>
        <w:spacing w:after="0" w:line="240" w:lineRule="auto"/>
        <w:rPr>
          <w:iCs/>
        </w:rPr>
      </w:pPr>
    </w:p>
    <w:p w14:paraId="7F486A74" w14:textId="77777777" w:rsidR="00F568E0" w:rsidRPr="00061D40" w:rsidRDefault="00F568E0" w:rsidP="00C30212">
      <w:pPr>
        <w:pStyle w:val="StyleAppendicesBodyTextAfter6pt"/>
        <w:spacing w:after="0" w:line="240" w:lineRule="auto"/>
        <w:sectPr w:rsidR="00F568E0" w:rsidRPr="00061D40" w:rsidSect="00963340">
          <w:pgSz w:w="11906" w:h="16838" w:code="9"/>
          <w:pgMar w:top="1418" w:right="1418" w:bottom="1134" w:left="1418" w:header="567" w:footer="567" w:gutter="0"/>
          <w:cols w:space="720"/>
          <w:docGrid w:linePitch="272"/>
        </w:sectPr>
      </w:pPr>
    </w:p>
    <w:p w14:paraId="7F486A75" w14:textId="77777777" w:rsidR="00D32016" w:rsidRDefault="00F02ED7">
      <w:pPr>
        <w:pStyle w:val="Heading2"/>
      </w:pPr>
      <w:bookmarkStart w:id="213" w:name="_Appendix_E:_Operational"/>
      <w:bookmarkStart w:id="214" w:name="_Ref246737472"/>
      <w:bookmarkStart w:id="215" w:name="_Toc346205336"/>
      <w:bookmarkEnd w:id="213"/>
      <w:r w:rsidRPr="00F02ED7">
        <w:lastRenderedPageBreak/>
        <w:t>Appendix E</w:t>
      </w:r>
      <w:bookmarkEnd w:id="214"/>
      <w:r w:rsidRPr="00F02ED7">
        <w:t xml:space="preserve">: </w:t>
      </w:r>
      <w:bookmarkStart w:id="216" w:name="_Toc246493740"/>
      <w:r w:rsidRPr="00F02ED7">
        <w:t>Operational Requirements for Approved School Systems</w:t>
      </w:r>
      <w:bookmarkEnd w:id="216"/>
      <w:bookmarkEnd w:id="215"/>
    </w:p>
    <w:p w14:paraId="7F486A76" w14:textId="77777777" w:rsidR="00F568E0" w:rsidRPr="00061D40" w:rsidRDefault="00F568E0" w:rsidP="00C30212">
      <w:pPr>
        <w:pStyle w:val="StyleAppendicesBodyTextAfter6pt"/>
        <w:spacing w:after="0" w:line="240" w:lineRule="auto"/>
      </w:pPr>
      <w:r w:rsidRPr="00061D40">
        <w:t>The Commonwealth recognises school systems on the basis that they play an important role in developing new schools and supporting existing schools. Systemic arrangements ensure the viability and sustainability of schools by sharing financial responsibility, and assist the Commonwealth by providing one point of contact for a number of schools.</w:t>
      </w:r>
    </w:p>
    <w:p w14:paraId="7F486A77" w14:textId="77777777" w:rsidR="00F568E0" w:rsidRPr="00061D40" w:rsidRDefault="00F568E0" w:rsidP="00C30212">
      <w:pPr>
        <w:pStyle w:val="StyleAppendicesBodyTextAfter6pt"/>
        <w:spacing w:after="0" w:line="240" w:lineRule="auto"/>
      </w:pPr>
      <w:r w:rsidRPr="00061D40">
        <w:t xml:space="preserve">The Commonwealth recognises the school systems which were approved school systems immediately before the commencing day of the </w:t>
      </w:r>
      <w:r w:rsidR="008159F3" w:rsidRPr="00061D40">
        <w:t>Act</w:t>
      </w:r>
      <w:r w:rsidRPr="00061D40">
        <w:t>.</w:t>
      </w:r>
    </w:p>
    <w:p w14:paraId="7F486A78" w14:textId="77777777" w:rsidR="00F568E0" w:rsidRPr="00061D40" w:rsidRDefault="00F568E0" w:rsidP="00C30212">
      <w:pPr>
        <w:pStyle w:val="StyleAppendicesBodyTextAfter6pt"/>
        <w:spacing w:after="0" w:line="240" w:lineRule="auto"/>
      </w:pPr>
      <w:r w:rsidRPr="00061D40">
        <w:t xml:space="preserve">The approved authority of the system must allocate no more than two per cent of total amounts paid for recurrent expenditure under the Act to meet administrative expenditure incurred by the approved authority in respect of a program year, excluding specialist support staff as defined in the Schools Census. The remaining proportion is to be allocated for the purpose of meeting recurrent expenditure incurred by member schools in the approved system having regard to the respective needs of those schools. </w:t>
      </w:r>
    </w:p>
    <w:p w14:paraId="7F486A79" w14:textId="77777777" w:rsidR="00F568E0" w:rsidRPr="00061D40" w:rsidRDefault="00F568E0" w:rsidP="00C30212">
      <w:pPr>
        <w:pStyle w:val="StyleAppendicesBodyTextAfter6pt"/>
        <w:spacing w:after="0" w:line="240" w:lineRule="auto"/>
      </w:pPr>
      <w:r w:rsidRPr="00061D40">
        <w:t xml:space="preserve">The approved authority of the system has the overall responsibility for the distribution between member schools of the total financial and other resources of the system. It has the responsibility to distribute those resources between member schools differentially according to need within overall Commonwealth policy objectives. </w:t>
      </w:r>
    </w:p>
    <w:p w14:paraId="7F486A7A" w14:textId="77777777" w:rsidR="00F568E0" w:rsidRPr="00061D40" w:rsidRDefault="00F568E0" w:rsidP="00C30212">
      <w:pPr>
        <w:pStyle w:val="StyleAppendicesBodyTextAfter6pt"/>
        <w:spacing w:after="0" w:line="240" w:lineRule="auto"/>
      </w:pPr>
      <w:r w:rsidRPr="00061D40">
        <w:t>The approved authority of the system must accept responsibility for the long-term viability of member schools as well as any liabilities to the Commonwealth incurred by those schools.</w:t>
      </w:r>
    </w:p>
    <w:p w14:paraId="7F486A7B" w14:textId="77777777" w:rsidR="00F568E0" w:rsidRPr="00061D40" w:rsidRDefault="00F568E0" w:rsidP="00C30212">
      <w:pPr>
        <w:pStyle w:val="StyleAppendicesBodyTextAfter6pt"/>
        <w:spacing w:after="0" w:line="240" w:lineRule="auto"/>
      </w:pPr>
      <w:r w:rsidRPr="00061D40">
        <w:t>The Commonwealth will support this systemic role by ensuring that all funding provided under the Act (grants for recurrent, capital and targeted expenditure) for the system’s member schools is directed to these schools via the approved authority of the system.</w:t>
      </w:r>
    </w:p>
    <w:p w14:paraId="7F486A7C" w14:textId="77777777" w:rsidR="00F568E0" w:rsidRPr="00061D40" w:rsidRDefault="00F568E0" w:rsidP="00C30212">
      <w:pPr>
        <w:pStyle w:val="StyleAppendicesBodyTextAfter6pt"/>
        <w:spacing w:after="0" w:line="240" w:lineRule="auto"/>
      </w:pPr>
      <w:r w:rsidRPr="00061D40">
        <w:t>The approved authority of the system must remain non-profit and must remain a body corporate.</w:t>
      </w:r>
    </w:p>
    <w:p w14:paraId="7F486A7D" w14:textId="77777777" w:rsidR="00F568E0" w:rsidRPr="00061D40" w:rsidRDefault="00F568E0" w:rsidP="00C30212">
      <w:pPr>
        <w:pStyle w:val="StyleAppendicesBodyTextAfter6pt"/>
        <w:spacing w:after="0" w:line="240" w:lineRule="auto"/>
      </w:pPr>
      <w:r w:rsidRPr="00061D40">
        <w:t>The system must meet the conditions required to be observed by all schools.</w:t>
      </w:r>
    </w:p>
    <w:p w14:paraId="7F486A7E" w14:textId="77777777" w:rsidR="00F568E0" w:rsidRPr="00061D40" w:rsidRDefault="00F568E0" w:rsidP="00C30212">
      <w:pPr>
        <w:pStyle w:val="StyleAppendicesBodyTextAfter6pt"/>
        <w:spacing w:after="0" w:line="240" w:lineRule="auto"/>
      </w:pPr>
      <w:r w:rsidRPr="00061D40">
        <w:t>The system is responsible for developing policies with respect to educational standards within the system.</w:t>
      </w:r>
    </w:p>
    <w:p w14:paraId="7F486A7F" w14:textId="77777777" w:rsidR="00F568E0" w:rsidRPr="00061D40" w:rsidRDefault="00F568E0" w:rsidP="00C30212">
      <w:pPr>
        <w:pStyle w:val="StyleAppendicesBodyTextAfter6pt"/>
        <w:spacing w:after="0" w:line="240" w:lineRule="auto"/>
      </w:pPr>
      <w:r w:rsidRPr="00061D40">
        <w:t>The system and its individual member schools must have separate financial statements.</w:t>
      </w:r>
    </w:p>
    <w:p w14:paraId="7F486A80" w14:textId="77777777" w:rsidR="00F568E0" w:rsidRPr="00061D40" w:rsidRDefault="00F568E0" w:rsidP="00C30212">
      <w:pPr>
        <w:pStyle w:val="StyleAppendicesBodyTextAfter6pt"/>
        <w:spacing w:after="0" w:line="240" w:lineRule="auto"/>
      </w:pPr>
      <w:r w:rsidRPr="00061D40">
        <w:t xml:space="preserve">The approved authority of the system must arrange for all required reports and information to be provided to the Commonwealth on or before the due date. </w:t>
      </w:r>
    </w:p>
    <w:bookmarkEnd w:id="190"/>
    <w:bookmarkEnd w:id="191"/>
    <w:bookmarkEnd w:id="192"/>
    <w:bookmarkEnd w:id="193"/>
    <w:bookmarkEnd w:id="194"/>
    <w:p w14:paraId="7F486A81" w14:textId="77777777" w:rsidR="00AC30F9" w:rsidRPr="00061D40" w:rsidRDefault="00AC30F9" w:rsidP="00B77818">
      <w:pPr>
        <w:pStyle w:val="Heading1"/>
        <w:sectPr w:rsidR="00AC30F9" w:rsidRPr="00061D40" w:rsidSect="00963340">
          <w:pgSz w:w="11906" w:h="16838" w:code="9"/>
          <w:pgMar w:top="1418" w:right="1418" w:bottom="1134" w:left="1418" w:header="567" w:footer="567" w:gutter="0"/>
          <w:cols w:space="720"/>
          <w:docGrid w:linePitch="272"/>
        </w:sectPr>
      </w:pPr>
    </w:p>
    <w:p w14:paraId="7F486A82" w14:textId="77777777" w:rsidR="0056502E" w:rsidRPr="00061D40" w:rsidRDefault="00F91AF4" w:rsidP="003F1936">
      <w:pPr>
        <w:pStyle w:val="Heading2"/>
        <w:spacing w:before="0"/>
      </w:pPr>
      <w:bookmarkStart w:id="217" w:name="_Toc503145930"/>
      <w:bookmarkStart w:id="218" w:name="_Toc503147472"/>
      <w:bookmarkStart w:id="219" w:name="_Toc503151391"/>
      <w:bookmarkStart w:id="220" w:name="_Toc55968483"/>
      <w:bookmarkStart w:id="221" w:name="_Toc182292880"/>
      <w:bookmarkStart w:id="222" w:name="_Toc346205337"/>
      <w:r w:rsidRPr="00061D40">
        <w:lastRenderedPageBreak/>
        <w:t xml:space="preserve">Appendix </w:t>
      </w:r>
      <w:r w:rsidR="00F47232" w:rsidRPr="00061D40">
        <w:t>F</w:t>
      </w:r>
      <w:r w:rsidR="00845AF6" w:rsidRPr="00061D40">
        <w:t xml:space="preserve">: </w:t>
      </w:r>
      <w:bookmarkStart w:id="223" w:name="_Toc246493741"/>
      <w:bookmarkEnd w:id="217"/>
      <w:bookmarkEnd w:id="218"/>
      <w:bookmarkEnd w:id="219"/>
      <w:bookmarkEnd w:id="220"/>
      <w:bookmarkEnd w:id="221"/>
      <w:r w:rsidR="001A43CD" w:rsidRPr="00061D40">
        <w:t>Grants for Recurrent Expenditure</w:t>
      </w:r>
      <w:r w:rsidR="0056502E" w:rsidRPr="00061D40">
        <w:t xml:space="preserve"> - Contact Details of State/Territory School Registration Boards</w:t>
      </w:r>
      <w:bookmarkEnd w:id="223"/>
      <w:bookmarkEnd w:id="222"/>
    </w:p>
    <w:p w14:paraId="7F486A83" w14:textId="77777777" w:rsidR="0056502E" w:rsidRPr="00061D40" w:rsidRDefault="0056502E" w:rsidP="00C30212">
      <w:pPr>
        <w:pStyle w:val="StyleAppendicesBodyTextAfter6pt"/>
        <w:spacing w:after="0" w:line="240" w:lineRule="auto"/>
      </w:pPr>
      <w:r w:rsidRPr="00061D40">
        <w:t xml:space="preserve">For commencing schools and schools undertaking changes, it is necessary to have State/Territory registration/recognition in order to receive </w:t>
      </w:r>
      <w:r w:rsidR="001A43CD" w:rsidRPr="00061D40">
        <w:t>Australian Government Grants for Recurrent Expenditure</w:t>
      </w:r>
      <w:r w:rsidRPr="00061D40">
        <w:t xml:space="preserve"> for the new school or change.</w:t>
      </w:r>
    </w:p>
    <w:p w14:paraId="7F486A84" w14:textId="77777777" w:rsidR="0056502E" w:rsidRPr="00061D40" w:rsidRDefault="0056502E" w:rsidP="00672707">
      <w:pPr>
        <w:pStyle w:val="StyleAppendicesBodyTextAfter6pt"/>
        <w:spacing w:after="150" w:line="240" w:lineRule="auto"/>
      </w:pPr>
      <w:r w:rsidRPr="00061D40">
        <w:t>Listed below are state registration contacts:</w:t>
      </w:r>
    </w:p>
    <w:p w14:paraId="7F486A85" w14:textId="77777777" w:rsidR="006D639A" w:rsidRDefault="006D639A" w:rsidP="006455DC">
      <w:pPr>
        <w:spacing w:line="240" w:lineRule="auto"/>
        <w:rPr>
          <w:lang w:val="fr-FR"/>
        </w:rPr>
      </w:pPr>
    </w:p>
    <w:tbl>
      <w:tblPr>
        <w:tblW w:w="8500" w:type="dxa"/>
        <w:tblInd w:w="208" w:type="dxa"/>
        <w:tblLayout w:type="fixed"/>
        <w:tblLook w:val="0000" w:firstRow="0" w:lastRow="0" w:firstColumn="0" w:lastColumn="0" w:noHBand="0" w:noVBand="0"/>
      </w:tblPr>
      <w:tblGrid>
        <w:gridCol w:w="2877"/>
        <w:gridCol w:w="5623"/>
      </w:tblGrid>
      <w:tr w:rsidR="00455E1B" w:rsidRPr="00455E1B" w14:paraId="7F486A88" w14:textId="77777777" w:rsidTr="00547DD6">
        <w:trPr>
          <w:cantSplit/>
        </w:trPr>
        <w:tc>
          <w:tcPr>
            <w:tcW w:w="2877" w:type="dxa"/>
            <w:tcBorders>
              <w:top w:val="single" w:sz="12" w:space="0" w:color="auto"/>
              <w:left w:val="single" w:sz="12" w:space="0" w:color="auto"/>
              <w:bottom w:val="single" w:sz="6" w:space="0" w:color="auto"/>
              <w:right w:val="single" w:sz="6" w:space="0" w:color="auto"/>
            </w:tcBorders>
          </w:tcPr>
          <w:p w14:paraId="7F486A86" w14:textId="77777777" w:rsidR="00455E1B" w:rsidRPr="00455E1B" w:rsidRDefault="008730C5" w:rsidP="00547DD6">
            <w:pPr>
              <w:pStyle w:val="StyleTableText105ptLinespacingsingle"/>
              <w:rPr>
                <w:b/>
              </w:rPr>
            </w:pPr>
            <w:r w:rsidRPr="008730C5">
              <w:rPr>
                <w:b/>
              </w:rPr>
              <w:t>STATE</w:t>
            </w:r>
          </w:p>
        </w:tc>
        <w:tc>
          <w:tcPr>
            <w:tcW w:w="5623" w:type="dxa"/>
            <w:tcBorders>
              <w:top w:val="single" w:sz="12" w:space="0" w:color="auto"/>
              <w:left w:val="single" w:sz="6" w:space="0" w:color="auto"/>
              <w:bottom w:val="single" w:sz="6" w:space="0" w:color="auto"/>
              <w:right w:val="single" w:sz="12" w:space="0" w:color="auto"/>
            </w:tcBorders>
          </w:tcPr>
          <w:p w14:paraId="7F486A87" w14:textId="77777777" w:rsidR="00455E1B" w:rsidRPr="00455E1B" w:rsidRDefault="008730C5" w:rsidP="00547DD6">
            <w:pPr>
              <w:pStyle w:val="StyleTableText105ptLinespacingsingle"/>
              <w:rPr>
                <w:b/>
              </w:rPr>
            </w:pPr>
            <w:r w:rsidRPr="008730C5">
              <w:rPr>
                <w:b/>
              </w:rPr>
              <w:t>CONTACT DETAILS</w:t>
            </w:r>
          </w:p>
        </w:tc>
      </w:tr>
      <w:tr w:rsidR="00547DD6" w:rsidRPr="00061D40" w14:paraId="7F486A92" w14:textId="77777777" w:rsidTr="00547DD6">
        <w:trPr>
          <w:cantSplit/>
        </w:trPr>
        <w:tc>
          <w:tcPr>
            <w:tcW w:w="2877" w:type="dxa"/>
            <w:tcBorders>
              <w:top w:val="single" w:sz="12" w:space="0" w:color="auto"/>
              <w:left w:val="single" w:sz="12" w:space="0" w:color="auto"/>
              <w:bottom w:val="single" w:sz="6" w:space="0" w:color="auto"/>
              <w:right w:val="single" w:sz="6" w:space="0" w:color="auto"/>
            </w:tcBorders>
          </w:tcPr>
          <w:p w14:paraId="7F486A89" w14:textId="77777777" w:rsidR="00547DD6" w:rsidRDefault="00547DD6" w:rsidP="00547DD6">
            <w:pPr>
              <w:pStyle w:val="StyleTableText105ptLinespacingsingle"/>
            </w:pPr>
            <w:r w:rsidRPr="00061D40">
              <w:t>NEW SOUTH WALES</w:t>
            </w:r>
          </w:p>
          <w:p w14:paraId="7F486A8A"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8B"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8C"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8D" w14:textId="77777777" w:rsidR="00DF4109" w:rsidRPr="00061D40" w:rsidRDefault="00DF4109" w:rsidP="00547DD6">
            <w:pPr>
              <w:pStyle w:val="StyleTableText105ptLinespacingsingle"/>
            </w:pPr>
            <w:r w:rsidRPr="00DF4109">
              <w:rPr>
                <w:color w:val="FFFFFF" w:themeColor="background1"/>
              </w:rPr>
              <w:t>-</w:t>
            </w:r>
          </w:p>
        </w:tc>
        <w:tc>
          <w:tcPr>
            <w:tcW w:w="5623" w:type="dxa"/>
            <w:tcBorders>
              <w:top w:val="single" w:sz="12" w:space="0" w:color="auto"/>
              <w:left w:val="single" w:sz="6" w:space="0" w:color="auto"/>
              <w:bottom w:val="single" w:sz="6" w:space="0" w:color="auto"/>
              <w:right w:val="single" w:sz="12" w:space="0" w:color="auto"/>
            </w:tcBorders>
          </w:tcPr>
          <w:p w14:paraId="7F486A8E" w14:textId="77777777" w:rsidR="006B555C" w:rsidRDefault="006B555C" w:rsidP="00010225">
            <w:pPr>
              <w:pStyle w:val="StyleTableText105ptLinespacingsingle"/>
            </w:pPr>
            <w:r>
              <w:t xml:space="preserve">Senior </w:t>
            </w:r>
            <w:r w:rsidR="00547DD6" w:rsidRPr="00061D40">
              <w:t>Administrati</w:t>
            </w:r>
            <w:r>
              <w:t>ve</w:t>
            </w:r>
            <w:r w:rsidR="00547DD6" w:rsidRPr="00061D40">
              <w:t xml:space="preserve"> Officer</w:t>
            </w:r>
          </w:p>
          <w:p w14:paraId="7F486A8F" w14:textId="77777777" w:rsidR="006B555C" w:rsidRDefault="006B555C" w:rsidP="00010225">
            <w:pPr>
              <w:pStyle w:val="StyleTableText105ptLinespacingsingle"/>
            </w:pPr>
            <w:r>
              <w:t>Registration and Accreditation Branch</w:t>
            </w:r>
            <w:r w:rsidR="00547DD6" w:rsidRPr="00061D40">
              <w:br/>
              <w:t>Board of Studies New South Wales</w:t>
            </w:r>
            <w:r w:rsidR="00547DD6" w:rsidRPr="00061D40">
              <w:br/>
              <w:t>GPO Box 5300</w:t>
            </w:r>
            <w:r w:rsidR="00547DD6" w:rsidRPr="00061D40">
              <w:br/>
              <w:t>SYDNEY  NSW  2001</w:t>
            </w:r>
            <w:r w:rsidR="00547DD6" w:rsidRPr="00061D40">
              <w:br/>
              <w:t>Ph (02) 9367 811</w:t>
            </w:r>
            <w:r>
              <w:t>3</w:t>
            </w:r>
          </w:p>
          <w:p w14:paraId="7F486A90" w14:textId="77777777" w:rsidR="001B1AFC" w:rsidRDefault="006B555C" w:rsidP="00010225">
            <w:pPr>
              <w:pStyle w:val="StyleTableText105ptLinespacingsingle"/>
            </w:pPr>
            <w:r>
              <w:t>Email: schoolrego@bos.nsw.edu.au</w:t>
            </w:r>
            <w:r w:rsidR="00547DD6" w:rsidRPr="00061D40">
              <w:br/>
              <w:t xml:space="preserve">Internet: </w:t>
            </w:r>
            <w:hyperlink r:id="rId66" w:history="1">
              <w:r w:rsidR="001B1AFC" w:rsidRPr="00964CF2">
                <w:rPr>
                  <w:rStyle w:val="Hyperlink"/>
                  <w:rFonts w:ascii="Arial Narrow" w:hAnsi="Arial Narrow"/>
                  <w:sz w:val="21"/>
                </w:rPr>
                <w:t>http://www.boardofstudies.nsw.edu.au/</w:t>
              </w:r>
            </w:hyperlink>
          </w:p>
          <w:p w14:paraId="7F486A91" w14:textId="77777777" w:rsidR="00547DD6" w:rsidRPr="00061D40" w:rsidRDefault="00547DD6" w:rsidP="00010225">
            <w:pPr>
              <w:pStyle w:val="StyleTableText105ptLinespacingsingle"/>
            </w:pPr>
          </w:p>
        </w:tc>
      </w:tr>
      <w:tr w:rsidR="00547DD6" w:rsidRPr="00061D40" w14:paraId="7F486A9C" w14:textId="77777777" w:rsidTr="00547DD6">
        <w:trPr>
          <w:cantSplit/>
          <w:trHeight w:val="1019"/>
        </w:trPr>
        <w:tc>
          <w:tcPr>
            <w:tcW w:w="2877" w:type="dxa"/>
            <w:tcBorders>
              <w:top w:val="single" w:sz="6" w:space="0" w:color="auto"/>
              <w:left w:val="single" w:sz="12" w:space="0" w:color="auto"/>
              <w:bottom w:val="single" w:sz="6" w:space="0" w:color="auto"/>
              <w:right w:val="single" w:sz="6" w:space="0" w:color="auto"/>
            </w:tcBorders>
          </w:tcPr>
          <w:p w14:paraId="7F486A93" w14:textId="77777777" w:rsidR="00547DD6" w:rsidRDefault="00547DD6" w:rsidP="00547DD6">
            <w:pPr>
              <w:pStyle w:val="StyleTableText105ptLinespacingsingle"/>
            </w:pPr>
            <w:r w:rsidRPr="00061D40">
              <w:t>VICTORIA</w:t>
            </w:r>
          </w:p>
          <w:p w14:paraId="7F486A94"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95"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96"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97"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98" w14:textId="77777777" w:rsidR="00DF4109" w:rsidRPr="00061D40" w:rsidRDefault="00DF4109" w:rsidP="00547DD6">
            <w:pPr>
              <w:pStyle w:val="StyleTableText105ptLinespacingsingle"/>
            </w:pPr>
            <w:r w:rsidRPr="00DF4109">
              <w:rPr>
                <w:color w:val="FFFFFF" w:themeColor="background1"/>
              </w:rPr>
              <w:t>-</w:t>
            </w:r>
          </w:p>
        </w:tc>
        <w:tc>
          <w:tcPr>
            <w:tcW w:w="5623" w:type="dxa"/>
            <w:tcBorders>
              <w:top w:val="single" w:sz="6" w:space="0" w:color="auto"/>
              <w:left w:val="single" w:sz="6" w:space="0" w:color="auto"/>
              <w:bottom w:val="single" w:sz="6" w:space="0" w:color="auto"/>
              <w:right w:val="single" w:sz="12" w:space="0" w:color="auto"/>
            </w:tcBorders>
          </w:tcPr>
          <w:p w14:paraId="7F486A99" w14:textId="77777777" w:rsidR="00547DD6" w:rsidRDefault="00547DD6" w:rsidP="00547DD6">
            <w:pPr>
              <w:pStyle w:val="StyleTableText105ptLinespacingsingle"/>
            </w:pPr>
            <w:r>
              <w:t>School Registration Officer</w:t>
            </w:r>
          </w:p>
          <w:p w14:paraId="7F486A9A" w14:textId="77777777" w:rsidR="001B1AFC" w:rsidRDefault="00547DD6" w:rsidP="00010225">
            <w:pPr>
              <w:pStyle w:val="StyleTableText105ptLinespacingsingle"/>
            </w:pPr>
            <w:r w:rsidRPr="00061D40">
              <w:t xml:space="preserve">Victorian Registration and Qualifications Authority (VRQA) </w:t>
            </w:r>
            <w:r w:rsidRPr="00061D40">
              <w:br/>
              <w:t xml:space="preserve">GPO Box 2317 </w:t>
            </w:r>
            <w:r w:rsidRPr="00061D40">
              <w:br/>
              <w:t>MELBOURNE</w:t>
            </w:r>
            <w:r w:rsidR="0000539C">
              <w:t xml:space="preserve"> </w:t>
            </w:r>
            <w:r w:rsidRPr="00061D40">
              <w:t xml:space="preserve"> VIC </w:t>
            </w:r>
            <w:r w:rsidR="0000539C">
              <w:t xml:space="preserve"> </w:t>
            </w:r>
            <w:r w:rsidRPr="00061D40">
              <w:t>3001</w:t>
            </w:r>
            <w:r w:rsidRPr="00061D40">
              <w:br/>
              <w:t>Ph (03) 9637 2806</w:t>
            </w:r>
            <w:r w:rsidRPr="00061D40">
              <w:br/>
              <w:t xml:space="preserve">Email: </w:t>
            </w:r>
            <w:hyperlink r:id="rId67" w:history="1">
              <w:r w:rsidRPr="00061D40">
                <w:rPr>
                  <w:rStyle w:val="Hyperlink"/>
                  <w:rFonts w:ascii="Arial Narrow" w:hAnsi="Arial Narrow" w:cs="Arial Narrow"/>
                  <w:color w:val="000000"/>
                  <w:sz w:val="21"/>
                  <w:szCs w:val="21"/>
                  <w:u w:val="none"/>
                </w:rPr>
                <w:t>vrqa@edumail.vic.gov.au</w:t>
              </w:r>
            </w:hyperlink>
            <w:r w:rsidRPr="00061D40">
              <w:br/>
              <w:t xml:space="preserve">Internet: </w:t>
            </w:r>
            <w:hyperlink r:id="rId68" w:history="1">
              <w:r w:rsidR="001B1AFC" w:rsidRPr="00964CF2">
                <w:rPr>
                  <w:rStyle w:val="Hyperlink"/>
                  <w:rFonts w:ascii="Arial Narrow" w:hAnsi="Arial Narrow"/>
                  <w:sz w:val="21"/>
                </w:rPr>
                <w:t>http://www.vrqa.vic.gov.au/</w:t>
              </w:r>
            </w:hyperlink>
          </w:p>
          <w:p w14:paraId="7F486A9B" w14:textId="77777777" w:rsidR="00547DD6" w:rsidRPr="00061D40" w:rsidRDefault="00547DD6" w:rsidP="00010225">
            <w:pPr>
              <w:pStyle w:val="StyleTableText105ptLinespacingsingle"/>
            </w:pPr>
          </w:p>
        </w:tc>
      </w:tr>
      <w:tr w:rsidR="00547DD6" w:rsidRPr="00061D40" w14:paraId="7F486AA7" w14:textId="77777777" w:rsidTr="00547DD6">
        <w:trPr>
          <w:cantSplit/>
        </w:trPr>
        <w:tc>
          <w:tcPr>
            <w:tcW w:w="2877" w:type="dxa"/>
            <w:tcBorders>
              <w:top w:val="single" w:sz="6" w:space="0" w:color="auto"/>
              <w:left w:val="single" w:sz="12" w:space="0" w:color="auto"/>
              <w:bottom w:val="single" w:sz="6" w:space="0" w:color="auto"/>
              <w:right w:val="single" w:sz="6" w:space="0" w:color="auto"/>
            </w:tcBorders>
          </w:tcPr>
          <w:p w14:paraId="7F486A9D" w14:textId="77777777" w:rsidR="00547DD6" w:rsidRDefault="00547DD6" w:rsidP="00547DD6">
            <w:pPr>
              <w:pStyle w:val="StyleTableText105ptLinespacingsingle"/>
            </w:pPr>
            <w:r w:rsidRPr="00061D40">
              <w:t>QUEENSLAND</w:t>
            </w:r>
          </w:p>
          <w:p w14:paraId="7F486A9E"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9F"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A0"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A1"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A2"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A3" w14:textId="77777777" w:rsidR="00DF4109" w:rsidRPr="00061D40" w:rsidRDefault="00DF4109" w:rsidP="00547DD6">
            <w:pPr>
              <w:pStyle w:val="StyleTableText105ptLinespacingsingle"/>
            </w:pPr>
            <w:r w:rsidRPr="00DF4109">
              <w:rPr>
                <w:color w:val="FFFFFF" w:themeColor="background1"/>
              </w:rPr>
              <w:t>-</w:t>
            </w:r>
          </w:p>
        </w:tc>
        <w:tc>
          <w:tcPr>
            <w:tcW w:w="5623" w:type="dxa"/>
            <w:tcBorders>
              <w:top w:val="single" w:sz="6" w:space="0" w:color="auto"/>
              <w:left w:val="single" w:sz="6" w:space="0" w:color="auto"/>
              <w:bottom w:val="single" w:sz="6" w:space="0" w:color="auto"/>
              <w:right w:val="single" w:sz="12" w:space="0" w:color="auto"/>
            </w:tcBorders>
          </w:tcPr>
          <w:p w14:paraId="7F486AA4" w14:textId="77777777" w:rsidR="00547DD6" w:rsidRDefault="00547DD6" w:rsidP="00547DD6">
            <w:pPr>
              <w:pStyle w:val="TableText"/>
              <w:spacing w:line="240" w:lineRule="auto"/>
              <w:rPr>
                <w:sz w:val="21"/>
                <w:szCs w:val="21"/>
              </w:rPr>
            </w:pPr>
            <w:r>
              <w:rPr>
                <w:sz w:val="21"/>
                <w:szCs w:val="21"/>
              </w:rPr>
              <w:t>Executive Officer</w:t>
            </w:r>
          </w:p>
          <w:p w14:paraId="7F486AA5" w14:textId="77777777" w:rsidR="001B1AFC" w:rsidRDefault="00547DD6" w:rsidP="00010225">
            <w:pPr>
              <w:pStyle w:val="TableText"/>
              <w:spacing w:line="240" w:lineRule="auto"/>
              <w:rPr>
                <w:sz w:val="21"/>
                <w:szCs w:val="21"/>
              </w:rPr>
            </w:pPr>
            <w:r>
              <w:rPr>
                <w:sz w:val="21"/>
                <w:szCs w:val="21"/>
              </w:rPr>
              <w:t>Non-State Schools Accreditation Board Secretariat</w:t>
            </w:r>
            <w:r w:rsidRPr="00061D40">
              <w:rPr>
                <w:sz w:val="21"/>
                <w:szCs w:val="21"/>
              </w:rPr>
              <w:br/>
              <w:t>Department of Education</w:t>
            </w:r>
            <w:r w:rsidR="006F3648">
              <w:rPr>
                <w:sz w:val="21"/>
                <w:szCs w:val="21"/>
              </w:rPr>
              <w:t>,</w:t>
            </w:r>
            <w:r w:rsidRPr="00061D40">
              <w:rPr>
                <w:sz w:val="21"/>
                <w:szCs w:val="21"/>
              </w:rPr>
              <w:t xml:space="preserve"> Training</w:t>
            </w:r>
            <w:r w:rsidR="006F3648">
              <w:rPr>
                <w:sz w:val="21"/>
                <w:szCs w:val="21"/>
              </w:rPr>
              <w:t xml:space="preserve"> and Employment</w:t>
            </w:r>
            <w:r w:rsidRPr="00061D40">
              <w:rPr>
                <w:sz w:val="21"/>
                <w:szCs w:val="21"/>
              </w:rPr>
              <w:br/>
              <w:t xml:space="preserve">PO Box </w:t>
            </w:r>
            <w:r>
              <w:rPr>
                <w:sz w:val="21"/>
                <w:szCs w:val="21"/>
              </w:rPr>
              <w:t>15347</w:t>
            </w:r>
            <w:r w:rsidRPr="00061D40">
              <w:rPr>
                <w:sz w:val="21"/>
                <w:szCs w:val="21"/>
              </w:rPr>
              <w:br/>
              <w:t xml:space="preserve">CITY EAST  QLD </w:t>
            </w:r>
            <w:r w:rsidR="0000539C">
              <w:rPr>
                <w:sz w:val="21"/>
                <w:szCs w:val="21"/>
              </w:rPr>
              <w:t xml:space="preserve"> </w:t>
            </w:r>
            <w:r w:rsidRPr="00061D40">
              <w:rPr>
                <w:sz w:val="21"/>
                <w:szCs w:val="21"/>
              </w:rPr>
              <w:t>4002</w:t>
            </w:r>
            <w:r w:rsidRPr="00061D40">
              <w:rPr>
                <w:sz w:val="21"/>
                <w:szCs w:val="21"/>
              </w:rPr>
              <w:br/>
              <w:t xml:space="preserve">Ph (07) </w:t>
            </w:r>
            <w:r>
              <w:rPr>
                <w:sz w:val="21"/>
                <w:szCs w:val="21"/>
              </w:rPr>
              <w:t>3237 9947</w:t>
            </w:r>
            <w:r w:rsidRPr="00061D40">
              <w:rPr>
                <w:sz w:val="21"/>
                <w:szCs w:val="21"/>
              </w:rPr>
              <w:br/>
              <w:t xml:space="preserve">Email: </w:t>
            </w:r>
            <w:hyperlink r:id="rId69" w:history="1">
              <w:r>
                <w:rPr>
                  <w:sz w:val="21"/>
                  <w:szCs w:val="21"/>
                </w:rPr>
                <w:t>enquiries@nssab.qld.edu.au</w:t>
              </w:r>
            </w:hyperlink>
            <w:r w:rsidRPr="00061D40">
              <w:rPr>
                <w:sz w:val="21"/>
                <w:szCs w:val="21"/>
              </w:rPr>
              <w:br/>
              <w:t xml:space="preserve">Internet: </w:t>
            </w:r>
            <w:hyperlink r:id="rId70" w:history="1">
              <w:r w:rsidR="001B1AFC" w:rsidRPr="00964CF2">
                <w:rPr>
                  <w:rStyle w:val="Hyperlink"/>
                  <w:rFonts w:ascii="Arial Narrow" w:hAnsi="Arial Narrow" w:cs="Arial Narrow"/>
                  <w:sz w:val="21"/>
                  <w:szCs w:val="21"/>
                </w:rPr>
                <w:t>http://www.nssab.qld.edu.au/</w:t>
              </w:r>
            </w:hyperlink>
          </w:p>
          <w:p w14:paraId="7F486AA6" w14:textId="77777777" w:rsidR="00547DD6" w:rsidRPr="00061D40" w:rsidRDefault="00547DD6" w:rsidP="00010225">
            <w:pPr>
              <w:pStyle w:val="TableText"/>
              <w:spacing w:line="240" w:lineRule="auto"/>
              <w:rPr>
                <w:sz w:val="21"/>
                <w:szCs w:val="21"/>
              </w:rPr>
            </w:pPr>
          </w:p>
        </w:tc>
      </w:tr>
      <w:tr w:rsidR="00547DD6" w:rsidRPr="00061D40" w14:paraId="7F486AB6" w14:textId="77777777" w:rsidTr="00547DD6">
        <w:trPr>
          <w:cantSplit/>
        </w:trPr>
        <w:tc>
          <w:tcPr>
            <w:tcW w:w="2877" w:type="dxa"/>
            <w:tcBorders>
              <w:top w:val="single" w:sz="6" w:space="0" w:color="auto"/>
              <w:left w:val="single" w:sz="12" w:space="0" w:color="auto"/>
              <w:bottom w:val="single" w:sz="6" w:space="0" w:color="auto"/>
              <w:right w:val="single" w:sz="6" w:space="0" w:color="auto"/>
            </w:tcBorders>
          </w:tcPr>
          <w:p w14:paraId="7F486AA8" w14:textId="77777777" w:rsidR="00547DD6" w:rsidRDefault="00547DD6" w:rsidP="00547DD6">
            <w:pPr>
              <w:pStyle w:val="StyleTableText105ptLinespacingsingle"/>
            </w:pPr>
            <w:r w:rsidRPr="00061D40">
              <w:t>WESTERN AUSTRALIA</w:t>
            </w:r>
          </w:p>
          <w:p w14:paraId="7F486AA9"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AA"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AB"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AC"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AD"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AE"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AF"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B0" w14:textId="77777777" w:rsidR="00DF4109" w:rsidRPr="00061D40" w:rsidRDefault="00DF4109" w:rsidP="00547DD6">
            <w:pPr>
              <w:pStyle w:val="StyleTableText105ptLinespacingsingle"/>
            </w:pPr>
            <w:r w:rsidRPr="00DF4109">
              <w:rPr>
                <w:color w:val="FFFFFF" w:themeColor="background1"/>
              </w:rPr>
              <w:t>-</w:t>
            </w:r>
          </w:p>
        </w:tc>
        <w:tc>
          <w:tcPr>
            <w:tcW w:w="5623" w:type="dxa"/>
            <w:tcBorders>
              <w:top w:val="single" w:sz="6" w:space="0" w:color="auto"/>
              <w:left w:val="single" w:sz="6" w:space="0" w:color="auto"/>
              <w:bottom w:val="single" w:sz="6" w:space="0" w:color="auto"/>
              <w:right w:val="single" w:sz="12" w:space="0" w:color="auto"/>
            </w:tcBorders>
          </w:tcPr>
          <w:p w14:paraId="7F486AB1" w14:textId="77777777" w:rsidR="00547DD6" w:rsidRDefault="00547DD6" w:rsidP="00547DD6">
            <w:pPr>
              <w:pStyle w:val="StyleTableText105ptLinespacingsingle"/>
            </w:pPr>
            <w:r>
              <w:t>Principal Registration Officer</w:t>
            </w:r>
          </w:p>
          <w:p w14:paraId="7F486AB2" w14:textId="77777777" w:rsidR="00547DD6" w:rsidRDefault="00547DD6" w:rsidP="00547DD6">
            <w:pPr>
              <w:pStyle w:val="StyleTableText105ptLinespacingsingle"/>
            </w:pPr>
            <w:r>
              <w:t>Non-Government Schools</w:t>
            </w:r>
          </w:p>
          <w:p w14:paraId="7F486AB3" w14:textId="77777777" w:rsidR="00547DD6" w:rsidRDefault="00547DD6" w:rsidP="00547DD6">
            <w:pPr>
              <w:pStyle w:val="StyleTableText105ptLinespacingsingle"/>
            </w:pPr>
            <w:r w:rsidRPr="00061D40">
              <w:t>Department of Education Services</w:t>
            </w:r>
            <w:r w:rsidRPr="00061D40">
              <w:br/>
              <w:t>PO Box 1766</w:t>
            </w:r>
            <w:r w:rsidRPr="00061D40">
              <w:br/>
              <w:t xml:space="preserve">OSBORNE PARK </w:t>
            </w:r>
            <w:r w:rsidR="0000539C">
              <w:t xml:space="preserve"> </w:t>
            </w:r>
            <w:r w:rsidRPr="00061D40">
              <w:t xml:space="preserve">WA </w:t>
            </w:r>
            <w:r w:rsidR="0000539C">
              <w:t xml:space="preserve"> </w:t>
            </w:r>
            <w:r w:rsidRPr="00061D40">
              <w:t>6916</w:t>
            </w:r>
            <w:r w:rsidRPr="00061D40">
              <w:br/>
              <w:t>Ph (08) 9441 19</w:t>
            </w:r>
            <w:r>
              <w:t>42</w:t>
            </w:r>
            <w:r w:rsidRPr="00061D40">
              <w:br/>
            </w:r>
            <w:r>
              <w:t xml:space="preserve">General Email: </w:t>
            </w:r>
            <w:hyperlink r:id="rId71" w:history="1">
              <w:r w:rsidRPr="00C11F76">
                <w:rPr>
                  <w:rStyle w:val="Hyperlink"/>
                  <w:rFonts w:ascii="Arial Narrow" w:hAnsi="Arial Narrow"/>
                  <w:sz w:val="21"/>
                </w:rPr>
                <w:t>des@des.wa.gov.au</w:t>
              </w:r>
            </w:hyperlink>
          </w:p>
          <w:p w14:paraId="7F486AB4" w14:textId="77777777" w:rsidR="001B1AFC" w:rsidRDefault="00547DD6" w:rsidP="00010225">
            <w:pPr>
              <w:pStyle w:val="StyleTableText105ptLinespacingsingle"/>
            </w:pPr>
            <w:r w:rsidRPr="00061D40">
              <w:t xml:space="preserve">Internet: </w:t>
            </w:r>
            <w:hyperlink r:id="rId72" w:history="1">
              <w:r w:rsidR="001B1AFC" w:rsidRPr="00964CF2">
                <w:rPr>
                  <w:rStyle w:val="Hyperlink"/>
                  <w:rFonts w:ascii="Arial Narrow" w:hAnsi="Arial Narrow"/>
                  <w:sz w:val="21"/>
                </w:rPr>
                <w:t>http://www.des.wa.gov.au/Non-government_schools/Registration</w:t>
              </w:r>
            </w:hyperlink>
          </w:p>
          <w:p w14:paraId="7F486AB5" w14:textId="77777777" w:rsidR="00726362" w:rsidRPr="00061D40" w:rsidRDefault="00726362" w:rsidP="00010225">
            <w:pPr>
              <w:pStyle w:val="StyleTableText105ptLinespacingsingle"/>
            </w:pPr>
          </w:p>
        </w:tc>
      </w:tr>
      <w:tr w:rsidR="00547DD6" w:rsidRPr="00061D40" w14:paraId="7F486AC5" w14:textId="77777777" w:rsidTr="00547DD6">
        <w:trPr>
          <w:cantSplit/>
        </w:trPr>
        <w:tc>
          <w:tcPr>
            <w:tcW w:w="2877" w:type="dxa"/>
            <w:tcBorders>
              <w:top w:val="single" w:sz="6" w:space="0" w:color="auto"/>
              <w:left w:val="single" w:sz="12" w:space="0" w:color="auto"/>
              <w:bottom w:val="single" w:sz="6" w:space="0" w:color="auto"/>
              <w:right w:val="single" w:sz="6" w:space="0" w:color="auto"/>
            </w:tcBorders>
          </w:tcPr>
          <w:p w14:paraId="7F486AB7" w14:textId="77777777" w:rsidR="00547DD6" w:rsidRDefault="00547DD6" w:rsidP="00547DD6">
            <w:pPr>
              <w:pStyle w:val="StyleTableText105ptLinespacingsingle"/>
            </w:pPr>
            <w:r w:rsidRPr="00061D40">
              <w:lastRenderedPageBreak/>
              <w:t>SOUTH AUSTRALIA</w:t>
            </w:r>
          </w:p>
          <w:p w14:paraId="7F486AB8"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B9"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BA"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BB"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BC" w14:textId="77777777" w:rsidR="00DF4109" w:rsidRPr="00061D40" w:rsidRDefault="00DF4109" w:rsidP="00547DD6">
            <w:pPr>
              <w:pStyle w:val="StyleTableText105ptLinespacingsingle"/>
            </w:pPr>
          </w:p>
        </w:tc>
        <w:tc>
          <w:tcPr>
            <w:tcW w:w="5623" w:type="dxa"/>
            <w:tcBorders>
              <w:top w:val="single" w:sz="6" w:space="0" w:color="auto"/>
              <w:left w:val="single" w:sz="6" w:space="0" w:color="auto"/>
              <w:bottom w:val="single" w:sz="6" w:space="0" w:color="auto"/>
              <w:right w:val="single" w:sz="12" w:space="0" w:color="auto"/>
            </w:tcBorders>
          </w:tcPr>
          <w:p w14:paraId="7F486ABD" w14:textId="77777777" w:rsidR="00FF6317" w:rsidRDefault="00F02ED7">
            <w:pPr>
              <w:pStyle w:val="StyleTableText105ptLinespacingsingle"/>
            </w:pPr>
            <w:r w:rsidRPr="00F02ED7">
              <w:t>Non-Government Schools Registrar</w:t>
            </w:r>
          </w:p>
          <w:p w14:paraId="7F486ABE" w14:textId="77777777" w:rsidR="00FF6317" w:rsidRDefault="00615995">
            <w:pPr>
              <w:pStyle w:val="StyleTableText105ptLinespacingsingle"/>
            </w:pPr>
            <w:r>
              <w:t>Office of Non-Government Schools and Services</w:t>
            </w:r>
          </w:p>
          <w:p w14:paraId="7F486ABF" w14:textId="77777777" w:rsidR="00FF6317" w:rsidRDefault="00F02ED7">
            <w:pPr>
              <w:pStyle w:val="StyleTableText105ptLinespacingsingle"/>
            </w:pPr>
            <w:r w:rsidRPr="00F02ED7">
              <w:t>GPO Box 1811</w:t>
            </w:r>
          </w:p>
          <w:p w14:paraId="7F486AC0" w14:textId="77777777" w:rsidR="00FF6317" w:rsidRDefault="00F02ED7">
            <w:pPr>
              <w:pStyle w:val="StyleTableText105ptLinespacingsingle"/>
            </w:pPr>
            <w:r w:rsidRPr="00F02ED7">
              <w:t>ADELAIDE   SA   5001</w:t>
            </w:r>
          </w:p>
          <w:p w14:paraId="7F486AC1" w14:textId="77777777" w:rsidR="00FF6317" w:rsidRDefault="00F02ED7">
            <w:pPr>
              <w:pStyle w:val="StyleTableText105ptLinespacingsingle"/>
            </w:pPr>
            <w:r w:rsidRPr="00F02ED7">
              <w:t>Ph (08) 8226 1006</w:t>
            </w:r>
          </w:p>
          <w:p w14:paraId="7F486AC2" w14:textId="77777777" w:rsidR="00FF6317" w:rsidRDefault="00F02ED7">
            <w:pPr>
              <w:pStyle w:val="StyleTableText105ptLinespacingsingle"/>
            </w:pPr>
            <w:r w:rsidRPr="00F02ED7">
              <w:t xml:space="preserve">Email: </w:t>
            </w:r>
            <w:hyperlink r:id="rId73" w:history="1">
              <w:r w:rsidRPr="00F02ED7">
                <w:t>decsregboard@sa.gov.au</w:t>
              </w:r>
            </w:hyperlink>
          </w:p>
          <w:p w14:paraId="7F486AC3" w14:textId="77777777" w:rsidR="001B1AFC" w:rsidRDefault="00F02ED7">
            <w:pPr>
              <w:pStyle w:val="StyleTableText105ptLinespacingsingle"/>
            </w:pPr>
            <w:r w:rsidRPr="00F02ED7">
              <w:t xml:space="preserve">Internet: </w:t>
            </w:r>
            <w:hyperlink r:id="rId74" w:history="1">
              <w:r w:rsidR="00326ADF" w:rsidRPr="00326ADF">
                <w:rPr>
                  <w:rStyle w:val="Hyperlink"/>
                  <w:rFonts w:ascii="Arial Narrow" w:hAnsi="Arial Narrow"/>
                  <w:sz w:val="21"/>
                </w:rPr>
                <w:t>http://www.</w:t>
              </w:r>
              <w:r w:rsidR="00326ADF" w:rsidRPr="00615995">
                <w:rPr>
                  <w:rStyle w:val="Hyperlink"/>
                  <w:rFonts w:ascii="Arial Narrow" w:hAnsi="Arial Narrow"/>
                  <w:sz w:val="21"/>
                </w:rPr>
                <w:t>ongss.sa.edu.au/</w:t>
              </w:r>
            </w:hyperlink>
          </w:p>
          <w:p w14:paraId="7F486AC4" w14:textId="77777777" w:rsidR="00A16BE5" w:rsidRDefault="00A16BE5">
            <w:pPr>
              <w:pStyle w:val="StyleTableText105ptLinespacingsingle"/>
            </w:pPr>
          </w:p>
        </w:tc>
      </w:tr>
      <w:tr w:rsidR="00547DD6" w:rsidRPr="00061D40" w14:paraId="7F486ACF" w14:textId="77777777" w:rsidTr="00547DD6">
        <w:trPr>
          <w:cantSplit/>
        </w:trPr>
        <w:tc>
          <w:tcPr>
            <w:tcW w:w="2877" w:type="dxa"/>
            <w:tcBorders>
              <w:top w:val="single" w:sz="6" w:space="0" w:color="auto"/>
              <w:left w:val="single" w:sz="12" w:space="0" w:color="auto"/>
              <w:bottom w:val="single" w:sz="6" w:space="0" w:color="auto"/>
              <w:right w:val="single" w:sz="6" w:space="0" w:color="auto"/>
            </w:tcBorders>
          </w:tcPr>
          <w:p w14:paraId="7F486AC6" w14:textId="77777777" w:rsidR="00547DD6" w:rsidRDefault="00547DD6" w:rsidP="00547DD6">
            <w:pPr>
              <w:pStyle w:val="StyleTableText105ptLinespacingsingle"/>
            </w:pPr>
            <w:r w:rsidRPr="00061D40">
              <w:t>TASMANIA</w:t>
            </w:r>
          </w:p>
          <w:p w14:paraId="7F486AC7"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C8"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C9"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CA"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CB" w14:textId="77777777" w:rsidR="00DF4109" w:rsidRPr="00061D40" w:rsidRDefault="00DF4109" w:rsidP="00547DD6">
            <w:pPr>
              <w:pStyle w:val="StyleTableText105ptLinespacingsingle"/>
            </w:pPr>
            <w:r w:rsidRPr="00DF4109">
              <w:rPr>
                <w:color w:val="FFFFFF" w:themeColor="background1"/>
              </w:rPr>
              <w:t>-</w:t>
            </w:r>
          </w:p>
        </w:tc>
        <w:tc>
          <w:tcPr>
            <w:tcW w:w="5623" w:type="dxa"/>
            <w:tcBorders>
              <w:top w:val="single" w:sz="6" w:space="0" w:color="auto"/>
              <w:left w:val="single" w:sz="6" w:space="0" w:color="auto"/>
              <w:bottom w:val="single" w:sz="6" w:space="0" w:color="auto"/>
              <w:right w:val="single" w:sz="12" w:space="0" w:color="auto"/>
            </w:tcBorders>
          </w:tcPr>
          <w:p w14:paraId="7F486ACC" w14:textId="77777777" w:rsidR="00547DD6" w:rsidRDefault="00547DD6" w:rsidP="00547DD6">
            <w:pPr>
              <w:pStyle w:val="StyleTableText105ptLinespacingsingle"/>
            </w:pPr>
            <w:r>
              <w:t>Registrar</w:t>
            </w:r>
            <w:r w:rsidRPr="00061D40">
              <w:br/>
              <w:t>Schools Registration Board</w:t>
            </w:r>
            <w:r>
              <w:t xml:space="preserve"> of Tasmania</w:t>
            </w:r>
            <w:r w:rsidRPr="00061D40">
              <w:br/>
            </w:r>
            <w:r>
              <w:t>GPO box 169</w:t>
            </w:r>
            <w:r w:rsidRPr="00061D40">
              <w:br/>
            </w:r>
            <w:r>
              <w:t xml:space="preserve">HOBART  </w:t>
            </w:r>
            <w:r w:rsidRPr="00061D40">
              <w:t xml:space="preserve">TAS </w:t>
            </w:r>
            <w:r w:rsidR="0000539C">
              <w:t xml:space="preserve"> </w:t>
            </w:r>
            <w:r w:rsidRPr="00061D40">
              <w:t>700</w:t>
            </w:r>
            <w:r>
              <w:t>1</w:t>
            </w:r>
            <w:r w:rsidRPr="00061D40">
              <w:br/>
              <w:t>Ph (03) 6233 7</w:t>
            </w:r>
            <w:r>
              <w:t>795</w:t>
            </w:r>
            <w:r w:rsidRPr="00061D40">
              <w:br/>
            </w:r>
            <w:r>
              <w:t xml:space="preserve">Email: </w:t>
            </w:r>
            <w:hyperlink r:id="rId75" w:history="1">
              <w:r w:rsidRPr="00C11F76">
                <w:rPr>
                  <w:rStyle w:val="Hyperlink"/>
                  <w:rFonts w:ascii="Arial Narrow" w:hAnsi="Arial Narrow"/>
                  <w:sz w:val="21"/>
                </w:rPr>
                <w:t>registrar@srb.tas.gov.au</w:t>
              </w:r>
            </w:hyperlink>
          </w:p>
          <w:p w14:paraId="7F486ACD" w14:textId="77777777" w:rsidR="001B1AFC" w:rsidRDefault="00547DD6" w:rsidP="00010225">
            <w:pPr>
              <w:pStyle w:val="StyleTableText105ptLinespacingsingle"/>
            </w:pPr>
            <w:r w:rsidRPr="00061D40">
              <w:t xml:space="preserve">Internet: </w:t>
            </w:r>
            <w:hyperlink r:id="rId76" w:history="1">
              <w:r w:rsidR="001B1AFC" w:rsidRPr="00964CF2">
                <w:rPr>
                  <w:rStyle w:val="Hyperlink"/>
                  <w:rFonts w:ascii="Arial Narrow" w:hAnsi="Arial Narrow"/>
                  <w:sz w:val="21"/>
                </w:rPr>
                <w:t>http://www.schools.education.tas.gov.au/srb/default.aspx</w:t>
              </w:r>
            </w:hyperlink>
          </w:p>
          <w:p w14:paraId="7F486ACE" w14:textId="77777777" w:rsidR="00547DD6" w:rsidRPr="00061D40" w:rsidRDefault="00547DD6" w:rsidP="00010225">
            <w:pPr>
              <w:pStyle w:val="StyleTableText105ptLinespacingsingle"/>
            </w:pPr>
            <w:r w:rsidRPr="00061D40">
              <w:t xml:space="preserve"> </w:t>
            </w:r>
          </w:p>
        </w:tc>
      </w:tr>
      <w:tr w:rsidR="00547DD6" w:rsidRPr="00061D40" w14:paraId="7F486ADB" w14:textId="77777777" w:rsidTr="00547DD6">
        <w:trPr>
          <w:cantSplit/>
        </w:trPr>
        <w:tc>
          <w:tcPr>
            <w:tcW w:w="2877" w:type="dxa"/>
            <w:tcBorders>
              <w:top w:val="single" w:sz="6" w:space="0" w:color="auto"/>
              <w:left w:val="single" w:sz="12" w:space="0" w:color="auto"/>
              <w:bottom w:val="single" w:sz="6" w:space="0" w:color="auto"/>
              <w:right w:val="single" w:sz="6" w:space="0" w:color="auto"/>
            </w:tcBorders>
          </w:tcPr>
          <w:p w14:paraId="7F486AD0" w14:textId="77777777" w:rsidR="00547DD6" w:rsidRDefault="00547DD6" w:rsidP="00547DD6">
            <w:pPr>
              <w:pStyle w:val="StyleTableText105ptLinespacingsingle"/>
            </w:pPr>
            <w:r w:rsidRPr="00061D40">
              <w:t>NORTHERN TERRITORY</w:t>
            </w:r>
          </w:p>
          <w:p w14:paraId="7F486AD1"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D2"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D3"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D4"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D5"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D6" w14:textId="77777777" w:rsidR="00DF4109" w:rsidRPr="00061D40" w:rsidRDefault="00DF4109" w:rsidP="00547DD6">
            <w:pPr>
              <w:pStyle w:val="StyleTableText105ptLinespacingsingle"/>
            </w:pPr>
            <w:r w:rsidRPr="00DF4109">
              <w:rPr>
                <w:color w:val="FFFFFF" w:themeColor="background1"/>
              </w:rPr>
              <w:t>-</w:t>
            </w:r>
          </w:p>
        </w:tc>
        <w:tc>
          <w:tcPr>
            <w:tcW w:w="5623" w:type="dxa"/>
            <w:tcBorders>
              <w:top w:val="single" w:sz="6" w:space="0" w:color="auto"/>
              <w:left w:val="single" w:sz="6" w:space="0" w:color="auto"/>
              <w:bottom w:val="single" w:sz="6" w:space="0" w:color="auto"/>
              <w:right w:val="single" w:sz="12" w:space="0" w:color="auto"/>
            </w:tcBorders>
          </w:tcPr>
          <w:p w14:paraId="7F486AD7" w14:textId="77777777" w:rsidR="00547DD6" w:rsidRDefault="00547DD6" w:rsidP="00547DD6">
            <w:pPr>
              <w:pStyle w:val="StyleTableText105ptLinespacingsingle"/>
            </w:pPr>
            <w:r w:rsidRPr="00061D40">
              <w:t>Director</w:t>
            </w:r>
            <w:r w:rsidRPr="00061D40">
              <w:br/>
            </w:r>
            <w:r>
              <w:t>Planning, Research and Non Government Schools</w:t>
            </w:r>
            <w:r w:rsidRPr="00061D40">
              <w:br/>
              <w:t xml:space="preserve">Northern Territory Department of Education and </w:t>
            </w:r>
            <w:r w:rsidR="00326ADF">
              <w:t>Children’s Services</w:t>
            </w:r>
            <w:r w:rsidRPr="00061D40">
              <w:br/>
              <w:t>GPO Box 4821</w:t>
            </w:r>
            <w:r w:rsidRPr="00061D40">
              <w:br/>
              <w:t>DARWIN</w:t>
            </w:r>
            <w:r w:rsidR="0000539C">
              <w:t xml:space="preserve"> </w:t>
            </w:r>
            <w:r w:rsidRPr="00061D40">
              <w:t xml:space="preserve"> NT </w:t>
            </w:r>
            <w:r w:rsidR="0000539C">
              <w:t xml:space="preserve"> </w:t>
            </w:r>
            <w:r w:rsidRPr="00061D40">
              <w:t>0801</w:t>
            </w:r>
            <w:r w:rsidRPr="00061D40">
              <w:br/>
              <w:t>Ph (08) 8901 4944</w:t>
            </w:r>
          </w:p>
          <w:p w14:paraId="7F486AD8" w14:textId="77777777" w:rsidR="00547DD6" w:rsidRDefault="00547DD6" w:rsidP="00547DD6">
            <w:pPr>
              <w:pStyle w:val="StyleTableText105ptLinespacingsingle"/>
            </w:pPr>
            <w:r>
              <w:t xml:space="preserve">Email: </w:t>
            </w:r>
            <w:hyperlink r:id="rId77" w:history="1">
              <w:r w:rsidRPr="004E71DF">
                <w:rPr>
                  <w:rStyle w:val="Hyperlink"/>
                  <w:rFonts w:ascii="Arial Narrow" w:hAnsi="Arial Narrow"/>
                  <w:sz w:val="21"/>
                </w:rPr>
                <w:t>joanne.schilling@nt.gov.au</w:t>
              </w:r>
            </w:hyperlink>
          </w:p>
          <w:p w14:paraId="7F486AD9" w14:textId="77777777" w:rsidR="00547DD6" w:rsidRDefault="00547DD6" w:rsidP="00547DD6">
            <w:pPr>
              <w:pStyle w:val="StyleTableText105ptLinespacingsingle"/>
            </w:pPr>
            <w:r w:rsidRPr="00061D40">
              <w:t xml:space="preserve">Internet: </w:t>
            </w:r>
            <w:hyperlink r:id="rId78" w:history="1">
              <w:r w:rsidRPr="009548FC">
                <w:rPr>
                  <w:rStyle w:val="Hyperlink"/>
                  <w:rFonts w:ascii="Arial Narrow" w:hAnsi="Arial Narrow"/>
                  <w:sz w:val="21"/>
                </w:rPr>
                <w:t>http://www.det.nt.gov.au/parents-community/schooling/ngs</w:t>
              </w:r>
            </w:hyperlink>
          </w:p>
          <w:p w14:paraId="7F486ADA" w14:textId="77777777" w:rsidR="001B1AFC" w:rsidRPr="00061D40" w:rsidRDefault="001B1AFC" w:rsidP="00547DD6">
            <w:pPr>
              <w:pStyle w:val="StyleTableText105ptLinespacingsingle"/>
            </w:pPr>
          </w:p>
        </w:tc>
      </w:tr>
      <w:tr w:rsidR="00547DD6" w:rsidRPr="00061D40" w14:paraId="7F486AE5" w14:textId="77777777" w:rsidTr="00547DD6">
        <w:trPr>
          <w:cantSplit/>
        </w:trPr>
        <w:tc>
          <w:tcPr>
            <w:tcW w:w="2877" w:type="dxa"/>
            <w:tcBorders>
              <w:top w:val="single" w:sz="6" w:space="0" w:color="auto"/>
              <w:left w:val="single" w:sz="12" w:space="0" w:color="auto"/>
              <w:bottom w:val="single" w:sz="12" w:space="0" w:color="auto"/>
              <w:right w:val="single" w:sz="6" w:space="0" w:color="auto"/>
            </w:tcBorders>
          </w:tcPr>
          <w:p w14:paraId="7F486ADC" w14:textId="77777777" w:rsidR="00547DD6" w:rsidRDefault="00547DD6" w:rsidP="00547DD6">
            <w:pPr>
              <w:pStyle w:val="StyleTableText105ptLinespacingsingle"/>
            </w:pPr>
            <w:r w:rsidRPr="00061D40">
              <w:t>AUSTRALIAN CAPITAL TERRITORY</w:t>
            </w:r>
          </w:p>
          <w:p w14:paraId="7F486ADD" w14:textId="77777777" w:rsidR="00DF4109" w:rsidRPr="00DF4109" w:rsidRDefault="00DF4109" w:rsidP="00547DD6">
            <w:pPr>
              <w:pStyle w:val="StyleTableText105ptLinespacingsingle"/>
              <w:rPr>
                <w:color w:val="FFFFFF" w:themeColor="background1"/>
              </w:rPr>
            </w:pPr>
          </w:p>
          <w:p w14:paraId="7F486ADE"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DF"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E0" w14:textId="77777777" w:rsidR="00DF4109" w:rsidRPr="00DF4109" w:rsidRDefault="00DF4109" w:rsidP="00547DD6">
            <w:pPr>
              <w:pStyle w:val="StyleTableText105ptLinespacingsingle"/>
              <w:rPr>
                <w:color w:val="FFFFFF" w:themeColor="background1"/>
              </w:rPr>
            </w:pPr>
            <w:r w:rsidRPr="00DF4109">
              <w:rPr>
                <w:color w:val="FFFFFF" w:themeColor="background1"/>
              </w:rPr>
              <w:t>-</w:t>
            </w:r>
          </w:p>
          <w:p w14:paraId="7F486AE1" w14:textId="77777777" w:rsidR="00DF4109" w:rsidRPr="00061D40" w:rsidRDefault="00DF4109" w:rsidP="00547DD6">
            <w:pPr>
              <w:pStyle w:val="StyleTableText105ptLinespacingsingle"/>
            </w:pPr>
            <w:r w:rsidRPr="00DF4109">
              <w:rPr>
                <w:color w:val="FFFFFF" w:themeColor="background1"/>
              </w:rPr>
              <w:t>-</w:t>
            </w:r>
          </w:p>
        </w:tc>
        <w:tc>
          <w:tcPr>
            <w:tcW w:w="5623" w:type="dxa"/>
            <w:tcBorders>
              <w:top w:val="single" w:sz="6" w:space="0" w:color="auto"/>
              <w:left w:val="single" w:sz="6" w:space="0" w:color="auto"/>
              <w:bottom w:val="single" w:sz="12" w:space="0" w:color="auto"/>
              <w:right w:val="single" w:sz="12" w:space="0" w:color="auto"/>
            </w:tcBorders>
          </w:tcPr>
          <w:p w14:paraId="7F486AE2" w14:textId="77777777" w:rsidR="00547DD6" w:rsidRDefault="00547DD6" w:rsidP="00547DD6">
            <w:pPr>
              <w:pStyle w:val="StyleTableText105ptLinespacingsingle"/>
              <w:spacing w:before="0" w:after="0"/>
            </w:pPr>
            <w:r w:rsidRPr="00061D40">
              <w:t>Manager</w:t>
            </w:r>
            <w:r w:rsidR="008D4121">
              <w:t xml:space="preserve"> Liaison Unit</w:t>
            </w:r>
            <w:r w:rsidRPr="00061D40">
              <w:br/>
              <w:t xml:space="preserve">ACT </w:t>
            </w:r>
            <w:r>
              <w:t>Education</w:t>
            </w:r>
            <w:r w:rsidR="008D4121">
              <w:t xml:space="preserve"> and Training Directorate</w:t>
            </w:r>
          </w:p>
          <w:p w14:paraId="7F486AE3" w14:textId="77777777" w:rsidR="001B1AFC" w:rsidRDefault="00547DD6" w:rsidP="00010225">
            <w:pPr>
              <w:pStyle w:val="StyleTableText105ptLinespacingsingle"/>
              <w:spacing w:before="0" w:after="0"/>
            </w:pPr>
            <w:r w:rsidRPr="00061D40">
              <w:t>GPO Box 158</w:t>
            </w:r>
            <w:r w:rsidRPr="00061D40">
              <w:br/>
              <w:t xml:space="preserve">CANBERRA </w:t>
            </w:r>
            <w:r w:rsidR="0000539C">
              <w:t xml:space="preserve"> </w:t>
            </w:r>
            <w:r w:rsidRPr="00061D40">
              <w:t xml:space="preserve">ACT </w:t>
            </w:r>
            <w:r w:rsidR="0000539C">
              <w:t xml:space="preserve"> </w:t>
            </w:r>
            <w:r w:rsidRPr="00061D40">
              <w:t>2601</w:t>
            </w:r>
            <w:r w:rsidRPr="00061D40">
              <w:br/>
              <w:t>Ph (02) 6205 9301</w:t>
            </w:r>
            <w:r w:rsidRPr="00061D40">
              <w:br/>
              <w:t xml:space="preserve">Email: </w:t>
            </w:r>
            <w:hyperlink r:id="rId79" w:history="1">
              <w:r w:rsidRPr="00061D40">
                <w:rPr>
                  <w:rStyle w:val="Hyperlink"/>
                  <w:rFonts w:ascii="Arial Narrow" w:hAnsi="Arial Narrow" w:cs="Arial Narrow"/>
                  <w:color w:val="000000"/>
                  <w:sz w:val="21"/>
                  <w:szCs w:val="21"/>
                  <w:u w:val="none"/>
                </w:rPr>
                <w:t>det.ngso@act.gov.au</w:t>
              </w:r>
            </w:hyperlink>
            <w:r w:rsidRPr="00061D40">
              <w:t xml:space="preserve"> </w:t>
            </w:r>
            <w:r w:rsidRPr="00061D40">
              <w:br/>
              <w:t xml:space="preserve">Internet: </w:t>
            </w:r>
            <w:hyperlink r:id="rId80" w:history="1">
              <w:r w:rsidR="001B1AFC" w:rsidRPr="00964CF2">
                <w:rPr>
                  <w:rStyle w:val="Hyperlink"/>
                  <w:rFonts w:ascii="Arial Narrow" w:hAnsi="Arial Narrow"/>
                  <w:sz w:val="21"/>
                </w:rPr>
                <w:t>http://www.det.act.gov.au/school_education/non-government_education</w:t>
              </w:r>
            </w:hyperlink>
          </w:p>
          <w:p w14:paraId="7F486AE4" w14:textId="77777777" w:rsidR="00547DD6" w:rsidRPr="00061D40" w:rsidRDefault="00547DD6" w:rsidP="00010225">
            <w:pPr>
              <w:pStyle w:val="StyleTableText105ptLinespacingsingle"/>
              <w:spacing w:before="0" w:after="0"/>
            </w:pPr>
          </w:p>
        </w:tc>
      </w:tr>
    </w:tbl>
    <w:p w14:paraId="7F486AE6" w14:textId="77777777" w:rsidR="00AC30F9" w:rsidRDefault="00AC30F9" w:rsidP="00B77818">
      <w:pPr>
        <w:pStyle w:val="Heading1"/>
      </w:pPr>
      <w:bookmarkStart w:id="224" w:name="_Toc503145931"/>
      <w:bookmarkStart w:id="225" w:name="_Toc503147473"/>
      <w:bookmarkStart w:id="226" w:name="_Toc503151392"/>
    </w:p>
    <w:p w14:paraId="7F486AE7" w14:textId="77777777" w:rsidR="00547DD6" w:rsidRPr="00061D40" w:rsidRDefault="00547DD6" w:rsidP="00B77818">
      <w:pPr>
        <w:pStyle w:val="Heading1"/>
        <w:sectPr w:rsidR="00547DD6" w:rsidRPr="00061D40" w:rsidSect="00963340">
          <w:pgSz w:w="11906" w:h="16838" w:code="9"/>
          <w:pgMar w:top="1418" w:right="1418" w:bottom="1134" w:left="1418" w:header="567" w:footer="567" w:gutter="0"/>
          <w:cols w:space="720"/>
          <w:docGrid w:linePitch="272"/>
        </w:sectPr>
      </w:pPr>
    </w:p>
    <w:p w14:paraId="7F486AE8" w14:textId="77777777" w:rsidR="0056502E" w:rsidRPr="00061D40" w:rsidRDefault="00452C0F" w:rsidP="00BD1D1C">
      <w:pPr>
        <w:pStyle w:val="Heading2"/>
        <w:spacing w:before="0"/>
      </w:pPr>
      <w:bookmarkStart w:id="227" w:name="_Appendix_G:_Non-government"/>
      <w:bookmarkStart w:id="228" w:name="_Toc55968484"/>
      <w:bookmarkStart w:id="229" w:name="_Toc182292881"/>
      <w:bookmarkStart w:id="230" w:name="_Toc346205338"/>
      <w:bookmarkEnd w:id="227"/>
      <w:r w:rsidRPr="00061D40">
        <w:lastRenderedPageBreak/>
        <w:t xml:space="preserve">Appendix </w:t>
      </w:r>
      <w:r w:rsidR="00F47232" w:rsidRPr="00061D40">
        <w:t>G</w:t>
      </w:r>
      <w:bookmarkEnd w:id="224"/>
      <w:bookmarkEnd w:id="225"/>
      <w:bookmarkEnd w:id="226"/>
      <w:bookmarkEnd w:id="228"/>
      <w:bookmarkEnd w:id="229"/>
      <w:r w:rsidR="00845AF6" w:rsidRPr="00061D40">
        <w:t xml:space="preserve">: </w:t>
      </w:r>
      <w:bookmarkStart w:id="231" w:name="_Toc246493742"/>
      <w:r w:rsidR="0056502E" w:rsidRPr="00061D40">
        <w:t>Non-</w:t>
      </w:r>
      <w:r w:rsidR="00845AF6" w:rsidRPr="00061D40">
        <w:t xml:space="preserve">government </w:t>
      </w:r>
      <w:r w:rsidR="0056502E" w:rsidRPr="00061D40">
        <w:t>Schools Data Collections</w:t>
      </w:r>
      <w:bookmarkEnd w:id="231"/>
      <w:bookmarkEnd w:id="230"/>
    </w:p>
    <w:p w14:paraId="7F486AE9" w14:textId="77777777" w:rsidR="0056502E" w:rsidRPr="00061D40" w:rsidRDefault="0056502E" w:rsidP="00C30212">
      <w:pPr>
        <w:pStyle w:val="StyleAppendicesBodyTextAfter6pt"/>
        <w:spacing w:after="0" w:line="240" w:lineRule="auto"/>
      </w:pPr>
      <w:r w:rsidRPr="00061D40">
        <w:t xml:space="preserve">To support </w:t>
      </w:r>
      <w:r w:rsidR="000228B3" w:rsidRPr="00061D40">
        <w:t>the financial assistance provided under the Act</w:t>
      </w:r>
      <w:r w:rsidRPr="00061D40">
        <w:t xml:space="preserve">, non-government schools are required to provide the following to the Department: the Financial Questionnaire </w:t>
      </w:r>
      <w:r w:rsidR="00277528" w:rsidRPr="00061D40">
        <w:t>(including the auditor’s report)</w:t>
      </w:r>
      <w:r w:rsidRPr="00061D40">
        <w:t xml:space="preserve">, the Census of Non-Government Schools </w:t>
      </w:r>
      <w:r w:rsidR="00277528" w:rsidRPr="00061D40">
        <w:t xml:space="preserve">and </w:t>
      </w:r>
      <w:r w:rsidRPr="00061D40">
        <w:t>a Financial Accountability certificate.</w:t>
      </w:r>
      <w:r w:rsidR="008E5ABB" w:rsidRPr="00061D40">
        <w:t xml:space="preserve"> </w:t>
      </w:r>
    </w:p>
    <w:p w14:paraId="7F486AEA" w14:textId="77777777" w:rsidR="00E843D7" w:rsidRDefault="0056502E" w:rsidP="00C30212">
      <w:pPr>
        <w:pStyle w:val="StyleAppendicesBodyTextAfter6pt"/>
        <w:spacing w:after="0" w:line="240" w:lineRule="auto"/>
        <w:rPr>
          <w:color w:val="000000"/>
        </w:rPr>
      </w:pPr>
      <w:r w:rsidRPr="00061D40">
        <w:t xml:space="preserve">The Financial Questionnaire must be drawn from audited accounts </w:t>
      </w:r>
      <w:r w:rsidRPr="00061D40">
        <w:rPr>
          <w:b/>
        </w:rPr>
        <w:t>based on the program year</w:t>
      </w:r>
      <w:r w:rsidRPr="00061D40">
        <w:t xml:space="preserve">, and a copy of the auditor’s </w:t>
      </w:r>
      <w:r w:rsidR="00277528" w:rsidRPr="00061D40">
        <w:t xml:space="preserve">report </w:t>
      </w:r>
      <w:r w:rsidRPr="00061D40">
        <w:t xml:space="preserve">must be </w:t>
      </w:r>
      <w:r w:rsidR="00277528" w:rsidRPr="00061D40">
        <w:t xml:space="preserve">submitted </w:t>
      </w:r>
      <w:r w:rsidRPr="00061D40">
        <w:t>to the Department.</w:t>
      </w:r>
      <w:r w:rsidR="008E5ABB" w:rsidRPr="00061D40">
        <w:t xml:space="preserve"> </w:t>
      </w:r>
      <w:r w:rsidRPr="00061D40">
        <w:rPr>
          <w:color w:val="000000"/>
        </w:rPr>
        <w:t>The Financial Questionnaire will collect data in respect of the previous program year.</w:t>
      </w:r>
      <w:r w:rsidR="008E5ABB" w:rsidRPr="00061D40">
        <w:rPr>
          <w:color w:val="000000"/>
        </w:rPr>
        <w:t xml:space="preserve"> </w:t>
      </w:r>
      <w:r w:rsidRPr="00061D40">
        <w:rPr>
          <w:color w:val="000000"/>
        </w:rPr>
        <w:t xml:space="preserve">Schools </w:t>
      </w:r>
      <w:r w:rsidR="006F3EC6" w:rsidRPr="00061D40">
        <w:rPr>
          <w:color w:val="000000"/>
        </w:rPr>
        <w:t xml:space="preserve">and school system authorities </w:t>
      </w:r>
      <w:r w:rsidRPr="00061D40">
        <w:rPr>
          <w:color w:val="000000"/>
        </w:rPr>
        <w:t>are required to submit their Financial Questionnaire data via the Department’s Schools Service Point internet application</w:t>
      </w:r>
      <w:r w:rsidR="00562478" w:rsidRPr="00061D40">
        <w:rPr>
          <w:color w:val="000000"/>
        </w:rPr>
        <w:t xml:space="preserve">. </w:t>
      </w:r>
      <w:r w:rsidRPr="00061D40">
        <w:rPr>
          <w:color w:val="000000"/>
        </w:rPr>
        <w:t xml:space="preserve">The </w:t>
      </w:r>
      <w:r w:rsidR="00352A06" w:rsidRPr="00061D40">
        <w:rPr>
          <w:color w:val="000000"/>
        </w:rPr>
        <w:t xml:space="preserve">data </w:t>
      </w:r>
      <w:r w:rsidR="00277528" w:rsidRPr="00061D40">
        <w:rPr>
          <w:color w:val="000000"/>
        </w:rPr>
        <w:t xml:space="preserve">and the auditor’s report </w:t>
      </w:r>
      <w:r w:rsidR="00352A06" w:rsidRPr="00061D40">
        <w:rPr>
          <w:color w:val="000000"/>
        </w:rPr>
        <w:t>must be submitted and declared</w:t>
      </w:r>
      <w:r w:rsidRPr="00061D40">
        <w:rPr>
          <w:color w:val="000000"/>
        </w:rPr>
        <w:t xml:space="preserve"> </w:t>
      </w:r>
      <w:r w:rsidRPr="00061D40">
        <w:rPr>
          <w:b/>
          <w:color w:val="000000"/>
        </w:rPr>
        <w:t>no later than 30 June</w:t>
      </w:r>
      <w:r w:rsidR="00E843D7">
        <w:rPr>
          <w:b/>
          <w:color w:val="000000"/>
        </w:rPr>
        <w:t xml:space="preserve"> </w:t>
      </w:r>
      <w:r w:rsidR="00E843D7">
        <w:rPr>
          <w:color w:val="000000"/>
        </w:rPr>
        <w:t>(or such other date as the Minister approves)</w:t>
      </w:r>
      <w:r w:rsidRPr="00061D40">
        <w:rPr>
          <w:color w:val="000000"/>
        </w:rPr>
        <w:t>.</w:t>
      </w:r>
    </w:p>
    <w:p w14:paraId="7F486AEB" w14:textId="77777777" w:rsidR="00E843D7" w:rsidRDefault="00E843D7" w:rsidP="00E843D7">
      <w:pPr>
        <w:pStyle w:val="StyleAppendicesBodyTextAfter6pt"/>
        <w:spacing w:after="0" w:line="240" w:lineRule="auto"/>
        <w:rPr>
          <w:shd w:val="clear" w:color="auto" w:fill="FFFFFD"/>
        </w:rPr>
      </w:pPr>
      <w:r w:rsidRPr="00061D40">
        <w:rPr>
          <w:shd w:val="clear" w:color="auto" w:fill="FFFFFD"/>
        </w:rPr>
        <w:t xml:space="preserve">The auditor’s report </w:t>
      </w:r>
      <w:r>
        <w:rPr>
          <w:shd w:val="clear" w:color="auto" w:fill="FFFFFD"/>
        </w:rPr>
        <w:t>referred to above must be sourced from the audited financial statements prepared</w:t>
      </w:r>
      <w:r w:rsidR="0092733B">
        <w:rPr>
          <w:shd w:val="clear" w:color="auto" w:fill="FFFFFD"/>
        </w:rPr>
        <w:t xml:space="preserve">, for the program year, </w:t>
      </w:r>
      <w:r>
        <w:rPr>
          <w:shd w:val="clear" w:color="auto" w:fill="FFFFFD"/>
        </w:rPr>
        <w:t xml:space="preserve">in accordance with the legislation under which the school and/or system operates, i.e. the federal </w:t>
      </w:r>
      <w:r w:rsidRPr="006806DB">
        <w:rPr>
          <w:i/>
          <w:shd w:val="clear" w:color="auto" w:fill="FFFFFD"/>
        </w:rPr>
        <w:t>Corporations Act 2001</w:t>
      </w:r>
      <w:r>
        <w:rPr>
          <w:shd w:val="clear" w:color="auto" w:fill="FFFFFD"/>
        </w:rPr>
        <w:t xml:space="preserve"> for companies limited by guarantee or the state Associations Incorporations Act for associations.</w:t>
      </w:r>
    </w:p>
    <w:p w14:paraId="7F486AEC" w14:textId="77777777" w:rsidR="000228B3" w:rsidRPr="00061D40" w:rsidRDefault="00E843D7" w:rsidP="000228B3">
      <w:pPr>
        <w:pStyle w:val="StyleAppendicesBodyTextAfter6pt"/>
        <w:spacing w:after="0" w:line="240" w:lineRule="auto"/>
      </w:pPr>
      <w:r>
        <w:t xml:space="preserve">NOTE: the audit report is </w:t>
      </w:r>
      <w:r w:rsidRPr="00D22234">
        <w:rPr>
          <w:u w:val="single"/>
        </w:rPr>
        <w:t>not</w:t>
      </w:r>
      <w:r>
        <w:t xml:space="preserve"> the same as the certificate by a qualified accountant referred to in </w:t>
      </w:r>
      <w:hyperlink w:anchor="_Appendix_J:_Accountability" w:history="1">
        <w:r w:rsidRPr="0073405E">
          <w:rPr>
            <w:rStyle w:val="Hyperlink"/>
          </w:rPr>
          <w:t>Appendix J</w:t>
        </w:r>
      </w:hyperlink>
      <w:r>
        <w:t>.</w:t>
      </w:r>
      <w:r w:rsidR="0000539C">
        <w:t xml:space="preserve"> </w:t>
      </w:r>
      <w:r w:rsidR="000228B3" w:rsidRPr="00061D40">
        <w:t xml:space="preserve">The Financial Questionnaire is an element of the Department’s financial accountability regime and is used by the Department for policy development and analysis. It also provides statistical information for national education publications, reports and national bodies, </w:t>
      </w:r>
      <w:r w:rsidR="0000539C" w:rsidRPr="00061D40">
        <w:t>e.g.</w:t>
      </w:r>
      <w:r w:rsidR="000228B3" w:rsidRPr="00061D40">
        <w:t xml:space="preserve"> the ABS</w:t>
      </w:r>
      <w:r w:rsidR="007B5377">
        <w:t>, ACARA</w:t>
      </w:r>
      <w:r w:rsidR="000228B3" w:rsidRPr="00061D40">
        <w:t xml:space="preserve"> and OECD.</w:t>
      </w:r>
    </w:p>
    <w:p w14:paraId="7F486AED" w14:textId="77777777" w:rsidR="000228B3" w:rsidRPr="00061D40" w:rsidRDefault="0056502E" w:rsidP="000228B3">
      <w:pPr>
        <w:pStyle w:val="StyleAppendicesBodyTextAfter6pt"/>
        <w:spacing w:after="0" w:line="240" w:lineRule="auto"/>
      </w:pPr>
      <w:r w:rsidRPr="00061D40">
        <w:t>The annual Census date is the first Friday in August for all States and Territories.</w:t>
      </w:r>
      <w:r w:rsidR="008E5ABB" w:rsidRPr="00061D40">
        <w:t xml:space="preserve"> </w:t>
      </w:r>
      <w:r w:rsidRPr="00061D40">
        <w:t>The return date for the Statutory Declaration covering the Census data will be one week after the Census date.</w:t>
      </w:r>
      <w:r w:rsidR="008E5ABB" w:rsidRPr="00061D40">
        <w:t xml:space="preserve"> </w:t>
      </w:r>
      <w:r w:rsidR="000228B3" w:rsidRPr="00061D40">
        <w:t>The census data are used to calculate the annual entitlement in respect of schools receiving RG funding, Indigenous students funded under the ISA and IFG programs, and students with disabilities receiving funding under the Literacy, Numeracy and Special Learning Needs program. It forms part of the National Schools Statistics Collection, the official statistical description of schooling in Australia.</w:t>
      </w:r>
    </w:p>
    <w:p w14:paraId="7F486AEE" w14:textId="77777777" w:rsidR="0056502E" w:rsidRPr="00061D40" w:rsidRDefault="0056502E" w:rsidP="00C30212">
      <w:pPr>
        <w:pStyle w:val="StyleAppendicesBodyTextAfter6pt"/>
        <w:spacing w:after="0" w:line="240" w:lineRule="auto"/>
      </w:pPr>
      <w:r w:rsidRPr="00061D40">
        <w:t xml:space="preserve">Schools </w:t>
      </w:r>
      <w:r w:rsidR="001A43CD" w:rsidRPr="00061D40">
        <w:t xml:space="preserve">and systems </w:t>
      </w:r>
      <w:r w:rsidRPr="00061D40">
        <w:t xml:space="preserve">are required to submit both the Census and Financial Questionnaire data via the Department’s </w:t>
      </w:r>
      <w:r w:rsidRPr="00061D40">
        <w:rPr>
          <w:color w:val="000000"/>
        </w:rPr>
        <w:t>Schools Service Point internet page</w:t>
      </w:r>
      <w:r w:rsidRPr="00061D40">
        <w:t xml:space="preserve"> using the ‘Census on the Internet’ or ‘FQ on Internet’ applications.</w:t>
      </w:r>
      <w:r w:rsidR="008E5ABB" w:rsidRPr="00061D40">
        <w:t xml:space="preserve"> </w:t>
      </w:r>
      <w:r w:rsidRPr="00061D40">
        <w:t xml:space="preserve">The address for these applications is </w:t>
      </w:r>
      <w:r w:rsidR="00615995" w:rsidRPr="00615995">
        <w:t>https://ssp.deewr.gov.au/Controller.aspx</w:t>
      </w:r>
      <w:r w:rsidRPr="00061D40">
        <w:t>.</w:t>
      </w:r>
    </w:p>
    <w:p w14:paraId="7F486AEF" w14:textId="77777777" w:rsidR="0056502E" w:rsidRPr="00061D40" w:rsidRDefault="0056502E" w:rsidP="00C30212">
      <w:pPr>
        <w:pStyle w:val="StyleAppendicesBodyTextAfter6pt"/>
        <w:spacing w:after="0" w:line="240" w:lineRule="auto"/>
      </w:pPr>
      <w:r w:rsidRPr="00061D40">
        <w:t xml:space="preserve">The Minister may delay </w:t>
      </w:r>
      <w:r w:rsidR="00277528" w:rsidRPr="00061D40">
        <w:t>and/</w:t>
      </w:r>
      <w:r w:rsidRPr="00061D40">
        <w:t>or reduce payment of grants</w:t>
      </w:r>
      <w:r w:rsidR="00277528" w:rsidRPr="00061D40">
        <w:t xml:space="preserve"> and/or require repayment to the Commonwealth of grants</w:t>
      </w:r>
      <w:r w:rsidRPr="00061D40">
        <w:t xml:space="preserve"> if the </w:t>
      </w:r>
      <w:r w:rsidR="000228B3" w:rsidRPr="00061D40">
        <w:t xml:space="preserve">Financial Accountability Certificate, the </w:t>
      </w:r>
      <w:r w:rsidRPr="00061D40">
        <w:t xml:space="preserve">Financial Questionnaire </w:t>
      </w:r>
      <w:r w:rsidR="00277528" w:rsidRPr="00061D40">
        <w:t xml:space="preserve">(including </w:t>
      </w:r>
      <w:r w:rsidRPr="00061D40">
        <w:t xml:space="preserve">the auditor's </w:t>
      </w:r>
      <w:r w:rsidR="00277528" w:rsidRPr="00061D40">
        <w:t xml:space="preserve">report) </w:t>
      </w:r>
      <w:r w:rsidR="001A43CD" w:rsidRPr="00061D40">
        <w:t xml:space="preserve">is </w:t>
      </w:r>
      <w:r w:rsidRPr="00061D40">
        <w:t>not submitted on time or if there are undue delays in providing the Department with additional information needed to finalise the data.</w:t>
      </w:r>
      <w:r w:rsidR="008E5ABB" w:rsidRPr="00061D40">
        <w:t xml:space="preserve"> </w:t>
      </w:r>
      <w:r w:rsidRPr="00061D40">
        <w:t xml:space="preserve">Payment </w:t>
      </w:r>
      <w:r w:rsidR="000228B3" w:rsidRPr="00061D40">
        <w:t xml:space="preserve">will </w:t>
      </w:r>
      <w:r w:rsidRPr="00061D40">
        <w:t>be delayed</w:t>
      </w:r>
      <w:r w:rsidR="00277528" w:rsidRPr="00061D40">
        <w:t>, reduced or recovered</w:t>
      </w:r>
      <w:r w:rsidRPr="00061D40">
        <w:t xml:space="preserve"> if the Census information </w:t>
      </w:r>
      <w:r w:rsidR="001A43CD" w:rsidRPr="00061D40">
        <w:t xml:space="preserve">is </w:t>
      </w:r>
      <w:r w:rsidRPr="00061D40">
        <w:t>submitted late or there are undue delays in finalising the Census data.</w:t>
      </w:r>
    </w:p>
    <w:p w14:paraId="7F486AF0" w14:textId="77777777" w:rsidR="0056502E" w:rsidRPr="00061D40" w:rsidRDefault="0056502E" w:rsidP="00C30212">
      <w:pPr>
        <w:pStyle w:val="StyleAppendicesBodyTextAfter6pt"/>
        <w:spacing w:after="0" w:line="240" w:lineRule="auto"/>
      </w:pPr>
      <w:r w:rsidRPr="00061D40">
        <w:t>Schools/Systems must satisfy themselves that the data are accurate, before submitting the Census Statutory Declaration and the Financial Questionnaire Declaration.</w:t>
      </w:r>
      <w:r w:rsidR="008E5ABB" w:rsidRPr="00061D40">
        <w:t xml:space="preserve"> </w:t>
      </w:r>
      <w:r w:rsidRPr="00061D40">
        <w:t xml:space="preserve">In particular, they must ensure that schools’ financial accounts </w:t>
      </w:r>
      <w:r w:rsidRPr="00061D40">
        <w:rPr>
          <w:u w:val="single"/>
        </w:rPr>
        <w:t>are audited early enough to ensure that the Financial Questionnaire</w:t>
      </w:r>
      <w:r w:rsidR="00277528" w:rsidRPr="00061D40">
        <w:rPr>
          <w:u w:val="single"/>
        </w:rPr>
        <w:t xml:space="preserve"> data</w:t>
      </w:r>
      <w:r w:rsidRPr="00061D40">
        <w:rPr>
          <w:u w:val="single"/>
        </w:rPr>
        <w:t xml:space="preserve"> </w:t>
      </w:r>
      <w:r w:rsidR="002E482A" w:rsidRPr="00061D40">
        <w:rPr>
          <w:u w:val="single"/>
        </w:rPr>
        <w:t xml:space="preserve">are </w:t>
      </w:r>
      <w:r w:rsidR="00352A06" w:rsidRPr="00061D40">
        <w:rPr>
          <w:u w:val="single"/>
        </w:rPr>
        <w:t>drawn from</w:t>
      </w:r>
      <w:r w:rsidRPr="00061D40">
        <w:rPr>
          <w:u w:val="single"/>
        </w:rPr>
        <w:t xml:space="preserve"> these audited accounts</w:t>
      </w:r>
      <w:r w:rsidRPr="00061D40">
        <w:t>.</w:t>
      </w:r>
      <w:r w:rsidR="008E5ABB" w:rsidRPr="00061D40">
        <w:t xml:space="preserve"> </w:t>
      </w:r>
      <w:r w:rsidRPr="00061D40">
        <w:t xml:space="preserve">Once data have been certified as accurate and final by School or System Authorities (and payments have been processed in relation to </w:t>
      </w:r>
      <w:r w:rsidR="0075662F" w:rsidRPr="00061D40">
        <w:t>Census</w:t>
      </w:r>
      <w:r w:rsidRPr="00061D40">
        <w:t xml:space="preserve"> data) amendments will be made only in exceptional circumstances, and then only after the provision of independent evidence (e</w:t>
      </w:r>
      <w:r w:rsidR="00AA2A91" w:rsidRPr="00061D40">
        <w:t>.</w:t>
      </w:r>
      <w:r w:rsidRPr="00061D40">
        <w:t>g</w:t>
      </w:r>
      <w:r w:rsidR="00AA2A91" w:rsidRPr="00061D40">
        <w:t>.</w:t>
      </w:r>
      <w:r w:rsidRPr="00061D40">
        <w:t xml:space="preserve"> </w:t>
      </w:r>
      <w:r w:rsidR="00352A06" w:rsidRPr="00061D40">
        <w:t>additional information from the auditor</w:t>
      </w:r>
      <w:r w:rsidRPr="00061D40">
        <w:t>).</w:t>
      </w:r>
      <w:r w:rsidR="008E5ABB" w:rsidRPr="00061D40">
        <w:t xml:space="preserve"> </w:t>
      </w:r>
      <w:r w:rsidR="000228B3" w:rsidRPr="00061D40">
        <w:t xml:space="preserve">Census amendments should be advised prior to </w:t>
      </w:r>
      <w:r w:rsidR="006F3648" w:rsidRPr="00061D40">
        <w:t>mid-December</w:t>
      </w:r>
      <w:r w:rsidR="000228B3" w:rsidRPr="00061D40">
        <w:t xml:space="preserve"> of that year for the change to be considered. </w:t>
      </w:r>
      <w:r w:rsidR="008C10CE" w:rsidRPr="00061D40">
        <w:t>E</w:t>
      </w:r>
      <w:r w:rsidRPr="00061D40">
        <w:t>rrors detected during Census post-enumeration or Financial Questionnaire verification</w:t>
      </w:r>
      <w:r w:rsidR="008C10CE" w:rsidRPr="00061D40">
        <w:t>,</w:t>
      </w:r>
      <w:r w:rsidRPr="00061D40">
        <w:t xml:space="preserve"> </w:t>
      </w:r>
      <w:r w:rsidR="008C10CE" w:rsidRPr="00061D40">
        <w:t xml:space="preserve">however, </w:t>
      </w:r>
      <w:r w:rsidRPr="00061D40">
        <w:t xml:space="preserve">will be corrected (these affect only a small number of schools each year, and form part of the </w:t>
      </w:r>
      <w:r w:rsidR="000228B3" w:rsidRPr="00061D40">
        <w:t xml:space="preserve">RG </w:t>
      </w:r>
      <w:r w:rsidRPr="00061D40">
        <w:t xml:space="preserve">financial management strategy). </w:t>
      </w:r>
    </w:p>
    <w:p w14:paraId="7F486AF1" w14:textId="77777777" w:rsidR="00277528" w:rsidRPr="00061D40" w:rsidRDefault="00277528" w:rsidP="00277528">
      <w:pPr>
        <w:pStyle w:val="StyleAppendicesBodyTextAfter6pt"/>
        <w:spacing w:after="0" w:line="240" w:lineRule="auto"/>
      </w:pPr>
      <w:r w:rsidRPr="00061D40">
        <w:t>Schools/Systems may be notified in writing by the Department, they have been selected to participate in the Financial Questionnaire Verification Exercise (FQVE). The FQVE is a routine process by which the Department will check that Financial Questionnaire data submitted by non-government schools and school systems has been correctly drawn from their audited statements. The approved authority may be required to provide, by the date specified in the written notification, financial reports including but not limited to:</w:t>
      </w:r>
    </w:p>
    <w:p w14:paraId="7F486AF2" w14:textId="77777777" w:rsidR="00277528" w:rsidRPr="00061D40" w:rsidRDefault="00277528" w:rsidP="006067EC">
      <w:pPr>
        <w:pStyle w:val="StyleStyledotpointAfter75ptLinespacingsingle"/>
      </w:pPr>
      <w:r w:rsidRPr="00061D40">
        <w:t xml:space="preserve">a complete copy of the school and/or system's </w:t>
      </w:r>
      <w:r w:rsidRPr="00061D40">
        <w:rPr>
          <w:b/>
          <w:bCs/>
        </w:rPr>
        <w:t>audited financial statements for the relevant program year</w:t>
      </w:r>
      <w:r w:rsidRPr="00061D40">
        <w:t xml:space="preserve"> including all notes to the accounts and the audit report</w:t>
      </w:r>
    </w:p>
    <w:p w14:paraId="7F486AF3" w14:textId="77777777" w:rsidR="00277528" w:rsidRPr="00061D40" w:rsidRDefault="00277528" w:rsidP="006067EC">
      <w:pPr>
        <w:pStyle w:val="StyleStyledotpointAfter75ptLinespacingsingle"/>
      </w:pPr>
      <w:r w:rsidRPr="00061D40">
        <w:t xml:space="preserve">a </w:t>
      </w:r>
      <w:r w:rsidRPr="00061D40">
        <w:rPr>
          <w:b/>
        </w:rPr>
        <w:t>reconciliation statement</w:t>
      </w:r>
      <w:r w:rsidRPr="00061D40">
        <w:t xml:space="preserve"> showing how the individual items of income, expenditure and loans from the financial statements are allocated across the various Financial Q</w:t>
      </w:r>
      <w:r w:rsidR="00A23B40" w:rsidRPr="00061D40">
        <w:t>uestionnaire items</w:t>
      </w:r>
    </w:p>
    <w:p w14:paraId="7F486AF4" w14:textId="77777777" w:rsidR="00277528" w:rsidRPr="00061D40" w:rsidRDefault="00277528" w:rsidP="006067EC">
      <w:pPr>
        <w:pStyle w:val="StyleStyledotpointAfter75ptLinespacingsingle"/>
      </w:pPr>
      <w:r w:rsidRPr="00061D40">
        <w:rPr>
          <w:b/>
        </w:rPr>
        <w:t xml:space="preserve"> a trial balance</w:t>
      </w:r>
      <w:r w:rsidRPr="00061D40">
        <w:t>, where one is available</w:t>
      </w:r>
    </w:p>
    <w:p w14:paraId="7F486AF5" w14:textId="77777777" w:rsidR="00277528" w:rsidRPr="00061D40" w:rsidRDefault="00277528" w:rsidP="006067EC">
      <w:pPr>
        <w:pStyle w:val="StyleStyledotpointAfter75ptLinespacingsingle"/>
      </w:pPr>
      <w:r w:rsidRPr="00061D40">
        <w:rPr>
          <w:b/>
        </w:rPr>
        <w:t>details of any net figures</w:t>
      </w:r>
      <w:r w:rsidRPr="00061D40">
        <w:t xml:space="preserve"> either in the school and/or system's audited financial statements or the Financial Questionnaire.</w:t>
      </w:r>
    </w:p>
    <w:p w14:paraId="7F486AF6" w14:textId="77777777" w:rsidR="0056502E" w:rsidRPr="00061D40" w:rsidRDefault="0056502E" w:rsidP="00C30212">
      <w:pPr>
        <w:pStyle w:val="StyleAppendicesBodyTextAfter6pt"/>
        <w:spacing w:after="0" w:line="240" w:lineRule="auto"/>
      </w:pPr>
      <w:r w:rsidRPr="00061D40">
        <w:t>Also refer to</w:t>
      </w:r>
      <w:r w:rsidR="003F1936" w:rsidRPr="00061D40">
        <w:t xml:space="preserve"> </w:t>
      </w:r>
      <w:hyperlink w:anchor="_Appendix_J:_Accountability" w:history="1">
        <w:r w:rsidR="003F1936" w:rsidRPr="00061D40">
          <w:rPr>
            <w:rStyle w:val="Hyperlink"/>
          </w:rPr>
          <w:t>Appendix J</w:t>
        </w:r>
      </w:hyperlink>
      <w:r w:rsidRPr="00061D40">
        <w:t>, Accountability Requirements.</w:t>
      </w:r>
    </w:p>
    <w:p w14:paraId="7F486AF7" w14:textId="77777777" w:rsidR="00AC30F9" w:rsidRPr="00061D40" w:rsidRDefault="00AC30F9" w:rsidP="00C30212">
      <w:pPr>
        <w:pStyle w:val="StyleAppendicesBodyTextAfter6pt"/>
        <w:spacing w:after="0" w:line="240" w:lineRule="auto"/>
        <w:sectPr w:rsidR="00AC30F9" w:rsidRPr="00061D40" w:rsidSect="00963340">
          <w:pgSz w:w="11906" w:h="16838" w:code="9"/>
          <w:pgMar w:top="1418" w:right="1418" w:bottom="1134" w:left="1418" w:header="567" w:footer="567" w:gutter="0"/>
          <w:cols w:space="720"/>
          <w:docGrid w:linePitch="272"/>
        </w:sectPr>
      </w:pPr>
    </w:p>
    <w:p w14:paraId="7F486AF8" w14:textId="77777777" w:rsidR="0056502E" w:rsidRPr="00061D40" w:rsidRDefault="0056502E" w:rsidP="00BD1D1C">
      <w:pPr>
        <w:pStyle w:val="Heading2"/>
        <w:spacing w:before="0"/>
      </w:pPr>
      <w:bookmarkStart w:id="232" w:name="_Appendix_H:_Funding"/>
      <w:bookmarkStart w:id="233" w:name="_Ref246736055"/>
      <w:bookmarkStart w:id="234" w:name="_Toc346205339"/>
      <w:bookmarkStart w:id="235" w:name="_Toc55968517"/>
      <w:bookmarkStart w:id="236" w:name="_Toc84403798"/>
      <w:bookmarkStart w:id="237" w:name="_Toc182292932"/>
      <w:bookmarkStart w:id="238" w:name="_Toc182292936"/>
      <w:bookmarkEnd w:id="232"/>
      <w:r w:rsidRPr="00061D40">
        <w:t xml:space="preserve">Appendix </w:t>
      </w:r>
      <w:r w:rsidR="003E529C" w:rsidRPr="00061D40">
        <w:t>H</w:t>
      </w:r>
      <w:bookmarkEnd w:id="233"/>
      <w:r w:rsidR="00845AF6" w:rsidRPr="00061D40">
        <w:t xml:space="preserve">: </w:t>
      </w:r>
      <w:bookmarkStart w:id="239" w:name="_Toc246493744"/>
      <w:r w:rsidRPr="00061D40">
        <w:t>Funding Tables and Payment Procedures</w:t>
      </w:r>
      <w:bookmarkEnd w:id="239"/>
      <w:bookmarkEnd w:id="234"/>
    </w:p>
    <w:p w14:paraId="7F486AF9" w14:textId="77777777" w:rsidR="00AD2EFE" w:rsidRPr="00061D40" w:rsidRDefault="00AD2EFE" w:rsidP="00C30212">
      <w:pPr>
        <w:pStyle w:val="StyleAppendicesBodyTextAfter6pt"/>
        <w:spacing w:after="0" w:line="240" w:lineRule="auto"/>
      </w:pPr>
      <w:r w:rsidRPr="00061D40">
        <w:t xml:space="preserve">Outlined below are the funding tables and payment procedures for </w:t>
      </w:r>
      <w:r w:rsidR="00577B50" w:rsidRPr="00061D40">
        <w:t xml:space="preserve">funding </w:t>
      </w:r>
      <w:r w:rsidRPr="00061D40">
        <w:t xml:space="preserve">programs referred to in </w:t>
      </w:r>
      <w:r w:rsidR="00577B50" w:rsidRPr="00061D40">
        <w:t xml:space="preserve">other </w:t>
      </w:r>
      <w:r w:rsidRPr="00061D40">
        <w:t>parts of the</w:t>
      </w:r>
      <w:r w:rsidR="00577B50" w:rsidRPr="00061D40">
        <w:t>se</w:t>
      </w:r>
      <w:r w:rsidRPr="00061D40">
        <w:t xml:space="preserve"> Guidelines.</w:t>
      </w:r>
    </w:p>
    <w:p w14:paraId="7F486AFA" w14:textId="77777777" w:rsidR="00845AF6" w:rsidRPr="00061D40" w:rsidRDefault="00845AF6" w:rsidP="00C74D4D">
      <w:r w:rsidRPr="00061D40">
        <w:t xml:space="preserve">Under the </w:t>
      </w:r>
      <w:r w:rsidRPr="00061D40">
        <w:rPr>
          <w:i/>
        </w:rPr>
        <w:t>I</w:t>
      </w:r>
      <w:r w:rsidRPr="00061D40">
        <w:rPr>
          <w:i/>
          <w:lang w:eastAsia="en-US"/>
        </w:rPr>
        <w:t xml:space="preserve">ntergovernmental </w:t>
      </w:r>
      <w:r w:rsidRPr="00061D40">
        <w:rPr>
          <w:i/>
        </w:rPr>
        <w:t>A</w:t>
      </w:r>
      <w:r w:rsidRPr="00061D40">
        <w:rPr>
          <w:i/>
          <w:lang w:eastAsia="en-US"/>
        </w:rPr>
        <w:t xml:space="preserve">greement on </w:t>
      </w:r>
      <w:r w:rsidRPr="00061D40">
        <w:rPr>
          <w:i/>
        </w:rPr>
        <w:t>Federal F</w:t>
      </w:r>
      <w:r w:rsidRPr="00061D40">
        <w:rPr>
          <w:i/>
          <w:lang w:eastAsia="en-US"/>
        </w:rPr>
        <w:t xml:space="preserve">inancial </w:t>
      </w:r>
      <w:r w:rsidRPr="00061D40">
        <w:rPr>
          <w:i/>
        </w:rPr>
        <w:t>Relations</w:t>
      </w:r>
      <w:r w:rsidRPr="00061D40">
        <w:t xml:space="preserve"> between the Commonwealth and the states and territories, payments are made from the Commonwealth Treasury to state and territory treasuries on the seventh day of the relevant month.</w:t>
      </w:r>
    </w:p>
    <w:p w14:paraId="7F486AFB" w14:textId="77777777" w:rsidR="00AD2EFE" w:rsidRPr="00061D40" w:rsidRDefault="00AD2EFE" w:rsidP="00C30212">
      <w:pPr>
        <w:pStyle w:val="StyleAppendicesBodyTextAfter6pt"/>
        <w:spacing w:after="0" w:line="240" w:lineRule="auto"/>
      </w:pPr>
      <w:r w:rsidRPr="00061D40">
        <w:t xml:space="preserve">Details of supplementation arrangements can be found at </w:t>
      </w:r>
      <w:hyperlink w:anchor="_Appendix_K:_Supplementation" w:history="1">
        <w:r w:rsidR="003F1936" w:rsidRPr="00061D40">
          <w:rPr>
            <w:rStyle w:val="Hyperlink"/>
          </w:rPr>
          <w:t>Appendix K</w:t>
        </w:r>
      </w:hyperlink>
      <w:r w:rsidR="00577B50" w:rsidRPr="00061D40">
        <w:t>.</w:t>
      </w:r>
    </w:p>
    <w:p w14:paraId="7F486AFC" w14:textId="77777777" w:rsidR="00D32016" w:rsidRDefault="00577B50">
      <w:pPr>
        <w:pStyle w:val="Heading3"/>
      </w:pPr>
      <w:r w:rsidRPr="00061D40">
        <w:t xml:space="preserve">Grants for </w:t>
      </w:r>
      <w:r w:rsidR="005958FF" w:rsidRPr="00061D40">
        <w:t xml:space="preserve">Recurrent </w:t>
      </w:r>
      <w:r w:rsidRPr="00061D40">
        <w:t>Expenditure</w:t>
      </w:r>
    </w:p>
    <w:p w14:paraId="7F486AFD" w14:textId="77777777" w:rsidR="005958FF" w:rsidRPr="00061D40" w:rsidRDefault="00D86ACB" w:rsidP="00505ABD">
      <w:pPr>
        <w:pStyle w:val="StyleAppendicesBodyTextLinespacingsingle"/>
      </w:pPr>
      <w:r w:rsidRPr="00061D40">
        <w:t>Funding is supplemented annually in line with changes to the AGSRC. Supplementation will be paid as soon as possible following the making of a regulation under the Act.</w:t>
      </w:r>
    </w:p>
    <w:p w14:paraId="7F486AFE" w14:textId="77777777" w:rsidR="005958FF" w:rsidRPr="00061D40" w:rsidRDefault="005958FF" w:rsidP="003F1936">
      <w:pPr>
        <w:pStyle w:val="TablefigureHeading1"/>
        <w:spacing w:after="60" w:line="240" w:lineRule="auto"/>
      </w:pPr>
      <w:r w:rsidRPr="00061D40">
        <w:t xml:space="preserve">Table </w:t>
      </w:r>
      <w:r w:rsidR="00845AF6" w:rsidRPr="00061D40">
        <w:t>H.</w:t>
      </w:r>
      <w:r w:rsidRPr="00061D40">
        <w:t xml:space="preserve">1: </w:t>
      </w:r>
      <w:r w:rsidR="00577B50" w:rsidRPr="00061D40">
        <w:t xml:space="preserve">Payment Schedule for </w:t>
      </w:r>
      <w:r w:rsidRPr="00061D40">
        <w:t>Recurrent Grants, Distance Education</w:t>
      </w:r>
      <w:r w:rsidR="00A062EB">
        <w:t>,</w:t>
      </w:r>
      <w:r w:rsidRPr="00061D40">
        <w:t xml:space="preserve"> Indigenous Supplementary Assistance </w:t>
      </w:r>
      <w:r w:rsidR="00A062EB">
        <w:t>and Increased Indigenous Supplementary Assistance for Non</w:t>
      </w:r>
      <w:r w:rsidR="00A062EB">
        <w:noBreakHyphen/>
        <w:t>remote Boarding Schools</w:t>
      </w:r>
    </w:p>
    <w:tbl>
      <w:tblPr>
        <w:tblW w:w="92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3069"/>
        <w:gridCol w:w="2729"/>
      </w:tblGrid>
      <w:tr w:rsidR="005958FF" w:rsidRPr="00061D40" w14:paraId="7F486B03" w14:textId="77777777" w:rsidTr="003F1936">
        <w:trPr>
          <w:cantSplit/>
        </w:trPr>
        <w:tc>
          <w:tcPr>
            <w:tcW w:w="1701" w:type="dxa"/>
            <w:shd w:val="clear" w:color="auto" w:fill="999999"/>
          </w:tcPr>
          <w:p w14:paraId="7F486AFF" w14:textId="77777777" w:rsidR="005958FF" w:rsidRPr="00061D40" w:rsidRDefault="005958FF" w:rsidP="006455DC">
            <w:pPr>
              <w:pStyle w:val="TableHeading2"/>
              <w:spacing w:line="240" w:lineRule="auto"/>
            </w:pPr>
            <w:r w:rsidRPr="00061D40">
              <w:t>Payment</w:t>
            </w:r>
          </w:p>
        </w:tc>
        <w:tc>
          <w:tcPr>
            <w:tcW w:w="1701" w:type="dxa"/>
            <w:shd w:val="clear" w:color="auto" w:fill="999999"/>
          </w:tcPr>
          <w:p w14:paraId="7F486B00" w14:textId="77777777" w:rsidR="005958FF" w:rsidRPr="00061D40" w:rsidRDefault="005958FF" w:rsidP="006455DC">
            <w:pPr>
              <w:pStyle w:val="TableHeading2"/>
              <w:spacing w:line="240" w:lineRule="auto"/>
            </w:pPr>
            <w:r w:rsidRPr="00061D40">
              <w:t>During the month of</w:t>
            </w:r>
          </w:p>
        </w:tc>
        <w:tc>
          <w:tcPr>
            <w:tcW w:w="3069" w:type="dxa"/>
            <w:shd w:val="clear" w:color="auto" w:fill="999999"/>
          </w:tcPr>
          <w:p w14:paraId="7F486B01" w14:textId="77777777" w:rsidR="005958FF" w:rsidRPr="00061D40" w:rsidRDefault="005958FF" w:rsidP="006455DC">
            <w:pPr>
              <w:pStyle w:val="TableHeading2"/>
              <w:spacing w:line="240" w:lineRule="auto"/>
            </w:pPr>
            <w:r w:rsidRPr="00061D40">
              <w:t>Proportion of entitlement paid</w:t>
            </w:r>
          </w:p>
        </w:tc>
        <w:tc>
          <w:tcPr>
            <w:tcW w:w="2729" w:type="dxa"/>
            <w:shd w:val="clear" w:color="auto" w:fill="999999"/>
          </w:tcPr>
          <w:p w14:paraId="7F486B02" w14:textId="77777777" w:rsidR="005958FF" w:rsidRPr="00061D40" w:rsidRDefault="005958FF" w:rsidP="006455DC">
            <w:pPr>
              <w:pStyle w:val="TableHeading2"/>
              <w:spacing w:line="240" w:lineRule="auto"/>
            </w:pPr>
            <w:r w:rsidRPr="00061D40">
              <w:t>Enrolments</w:t>
            </w:r>
          </w:p>
        </w:tc>
      </w:tr>
      <w:tr w:rsidR="005958FF" w:rsidRPr="00061D40" w14:paraId="7F486B08" w14:textId="77777777" w:rsidTr="003F1936">
        <w:trPr>
          <w:cantSplit/>
        </w:trPr>
        <w:tc>
          <w:tcPr>
            <w:tcW w:w="1701" w:type="dxa"/>
          </w:tcPr>
          <w:p w14:paraId="7F486B04" w14:textId="77777777" w:rsidR="005958FF" w:rsidRPr="00061D40" w:rsidRDefault="005958FF" w:rsidP="006455DC">
            <w:pPr>
              <w:pStyle w:val="TableText"/>
              <w:spacing w:line="240" w:lineRule="auto"/>
            </w:pPr>
            <w:r w:rsidRPr="00061D40">
              <w:t>First advance</w:t>
            </w:r>
          </w:p>
        </w:tc>
        <w:tc>
          <w:tcPr>
            <w:tcW w:w="1701" w:type="dxa"/>
          </w:tcPr>
          <w:p w14:paraId="7F486B05" w14:textId="77777777" w:rsidR="005958FF" w:rsidRPr="00061D40" w:rsidRDefault="005958FF" w:rsidP="006455DC">
            <w:pPr>
              <w:pStyle w:val="TableText"/>
              <w:spacing w:line="240" w:lineRule="auto"/>
            </w:pPr>
            <w:r w:rsidRPr="00061D40">
              <w:t>January</w:t>
            </w:r>
          </w:p>
        </w:tc>
        <w:tc>
          <w:tcPr>
            <w:tcW w:w="3069" w:type="dxa"/>
          </w:tcPr>
          <w:p w14:paraId="7F486B06" w14:textId="77777777" w:rsidR="005958FF" w:rsidRPr="00061D40" w:rsidRDefault="005958FF" w:rsidP="006455DC">
            <w:pPr>
              <w:pStyle w:val="TableText"/>
              <w:spacing w:line="240" w:lineRule="auto"/>
            </w:pPr>
            <w:r w:rsidRPr="00061D40">
              <w:t>50% of estimated entitlement</w:t>
            </w:r>
          </w:p>
        </w:tc>
        <w:tc>
          <w:tcPr>
            <w:tcW w:w="2729" w:type="dxa"/>
          </w:tcPr>
          <w:p w14:paraId="7F486B07" w14:textId="77777777" w:rsidR="005958FF" w:rsidRPr="00061D40" w:rsidRDefault="005958FF" w:rsidP="006455DC">
            <w:pPr>
              <w:pStyle w:val="TableText"/>
              <w:spacing w:line="240" w:lineRule="auto"/>
            </w:pPr>
            <w:r w:rsidRPr="00061D40">
              <w:t>Previous year’s Census</w:t>
            </w:r>
          </w:p>
        </w:tc>
      </w:tr>
      <w:tr w:rsidR="005958FF" w:rsidRPr="00061D40" w14:paraId="7F486B10" w14:textId="77777777" w:rsidTr="003F1936">
        <w:trPr>
          <w:cantSplit/>
        </w:trPr>
        <w:tc>
          <w:tcPr>
            <w:tcW w:w="1701" w:type="dxa"/>
          </w:tcPr>
          <w:p w14:paraId="7F486B09" w14:textId="77777777" w:rsidR="005958FF" w:rsidRDefault="005958FF" w:rsidP="006455DC">
            <w:pPr>
              <w:pStyle w:val="TableText"/>
              <w:spacing w:line="240" w:lineRule="auto"/>
            </w:pPr>
            <w:r w:rsidRPr="00061D40">
              <w:t>Second advance</w:t>
            </w:r>
          </w:p>
          <w:p w14:paraId="7F486B0A" w14:textId="77777777" w:rsidR="005E5A95" w:rsidRPr="005E5A95" w:rsidRDefault="005E5A95" w:rsidP="006455DC">
            <w:pPr>
              <w:pStyle w:val="TableText"/>
              <w:spacing w:line="240" w:lineRule="auto"/>
              <w:rPr>
                <w:color w:val="FFFFFF" w:themeColor="background1"/>
              </w:rPr>
            </w:pPr>
            <w:r w:rsidRPr="005E5A95">
              <w:rPr>
                <w:color w:val="FFFFFF" w:themeColor="background1"/>
              </w:rPr>
              <w:t>-</w:t>
            </w:r>
          </w:p>
        </w:tc>
        <w:tc>
          <w:tcPr>
            <w:tcW w:w="1701" w:type="dxa"/>
          </w:tcPr>
          <w:p w14:paraId="7F486B0B" w14:textId="77777777" w:rsidR="005958FF" w:rsidRDefault="005958FF" w:rsidP="006455DC">
            <w:pPr>
              <w:pStyle w:val="TableText"/>
              <w:spacing w:line="240" w:lineRule="auto"/>
            </w:pPr>
            <w:r w:rsidRPr="00061D40">
              <w:t>July</w:t>
            </w:r>
          </w:p>
          <w:p w14:paraId="7F486B0C" w14:textId="77777777" w:rsidR="005E5A95" w:rsidRPr="005E5A95" w:rsidRDefault="005E5A95" w:rsidP="006455DC">
            <w:pPr>
              <w:pStyle w:val="TableText"/>
              <w:spacing w:line="240" w:lineRule="auto"/>
              <w:rPr>
                <w:color w:val="FFFFFF" w:themeColor="background1"/>
              </w:rPr>
            </w:pPr>
            <w:r w:rsidRPr="005E5A95">
              <w:rPr>
                <w:color w:val="FFFFFF" w:themeColor="background1"/>
              </w:rPr>
              <w:t>-</w:t>
            </w:r>
          </w:p>
        </w:tc>
        <w:tc>
          <w:tcPr>
            <w:tcW w:w="3069" w:type="dxa"/>
          </w:tcPr>
          <w:p w14:paraId="7F486B0D" w14:textId="77777777" w:rsidR="005958FF" w:rsidRPr="00061D40" w:rsidRDefault="005958FF" w:rsidP="006455DC">
            <w:pPr>
              <w:pStyle w:val="TableText"/>
              <w:spacing w:line="240" w:lineRule="auto"/>
            </w:pPr>
            <w:r w:rsidRPr="00061D40">
              <w:t>75% of estimated entitlement less payments made</w:t>
            </w:r>
          </w:p>
        </w:tc>
        <w:tc>
          <w:tcPr>
            <w:tcW w:w="2729" w:type="dxa"/>
          </w:tcPr>
          <w:p w14:paraId="7F486B0E" w14:textId="77777777" w:rsidR="005958FF" w:rsidRDefault="005958FF" w:rsidP="006455DC">
            <w:pPr>
              <w:pStyle w:val="TableText"/>
              <w:spacing w:line="240" w:lineRule="auto"/>
            </w:pPr>
            <w:r w:rsidRPr="00061D40">
              <w:t>Previous year’s Census</w:t>
            </w:r>
          </w:p>
          <w:p w14:paraId="7F486B0F" w14:textId="77777777" w:rsidR="005E5A95" w:rsidRPr="005E5A95" w:rsidRDefault="005E5A95" w:rsidP="006455DC">
            <w:pPr>
              <w:pStyle w:val="TableText"/>
              <w:spacing w:line="240" w:lineRule="auto"/>
              <w:rPr>
                <w:color w:val="FFFFFF" w:themeColor="background1"/>
              </w:rPr>
            </w:pPr>
            <w:r w:rsidRPr="005E5A95">
              <w:rPr>
                <w:color w:val="FFFFFF" w:themeColor="background1"/>
              </w:rPr>
              <w:t>-</w:t>
            </w:r>
          </w:p>
        </w:tc>
      </w:tr>
      <w:tr w:rsidR="005958FF" w:rsidRPr="00061D40" w14:paraId="7F486B18" w14:textId="77777777" w:rsidTr="003F1936">
        <w:trPr>
          <w:cantSplit/>
        </w:trPr>
        <w:tc>
          <w:tcPr>
            <w:tcW w:w="1701" w:type="dxa"/>
          </w:tcPr>
          <w:p w14:paraId="7F486B11" w14:textId="77777777" w:rsidR="005958FF" w:rsidRDefault="005958FF" w:rsidP="006455DC">
            <w:pPr>
              <w:pStyle w:val="TableText"/>
              <w:spacing w:line="240" w:lineRule="auto"/>
            </w:pPr>
            <w:r w:rsidRPr="00061D40">
              <w:t>Adjustment</w:t>
            </w:r>
          </w:p>
          <w:p w14:paraId="7F486B12" w14:textId="77777777" w:rsidR="005E5A95" w:rsidRPr="005E5A95" w:rsidRDefault="005E5A95" w:rsidP="006455DC">
            <w:pPr>
              <w:pStyle w:val="TableText"/>
              <w:spacing w:line="240" w:lineRule="auto"/>
              <w:rPr>
                <w:color w:val="FFFFFF" w:themeColor="background1"/>
              </w:rPr>
            </w:pPr>
            <w:r w:rsidRPr="005E5A95">
              <w:rPr>
                <w:color w:val="FFFFFF" w:themeColor="background1"/>
              </w:rPr>
              <w:t>-</w:t>
            </w:r>
          </w:p>
        </w:tc>
        <w:tc>
          <w:tcPr>
            <w:tcW w:w="1701" w:type="dxa"/>
          </w:tcPr>
          <w:p w14:paraId="7F486B13" w14:textId="77777777" w:rsidR="005958FF" w:rsidRDefault="005958FF" w:rsidP="006455DC">
            <w:pPr>
              <w:pStyle w:val="TableText"/>
              <w:spacing w:line="240" w:lineRule="auto"/>
            </w:pPr>
            <w:r w:rsidRPr="00061D40">
              <w:t>October</w:t>
            </w:r>
          </w:p>
          <w:p w14:paraId="7F486B14" w14:textId="77777777" w:rsidR="005E5A95" w:rsidRPr="005E5A95" w:rsidRDefault="005E5A95" w:rsidP="006455DC">
            <w:pPr>
              <w:pStyle w:val="TableText"/>
              <w:spacing w:line="240" w:lineRule="auto"/>
              <w:rPr>
                <w:color w:val="FFFFFF" w:themeColor="background1"/>
              </w:rPr>
            </w:pPr>
            <w:r w:rsidRPr="005E5A95">
              <w:rPr>
                <w:color w:val="FFFFFF" w:themeColor="background1"/>
              </w:rPr>
              <w:t>-</w:t>
            </w:r>
          </w:p>
        </w:tc>
        <w:tc>
          <w:tcPr>
            <w:tcW w:w="3069" w:type="dxa"/>
          </w:tcPr>
          <w:p w14:paraId="7F486B15" w14:textId="77777777" w:rsidR="005958FF" w:rsidRPr="00061D40" w:rsidRDefault="005958FF" w:rsidP="006455DC">
            <w:pPr>
              <w:pStyle w:val="TableText"/>
              <w:spacing w:line="240" w:lineRule="auto"/>
            </w:pPr>
            <w:r w:rsidRPr="00061D40">
              <w:t>100% of actual entitlement less payments made</w:t>
            </w:r>
          </w:p>
        </w:tc>
        <w:tc>
          <w:tcPr>
            <w:tcW w:w="2729" w:type="dxa"/>
          </w:tcPr>
          <w:p w14:paraId="7F486B16" w14:textId="77777777" w:rsidR="005958FF" w:rsidRDefault="005958FF" w:rsidP="006455DC">
            <w:pPr>
              <w:pStyle w:val="TableText"/>
              <w:spacing w:line="240" w:lineRule="auto"/>
            </w:pPr>
            <w:r w:rsidRPr="00061D40">
              <w:t>Current year’s Census</w:t>
            </w:r>
          </w:p>
          <w:p w14:paraId="7F486B17" w14:textId="77777777" w:rsidR="005E5A95" w:rsidRPr="005E5A95" w:rsidRDefault="005E5A95" w:rsidP="006455DC">
            <w:pPr>
              <w:pStyle w:val="TableText"/>
              <w:spacing w:line="240" w:lineRule="auto"/>
              <w:rPr>
                <w:color w:val="FFFFFF" w:themeColor="background1"/>
              </w:rPr>
            </w:pPr>
            <w:r w:rsidRPr="005E5A95">
              <w:rPr>
                <w:color w:val="FFFFFF" w:themeColor="background1"/>
              </w:rPr>
              <w:t>-</w:t>
            </w:r>
          </w:p>
        </w:tc>
      </w:tr>
      <w:tr w:rsidR="00A062EB" w:rsidRPr="00061D40" w14:paraId="7F486B1D" w14:textId="77777777" w:rsidTr="003F1936">
        <w:trPr>
          <w:cantSplit/>
        </w:trPr>
        <w:tc>
          <w:tcPr>
            <w:tcW w:w="1701" w:type="dxa"/>
          </w:tcPr>
          <w:p w14:paraId="7F486B19" w14:textId="77777777" w:rsidR="00A062EB" w:rsidRPr="00061D40" w:rsidRDefault="00A062EB" w:rsidP="006455DC">
            <w:pPr>
              <w:pStyle w:val="TableText"/>
              <w:spacing w:line="240" w:lineRule="auto"/>
            </w:pPr>
            <w:r>
              <w:t>Full entitlement</w:t>
            </w:r>
          </w:p>
        </w:tc>
        <w:tc>
          <w:tcPr>
            <w:tcW w:w="1701" w:type="dxa"/>
          </w:tcPr>
          <w:p w14:paraId="7F486B1A" w14:textId="77777777" w:rsidR="00A062EB" w:rsidRPr="00061D40" w:rsidRDefault="00A062EB" w:rsidP="006455DC">
            <w:pPr>
              <w:pStyle w:val="TableText"/>
              <w:spacing w:line="240" w:lineRule="auto"/>
            </w:pPr>
            <w:r>
              <w:t>October</w:t>
            </w:r>
          </w:p>
        </w:tc>
        <w:tc>
          <w:tcPr>
            <w:tcW w:w="3069" w:type="dxa"/>
          </w:tcPr>
          <w:p w14:paraId="7F486B1B" w14:textId="77777777" w:rsidR="00A062EB" w:rsidRPr="00061D40" w:rsidRDefault="00A062EB" w:rsidP="00A062EB">
            <w:pPr>
              <w:pStyle w:val="TableText"/>
              <w:spacing w:line="240" w:lineRule="auto"/>
            </w:pPr>
            <w:r>
              <w:t>100% of actual entitlement</w:t>
            </w:r>
            <w:r>
              <w:br/>
              <w:t>Increased Indigenous Supplementary Assistance (Boarding)</w:t>
            </w:r>
          </w:p>
        </w:tc>
        <w:tc>
          <w:tcPr>
            <w:tcW w:w="2729" w:type="dxa"/>
          </w:tcPr>
          <w:p w14:paraId="7F486B1C" w14:textId="77777777" w:rsidR="00A062EB" w:rsidRPr="00061D40" w:rsidRDefault="00A062EB" w:rsidP="006455DC">
            <w:pPr>
              <w:pStyle w:val="TableText"/>
              <w:spacing w:line="240" w:lineRule="auto"/>
            </w:pPr>
            <w:r>
              <w:t>Current year’s Census</w:t>
            </w:r>
          </w:p>
        </w:tc>
      </w:tr>
    </w:tbl>
    <w:p w14:paraId="7F486B1E" w14:textId="77777777" w:rsidR="005958FF" w:rsidRPr="00061D40" w:rsidRDefault="005958FF" w:rsidP="003F1936">
      <w:pPr>
        <w:pStyle w:val="TablefigureHeading1"/>
        <w:spacing w:after="60" w:line="240" w:lineRule="auto"/>
      </w:pPr>
      <w:r w:rsidRPr="00061D40">
        <w:t xml:space="preserve">Table </w:t>
      </w:r>
      <w:r w:rsidR="00845AF6" w:rsidRPr="00061D40">
        <w:t>H.2</w:t>
      </w:r>
      <w:r w:rsidRPr="00061D40">
        <w:t>: Payment Schedule for Remoteness Loading</w:t>
      </w:r>
    </w:p>
    <w:tbl>
      <w:tblPr>
        <w:tblW w:w="92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3069"/>
        <w:gridCol w:w="2729"/>
      </w:tblGrid>
      <w:tr w:rsidR="005958FF" w:rsidRPr="00061D40" w14:paraId="7F486B23" w14:textId="77777777" w:rsidTr="003F1936">
        <w:trPr>
          <w:cantSplit/>
        </w:trPr>
        <w:tc>
          <w:tcPr>
            <w:tcW w:w="1701" w:type="dxa"/>
            <w:shd w:val="clear" w:color="auto" w:fill="999999"/>
          </w:tcPr>
          <w:p w14:paraId="7F486B1F" w14:textId="77777777" w:rsidR="005958FF" w:rsidRPr="00061D40" w:rsidRDefault="005958FF" w:rsidP="006455DC">
            <w:pPr>
              <w:pStyle w:val="TableHeading2"/>
              <w:spacing w:line="240" w:lineRule="auto"/>
            </w:pPr>
            <w:r w:rsidRPr="00061D40">
              <w:t>Payment</w:t>
            </w:r>
          </w:p>
        </w:tc>
        <w:tc>
          <w:tcPr>
            <w:tcW w:w="1701" w:type="dxa"/>
            <w:shd w:val="clear" w:color="auto" w:fill="999999"/>
          </w:tcPr>
          <w:p w14:paraId="7F486B20" w14:textId="77777777" w:rsidR="005958FF" w:rsidRPr="00061D40" w:rsidRDefault="005958FF" w:rsidP="006455DC">
            <w:pPr>
              <w:pStyle w:val="TableHeading2"/>
              <w:spacing w:line="240" w:lineRule="auto"/>
            </w:pPr>
            <w:r w:rsidRPr="00061D40">
              <w:t>During the month of</w:t>
            </w:r>
          </w:p>
        </w:tc>
        <w:tc>
          <w:tcPr>
            <w:tcW w:w="3069" w:type="dxa"/>
            <w:shd w:val="clear" w:color="auto" w:fill="999999"/>
          </w:tcPr>
          <w:p w14:paraId="7F486B21" w14:textId="77777777" w:rsidR="005958FF" w:rsidRPr="00061D40" w:rsidRDefault="005958FF" w:rsidP="006455DC">
            <w:pPr>
              <w:pStyle w:val="TableHeading2"/>
              <w:spacing w:line="240" w:lineRule="auto"/>
            </w:pPr>
            <w:r w:rsidRPr="00061D40">
              <w:t>Proportion of entitlement paid</w:t>
            </w:r>
          </w:p>
        </w:tc>
        <w:tc>
          <w:tcPr>
            <w:tcW w:w="2729" w:type="dxa"/>
            <w:shd w:val="clear" w:color="auto" w:fill="999999"/>
          </w:tcPr>
          <w:p w14:paraId="7F486B22" w14:textId="77777777" w:rsidR="005958FF" w:rsidRPr="00061D40" w:rsidRDefault="005958FF" w:rsidP="006455DC">
            <w:pPr>
              <w:pStyle w:val="TableHeading2"/>
              <w:spacing w:line="240" w:lineRule="auto"/>
            </w:pPr>
            <w:r w:rsidRPr="00061D40">
              <w:t>Enrolments</w:t>
            </w:r>
          </w:p>
        </w:tc>
      </w:tr>
      <w:tr w:rsidR="005958FF" w:rsidRPr="00061D40" w14:paraId="7F486B28" w14:textId="77777777" w:rsidTr="003F1936">
        <w:trPr>
          <w:cantSplit/>
        </w:trPr>
        <w:tc>
          <w:tcPr>
            <w:tcW w:w="1701" w:type="dxa"/>
          </w:tcPr>
          <w:p w14:paraId="7F486B24" w14:textId="77777777" w:rsidR="005958FF" w:rsidRPr="00061D40" w:rsidRDefault="005958FF" w:rsidP="006455DC">
            <w:pPr>
              <w:pStyle w:val="TableText"/>
              <w:spacing w:line="240" w:lineRule="auto"/>
            </w:pPr>
            <w:r w:rsidRPr="00061D40">
              <w:t>First advance</w:t>
            </w:r>
          </w:p>
        </w:tc>
        <w:tc>
          <w:tcPr>
            <w:tcW w:w="1701" w:type="dxa"/>
          </w:tcPr>
          <w:p w14:paraId="7F486B25" w14:textId="77777777" w:rsidR="005958FF" w:rsidRPr="00061D40" w:rsidRDefault="005958FF" w:rsidP="006455DC">
            <w:pPr>
              <w:pStyle w:val="TableText"/>
              <w:spacing w:line="240" w:lineRule="auto"/>
            </w:pPr>
            <w:r w:rsidRPr="00061D40">
              <w:t>January</w:t>
            </w:r>
          </w:p>
        </w:tc>
        <w:tc>
          <w:tcPr>
            <w:tcW w:w="3069" w:type="dxa"/>
          </w:tcPr>
          <w:p w14:paraId="7F486B26" w14:textId="77777777" w:rsidR="005958FF" w:rsidRPr="00061D40" w:rsidRDefault="005958FF" w:rsidP="006455DC">
            <w:pPr>
              <w:pStyle w:val="TableText"/>
              <w:spacing w:line="240" w:lineRule="auto"/>
            </w:pPr>
            <w:r w:rsidRPr="00061D40">
              <w:t>50% of estimated entitlement</w:t>
            </w:r>
          </w:p>
        </w:tc>
        <w:tc>
          <w:tcPr>
            <w:tcW w:w="2729" w:type="dxa"/>
          </w:tcPr>
          <w:p w14:paraId="7F486B27" w14:textId="77777777" w:rsidR="005958FF" w:rsidRPr="00061D40" w:rsidRDefault="005958FF" w:rsidP="006455DC">
            <w:pPr>
              <w:pStyle w:val="TableText"/>
              <w:spacing w:line="240" w:lineRule="auto"/>
            </w:pPr>
            <w:r w:rsidRPr="00061D40">
              <w:t>Previous year’s Census</w:t>
            </w:r>
          </w:p>
        </w:tc>
      </w:tr>
      <w:tr w:rsidR="005958FF" w:rsidRPr="00061D40" w14:paraId="7F486B30" w14:textId="77777777" w:rsidTr="003F1936">
        <w:trPr>
          <w:cantSplit/>
        </w:trPr>
        <w:tc>
          <w:tcPr>
            <w:tcW w:w="1701" w:type="dxa"/>
          </w:tcPr>
          <w:p w14:paraId="7F486B29" w14:textId="77777777" w:rsidR="005958FF" w:rsidRDefault="005958FF" w:rsidP="006455DC">
            <w:pPr>
              <w:pStyle w:val="TableText"/>
              <w:spacing w:line="240" w:lineRule="auto"/>
            </w:pPr>
            <w:r w:rsidRPr="00061D40">
              <w:t>Adjustment</w:t>
            </w:r>
          </w:p>
          <w:p w14:paraId="7F486B2A" w14:textId="77777777" w:rsidR="005E5A95" w:rsidRPr="005E5A95" w:rsidRDefault="005E5A95" w:rsidP="006455DC">
            <w:pPr>
              <w:pStyle w:val="TableText"/>
              <w:spacing w:line="240" w:lineRule="auto"/>
              <w:rPr>
                <w:color w:val="FFFFFF" w:themeColor="background1"/>
              </w:rPr>
            </w:pPr>
            <w:r w:rsidRPr="005E5A95">
              <w:rPr>
                <w:color w:val="FFFFFF" w:themeColor="background1"/>
              </w:rPr>
              <w:t>-</w:t>
            </w:r>
          </w:p>
        </w:tc>
        <w:tc>
          <w:tcPr>
            <w:tcW w:w="1701" w:type="dxa"/>
          </w:tcPr>
          <w:p w14:paraId="7F486B2B" w14:textId="77777777" w:rsidR="005958FF" w:rsidRDefault="005958FF" w:rsidP="006455DC">
            <w:pPr>
              <w:pStyle w:val="TableText"/>
              <w:spacing w:line="240" w:lineRule="auto"/>
            </w:pPr>
            <w:r w:rsidRPr="00061D40">
              <w:t>October</w:t>
            </w:r>
          </w:p>
          <w:p w14:paraId="7F486B2C" w14:textId="77777777" w:rsidR="005E5A95" w:rsidRPr="005E5A95" w:rsidRDefault="005E5A95" w:rsidP="006455DC">
            <w:pPr>
              <w:pStyle w:val="TableText"/>
              <w:spacing w:line="240" w:lineRule="auto"/>
              <w:rPr>
                <w:color w:val="FFFFFF" w:themeColor="background1"/>
              </w:rPr>
            </w:pPr>
            <w:r w:rsidRPr="005E5A95">
              <w:rPr>
                <w:color w:val="FFFFFF" w:themeColor="background1"/>
              </w:rPr>
              <w:t>-</w:t>
            </w:r>
          </w:p>
        </w:tc>
        <w:tc>
          <w:tcPr>
            <w:tcW w:w="3069" w:type="dxa"/>
          </w:tcPr>
          <w:p w14:paraId="7F486B2D" w14:textId="77777777" w:rsidR="005958FF" w:rsidRPr="00061D40" w:rsidRDefault="005958FF" w:rsidP="006455DC">
            <w:pPr>
              <w:pStyle w:val="TableText"/>
              <w:spacing w:line="240" w:lineRule="auto"/>
            </w:pPr>
            <w:r w:rsidRPr="00061D40">
              <w:t>100% of actual entitlement less payments made</w:t>
            </w:r>
          </w:p>
        </w:tc>
        <w:tc>
          <w:tcPr>
            <w:tcW w:w="2729" w:type="dxa"/>
          </w:tcPr>
          <w:p w14:paraId="7F486B2E" w14:textId="77777777" w:rsidR="005958FF" w:rsidRDefault="005958FF" w:rsidP="006455DC">
            <w:pPr>
              <w:pStyle w:val="TableText"/>
              <w:spacing w:line="240" w:lineRule="auto"/>
            </w:pPr>
            <w:r w:rsidRPr="00061D40">
              <w:t>Current year’s Census</w:t>
            </w:r>
          </w:p>
          <w:p w14:paraId="7F486B2F" w14:textId="77777777" w:rsidR="005E5A95" w:rsidRPr="005E5A95" w:rsidRDefault="005E5A95" w:rsidP="006455DC">
            <w:pPr>
              <w:pStyle w:val="TableText"/>
              <w:spacing w:line="240" w:lineRule="auto"/>
              <w:rPr>
                <w:color w:val="FFFFFF" w:themeColor="background1"/>
              </w:rPr>
            </w:pPr>
            <w:r w:rsidRPr="005E5A95">
              <w:rPr>
                <w:color w:val="FFFFFF" w:themeColor="background1"/>
              </w:rPr>
              <w:t>-</w:t>
            </w:r>
          </w:p>
        </w:tc>
      </w:tr>
    </w:tbl>
    <w:p w14:paraId="7F486B31" w14:textId="77777777" w:rsidR="005958FF" w:rsidRPr="00061D40" w:rsidRDefault="005958FF" w:rsidP="003F1936">
      <w:pPr>
        <w:pStyle w:val="TablefigureHeading1"/>
        <w:spacing w:after="60" w:line="240" w:lineRule="auto"/>
      </w:pPr>
      <w:r w:rsidRPr="00061D40">
        <w:t xml:space="preserve">Table </w:t>
      </w:r>
      <w:r w:rsidR="00845AF6" w:rsidRPr="00061D40">
        <w:t>H.3</w:t>
      </w:r>
      <w:r w:rsidRPr="00061D40">
        <w:t>: Payment Schedule for Indigenous Funding Guarantee</w:t>
      </w:r>
      <w:r w:rsidR="00E90F2A">
        <w:t xml:space="preserve"> (Total School Approach)</w:t>
      </w:r>
    </w:p>
    <w:tbl>
      <w:tblPr>
        <w:tblW w:w="92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3069"/>
        <w:gridCol w:w="2729"/>
      </w:tblGrid>
      <w:tr w:rsidR="005958FF" w:rsidRPr="00061D40" w14:paraId="7F486B36" w14:textId="77777777" w:rsidTr="003F1936">
        <w:trPr>
          <w:cantSplit/>
        </w:trPr>
        <w:tc>
          <w:tcPr>
            <w:tcW w:w="1701" w:type="dxa"/>
            <w:shd w:val="clear" w:color="auto" w:fill="999999"/>
          </w:tcPr>
          <w:p w14:paraId="7F486B32" w14:textId="77777777" w:rsidR="005958FF" w:rsidRPr="00061D40" w:rsidRDefault="005958FF" w:rsidP="006455DC">
            <w:pPr>
              <w:pStyle w:val="TableHeading2"/>
              <w:spacing w:line="240" w:lineRule="auto"/>
            </w:pPr>
            <w:r w:rsidRPr="00061D40">
              <w:t>Payment</w:t>
            </w:r>
          </w:p>
        </w:tc>
        <w:tc>
          <w:tcPr>
            <w:tcW w:w="1701" w:type="dxa"/>
            <w:shd w:val="clear" w:color="auto" w:fill="999999"/>
          </w:tcPr>
          <w:p w14:paraId="7F486B33" w14:textId="77777777" w:rsidR="005958FF" w:rsidRPr="00061D40" w:rsidRDefault="005958FF" w:rsidP="006455DC">
            <w:pPr>
              <w:pStyle w:val="TableHeading2"/>
              <w:spacing w:line="240" w:lineRule="auto"/>
            </w:pPr>
            <w:r w:rsidRPr="00061D40">
              <w:t>During the month of</w:t>
            </w:r>
          </w:p>
        </w:tc>
        <w:tc>
          <w:tcPr>
            <w:tcW w:w="3069" w:type="dxa"/>
            <w:shd w:val="clear" w:color="auto" w:fill="999999"/>
          </w:tcPr>
          <w:p w14:paraId="7F486B34" w14:textId="77777777" w:rsidR="005958FF" w:rsidRPr="00061D40" w:rsidRDefault="005958FF" w:rsidP="006455DC">
            <w:pPr>
              <w:pStyle w:val="TableHeading2"/>
              <w:spacing w:line="240" w:lineRule="auto"/>
            </w:pPr>
            <w:r w:rsidRPr="00061D40">
              <w:t>Proportion of entitlement paid</w:t>
            </w:r>
          </w:p>
        </w:tc>
        <w:tc>
          <w:tcPr>
            <w:tcW w:w="2729" w:type="dxa"/>
            <w:shd w:val="clear" w:color="auto" w:fill="999999"/>
          </w:tcPr>
          <w:p w14:paraId="7F486B35" w14:textId="77777777" w:rsidR="005958FF" w:rsidRPr="00061D40" w:rsidRDefault="005958FF" w:rsidP="006455DC">
            <w:pPr>
              <w:pStyle w:val="TableHeading2"/>
              <w:spacing w:line="240" w:lineRule="auto"/>
            </w:pPr>
            <w:r w:rsidRPr="00061D40">
              <w:t>Enrolments</w:t>
            </w:r>
          </w:p>
        </w:tc>
      </w:tr>
      <w:tr w:rsidR="005958FF" w:rsidRPr="00061D40" w14:paraId="7F486B3B" w14:textId="77777777" w:rsidTr="003F1936">
        <w:trPr>
          <w:cantSplit/>
        </w:trPr>
        <w:tc>
          <w:tcPr>
            <w:tcW w:w="1701" w:type="dxa"/>
          </w:tcPr>
          <w:p w14:paraId="7F486B37" w14:textId="77777777" w:rsidR="005958FF" w:rsidRPr="00061D40" w:rsidRDefault="005958FF" w:rsidP="006455DC">
            <w:pPr>
              <w:pStyle w:val="TableText"/>
              <w:spacing w:line="240" w:lineRule="auto"/>
            </w:pPr>
            <w:r w:rsidRPr="00061D40">
              <w:t>First advance</w:t>
            </w:r>
          </w:p>
        </w:tc>
        <w:tc>
          <w:tcPr>
            <w:tcW w:w="1701" w:type="dxa"/>
          </w:tcPr>
          <w:p w14:paraId="7F486B38" w14:textId="77777777" w:rsidR="005958FF" w:rsidRPr="00061D40" w:rsidRDefault="005958FF" w:rsidP="006455DC">
            <w:pPr>
              <w:pStyle w:val="TableText"/>
              <w:spacing w:line="240" w:lineRule="auto"/>
            </w:pPr>
            <w:r w:rsidRPr="00061D40">
              <w:t>March</w:t>
            </w:r>
          </w:p>
        </w:tc>
        <w:tc>
          <w:tcPr>
            <w:tcW w:w="3069" w:type="dxa"/>
          </w:tcPr>
          <w:p w14:paraId="7F486B39" w14:textId="77777777" w:rsidR="005958FF" w:rsidRPr="00061D40" w:rsidRDefault="005958FF" w:rsidP="006455DC">
            <w:pPr>
              <w:pStyle w:val="TableText"/>
              <w:spacing w:line="240" w:lineRule="auto"/>
            </w:pPr>
            <w:r w:rsidRPr="00061D40">
              <w:t>50% of estimated entitlement</w:t>
            </w:r>
          </w:p>
        </w:tc>
        <w:tc>
          <w:tcPr>
            <w:tcW w:w="2729" w:type="dxa"/>
          </w:tcPr>
          <w:p w14:paraId="7F486B3A" w14:textId="77777777" w:rsidR="005958FF" w:rsidRPr="00061D40" w:rsidRDefault="005958FF" w:rsidP="006455DC">
            <w:pPr>
              <w:pStyle w:val="TableText"/>
              <w:spacing w:line="240" w:lineRule="auto"/>
            </w:pPr>
            <w:r w:rsidRPr="00061D40">
              <w:t xml:space="preserve">Previous year’s Census </w:t>
            </w:r>
          </w:p>
        </w:tc>
      </w:tr>
      <w:tr w:rsidR="005958FF" w:rsidRPr="00061D40" w14:paraId="7F486B43" w14:textId="77777777" w:rsidTr="003F1936">
        <w:trPr>
          <w:cantSplit/>
        </w:trPr>
        <w:tc>
          <w:tcPr>
            <w:tcW w:w="1701" w:type="dxa"/>
          </w:tcPr>
          <w:p w14:paraId="7F486B3C" w14:textId="77777777" w:rsidR="005958FF" w:rsidRDefault="005958FF" w:rsidP="006455DC">
            <w:pPr>
              <w:pStyle w:val="TableText"/>
              <w:spacing w:line="240" w:lineRule="auto"/>
            </w:pPr>
            <w:r w:rsidRPr="00061D40">
              <w:t>Adjustment</w:t>
            </w:r>
          </w:p>
          <w:p w14:paraId="7F486B3D" w14:textId="77777777" w:rsidR="005E5A95" w:rsidRPr="005E5A95" w:rsidRDefault="005E5A95" w:rsidP="006455DC">
            <w:pPr>
              <w:pStyle w:val="TableText"/>
              <w:spacing w:line="240" w:lineRule="auto"/>
              <w:rPr>
                <w:color w:val="FFFFFF" w:themeColor="background1"/>
              </w:rPr>
            </w:pPr>
            <w:r w:rsidRPr="005E5A95">
              <w:rPr>
                <w:color w:val="FFFFFF" w:themeColor="background1"/>
              </w:rPr>
              <w:t>-</w:t>
            </w:r>
          </w:p>
        </w:tc>
        <w:tc>
          <w:tcPr>
            <w:tcW w:w="1701" w:type="dxa"/>
          </w:tcPr>
          <w:p w14:paraId="7F486B3E" w14:textId="77777777" w:rsidR="005958FF" w:rsidRDefault="005958FF" w:rsidP="006455DC">
            <w:pPr>
              <w:pStyle w:val="TableText"/>
              <w:spacing w:line="240" w:lineRule="auto"/>
            </w:pPr>
            <w:r w:rsidRPr="00061D40">
              <w:t>October</w:t>
            </w:r>
          </w:p>
          <w:p w14:paraId="7F486B3F" w14:textId="77777777" w:rsidR="005E5A95" w:rsidRPr="005E5A95" w:rsidRDefault="005E5A95" w:rsidP="006455DC">
            <w:pPr>
              <w:pStyle w:val="TableText"/>
              <w:spacing w:line="240" w:lineRule="auto"/>
              <w:rPr>
                <w:color w:val="FFFFFF" w:themeColor="background1"/>
              </w:rPr>
            </w:pPr>
            <w:r w:rsidRPr="005E5A95">
              <w:rPr>
                <w:color w:val="FFFFFF" w:themeColor="background1"/>
              </w:rPr>
              <w:t>-</w:t>
            </w:r>
          </w:p>
        </w:tc>
        <w:tc>
          <w:tcPr>
            <w:tcW w:w="3069" w:type="dxa"/>
          </w:tcPr>
          <w:p w14:paraId="7F486B40" w14:textId="77777777" w:rsidR="005958FF" w:rsidRPr="00061D40" w:rsidRDefault="005958FF" w:rsidP="006455DC">
            <w:pPr>
              <w:pStyle w:val="TableText"/>
              <w:spacing w:line="240" w:lineRule="auto"/>
            </w:pPr>
            <w:r w:rsidRPr="00061D40">
              <w:t>100% of actual entitlement less payments made</w:t>
            </w:r>
          </w:p>
        </w:tc>
        <w:tc>
          <w:tcPr>
            <w:tcW w:w="2729" w:type="dxa"/>
          </w:tcPr>
          <w:p w14:paraId="7F486B41" w14:textId="77777777" w:rsidR="005958FF" w:rsidRDefault="002C56A8" w:rsidP="006455DC">
            <w:pPr>
              <w:pStyle w:val="TableText"/>
              <w:spacing w:line="240" w:lineRule="auto"/>
            </w:pPr>
            <w:r w:rsidRPr="00061D40">
              <w:t xml:space="preserve">Previous </w:t>
            </w:r>
            <w:r w:rsidR="005958FF" w:rsidRPr="00061D40">
              <w:t>year’s Census</w:t>
            </w:r>
          </w:p>
          <w:p w14:paraId="7F486B42" w14:textId="77777777" w:rsidR="005E5A95" w:rsidRPr="005E5A95" w:rsidRDefault="005E5A95" w:rsidP="006455DC">
            <w:pPr>
              <w:pStyle w:val="TableText"/>
              <w:spacing w:line="240" w:lineRule="auto"/>
              <w:rPr>
                <w:color w:val="FFFFFF" w:themeColor="background1"/>
              </w:rPr>
            </w:pPr>
            <w:r w:rsidRPr="005E5A95">
              <w:rPr>
                <w:color w:val="FFFFFF" w:themeColor="background1"/>
              </w:rPr>
              <w:t>-</w:t>
            </w:r>
          </w:p>
        </w:tc>
      </w:tr>
    </w:tbl>
    <w:p w14:paraId="7F486B44" w14:textId="77777777" w:rsidR="00E90F2A" w:rsidRPr="00061D40" w:rsidRDefault="00E90F2A" w:rsidP="00E90F2A">
      <w:pPr>
        <w:pStyle w:val="TablefigureHeading1"/>
        <w:spacing w:after="60" w:line="240" w:lineRule="auto"/>
      </w:pPr>
      <w:r w:rsidRPr="00061D40">
        <w:t>Table H.</w:t>
      </w:r>
      <w:r>
        <w:t>4</w:t>
      </w:r>
      <w:r w:rsidRPr="00061D40">
        <w:t>: Payment Schedule for Indigenous Funding Guarantee</w:t>
      </w:r>
      <w:r>
        <w:t xml:space="preserve"> (Per Capita Approach)</w:t>
      </w:r>
    </w:p>
    <w:tbl>
      <w:tblPr>
        <w:tblW w:w="92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3069"/>
        <w:gridCol w:w="2729"/>
      </w:tblGrid>
      <w:tr w:rsidR="00E90F2A" w:rsidRPr="00061D40" w14:paraId="7F486B49" w14:textId="77777777" w:rsidTr="00E90F2A">
        <w:trPr>
          <w:cantSplit/>
        </w:trPr>
        <w:tc>
          <w:tcPr>
            <w:tcW w:w="1701" w:type="dxa"/>
            <w:shd w:val="clear" w:color="auto" w:fill="999999"/>
          </w:tcPr>
          <w:p w14:paraId="7F486B45" w14:textId="77777777" w:rsidR="00E90F2A" w:rsidRPr="00061D40" w:rsidRDefault="00E90F2A" w:rsidP="00E90F2A">
            <w:pPr>
              <w:pStyle w:val="TableHeading2"/>
              <w:spacing w:line="240" w:lineRule="auto"/>
            </w:pPr>
            <w:r w:rsidRPr="00061D40">
              <w:t>Payment</w:t>
            </w:r>
          </w:p>
        </w:tc>
        <w:tc>
          <w:tcPr>
            <w:tcW w:w="1701" w:type="dxa"/>
            <w:shd w:val="clear" w:color="auto" w:fill="999999"/>
          </w:tcPr>
          <w:p w14:paraId="7F486B46" w14:textId="77777777" w:rsidR="00E90F2A" w:rsidRPr="00061D40" w:rsidRDefault="00E90F2A" w:rsidP="00E90F2A">
            <w:pPr>
              <w:pStyle w:val="TableHeading2"/>
              <w:spacing w:line="240" w:lineRule="auto"/>
            </w:pPr>
            <w:r w:rsidRPr="00061D40">
              <w:t>During the month of</w:t>
            </w:r>
          </w:p>
        </w:tc>
        <w:tc>
          <w:tcPr>
            <w:tcW w:w="3069" w:type="dxa"/>
            <w:shd w:val="clear" w:color="auto" w:fill="999999"/>
          </w:tcPr>
          <w:p w14:paraId="7F486B47" w14:textId="77777777" w:rsidR="00E90F2A" w:rsidRPr="00061D40" w:rsidRDefault="00E90F2A" w:rsidP="00E90F2A">
            <w:pPr>
              <w:pStyle w:val="TableHeading2"/>
              <w:spacing w:line="240" w:lineRule="auto"/>
            </w:pPr>
            <w:r w:rsidRPr="00061D40">
              <w:t>Proportion of entitlement paid</w:t>
            </w:r>
          </w:p>
        </w:tc>
        <w:tc>
          <w:tcPr>
            <w:tcW w:w="2729" w:type="dxa"/>
            <w:shd w:val="clear" w:color="auto" w:fill="999999"/>
          </w:tcPr>
          <w:p w14:paraId="7F486B48" w14:textId="77777777" w:rsidR="00E90F2A" w:rsidRPr="00061D40" w:rsidRDefault="00E90F2A" w:rsidP="00E90F2A">
            <w:pPr>
              <w:pStyle w:val="TableHeading2"/>
              <w:spacing w:line="240" w:lineRule="auto"/>
            </w:pPr>
            <w:r w:rsidRPr="00061D40">
              <w:t>Enrolments</w:t>
            </w:r>
          </w:p>
        </w:tc>
      </w:tr>
      <w:tr w:rsidR="00E90F2A" w:rsidRPr="00061D40" w14:paraId="7F486B4E" w14:textId="77777777" w:rsidTr="00E90F2A">
        <w:trPr>
          <w:cantSplit/>
        </w:trPr>
        <w:tc>
          <w:tcPr>
            <w:tcW w:w="1701" w:type="dxa"/>
          </w:tcPr>
          <w:p w14:paraId="7F486B4A" w14:textId="77777777" w:rsidR="00E90F2A" w:rsidRPr="00061D40" w:rsidRDefault="00E90F2A" w:rsidP="00E90F2A">
            <w:pPr>
              <w:pStyle w:val="TableText"/>
              <w:spacing w:line="240" w:lineRule="auto"/>
            </w:pPr>
            <w:r>
              <w:t>Full entitlement</w:t>
            </w:r>
          </w:p>
        </w:tc>
        <w:tc>
          <w:tcPr>
            <w:tcW w:w="1701" w:type="dxa"/>
          </w:tcPr>
          <w:p w14:paraId="7F486B4B" w14:textId="77777777" w:rsidR="00E90F2A" w:rsidRPr="00061D40" w:rsidRDefault="00E90F2A" w:rsidP="00E90F2A">
            <w:pPr>
              <w:pStyle w:val="TableText"/>
              <w:spacing w:line="240" w:lineRule="auto"/>
            </w:pPr>
            <w:r w:rsidRPr="00061D40">
              <w:t>October</w:t>
            </w:r>
          </w:p>
        </w:tc>
        <w:tc>
          <w:tcPr>
            <w:tcW w:w="3069" w:type="dxa"/>
          </w:tcPr>
          <w:p w14:paraId="7F486B4C" w14:textId="77777777" w:rsidR="00E90F2A" w:rsidRPr="00061D40" w:rsidRDefault="00E90F2A" w:rsidP="00E90F2A">
            <w:pPr>
              <w:pStyle w:val="TableText"/>
              <w:spacing w:line="240" w:lineRule="auto"/>
            </w:pPr>
            <w:r w:rsidRPr="00061D40">
              <w:t>100% of actual entitlement</w:t>
            </w:r>
          </w:p>
        </w:tc>
        <w:tc>
          <w:tcPr>
            <w:tcW w:w="2729" w:type="dxa"/>
          </w:tcPr>
          <w:p w14:paraId="7F486B4D" w14:textId="77777777" w:rsidR="00E90F2A" w:rsidRPr="00061D40" w:rsidRDefault="00E90F2A" w:rsidP="00E90F2A">
            <w:pPr>
              <w:pStyle w:val="TableText"/>
              <w:spacing w:line="240" w:lineRule="auto"/>
            </w:pPr>
            <w:r>
              <w:t xml:space="preserve">Current </w:t>
            </w:r>
            <w:r w:rsidRPr="00061D40">
              <w:t>year’s Census</w:t>
            </w:r>
          </w:p>
        </w:tc>
      </w:tr>
    </w:tbl>
    <w:p w14:paraId="7F486B4F" w14:textId="77777777" w:rsidR="00FD02E7" w:rsidRPr="00061D40" w:rsidRDefault="00FD02E7" w:rsidP="00CB4B88"/>
    <w:p w14:paraId="7F486B50" w14:textId="77777777" w:rsidR="0056502E" w:rsidRPr="00061D40" w:rsidRDefault="00FD02E7" w:rsidP="003F1936">
      <w:pPr>
        <w:pStyle w:val="TablefigureHeading1"/>
        <w:spacing w:after="60" w:line="240" w:lineRule="auto"/>
      </w:pPr>
      <w:r w:rsidRPr="00061D40">
        <w:br w:type="page"/>
      </w:r>
      <w:r w:rsidR="005958FF" w:rsidRPr="00061D40">
        <w:t xml:space="preserve">Table </w:t>
      </w:r>
      <w:r w:rsidR="00845AF6" w:rsidRPr="00061D40">
        <w:t>H.</w:t>
      </w:r>
      <w:r w:rsidR="00434D9E">
        <w:t>5</w:t>
      </w:r>
      <w:r w:rsidR="005958FF" w:rsidRPr="00061D40">
        <w:t>: SES funding levels for Non-government Schools</w:t>
      </w:r>
    </w:p>
    <w:p w14:paraId="7F486B51" w14:textId="77777777" w:rsidR="00CE3434" w:rsidRPr="00061D40" w:rsidRDefault="00CE3434" w:rsidP="003F1936">
      <w:pPr>
        <w:pStyle w:val="TablefigureHeading1"/>
        <w:spacing w:after="60" w:line="240" w:lineRule="auto"/>
        <w:rPr>
          <w:b/>
          <w:bCs/>
          <w:sz w:val="22"/>
          <w:szCs w:val="22"/>
        </w:rPr>
        <w:sectPr w:rsidR="00CE3434" w:rsidRPr="00061D40" w:rsidSect="00963340">
          <w:pgSz w:w="11906" w:h="16838" w:code="9"/>
          <w:pgMar w:top="1418" w:right="1418" w:bottom="1134" w:left="1418" w:header="567" w:footer="567" w:gutter="0"/>
          <w:cols w:space="720"/>
          <w:docGrid w:linePitch="272"/>
        </w:sectPr>
      </w:pPr>
    </w:p>
    <w:tbl>
      <w:tblPr>
        <w:tblW w:w="0" w:type="auto"/>
        <w:tblInd w:w="108" w:type="dxa"/>
        <w:tblLayout w:type="fixed"/>
        <w:tblLook w:val="0000" w:firstRow="0" w:lastRow="0" w:firstColumn="0" w:lastColumn="0" w:noHBand="0" w:noVBand="0"/>
      </w:tblPr>
      <w:tblGrid>
        <w:gridCol w:w="1739"/>
        <w:gridCol w:w="1847"/>
      </w:tblGrid>
      <w:tr w:rsidR="0056502E" w:rsidRPr="00061D40" w14:paraId="7F486B55" w14:textId="77777777" w:rsidTr="00845AF6">
        <w:trPr>
          <w:cantSplit/>
          <w:tblHeader/>
        </w:trPr>
        <w:tc>
          <w:tcPr>
            <w:tcW w:w="1739" w:type="dxa"/>
            <w:tcBorders>
              <w:top w:val="single" w:sz="4" w:space="0" w:color="auto"/>
              <w:left w:val="single" w:sz="4" w:space="0" w:color="auto"/>
              <w:bottom w:val="single" w:sz="4" w:space="0" w:color="auto"/>
              <w:right w:val="single" w:sz="4" w:space="0" w:color="auto"/>
            </w:tcBorders>
            <w:shd w:val="clear" w:color="auto" w:fill="999999"/>
          </w:tcPr>
          <w:p w14:paraId="7F486B52" w14:textId="77777777" w:rsidR="0056502E" w:rsidRPr="00061D40" w:rsidRDefault="0056502E" w:rsidP="006455DC">
            <w:pPr>
              <w:pStyle w:val="TableHeading2"/>
              <w:spacing w:line="240" w:lineRule="auto"/>
            </w:pPr>
            <w:r w:rsidRPr="00061D40">
              <w:t>SES score</w:t>
            </w:r>
          </w:p>
        </w:tc>
        <w:tc>
          <w:tcPr>
            <w:tcW w:w="1847" w:type="dxa"/>
            <w:tcBorders>
              <w:top w:val="single" w:sz="4" w:space="0" w:color="auto"/>
              <w:left w:val="single" w:sz="4" w:space="0" w:color="auto"/>
              <w:bottom w:val="single" w:sz="4" w:space="0" w:color="auto"/>
              <w:right w:val="single" w:sz="4" w:space="0" w:color="auto"/>
            </w:tcBorders>
            <w:shd w:val="clear" w:color="auto" w:fill="999999"/>
          </w:tcPr>
          <w:p w14:paraId="7F486B53" w14:textId="77777777" w:rsidR="0056502E" w:rsidRPr="00061D40" w:rsidRDefault="0056502E" w:rsidP="006455DC">
            <w:pPr>
              <w:pStyle w:val="TableHeading2"/>
              <w:spacing w:line="240" w:lineRule="auto"/>
            </w:pPr>
            <w:r w:rsidRPr="00061D40">
              <w:t>SES funding level</w:t>
            </w:r>
          </w:p>
          <w:p w14:paraId="7F486B54" w14:textId="77777777" w:rsidR="0056502E" w:rsidRPr="00061D40" w:rsidRDefault="0056502E" w:rsidP="006455DC">
            <w:pPr>
              <w:pStyle w:val="TableHeading2"/>
              <w:spacing w:line="240" w:lineRule="auto"/>
            </w:pPr>
            <w:r w:rsidRPr="00061D40">
              <w:t>(% of AGSRC)</w:t>
            </w:r>
          </w:p>
        </w:tc>
      </w:tr>
      <w:tr w:rsidR="0056502E" w:rsidRPr="00061D40" w14:paraId="7F486B58"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56" w14:textId="77777777" w:rsidR="0056502E" w:rsidRPr="00061D40" w:rsidRDefault="0056502E" w:rsidP="006455DC">
            <w:pPr>
              <w:pStyle w:val="TableText"/>
              <w:spacing w:line="240" w:lineRule="auto"/>
            </w:pPr>
            <w:r w:rsidRPr="00061D40">
              <w:t>130 or greater</w:t>
            </w:r>
          </w:p>
        </w:tc>
        <w:tc>
          <w:tcPr>
            <w:tcW w:w="1847" w:type="dxa"/>
            <w:tcBorders>
              <w:top w:val="single" w:sz="4" w:space="0" w:color="auto"/>
              <w:left w:val="single" w:sz="4" w:space="0" w:color="auto"/>
              <w:bottom w:val="single" w:sz="4" w:space="0" w:color="auto"/>
              <w:right w:val="single" w:sz="4" w:space="0" w:color="auto"/>
            </w:tcBorders>
          </w:tcPr>
          <w:p w14:paraId="7F486B57" w14:textId="77777777" w:rsidR="0056502E" w:rsidRPr="00061D40" w:rsidRDefault="0056502E" w:rsidP="006455DC">
            <w:pPr>
              <w:pStyle w:val="TableText"/>
              <w:spacing w:line="240" w:lineRule="auto"/>
            </w:pPr>
            <w:r w:rsidRPr="00061D40">
              <w:t>13.7</w:t>
            </w:r>
          </w:p>
        </w:tc>
      </w:tr>
      <w:tr w:rsidR="0056502E" w:rsidRPr="00061D40" w14:paraId="7F486B5B" w14:textId="77777777" w:rsidTr="0056502E">
        <w:trPr>
          <w:cantSplit/>
          <w:trHeight w:val="195"/>
        </w:trPr>
        <w:tc>
          <w:tcPr>
            <w:tcW w:w="1739" w:type="dxa"/>
            <w:tcBorders>
              <w:top w:val="single" w:sz="4" w:space="0" w:color="auto"/>
              <w:left w:val="single" w:sz="4" w:space="0" w:color="auto"/>
              <w:bottom w:val="single" w:sz="4" w:space="0" w:color="auto"/>
              <w:right w:val="single" w:sz="4" w:space="0" w:color="auto"/>
            </w:tcBorders>
          </w:tcPr>
          <w:p w14:paraId="7F486B59" w14:textId="77777777" w:rsidR="0056502E" w:rsidRPr="00061D40" w:rsidRDefault="0056502E" w:rsidP="006455DC">
            <w:pPr>
              <w:pStyle w:val="TableText"/>
              <w:spacing w:line="240" w:lineRule="auto"/>
            </w:pPr>
            <w:r w:rsidRPr="00061D40">
              <w:t>129</w:t>
            </w:r>
          </w:p>
        </w:tc>
        <w:tc>
          <w:tcPr>
            <w:tcW w:w="1847" w:type="dxa"/>
            <w:tcBorders>
              <w:top w:val="single" w:sz="4" w:space="0" w:color="auto"/>
              <w:left w:val="single" w:sz="4" w:space="0" w:color="auto"/>
              <w:bottom w:val="single" w:sz="4" w:space="0" w:color="auto"/>
              <w:right w:val="single" w:sz="4" w:space="0" w:color="auto"/>
            </w:tcBorders>
          </w:tcPr>
          <w:p w14:paraId="7F486B5A" w14:textId="77777777" w:rsidR="0056502E" w:rsidRPr="00061D40" w:rsidRDefault="0056502E" w:rsidP="006455DC">
            <w:pPr>
              <w:pStyle w:val="TableText"/>
              <w:spacing w:line="240" w:lineRule="auto"/>
            </w:pPr>
            <w:r w:rsidRPr="00061D40">
              <w:t>15.0</w:t>
            </w:r>
          </w:p>
        </w:tc>
      </w:tr>
      <w:tr w:rsidR="0056502E" w:rsidRPr="00061D40" w14:paraId="7F486B5E"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5C" w14:textId="77777777" w:rsidR="0056502E" w:rsidRPr="00061D40" w:rsidRDefault="0056502E" w:rsidP="006455DC">
            <w:pPr>
              <w:pStyle w:val="TableText"/>
              <w:spacing w:line="240" w:lineRule="auto"/>
            </w:pPr>
            <w:r w:rsidRPr="00061D40">
              <w:t>128</w:t>
            </w:r>
          </w:p>
        </w:tc>
        <w:tc>
          <w:tcPr>
            <w:tcW w:w="1847" w:type="dxa"/>
            <w:tcBorders>
              <w:top w:val="single" w:sz="4" w:space="0" w:color="auto"/>
              <w:left w:val="single" w:sz="4" w:space="0" w:color="auto"/>
              <w:bottom w:val="single" w:sz="4" w:space="0" w:color="auto"/>
              <w:right w:val="single" w:sz="4" w:space="0" w:color="auto"/>
            </w:tcBorders>
          </w:tcPr>
          <w:p w14:paraId="7F486B5D" w14:textId="77777777" w:rsidR="0056502E" w:rsidRPr="00061D40" w:rsidRDefault="0056502E" w:rsidP="006455DC">
            <w:pPr>
              <w:pStyle w:val="TableText"/>
              <w:spacing w:line="240" w:lineRule="auto"/>
            </w:pPr>
            <w:r w:rsidRPr="00061D40">
              <w:t>16.2</w:t>
            </w:r>
          </w:p>
        </w:tc>
      </w:tr>
      <w:tr w:rsidR="0056502E" w:rsidRPr="00061D40" w14:paraId="7F486B61"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5F" w14:textId="77777777" w:rsidR="0056502E" w:rsidRPr="00061D40" w:rsidRDefault="0056502E" w:rsidP="006455DC">
            <w:pPr>
              <w:pStyle w:val="TableText"/>
              <w:spacing w:line="240" w:lineRule="auto"/>
            </w:pPr>
            <w:r w:rsidRPr="00061D40">
              <w:t>127</w:t>
            </w:r>
          </w:p>
        </w:tc>
        <w:tc>
          <w:tcPr>
            <w:tcW w:w="1847" w:type="dxa"/>
            <w:tcBorders>
              <w:top w:val="single" w:sz="4" w:space="0" w:color="auto"/>
              <w:left w:val="single" w:sz="4" w:space="0" w:color="auto"/>
              <w:bottom w:val="single" w:sz="4" w:space="0" w:color="auto"/>
              <w:right w:val="single" w:sz="4" w:space="0" w:color="auto"/>
            </w:tcBorders>
          </w:tcPr>
          <w:p w14:paraId="7F486B60" w14:textId="77777777" w:rsidR="0056502E" w:rsidRPr="00061D40" w:rsidRDefault="0056502E" w:rsidP="006455DC">
            <w:pPr>
              <w:pStyle w:val="TableText"/>
              <w:spacing w:line="240" w:lineRule="auto"/>
            </w:pPr>
            <w:r w:rsidRPr="00061D40">
              <w:t>17.5</w:t>
            </w:r>
          </w:p>
        </w:tc>
      </w:tr>
      <w:tr w:rsidR="0056502E" w:rsidRPr="00061D40" w14:paraId="7F486B64"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62" w14:textId="77777777" w:rsidR="0056502E" w:rsidRPr="00061D40" w:rsidRDefault="0056502E" w:rsidP="006455DC">
            <w:pPr>
              <w:pStyle w:val="TableText"/>
              <w:spacing w:line="240" w:lineRule="auto"/>
            </w:pPr>
            <w:r w:rsidRPr="00061D40">
              <w:t>126</w:t>
            </w:r>
          </w:p>
        </w:tc>
        <w:tc>
          <w:tcPr>
            <w:tcW w:w="1847" w:type="dxa"/>
            <w:tcBorders>
              <w:top w:val="single" w:sz="4" w:space="0" w:color="auto"/>
              <w:left w:val="single" w:sz="4" w:space="0" w:color="auto"/>
              <w:bottom w:val="single" w:sz="4" w:space="0" w:color="auto"/>
              <w:right w:val="single" w:sz="4" w:space="0" w:color="auto"/>
            </w:tcBorders>
          </w:tcPr>
          <w:p w14:paraId="7F486B63" w14:textId="77777777" w:rsidR="0056502E" w:rsidRPr="00061D40" w:rsidRDefault="0056502E" w:rsidP="006455DC">
            <w:pPr>
              <w:pStyle w:val="TableText"/>
              <w:spacing w:line="240" w:lineRule="auto"/>
            </w:pPr>
            <w:r w:rsidRPr="00061D40">
              <w:t>18.7</w:t>
            </w:r>
          </w:p>
        </w:tc>
      </w:tr>
      <w:tr w:rsidR="0056502E" w:rsidRPr="00061D40" w14:paraId="7F486B67"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65" w14:textId="77777777" w:rsidR="0056502E" w:rsidRPr="00061D40" w:rsidRDefault="0056502E" w:rsidP="006455DC">
            <w:pPr>
              <w:pStyle w:val="TableText"/>
              <w:spacing w:line="240" w:lineRule="auto"/>
            </w:pPr>
            <w:r w:rsidRPr="00061D40">
              <w:t>125</w:t>
            </w:r>
          </w:p>
        </w:tc>
        <w:tc>
          <w:tcPr>
            <w:tcW w:w="1847" w:type="dxa"/>
            <w:tcBorders>
              <w:top w:val="single" w:sz="4" w:space="0" w:color="auto"/>
              <w:left w:val="single" w:sz="4" w:space="0" w:color="auto"/>
              <w:bottom w:val="single" w:sz="4" w:space="0" w:color="auto"/>
              <w:right w:val="single" w:sz="4" w:space="0" w:color="auto"/>
            </w:tcBorders>
          </w:tcPr>
          <w:p w14:paraId="7F486B66" w14:textId="77777777" w:rsidR="0056502E" w:rsidRPr="00061D40" w:rsidRDefault="0056502E" w:rsidP="006455DC">
            <w:pPr>
              <w:pStyle w:val="TableText"/>
              <w:spacing w:line="240" w:lineRule="auto"/>
            </w:pPr>
            <w:r w:rsidRPr="00061D40">
              <w:t>20.0</w:t>
            </w:r>
          </w:p>
        </w:tc>
      </w:tr>
      <w:tr w:rsidR="0056502E" w:rsidRPr="00061D40" w14:paraId="7F486B6A"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68" w14:textId="77777777" w:rsidR="0056502E" w:rsidRPr="00061D40" w:rsidRDefault="0056502E" w:rsidP="006455DC">
            <w:pPr>
              <w:pStyle w:val="TableText"/>
              <w:spacing w:line="240" w:lineRule="auto"/>
            </w:pPr>
            <w:r w:rsidRPr="00061D40">
              <w:t>124</w:t>
            </w:r>
          </w:p>
        </w:tc>
        <w:tc>
          <w:tcPr>
            <w:tcW w:w="1847" w:type="dxa"/>
            <w:tcBorders>
              <w:top w:val="single" w:sz="4" w:space="0" w:color="auto"/>
              <w:left w:val="single" w:sz="4" w:space="0" w:color="auto"/>
              <w:bottom w:val="single" w:sz="4" w:space="0" w:color="auto"/>
              <w:right w:val="single" w:sz="4" w:space="0" w:color="auto"/>
            </w:tcBorders>
          </w:tcPr>
          <w:p w14:paraId="7F486B69" w14:textId="77777777" w:rsidR="0056502E" w:rsidRPr="00061D40" w:rsidRDefault="0056502E" w:rsidP="006455DC">
            <w:pPr>
              <w:pStyle w:val="TableText"/>
              <w:spacing w:line="240" w:lineRule="auto"/>
            </w:pPr>
            <w:r w:rsidRPr="00061D40">
              <w:t>21.2</w:t>
            </w:r>
          </w:p>
        </w:tc>
      </w:tr>
      <w:tr w:rsidR="0056502E" w:rsidRPr="00061D40" w14:paraId="7F486B6D"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6B" w14:textId="77777777" w:rsidR="0056502E" w:rsidRPr="00061D40" w:rsidRDefault="0056502E" w:rsidP="006455DC">
            <w:pPr>
              <w:pStyle w:val="TableText"/>
              <w:spacing w:line="240" w:lineRule="auto"/>
            </w:pPr>
            <w:r w:rsidRPr="00061D40">
              <w:t>123</w:t>
            </w:r>
          </w:p>
        </w:tc>
        <w:tc>
          <w:tcPr>
            <w:tcW w:w="1847" w:type="dxa"/>
            <w:tcBorders>
              <w:top w:val="single" w:sz="4" w:space="0" w:color="auto"/>
              <w:left w:val="single" w:sz="4" w:space="0" w:color="auto"/>
              <w:bottom w:val="single" w:sz="4" w:space="0" w:color="auto"/>
              <w:right w:val="single" w:sz="4" w:space="0" w:color="auto"/>
            </w:tcBorders>
          </w:tcPr>
          <w:p w14:paraId="7F486B6C" w14:textId="77777777" w:rsidR="0056502E" w:rsidRPr="00061D40" w:rsidRDefault="0056502E" w:rsidP="006455DC">
            <w:pPr>
              <w:pStyle w:val="TableText"/>
              <w:spacing w:line="240" w:lineRule="auto"/>
            </w:pPr>
            <w:r w:rsidRPr="00061D40">
              <w:t>22.5</w:t>
            </w:r>
          </w:p>
        </w:tc>
      </w:tr>
      <w:tr w:rsidR="0056502E" w:rsidRPr="00061D40" w14:paraId="7F486B70"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6E" w14:textId="77777777" w:rsidR="0056502E" w:rsidRPr="00061D40" w:rsidRDefault="0056502E" w:rsidP="006455DC">
            <w:pPr>
              <w:pStyle w:val="TableText"/>
              <w:spacing w:line="240" w:lineRule="auto"/>
            </w:pPr>
            <w:r w:rsidRPr="00061D40">
              <w:t>122</w:t>
            </w:r>
          </w:p>
        </w:tc>
        <w:tc>
          <w:tcPr>
            <w:tcW w:w="1847" w:type="dxa"/>
            <w:tcBorders>
              <w:top w:val="single" w:sz="4" w:space="0" w:color="auto"/>
              <w:left w:val="single" w:sz="4" w:space="0" w:color="auto"/>
              <w:bottom w:val="single" w:sz="4" w:space="0" w:color="auto"/>
              <w:right w:val="single" w:sz="4" w:space="0" w:color="auto"/>
            </w:tcBorders>
          </w:tcPr>
          <w:p w14:paraId="7F486B6F" w14:textId="77777777" w:rsidR="0056502E" w:rsidRPr="00061D40" w:rsidRDefault="0056502E" w:rsidP="006455DC">
            <w:pPr>
              <w:pStyle w:val="TableText"/>
              <w:spacing w:line="240" w:lineRule="auto"/>
            </w:pPr>
            <w:r w:rsidRPr="00061D40">
              <w:t>23.7</w:t>
            </w:r>
          </w:p>
        </w:tc>
      </w:tr>
      <w:tr w:rsidR="0056502E" w:rsidRPr="00061D40" w14:paraId="7F486B73"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71" w14:textId="77777777" w:rsidR="0056502E" w:rsidRPr="00061D40" w:rsidRDefault="0056502E" w:rsidP="006455DC">
            <w:pPr>
              <w:pStyle w:val="TableText"/>
              <w:spacing w:line="240" w:lineRule="auto"/>
            </w:pPr>
            <w:r w:rsidRPr="00061D40">
              <w:t>121</w:t>
            </w:r>
          </w:p>
        </w:tc>
        <w:tc>
          <w:tcPr>
            <w:tcW w:w="1847" w:type="dxa"/>
            <w:tcBorders>
              <w:top w:val="single" w:sz="4" w:space="0" w:color="auto"/>
              <w:left w:val="single" w:sz="4" w:space="0" w:color="auto"/>
              <w:bottom w:val="single" w:sz="4" w:space="0" w:color="auto"/>
              <w:right w:val="single" w:sz="4" w:space="0" w:color="auto"/>
            </w:tcBorders>
          </w:tcPr>
          <w:p w14:paraId="7F486B72" w14:textId="77777777" w:rsidR="0056502E" w:rsidRPr="00061D40" w:rsidRDefault="0056502E" w:rsidP="006455DC">
            <w:pPr>
              <w:pStyle w:val="TableText"/>
              <w:spacing w:line="240" w:lineRule="auto"/>
            </w:pPr>
            <w:r w:rsidRPr="00061D40">
              <w:t>25.0</w:t>
            </w:r>
          </w:p>
        </w:tc>
      </w:tr>
      <w:tr w:rsidR="0056502E" w:rsidRPr="00061D40" w14:paraId="7F486B76"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74" w14:textId="77777777" w:rsidR="0056502E" w:rsidRPr="00061D40" w:rsidRDefault="0056502E" w:rsidP="006455DC">
            <w:pPr>
              <w:pStyle w:val="TableText"/>
              <w:spacing w:line="240" w:lineRule="auto"/>
            </w:pPr>
            <w:r w:rsidRPr="00061D40">
              <w:t>120</w:t>
            </w:r>
          </w:p>
        </w:tc>
        <w:tc>
          <w:tcPr>
            <w:tcW w:w="1847" w:type="dxa"/>
            <w:tcBorders>
              <w:top w:val="single" w:sz="4" w:space="0" w:color="auto"/>
              <w:left w:val="single" w:sz="4" w:space="0" w:color="auto"/>
              <w:bottom w:val="single" w:sz="4" w:space="0" w:color="auto"/>
              <w:right w:val="single" w:sz="4" w:space="0" w:color="auto"/>
            </w:tcBorders>
          </w:tcPr>
          <w:p w14:paraId="7F486B75" w14:textId="77777777" w:rsidR="0056502E" w:rsidRPr="00061D40" w:rsidRDefault="0056502E" w:rsidP="006455DC">
            <w:pPr>
              <w:pStyle w:val="TableText"/>
              <w:spacing w:line="240" w:lineRule="auto"/>
            </w:pPr>
            <w:r w:rsidRPr="00061D40">
              <w:t>26.2</w:t>
            </w:r>
          </w:p>
        </w:tc>
      </w:tr>
      <w:tr w:rsidR="0056502E" w:rsidRPr="00061D40" w14:paraId="7F486B79"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77" w14:textId="77777777" w:rsidR="0056502E" w:rsidRPr="00061D40" w:rsidRDefault="0056502E" w:rsidP="006455DC">
            <w:pPr>
              <w:pStyle w:val="TableText"/>
              <w:spacing w:line="240" w:lineRule="auto"/>
            </w:pPr>
            <w:r w:rsidRPr="00061D40">
              <w:t>119</w:t>
            </w:r>
          </w:p>
        </w:tc>
        <w:tc>
          <w:tcPr>
            <w:tcW w:w="1847" w:type="dxa"/>
            <w:tcBorders>
              <w:top w:val="single" w:sz="4" w:space="0" w:color="auto"/>
              <w:left w:val="single" w:sz="4" w:space="0" w:color="auto"/>
              <w:bottom w:val="single" w:sz="4" w:space="0" w:color="auto"/>
              <w:right w:val="single" w:sz="4" w:space="0" w:color="auto"/>
            </w:tcBorders>
          </w:tcPr>
          <w:p w14:paraId="7F486B78" w14:textId="77777777" w:rsidR="0056502E" w:rsidRPr="00061D40" w:rsidRDefault="0056502E" w:rsidP="006455DC">
            <w:pPr>
              <w:pStyle w:val="TableText"/>
              <w:spacing w:line="240" w:lineRule="auto"/>
            </w:pPr>
            <w:r w:rsidRPr="00061D40">
              <w:t>27.5</w:t>
            </w:r>
          </w:p>
        </w:tc>
      </w:tr>
      <w:tr w:rsidR="0056502E" w:rsidRPr="00061D40" w14:paraId="7F486B7C"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7A" w14:textId="77777777" w:rsidR="0056502E" w:rsidRPr="00061D40" w:rsidRDefault="0056502E" w:rsidP="006455DC">
            <w:pPr>
              <w:pStyle w:val="TableText"/>
              <w:spacing w:line="240" w:lineRule="auto"/>
            </w:pPr>
            <w:r w:rsidRPr="00061D40">
              <w:t>118</w:t>
            </w:r>
          </w:p>
        </w:tc>
        <w:tc>
          <w:tcPr>
            <w:tcW w:w="1847" w:type="dxa"/>
            <w:tcBorders>
              <w:top w:val="single" w:sz="4" w:space="0" w:color="auto"/>
              <w:left w:val="single" w:sz="4" w:space="0" w:color="auto"/>
              <w:bottom w:val="single" w:sz="4" w:space="0" w:color="auto"/>
              <w:right w:val="single" w:sz="4" w:space="0" w:color="auto"/>
            </w:tcBorders>
          </w:tcPr>
          <w:p w14:paraId="7F486B7B" w14:textId="77777777" w:rsidR="0056502E" w:rsidRPr="00061D40" w:rsidRDefault="0056502E" w:rsidP="006455DC">
            <w:pPr>
              <w:pStyle w:val="TableText"/>
              <w:spacing w:line="240" w:lineRule="auto"/>
            </w:pPr>
            <w:r w:rsidRPr="00061D40">
              <w:t>28.7</w:t>
            </w:r>
          </w:p>
        </w:tc>
      </w:tr>
      <w:tr w:rsidR="0056502E" w:rsidRPr="00061D40" w14:paraId="7F486B7F"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7D" w14:textId="77777777" w:rsidR="0056502E" w:rsidRPr="00061D40" w:rsidRDefault="0056502E" w:rsidP="006455DC">
            <w:pPr>
              <w:pStyle w:val="TableText"/>
              <w:spacing w:line="240" w:lineRule="auto"/>
            </w:pPr>
            <w:r w:rsidRPr="00061D40">
              <w:t>117</w:t>
            </w:r>
          </w:p>
        </w:tc>
        <w:tc>
          <w:tcPr>
            <w:tcW w:w="1847" w:type="dxa"/>
            <w:tcBorders>
              <w:top w:val="single" w:sz="4" w:space="0" w:color="auto"/>
              <w:left w:val="single" w:sz="4" w:space="0" w:color="auto"/>
              <w:bottom w:val="single" w:sz="4" w:space="0" w:color="auto"/>
              <w:right w:val="single" w:sz="4" w:space="0" w:color="auto"/>
            </w:tcBorders>
          </w:tcPr>
          <w:p w14:paraId="7F486B7E" w14:textId="77777777" w:rsidR="0056502E" w:rsidRPr="00061D40" w:rsidRDefault="0056502E" w:rsidP="006455DC">
            <w:pPr>
              <w:pStyle w:val="TableText"/>
              <w:spacing w:line="240" w:lineRule="auto"/>
            </w:pPr>
            <w:r w:rsidRPr="00061D40">
              <w:t>30.0</w:t>
            </w:r>
          </w:p>
        </w:tc>
      </w:tr>
      <w:tr w:rsidR="0056502E" w:rsidRPr="00061D40" w14:paraId="7F486B82"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80" w14:textId="77777777" w:rsidR="0056502E" w:rsidRPr="00061D40" w:rsidRDefault="0056502E" w:rsidP="006455DC">
            <w:pPr>
              <w:pStyle w:val="TableText"/>
              <w:spacing w:line="240" w:lineRule="auto"/>
            </w:pPr>
            <w:r w:rsidRPr="00061D40">
              <w:t>116</w:t>
            </w:r>
          </w:p>
        </w:tc>
        <w:tc>
          <w:tcPr>
            <w:tcW w:w="1847" w:type="dxa"/>
            <w:tcBorders>
              <w:top w:val="single" w:sz="4" w:space="0" w:color="auto"/>
              <w:left w:val="single" w:sz="4" w:space="0" w:color="auto"/>
              <w:bottom w:val="single" w:sz="4" w:space="0" w:color="auto"/>
              <w:right w:val="single" w:sz="4" w:space="0" w:color="auto"/>
            </w:tcBorders>
          </w:tcPr>
          <w:p w14:paraId="7F486B81" w14:textId="77777777" w:rsidR="0056502E" w:rsidRPr="00061D40" w:rsidRDefault="0056502E" w:rsidP="006455DC">
            <w:pPr>
              <w:pStyle w:val="TableText"/>
              <w:spacing w:line="240" w:lineRule="auto"/>
            </w:pPr>
            <w:r w:rsidRPr="00061D40">
              <w:t>31.2</w:t>
            </w:r>
          </w:p>
        </w:tc>
      </w:tr>
      <w:tr w:rsidR="0056502E" w:rsidRPr="00061D40" w14:paraId="7F486B85"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83" w14:textId="77777777" w:rsidR="0056502E" w:rsidRPr="00061D40" w:rsidRDefault="0056502E" w:rsidP="006455DC">
            <w:pPr>
              <w:pStyle w:val="TableText"/>
              <w:spacing w:line="240" w:lineRule="auto"/>
            </w:pPr>
            <w:r w:rsidRPr="00061D40">
              <w:t>115</w:t>
            </w:r>
          </w:p>
        </w:tc>
        <w:tc>
          <w:tcPr>
            <w:tcW w:w="1847" w:type="dxa"/>
            <w:tcBorders>
              <w:top w:val="single" w:sz="4" w:space="0" w:color="auto"/>
              <w:left w:val="single" w:sz="4" w:space="0" w:color="auto"/>
              <w:bottom w:val="single" w:sz="4" w:space="0" w:color="auto"/>
              <w:right w:val="single" w:sz="4" w:space="0" w:color="auto"/>
            </w:tcBorders>
          </w:tcPr>
          <w:p w14:paraId="7F486B84" w14:textId="77777777" w:rsidR="0056502E" w:rsidRPr="00061D40" w:rsidRDefault="0056502E" w:rsidP="006455DC">
            <w:pPr>
              <w:pStyle w:val="TableText"/>
              <w:spacing w:line="240" w:lineRule="auto"/>
            </w:pPr>
            <w:r w:rsidRPr="00061D40">
              <w:t>32.5</w:t>
            </w:r>
          </w:p>
        </w:tc>
      </w:tr>
      <w:tr w:rsidR="0056502E" w:rsidRPr="00061D40" w14:paraId="7F486B88"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86" w14:textId="77777777" w:rsidR="0056502E" w:rsidRPr="00061D40" w:rsidRDefault="0056502E" w:rsidP="006455DC">
            <w:pPr>
              <w:pStyle w:val="TableText"/>
              <w:spacing w:line="240" w:lineRule="auto"/>
            </w:pPr>
            <w:r w:rsidRPr="00061D40">
              <w:t>114</w:t>
            </w:r>
          </w:p>
        </w:tc>
        <w:tc>
          <w:tcPr>
            <w:tcW w:w="1847" w:type="dxa"/>
            <w:tcBorders>
              <w:top w:val="single" w:sz="4" w:space="0" w:color="auto"/>
              <w:left w:val="single" w:sz="4" w:space="0" w:color="auto"/>
              <w:bottom w:val="single" w:sz="4" w:space="0" w:color="auto"/>
              <w:right w:val="single" w:sz="4" w:space="0" w:color="auto"/>
            </w:tcBorders>
          </w:tcPr>
          <w:p w14:paraId="7F486B87" w14:textId="77777777" w:rsidR="0056502E" w:rsidRPr="00061D40" w:rsidRDefault="0056502E" w:rsidP="006455DC">
            <w:pPr>
              <w:pStyle w:val="TableText"/>
              <w:spacing w:line="240" w:lineRule="auto"/>
            </w:pPr>
            <w:r w:rsidRPr="00061D40">
              <w:t>33.7</w:t>
            </w:r>
          </w:p>
        </w:tc>
      </w:tr>
      <w:tr w:rsidR="0056502E" w:rsidRPr="00061D40" w14:paraId="7F486B8B"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89" w14:textId="77777777" w:rsidR="0056502E" w:rsidRPr="00061D40" w:rsidRDefault="0056502E" w:rsidP="006455DC">
            <w:pPr>
              <w:pStyle w:val="TableText"/>
              <w:spacing w:line="240" w:lineRule="auto"/>
            </w:pPr>
            <w:r w:rsidRPr="00061D40">
              <w:t>113</w:t>
            </w:r>
          </w:p>
        </w:tc>
        <w:tc>
          <w:tcPr>
            <w:tcW w:w="1847" w:type="dxa"/>
            <w:tcBorders>
              <w:top w:val="single" w:sz="4" w:space="0" w:color="auto"/>
              <w:left w:val="single" w:sz="4" w:space="0" w:color="auto"/>
              <w:bottom w:val="single" w:sz="4" w:space="0" w:color="auto"/>
              <w:right w:val="single" w:sz="4" w:space="0" w:color="auto"/>
            </w:tcBorders>
          </w:tcPr>
          <w:p w14:paraId="7F486B8A" w14:textId="77777777" w:rsidR="0056502E" w:rsidRPr="00061D40" w:rsidRDefault="0056502E" w:rsidP="006455DC">
            <w:pPr>
              <w:pStyle w:val="TableText"/>
              <w:spacing w:line="240" w:lineRule="auto"/>
            </w:pPr>
            <w:r w:rsidRPr="00061D40">
              <w:t>35.0</w:t>
            </w:r>
          </w:p>
        </w:tc>
      </w:tr>
      <w:tr w:rsidR="0056502E" w:rsidRPr="00061D40" w14:paraId="7F486B8E"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8C" w14:textId="77777777" w:rsidR="0056502E" w:rsidRPr="00061D40" w:rsidRDefault="0056502E" w:rsidP="006455DC">
            <w:pPr>
              <w:pStyle w:val="TableText"/>
              <w:spacing w:line="240" w:lineRule="auto"/>
            </w:pPr>
            <w:r w:rsidRPr="00061D40">
              <w:t>112</w:t>
            </w:r>
          </w:p>
        </w:tc>
        <w:tc>
          <w:tcPr>
            <w:tcW w:w="1847" w:type="dxa"/>
            <w:tcBorders>
              <w:top w:val="single" w:sz="4" w:space="0" w:color="auto"/>
              <w:left w:val="single" w:sz="4" w:space="0" w:color="auto"/>
              <w:bottom w:val="single" w:sz="4" w:space="0" w:color="auto"/>
              <w:right w:val="single" w:sz="4" w:space="0" w:color="auto"/>
            </w:tcBorders>
          </w:tcPr>
          <w:p w14:paraId="7F486B8D" w14:textId="77777777" w:rsidR="0056502E" w:rsidRPr="00061D40" w:rsidRDefault="0056502E" w:rsidP="006455DC">
            <w:pPr>
              <w:pStyle w:val="TableText"/>
              <w:spacing w:line="240" w:lineRule="auto"/>
            </w:pPr>
            <w:r w:rsidRPr="00061D40">
              <w:t>36.2</w:t>
            </w:r>
          </w:p>
        </w:tc>
      </w:tr>
      <w:tr w:rsidR="0056502E" w:rsidRPr="00061D40" w14:paraId="7F486B91"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8F" w14:textId="77777777" w:rsidR="0056502E" w:rsidRPr="00061D40" w:rsidRDefault="0056502E" w:rsidP="006455DC">
            <w:pPr>
              <w:pStyle w:val="TableText"/>
              <w:spacing w:line="240" w:lineRule="auto"/>
            </w:pPr>
            <w:r w:rsidRPr="00061D40">
              <w:t>111</w:t>
            </w:r>
          </w:p>
        </w:tc>
        <w:tc>
          <w:tcPr>
            <w:tcW w:w="1847" w:type="dxa"/>
            <w:tcBorders>
              <w:top w:val="single" w:sz="4" w:space="0" w:color="auto"/>
              <w:left w:val="single" w:sz="4" w:space="0" w:color="auto"/>
              <w:bottom w:val="single" w:sz="4" w:space="0" w:color="auto"/>
              <w:right w:val="single" w:sz="4" w:space="0" w:color="auto"/>
            </w:tcBorders>
          </w:tcPr>
          <w:p w14:paraId="7F486B90" w14:textId="77777777" w:rsidR="0056502E" w:rsidRPr="00061D40" w:rsidRDefault="0056502E" w:rsidP="006455DC">
            <w:pPr>
              <w:pStyle w:val="TableText"/>
              <w:spacing w:line="240" w:lineRule="auto"/>
            </w:pPr>
            <w:r w:rsidRPr="00061D40">
              <w:t>37.5</w:t>
            </w:r>
          </w:p>
        </w:tc>
      </w:tr>
      <w:tr w:rsidR="0056502E" w:rsidRPr="00061D40" w14:paraId="7F486B94"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92" w14:textId="77777777" w:rsidR="0056502E" w:rsidRPr="00061D40" w:rsidRDefault="0056502E" w:rsidP="006455DC">
            <w:pPr>
              <w:pStyle w:val="TableText"/>
              <w:spacing w:line="240" w:lineRule="auto"/>
            </w:pPr>
            <w:r w:rsidRPr="00061D40">
              <w:t>110</w:t>
            </w:r>
          </w:p>
        </w:tc>
        <w:tc>
          <w:tcPr>
            <w:tcW w:w="1847" w:type="dxa"/>
            <w:tcBorders>
              <w:top w:val="single" w:sz="4" w:space="0" w:color="auto"/>
              <w:left w:val="single" w:sz="4" w:space="0" w:color="auto"/>
              <w:bottom w:val="single" w:sz="4" w:space="0" w:color="auto"/>
              <w:right w:val="single" w:sz="4" w:space="0" w:color="auto"/>
            </w:tcBorders>
          </w:tcPr>
          <w:p w14:paraId="7F486B93" w14:textId="77777777" w:rsidR="0056502E" w:rsidRPr="00061D40" w:rsidRDefault="0056502E" w:rsidP="006455DC">
            <w:pPr>
              <w:pStyle w:val="TableText"/>
              <w:spacing w:line="240" w:lineRule="auto"/>
            </w:pPr>
            <w:r w:rsidRPr="00061D40">
              <w:t>38.7</w:t>
            </w:r>
          </w:p>
        </w:tc>
      </w:tr>
      <w:tr w:rsidR="0056502E" w:rsidRPr="00061D40" w14:paraId="7F486B97" w14:textId="77777777" w:rsidTr="0056502E">
        <w:trPr>
          <w:cantSplit/>
        </w:trPr>
        <w:tc>
          <w:tcPr>
            <w:tcW w:w="1739" w:type="dxa"/>
            <w:tcBorders>
              <w:top w:val="single" w:sz="4" w:space="0" w:color="auto"/>
              <w:left w:val="single" w:sz="4" w:space="0" w:color="auto"/>
              <w:bottom w:val="single" w:sz="4" w:space="0" w:color="auto"/>
              <w:right w:val="single" w:sz="4" w:space="0" w:color="auto"/>
            </w:tcBorders>
          </w:tcPr>
          <w:p w14:paraId="7F486B95" w14:textId="77777777" w:rsidR="0056502E" w:rsidRPr="00061D40" w:rsidRDefault="0056502E" w:rsidP="006455DC">
            <w:pPr>
              <w:pStyle w:val="TableText"/>
              <w:spacing w:line="240" w:lineRule="auto"/>
            </w:pPr>
            <w:r w:rsidRPr="00061D40">
              <w:t>109</w:t>
            </w:r>
          </w:p>
        </w:tc>
        <w:tc>
          <w:tcPr>
            <w:tcW w:w="1847" w:type="dxa"/>
            <w:tcBorders>
              <w:top w:val="single" w:sz="4" w:space="0" w:color="auto"/>
              <w:left w:val="single" w:sz="4" w:space="0" w:color="auto"/>
              <w:bottom w:val="single" w:sz="4" w:space="0" w:color="auto"/>
              <w:right w:val="single" w:sz="4" w:space="0" w:color="auto"/>
            </w:tcBorders>
          </w:tcPr>
          <w:p w14:paraId="7F486B96" w14:textId="77777777" w:rsidR="0056502E" w:rsidRPr="00061D40" w:rsidRDefault="0056502E" w:rsidP="006455DC">
            <w:pPr>
              <w:pStyle w:val="TableText"/>
              <w:spacing w:line="240" w:lineRule="auto"/>
            </w:pPr>
            <w:r w:rsidRPr="00061D40">
              <w:t>40.0</w:t>
            </w:r>
          </w:p>
        </w:tc>
      </w:tr>
      <w:tr w:rsidR="0056502E" w:rsidRPr="00061D40" w14:paraId="7F486B9A"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98" w14:textId="77777777" w:rsidR="0056502E" w:rsidRPr="00061D40" w:rsidRDefault="0056502E" w:rsidP="006455DC">
            <w:pPr>
              <w:pStyle w:val="TableText"/>
              <w:spacing w:line="240" w:lineRule="auto"/>
            </w:pPr>
            <w:r w:rsidRPr="00061D40">
              <w:t>108</w:t>
            </w:r>
          </w:p>
        </w:tc>
        <w:tc>
          <w:tcPr>
            <w:tcW w:w="1847" w:type="dxa"/>
          </w:tcPr>
          <w:p w14:paraId="7F486B99" w14:textId="77777777" w:rsidR="0056502E" w:rsidRPr="00061D40" w:rsidRDefault="0056502E" w:rsidP="006455DC">
            <w:pPr>
              <w:pStyle w:val="TableText"/>
              <w:spacing w:line="240" w:lineRule="auto"/>
            </w:pPr>
            <w:r w:rsidRPr="00061D40">
              <w:t>41.2</w:t>
            </w:r>
          </w:p>
        </w:tc>
      </w:tr>
      <w:tr w:rsidR="0056502E" w:rsidRPr="00061D40" w14:paraId="7F486B9D"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9B" w14:textId="77777777" w:rsidR="0056502E" w:rsidRPr="00061D40" w:rsidRDefault="0056502E" w:rsidP="006455DC">
            <w:pPr>
              <w:pStyle w:val="TableText"/>
              <w:spacing w:line="240" w:lineRule="auto"/>
            </w:pPr>
            <w:r w:rsidRPr="00061D40">
              <w:t>107</w:t>
            </w:r>
          </w:p>
        </w:tc>
        <w:tc>
          <w:tcPr>
            <w:tcW w:w="1847" w:type="dxa"/>
          </w:tcPr>
          <w:p w14:paraId="7F486B9C" w14:textId="77777777" w:rsidR="0056502E" w:rsidRPr="00061D40" w:rsidRDefault="0056502E" w:rsidP="006455DC">
            <w:pPr>
              <w:pStyle w:val="TableText"/>
              <w:spacing w:line="240" w:lineRule="auto"/>
            </w:pPr>
            <w:r w:rsidRPr="00061D40">
              <w:t>42.5</w:t>
            </w:r>
          </w:p>
        </w:tc>
      </w:tr>
      <w:tr w:rsidR="0056502E" w:rsidRPr="00061D40" w14:paraId="7F486BA0"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9E" w14:textId="77777777" w:rsidR="0056502E" w:rsidRPr="00061D40" w:rsidRDefault="0056502E" w:rsidP="006455DC">
            <w:pPr>
              <w:pStyle w:val="TableText"/>
              <w:spacing w:line="240" w:lineRule="auto"/>
            </w:pPr>
            <w:r w:rsidRPr="00061D40">
              <w:t>106</w:t>
            </w:r>
          </w:p>
        </w:tc>
        <w:tc>
          <w:tcPr>
            <w:tcW w:w="1847" w:type="dxa"/>
          </w:tcPr>
          <w:p w14:paraId="7F486B9F" w14:textId="77777777" w:rsidR="0056502E" w:rsidRPr="00061D40" w:rsidRDefault="0056502E" w:rsidP="006455DC">
            <w:pPr>
              <w:pStyle w:val="TableText"/>
              <w:spacing w:line="240" w:lineRule="auto"/>
            </w:pPr>
            <w:r w:rsidRPr="00061D40">
              <w:t>43.7</w:t>
            </w:r>
          </w:p>
        </w:tc>
      </w:tr>
      <w:tr w:rsidR="0056502E" w:rsidRPr="00061D40" w14:paraId="7F486BA3"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A1" w14:textId="77777777" w:rsidR="0056502E" w:rsidRPr="00061D40" w:rsidRDefault="0056502E" w:rsidP="006455DC">
            <w:pPr>
              <w:pStyle w:val="TableText"/>
              <w:spacing w:line="240" w:lineRule="auto"/>
            </w:pPr>
            <w:r w:rsidRPr="00061D40">
              <w:t>105</w:t>
            </w:r>
          </w:p>
        </w:tc>
        <w:tc>
          <w:tcPr>
            <w:tcW w:w="1847" w:type="dxa"/>
          </w:tcPr>
          <w:p w14:paraId="7F486BA2" w14:textId="77777777" w:rsidR="0056502E" w:rsidRPr="00061D40" w:rsidRDefault="0056502E" w:rsidP="006455DC">
            <w:pPr>
              <w:pStyle w:val="TableText"/>
              <w:spacing w:line="240" w:lineRule="auto"/>
            </w:pPr>
            <w:r w:rsidRPr="00061D40">
              <w:t>45.0</w:t>
            </w:r>
          </w:p>
        </w:tc>
      </w:tr>
      <w:tr w:rsidR="0056502E" w:rsidRPr="00061D40" w14:paraId="7F486BA6"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A4" w14:textId="77777777" w:rsidR="0056502E" w:rsidRPr="00061D40" w:rsidRDefault="0056502E" w:rsidP="006455DC">
            <w:pPr>
              <w:pStyle w:val="TableText"/>
              <w:spacing w:line="240" w:lineRule="auto"/>
            </w:pPr>
            <w:r w:rsidRPr="00061D40">
              <w:t>104</w:t>
            </w:r>
          </w:p>
        </w:tc>
        <w:tc>
          <w:tcPr>
            <w:tcW w:w="1847" w:type="dxa"/>
          </w:tcPr>
          <w:p w14:paraId="7F486BA5" w14:textId="77777777" w:rsidR="0056502E" w:rsidRPr="00061D40" w:rsidRDefault="0056502E" w:rsidP="006455DC">
            <w:pPr>
              <w:pStyle w:val="TableText"/>
              <w:spacing w:line="240" w:lineRule="auto"/>
            </w:pPr>
            <w:r w:rsidRPr="00061D40">
              <w:t>46.2</w:t>
            </w:r>
          </w:p>
        </w:tc>
      </w:tr>
      <w:tr w:rsidR="0056502E" w:rsidRPr="00061D40" w14:paraId="7F486BA9"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A7" w14:textId="77777777" w:rsidR="0056502E" w:rsidRPr="00061D40" w:rsidRDefault="0056502E" w:rsidP="006455DC">
            <w:pPr>
              <w:pStyle w:val="TableText"/>
              <w:spacing w:line="240" w:lineRule="auto"/>
            </w:pPr>
            <w:r w:rsidRPr="00061D40">
              <w:t>103</w:t>
            </w:r>
          </w:p>
        </w:tc>
        <w:tc>
          <w:tcPr>
            <w:tcW w:w="1847" w:type="dxa"/>
          </w:tcPr>
          <w:p w14:paraId="7F486BA8" w14:textId="77777777" w:rsidR="0056502E" w:rsidRPr="00061D40" w:rsidRDefault="0056502E" w:rsidP="006455DC">
            <w:pPr>
              <w:pStyle w:val="TableText"/>
              <w:spacing w:line="240" w:lineRule="auto"/>
            </w:pPr>
            <w:r w:rsidRPr="00061D40">
              <w:t>47.5</w:t>
            </w:r>
          </w:p>
        </w:tc>
      </w:tr>
      <w:tr w:rsidR="0056502E" w:rsidRPr="00061D40" w14:paraId="7F486BAC"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AA" w14:textId="77777777" w:rsidR="0056502E" w:rsidRPr="00061D40" w:rsidRDefault="0056502E" w:rsidP="006455DC">
            <w:pPr>
              <w:pStyle w:val="TableText"/>
              <w:spacing w:line="240" w:lineRule="auto"/>
            </w:pPr>
            <w:r w:rsidRPr="00061D40">
              <w:t>102</w:t>
            </w:r>
          </w:p>
        </w:tc>
        <w:tc>
          <w:tcPr>
            <w:tcW w:w="1847" w:type="dxa"/>
          </w:tcPr>
          <w:p w14:paraId="7F486BAB" w14:textId="77777777" w:rsidR="0056502E" w:rsidRPr="00061D40" w:rsidRDefault="0056502E" w:rsidP="006455DC">
            <w:pPr>
              <w:pStyle w:val="TableText"/>
              <w:spacing w:line="240" w:lineRule="auto"/>
            </w:pPr>
            <w:r w:rsidRPr="00061D40">
              <w:t>48.7</w:t>
            </w:r>
          </w:p>
        </w:tc>
      </w:tr>
      <w:tr w:rsidR="0056502E" w:rsidRPr="00061D40" w14:paraId="7F486BAF"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AD" w14:textId="77777777" w:rsidR="0056502E" w:rsidRPr="00061D40" w:rsidRDefault="0056502E" w:rsidP="006455DC">
            <w:pPr>
              <w:pStyle w:val="TableText"/>
              <w:spacing w:line="240" w:lineRule="auto"/>
            </w:pPr>
            <w:r w:rsidRPr="00061D40">
              <w:t>101</w:t>
            </w:r>
          </w:p>
        </w:tc>
        <w:tc>
          <w:tcPr>
            <w:tcW w:w="1847" w:type="dxa"/>
          </w:tcPr>
          <w:p w14:paraId="7F486BAE" w14:textId="77777777" w:rsidR="0056502E" w:rsidRPr="00061D40" w:rsidRDefault="0056502E" w:rsidP="006455DC">
            <w:pPr>
              <w:pStyle w:val="TableText"/>
              <w:spacing w:line="240" w:lineRule="auto"/>
            </w:pPr>
            <w:r w:rsidRPr="00061D40">
              <w:t>50.0</w:t>
            </w:r>
          </w:p>
        </w:tc>
      </w:tr>
      <w:tr w:rsidR="0056502E" w:rsidRPr="00061D40" w14:paraId="7F486BB2"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B0" w14:textId="77777777" w:rsidR="0056502E" w:rsidRPr="00061D40" w:rsidRDefault="0056502E" w:rsidP="006455DC">
            <w:pPr>
              <w:pStyle w:val="TableText"/>
              <w:spacing w:line="240" w:lineRule="auto"/>
            </w:pPr>
            <w:r w:rsidRPr="00061D40">
              <w:t>100</w:t>
            </w:r>
          </w:p>
        </w:tc>
        <w:tc>
          <w:tcPr>
            <w:tcW w:w="1847" w:type="dxa"/>
          </w:tcPr>
          <w:p w14:paraId="7F486BB1" w14:textId="77777777" w:rsidR="0056502E" w:rsidRPr="00061D40" w:rsidRDefault="0056502E" w:rsidP="006455DC">
            <w:pPr>
              <w:pStyle w:val="TableText"/>
              <w:spacing w:line="240" w:lineRule="auto"/>
            </w:pPr>
            <w:r w:rsidRPr="00061D40">
              <w:t>51.2</w:t>
            </w:r>
          </w:p>
        </w:tc>
      </w:tr>
      <w:tr w:rsidR="0056502E" w:rsidRPr="00061D40" w14:paraId="7F486BB5"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B3" w14:textId="77777777" w:rsidR="0056502E" w:rsidRPr="00061D40" w:rsidRDefault="0056502E" w:rsidP="006455DC">
            <w:pPr>
              <w:pStyle w:val="TableText"/>
              <w:spacing w:line="240" w:lineRule="auto"/>
            </w:pPr>
            <w:r w:rsidRPr="00061D40">
              <w:t>99</w:t>
            </w:r>
          </w:p>
        </w:tc>
        <w:tc>
          <w:tcPr>
            <w:tcW w:w="1847" w:type="dxa"/>
          </w:tcPr>
          <w:p w14:paraId="7F486BB4" w14:textId="77777777" w:rsidR="0056502E" w:rsidRPr="00061D40" w:rsidRDefault="0056502E" w:rsidP="006455DC">
            <w:pPr>
              <w:pStyle w:val="TableText"/>
              <w:spacing w:line="240" w:lineRule="auto"/>
            </w:pPr>
            <w:r w:rsidRPr="00061D40">
              <w:t>52.5</w:t>
            </w:r>
          </w:p>
        </w:tc>
      </w:tr>
      <w:tr w:rsidR="0056502E" w:rsidRPr="00061D40" w14:paraId="7F486BB8"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B6" w14:textId="77777777" w:rsidR="0056502E" w:rsidRPr="00061D40" w:rsidRDefault="0056502E" w:rsidP="006455DC">
            <w:pPr>
              <w:pStyle w:val="TableText"/>
              <w:spacing w:line="240" w:lineRule="auto"/>
            </w:pPr>
            <w:r w:rsidRPr="00061D40">
              <w:t>98</w:t>
            </w:r>
          </w:p>
        </w:tc>
        <w:tc>
          <w:tcPr>
            <w:tcW w:w="1847" w:type="dxa"/>
          </w:tcPr>
          <w:p w14:paraId="7F486BB7" w14:textId="77777777" w:rsidR="0056502E" w:rsidRPr="00061D40" w:rsidRDefault="0056502E" w:rsidP="006455DC">
            <w:pPr>
              <w:pStyle w:val="TableText"/>
              <w:spacing w:line="240" w:lineRule="auto"/>
            </w:pPr>
            <w:r w:rsidRPr="00061D40">
              <w:t>53.7</w:t>
            </w:r>
          </w:p>
        </w:tc>
      </w:tr>
      <w:tr w:rsidR="0056502E" w:rsidRPr="00061D40" w14:paraId="7F486BBB"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B9" w14:textId="77777777" w:rsidR="0056502E" w:rsidRPr="00061D40" w:rsidRDefault="0056502E" w:rsidP="006455DC">
            <w:pPr>
              <w:pStyle w:val="TableText"/>
              <w:spacing w:line="240" w:lineRule="auto"/>
            </w:pPr>
            <w:r w:rsidRPr="00061D40">
              <w:t>97</w:t>
            </w:r>
          </w:p>
        </w:tc>
        <w:tc>
          <w:tcPr>
            <w:tcW w:w="1847" w:type="dxa"/>
          </w:tcPr>
          <w:p w14:paraId="7F486BBA" w14:textId="77777777" w:rsidR="0056502E" w:rsidRPr="00061D40" w:rsidRDefault="0056502E" w:rsidP="006455DC">
            <w:pPr>
              <w:pStyle w:val="TableText"/>
              <w:spacing w:line="240" w:lineRule="auto"/>
            </w:pPr>
            <w:r w:rsidRPr="00061D40">
              <w:t>55.0</w:t>
            </w:r>
          </w:p>
        </w:tc>
      </w:tr>
      <w:tr w:rsidR="0056502E" w:rsidRPr="00061D40" w14:paraId="7F486BBE"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BC" w14:textId="77777777" w:rsidR="0056502E" w:rsidRPr="00061D40" w:rsidRDefault="0056502E" w:rsidP="006455DC">
            <w:pPr>
              <w:pStyle w:val="TableText"/>
              <w:spacing w:line="240" w:lineRule="auto"/>
            </w:pPr>
            <w:r w:rsidRPr="00061D40">
              <w:t>96</w:t>
            </w:r>
          </w:p>
        </w:tc>
        <w:tc>
          <w:tcPr>
            <w:tcW w:w="1847" w:type="dxa"/>
          </w:tcPr>
          <w:p w14:paraId="7F486BBD" w14:textId="77777777" w:rsidR="0056502E" w:rsidRPr="00061D40" w:rsidRDefault="0056502E" w:rsidP="006455DC">
            <w:pPr>
              <w:pStyle w:val="TableText"/>
              <w:spacing w:line="240" w:lineRule="auto"/>
            </w:pPr>
            <w:r w:rsidRPr="00061D40">
              <w:t>56.2</w:t>
            </w:r>
          </w:p>
        </w:tc>
      </w:tr>
      <w:tr w:rsidR="0056502E" w:rsidRPr="00061D40" w14:paraId="7F486BC1"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BF" w14:textId="77777777" w:rsidR="0056502E" w:rsidRPr="00061D40" w:rsidRDefault="0056502E" w:rsidP="006455DC">
            <w:pPr>
              <w:pStyle w:val="TableText"/>
              <w:spacing w:line="240" w:lineRule="auto"/>
            </w:pPr>
            <w:r w:rsidRPr="00061D40">
              <w:t>95</w:t>
            </w:r>
          </w:p>
        </w:tc>
        <w:tc>
          <w:tcPr>
            <w:tcW w:w="1847" w:type="dxa"/>
          </w:tcPr>
          <w:p w14:paraId="7F486BC0" w14:textId="77777777" w:rsidR="0056502E" w:rsidRPr="00061D40" w:rsidRDefault="0056502E" w:rsidP="006455DC">
            <w:pPr>
              <w:pStyle w:val="TableText"/>
              <w:spacing w:line="240" w:lineRule="auto"/>
            </w:pPr>
            <w:r w:rsidRPr="00061D40">
              <w:t>57.5</w:t>
            </w:r>
          </w:p>
        </w:tc>
      </w:tr>
      <w:tr w:rsidR="0056502E" w:rsidRPr="00061D40" w14:paraId="7F486BC4"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C2" w14:textId="77777777" w:rsidR="0056502E" w:rsidRPr="00061D40" w:rsidRDefault="0056502E" w:rsidP="006455DC">
            <w:pPr>
              <w:pStyle w:val="TableText"/>
              <w:spacing w:line="240" w:lineRule="auto"/>
            </w:pPr>
            <w:r w:rsidRPr="00061D40">
              <w:t>94</w:t>
            </w:r>
          </w:p>
        </w:tc>
        <w:tc>
          <w:tcPr>
            <w:tcW w:w="1847" w:type="dxa"/>
          </w:tcPr>
          <w:p w14:paraId="7F486BC3" w14:textId="77777777" w:rsidR="0056502E" w:rsidRPr="00061D40" w:rsidRDefault="0056502E" w:rsidP="006455DC">
            <w:pPr>
              <w:pStyle w:val="TableText"/>
              <w:spacing w:line="240" w:lineRule="auto"/>
            </w:pPr>
            <w:r w:rsidRPr="00061D40">
              <w:t>58.7</w:t>
            </w:r>
          </w:p>
        </w:tc>
      </w:tr>
      <w:tr w:rsidR="0056502E" w:rsidRPr="00061D40" w14:paraId="7F486BC7"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C5" w14:textId="77777777" w:rsidR="0056502E" w:rsidRPr="00061D40" w:rsidRDefault="0056502E" w:rsidP="006455DC">
            <w:pPr>
              <w:pStyle w:val="TableText"/>
              <w:spacing w:line="240" w:lineRule="auto"/>
            </w:pPr>
            <w:r w:rsidRPr="00061D40">
              <w:t>93</w:t>
            </w:r>
          </w:p>
        </w:tc>
        <w:tc>
          <w:tcPr>
            <w:tcW w:w="1847" w:type="dxa"/>
          </w:tcPr>
          <w:p w14:paraId="7F486BC6" w14:textId="77777777" w:rsidR="0056502E" w:rsidRPr="00061D40" w:rsidRDefault="0056502E" w:rsidP="006455DC">
            <w:pPr>
              <w:pStyle w:val="TableText"/>
              <w:spacing w:line="240" w:lineRule="auto"/>
            </w:pPr>
            <w:r w:rsidRPr="00061D40">
              <w:t>60.0</w:t>
            </w:r>
          </w:p>
        </w:tc>
      </w:tr>
      <w:tr w:rsidR="0056502E" w:rsidRPr="00061D40" w14:paraId="7F486BCA"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C8" w14:textId="77777777" w:rsidR="0056502E" w:rsidRPr="00061D40" w:rsidRDefault="0056502E" w:rsidP="006455DC">
            <w:pPr>
              <w:pStyle w:val="TableText"/>
              <w:spacing w:line="240" w:lineRule="auto"/>
            </w:pPr>
            <w:r w:rsidRPr="00061D40">
              <w:t>92</w:t>
            </w:r>
          </w:p>
        </w:tc>
        <w:tc>
          <w:tcPr>
            <w:tcW w:w="1847" w:type="dxa"/>
          </w:tcPr>
          <w:p w14:paraId="7F486BC9" w14:textId="77777777" w:rsidR="0056502E" w:rsidRPr="00061D40" w:rsidRDefault="0056502E" w:rsidP="006455DC">
            <w:pPr>
              <w:pStyle w:val="TableText"/>
              <w:spacing w:line="240" w:lineRule="auto"/>
            </w:pPr>
            <w:r w:rsidRPr="00061D40">
              <w:t>61.2</w:t>
            </w:r>
          </w:p>
        </w:tc>
      </w:tr>
      <w:tr w:rsidR="0056502E" w:rsidRPr="00061D40" w14:paraId="7F486BCD"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CB" w14:textId="77777777" w:rsidR="0056502E" w:rsidRPr="00061D40" w:rsidRDefault="0056502E" w:rsidP="006455DC">
            <w:pPr>
              <w:pStyle w:val="TableText"/>
              <w:spacing w:line="240" w:lineRule="auto"/>
            </w:pPr>
            <w:r w:rsidRPr="00061D40">
              <w:t>91</w:t>
            </w:r>
          </w:p>
        </w:tc>
        <w:tc>
          <w:tcPr>
            <w:tcW w:w="1847" w:type="dxa"/>
          </w:tcPr>
          <w:p w14:paraId="7F486BCC" w14:textId="77777777" w:rsidR="0056502E" w:rsidRPr="00061D40" w:rsidRDefault="0056502E" w:rsidP="006455DC">
            <w:pPr>
              <w:pStyle w:val="TableText"/>
              <w:spacing w:line="240" w:lineRule="auto"/>
            </w:pPr>
            <w:r w:rsidRPr="00061D40">
              <w:t>62.5</w:t>
            </w:r>
          </w:p>
        </w:tc>
      </w:tr>
      <w:tr w:rsidR="0056502E" w:rsidRPr="00061D40" w14:paraId="7F486BD0"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CE" w14:textId="77777777" w:rsidR="0056502E" w:rsidRPr="00061D40" w:rsidRDefault="0056502E" w:rsidP="006455DC">
            <w:pPr>
              <w:pStyle w:val="TableText"/>
              <w:spacing w:line="240" w:lineRule="auto"/>
            </w:pPr>
            <w:r w:rsidRPr="00061D40">
              <w:t>90</w:t>
            </w:r>
          </w:p>
        </w:tc>
        <w:tc>
          <w:tcPr>
            <w:tcW w:w="1847" w:type="dxa"/>
          </w:tcPr>
          <w:p w14:paraId="7F486BCF" w14:textId="77777777" w:rsidR="0056502E" w:rsidRPr="00061D40" w:rsidRDefault="0056502E" w:rsidP="006455DC">
            <w:pPr>
              <w:pStyle w:val="TableText"/>
              <w:spacing w:line="240" w:lineRule="auto"/>
            </w:pPr>
            <w:r w:rsidRPr="00061D40">
              <w:t>63.7</w:t>
            </w:r>
          </w:p>
        </w:tc>
      </w:tr>
      <w:tr w:rsidR="0056502E" w:rsidRPr="00061D40" w14:paraId="7F486BD3"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D1" w14:textId="77777777" w:rsidR="0056502E" w:rsidRPr="00061D40" w:rsidRDefault="0056502E" w:rsidP="006455DC">
            <w:pPr>
              <w:pStyle w:val="TableText"/>
              <w:spacing w:line="240" w:lineRule="auto"/>
            </w:pPr>
            <w:r w:rsidRPr="00061D40">
              <w:t>89</w:t>
            </w:r>
          </w:p>
        </w:tc>
        <w:tc>
          <w:tcPr>
            <w:tcW w:w="1847" w:type="dxa"/>
          </w:tcPr>
          <w:p w14:paraId="7F486BD2" w14:textId="77777777" w:rsidR="0056502E" w:rsidRPr="00061D40" w:rsidRDefault="0056502E" w:rsidP="006455DC">
            <w:pPr>
              <w:pStyle w:val="TableText"/>
              <w:spacing w:line="240" w:lineRule="auto"/>
            </w:pPr>
            <w:r w:rsidRPr="00061D40">
              <w:t>65.0</w:t>
            </w:r>
          </w:p>
        </w:tc>
      </w:tr>
      <w:tr w:rsidR="0056502E" w:rsidRPr="00061D40" w14:paraId="7F486BD6"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D4" w14:textId="77777777" w:rsidR="0056502E" w:rsidRPr="00061D40" w:rsidRDefault="0056502E" w:rsidP="006455DC">
            <w:pPr>
              <w:pStyle w:val="TableText"/>
              <w:spacing w:line="240" w:lineRule="auto"/>
            </w:pPr>
            <w:r w:rsidRPr="00061D40">
              <w:t>88</w:t>
            </w:r>
          </w:p>
        </w:tc>
        <w:tc>
          <w:tcPr>
            <w:tcW w:w="1847" w:type="dxa"/>
          </w:tcPr>
          <w:p w14:paraId="7F486BD5" w14:textId="77777777" w:rsidR="0056502E" w:rsidRPr="00061D40" w:rsidRDefault="0056502E" w:rsidP="006455DC">
            <w:pPr>
              <w:pStyle w:val="TableText"/>
              <w:spacing w:line="240" w:lineRule="auto"/>
            </w:pPr>
            <w:r w:rsidRPr="00061D40">
              <w:t>66.2</w:t>
            </w:r>
          </w:p>
        </w:tc>
      </w:tr>
      <w:tr w:rsidR="0056502E" w:rsidRPr="00061D40" w14:paraId="7F486BD9"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D7" w14:textId="77777777" w:rsidR="0056502E" w:rsidRPr="00061D40" w:rsidRDefault="0056502E" w:rsidP="006455DC">
            <w:pPr>
              <w:pStyle w:val="TableText"/>
              <w:spacing w:line="240" w:lineRule="auto"/>
            </w:pPr>
            <w:r w:rsidRPr="00061D40">
              <w:t>87</w:t>
            </w:r>
          </w:p>
        </w:tc>
        <w:tc>
          <w:tcPr>
            <w:tcW w:w="1847" w:type="dxa"/>
          </w:tcPr>
          <w:p w14:paraId="7F486BD8" w14:textId="77777777" w:rsidR="0056502E" w:rsidRPr="00061D40" w:rsidRDefault="0056502E" w:rsidP="006455DC">
            <w:pPr>
              <w:pStyle w:val="TableText"/>
              <w:spacing w:line="240" w:lineRule="auto"/>
            </w:pPr>
            <w:r w:rsidRPr="00061D40">
              <w:t>67.5</w:t>
            </w:r>
          </w:p>
        </w:tc>
      </w:tr>
      <w:tr w:rsidR="0056502E" w:rsidRPr="00061D40" w14:paraId="7F486BDC"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DA" w14:textId="77777777" w:rsidR="0056502E" w:rsidRPr="00061D40" w:rsidRDefault="0056502E" w:rsidP="006455DC">
            <w:pPr>
              <w:pStyle w:val="TableText"/>
              <w:spacing w:line="240" w:lineRule="auto"/>
            </w:pPr>
            <w:r w:rsidRPr="00061D40">
              <w:t>86</w:t>
            </w:r>
          </w:p>
        </w:tc>
        <w:tc>
          <w:tcPr>
            <w:tcW w:w="1847" w:type="dxa"/>
          </w:tcPr>
          <w:p w14:paraId="7F486BDB" w14:textId="77777777" w:rsidR="0056502E" w:rsidRPr="00061D40" w:rsidRDefault="0056502E" w:rsidP="006455DC">
            <w:pPr>
              <w:pStyle w:val="TableText"/>
              <w:spacing w:line="240" w:lineRule="auto"/>
            </w:pPr>
            <w:r w:rsidRPr="00061D40">
              <w:t>68.7</w:t>
            </w:r>
          </w:p>
        </w:tc>
      </w:tr>
      <w:tr w:rsidR="0056502E" w:rsidRPr="00061D40" w14:paraId="7F486BDF" w14:textId="77777777" w:rsidTr="0056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39" w:type="dxa"/>
          </w:tcPr>
          <w:p w14:paraId="7F486BDD" w14:textId="77777777" w:rsidR="0056502E" w:rsidRPr="00061D40" w:rsidRDefault="0056502E" w:rsidP="006455DC">
            <w:pPr>
              <w:pStyle w:val="TableText"/>
              <w:spacing w:line="240" w:lineRule="auto"/>
            </w:pPr>
            <w:r w:rsidRPr="00061D40">
              <w:t>85 or less</w:t>
            </w:r>
          </w:p>
        </w:tc>
        <w:tc>
          <w:tcPr>
            <w:tcW w:w="1847" w:type="dxa"/>
          </w:tcPr>
          <w:p w14:paraId="7F486BDE" w14:textId="77777777" w:rsidR="0056502E" w:rsidRPr="00061D40" w:rsidRDefault="0056502E" w:rsidP="006455DC">
            <w:pPr>
              <w:pStyle w:val="TableText"/>
              <w:spacing w:line="240" w:lineRule="auto"/>
            </w:pPr>
            <w:r w:rsidRPr="00061D40">
              <w:t>70.0</w:t>
            </w:r>
          </w:p>
        </w:tc>
      </w:tr>
    </w:tbl>
    <w:p w14:paraId="7F486BE0" w14:textId="77777777" w:rsidR="00CE3434" w:rsidRPr="00061D40" w:rsidRDefault="00CE3434" w:rsidP="0059078F">
      <w:pPr>
        <w:pStyle w:val="StyleHeading2Linespacingsingle"/>
        <w:sectPr w:rsidR="00CE3434" w:rsidRPr="00061D40" w:rsidSect="00963340">
          <w:type w:val="continuous"/>
          <w:pgSz w:w="11906" w:h="16838" w:code="9"/>
          <w:pgMar w:top="1418" w:right="1418" w:bottom="1134" w:left="1418" w:header="567" w:footer="567" w:gutter="0"/>
          <w:cols w:num="2" w:space="720" w:equalWidth="0">
            <w:col w:w="4323" w:space="708"/>
            <w:col w:w="4039"/>
          </w:cols>
          <w:docGrid w:linePitch="272"/>
        </w:sectPr>
      </w:pPr>
    </w:p>
    <w:p w14:paraId="7F486BE1" w14:textId="77777777" w:rsidR="00D32016" w:rsidRDefault="0056502E">
      <w:pPr>
        <w:pStyle w:val="Heading3"/>
      </w:pPr>
      <w:r w:rsidRPr="00061D40">
        <w:t xml:space="preserve">Short Term Emergency Assistance </w:t>
      </w:r>
    </w:p>
    <w:p w14:paraId="7F486BE2" w14:textId="77777777" w:rsidR="0056502E" w:rsidRPr="00061D40" w:rsidRDefault="0056502E" w:rsidP="003F1936">
      <w:pPr>
        <w:pStyle w:val="TablefigureHeading1"/>
        <w:spacing w:after="60" w:line="240" w:lineRule="auto"/>
      </w:pPr>
      <w:r w:rsidRPr="00061D40">
        <w:t xml:space="preserve">Table </w:t>
      </w:r>
      <w:r w:rsidR="00845AF6" w:rsidRPr="00061D40">
        <w:t>H.</w:t>
      </w:r>
      <w:r w:rsidR="00434D9E">
        <w:t>6</w:t>
      </w:r>
      <w:r w:rsidRPr="00061D40">
        <w:t xml:space="preserve">: Non-government Schools - Short Term Emergency Assistance, </w:t>
      </w:r>
      <w:r w:rsidR="005473B2" w:rsidRPr="00061D40">
        <w:t>201</w:t>
      </w:r>
      <w:r w:rsidR="00776863">
        <w:t>3</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00"/>
      </w:tblGrid>
      <w:tr w:rsidR="0056502E" w:rsidRPr="00061D40" w14:paraId="7F486BE4" w14:textId="77777777" w:rsidTr="00845AF6">
        <w:tc>
          <w:tcPr>
            <w:tcW w:w="3800" w:type="dxa"/>
            <w:shd w:val="clear" w:color="auto" w:fill="999999"/>
          </w:tcPr>
          <w:p w14:paraId="7F486BE3" w14:textId="77777777" w:rsidR="0056502E" w:rsidRPr="00061D40" w:rsidRDefault="005473B2" w:rsidP="00776863">
            <w:pPr>
              <w:pStyle w:val="TableHeading2"/>
              <w:spacing w:line="240" w:lineRule="auto"/>
            </w:pPr>
            <w:r w:rsidRPr="00061D40">
              <w:t>201</w:t>
            </w:r>
            <w:r w:rsidR="00776863">
              <w:t>3</w:t>
            </w:r>
            <w:r w:rsidRPr="00061D40">
              <w:t xml:space="preserve"> </w:t>
            </w:r>
            <w:r w:rsidR="0056502E" w:rsidRPr="00061D40">
              <w:t>($’000)</w:t>
            </w:r>
          </w:p>
        </w:tc>
      </w:tr>
      <w:tr w:rsidR="0056502E" w:rsidRPr="00061D40" w14:paraId="7F486BE6" w14:textId="77777777" w:rsidTr="0056502E">
        <w:tc>
          <w:tcPr>
            <w:tcW w:w="3800" w:type="dxa"/>
          </w:tcPr>
          <w:p w14:paraId="7F486BE5" w14:textId="77777777" w:rsidR="0056502E" w:rsidRPr="00061D40" w:rsidRDefault="0056502E" w:rsidP="00394FD4">
            <w:pPr>
              <w:pStyle w:val="TableText"/>
              <w:spacing w:line="240" w:lineRule="auto"/>
              <w:jc w:val="center"/>
            </w:pPr>
            <w:r w:rsidRPr="004E70A3">
              <w:t>1,</w:t>
            </w:r>
            <w:r w:rsidR="00394FD4">
              <w:t>265</w:t>
            </w:r>
          </w:p>
        </w:tc>
      </w:tr>
    </w:tbl>
    <w:p w14:paraId="7F486BE7" w14:textId="77777777" w:rsidR="00AC30F9" w:rsidRPr="00061D40" w:rsidRDefault="00A22A1B" w:rsidP="00C74D4D">
      <w:pPr>
        <w:sectPr w:rsidR="00AC30F9" w:rsidRPr="00061D40" w:rsidSect="00963340">
          <w:type w:val="continuous"/>
          <w:pgSz w:w="11906" w:h="16838" w:code="9"/>
          <w:pgMar w:top="1418" w:right="1418" w:bottom="1134" w:left="1418" w:header="567" w:footer="567" w:gutter="0"/>
          <w:cols w:space="720"/>
          <w:docGrid w:linePitch="272"/>
        </w:sectPr>
      </w:pPr>
      <w:r w:rsidRPr="00061D40">
        <w:t>Funding is supplemented annually in line with movements in the AGSRC Index.</w:t>
      </w:r>
      <w:r w:rsidR="00845AF6" w:rsidRPr="00061D40">
        <w:t xml:space="preserve"> S</w:t>
      </w:r>
      <w:r w:rsidR="00665F31" w:rsidRPr="00061D40">
        <w:t xml:space="preserve">upplementation will be paid as soon as possible following the making of a regulation under the Act. Refer to </w:t>
      </w:r>
      <w:hyperlink w:anchor="_Appendix_K:_Supplementation" w:history="1">
        <w:r w:rsidR="003F1936" w:rsidRPr="00061D40">
          <w:rPr>
            <w:rStyle w:val="Hyperlink"/>
          </w:rPr>
          <w:t>Appendix K</w:t>
        </w:r>
      </w:hyperlink>
      <w:r w:rsidR="00665F31" w:rsidRPr="00061D40">
        <w:t>.</w:t>
      </w:r>
    </w:p>
    <w:p w14:paraId="7F486BE8" w14:textId="77777777" w:rsidR="006D639A" w:rsidRPr="00061D40" w:rsidRDefault="00D40506" w:rsidP="003F1936">
      <w:pPr>
        <w:pStyle w:val="Heading2"/>
        <w:spacing w:before="0"/>
      </w:pPr>
      <w:bookmarkStart w:id="240" w:name="_Appendix_I:_Summary"/>
      <w:bookmarkStart w:id="241" w:name="_Ref246736918"/>
      <w:bookmarkStart w:id="242" w:name="_Toc346205340"/>
      <w:bookmarkStart w:id="243" w:name="OLE_LINK15"/>
      <w:bookmarkStart w:id="244" w:name="OLE_LINK16"/>
      <w:bookmarkEnd w:id="240"/>
      <w:r w:rsidRPr="00061D40">
        <w:t xml:space="preserve">Appendix </w:t>
      </w:r>
      <w:r w:rsidR="003E529C" w:rsidRPr="00061D40">
        <w:t>I</w:t>
      </w:r>
      <w:bookmarkEnd w:id="241"/>
      <w:r w:rsidR="00845AF6" w:rsidRPr="00061D40">
        <w:t xml:space="preserve">: </w:t>
      </w:r>
      <w:bookmarkStart w:id="245" w:name="_Toc246493745"/>
      <w:r w:rsidR="006D639A" w:rsidRPr="00061D40">
        <w:t>Summary Table of Funding</w:t>
      </w:r>
      <w:bookmarkEnd w:id="235"/>
      <w:bookmarkEnd w:id="236"/>
      <w:r w:rsidR="006D639A" w:rsidRPr="00061D40">
        <w:t xml:space="preserve"> </w:t>
      </w:r>
      <w:r w:rsidR="00845AF6" w:rsidRPr="00061D40">
        <w:t xml:space="preserve">for </w:t>
      </w:r>
      <w:r w:rsidR="006D639A" w:rsidRPr="00061D40">
        <w:t>20</w:t>
      </w:r>
      <w:r w:rsidR="00A04527" w:rsidRPr="00061D40">
        <w:t>1</w:t>
      </w:r>
      <w:bookmarkEnd w:id="237"/>
      <w:bookmarkEnd w:id="245"/>
      <w:r w:rsidR="00776863">
        <w:t>3</w:t>
      </w:r>
      <w:bookmarkEnd w:id="242"/>
    </w:p>
    <w:p w14:paraId="7F486BE9" w14:textId="77777777" w:rsidR="009F55B2" w:rsidRDefault="009F55B2" w:rsidP="009F55B2">
      <w:pPr>
        <w:spacing w:line="240" w:lineRule="auto"/>
      </w:pPr>
      <w:r>
        <w:t xml:space="preserve">The </w:t>
      </w:r>
      <w:r w:rsidR="001E5146" w:rsidRPr="001E5146">
        <w:t>b</w:t>
      </w:r>
      <w:r w:rsidRPr="001E5146">
        <w:t>ase assistance</w:t>
      </w:r>
      <w:r>
        <w:t xml:space="preserve"> for the 2013 program year appropriated under the Schools Assistance Act 2008 for non-government schools is provided in the table below.</w:t>
      </w:r>
    </w:p>
    <w:p w14:paraId="7F486BEA" w14:textId="77777777" w:rsidR="006D639A" w:rsidRPr="00061D40" w:rsidRDefault="009F55B2" w:rsidP="00505ABD">
      <w:pPr>
        <w:pStyle w:val="StyleAppendicesBodyTextLinespacingsingle"/>
      </w:pPr>
      <w:r>
        <w:t xml:space="preserve">Note: </w:t>
      </w:r>
      <w:r w:rsidR="006D639A" w:rsidRPr="00061D40">
        <w:t xml:space="preserve">Where the </w:t>
      </w:r>
      <w:r>
        <w:t>Act</w:t>
      </w:r>
      <w:r w:rsidRPr="00061D40">
        <w:t xml:space="preserve"> </w:t>
      </w:r>
      <w:r w:rsidR="006D639A" w:rsidRPr="00061D40">
        <w:t xml:space="preserve">provides for per capita </w:t>
      </w:r>
      <w:r w:rsidR="00D50A66" w:rsidRPr="00061D40">
        <w:t>amounts </w:t>
      </w:r>
      <w:r w:rsidR="005D1A10" w:rsidRPr="00061D40">
        <w:t>(*)</w:t>
      </w:r>
      <w:r w:rsidR="006D639A" w:rsidRPr="00061D40">
        <w:t xml:space="preserve">, an estimated level of </w:t>
      </w:r>
      <w:r>
        <w:t>the program year base assistance</w:t>
      </w:r>
      <w:r w:rsidRPr="00061D40">
        <w:t xml:space="preserve"> </w:t>
      </w:r>
      <w:r w:rsidR="006D639A" w:rsidRPr="00061D40">
        <w:t>has been provided.</w:t>
      </w:r>
    </w:p>
    <w:p w14:paraId="7F486BEB" w14:textId="77777777" w:rsidR="005D1A10" w:rsidRPr="00061D40" w:rsidRDefault="005D1A10" w:rsidP="006455DC">
      <w:pPr>
        <w:spacing w:line="240" w:lineRule="auto"/>
      </w:pPr>
    </w:p>
    <w:tbl>
      <w:tblPr>
        <w:tblW w:w="0" w:type="auto"/>
        <w:tblInd w:w="208" w:type="dxa"/>
        <w:tblLayout w:type="fixed"/>
        <w:tblLook w:val="0000" w:firstRow="0" w:lastRow="0" w:firstColumn="0" w:lastColumn="0" w:noHBand="0" w:noVBand="0"/>
      </w:tblPr>
      <w:tblGrid>
        <w:gridCol w:w="6400"/>
        <w:gridCol w:w="2200"/>
      </w:tblGrid>
      <w:tr w:rsidR="0084293B" w:rsidRPr="00061D40" w14:paraId="7F486BEE" w14:textId="77777777" w:rsidTr="003F1936">
        <w:trPr>
          <w:cantSplit/>
        </w:trPr>
        <w:tc>
          <w:tcPr>
            <w:tcW w:w="6400" w:type="dxa"/>
            <w:shd w:val="clear" w:color="auto" w:fill="999999"/>
          </w:tcPr>
          <w:p w14:paraId="7F486BEC" w14:textId="77777777" w:rsidR="0084293B" w:rsidRPr="00061D40" w:rsidRDefault="0084293B" w:rsidP="006455DC">
            <w:pPr>
              <w:pStyle w:val="TableHeading2"/>
              <w:spacing w:line="240" w:lineRule="auto"/>
              <w:rPr>
                <w:sz w:val="21"/>
                <w:szCs w:val="21"/>
              </w:rPr>
            </w:pPr>
            <w:r w:rsidRPr="00061D40">
              <w:rPr>
                <w:sz w:val="21"/>
                <w:szCs w:val="21"/>
              </w:rPr>
              <w:t>Sector/Program</w:t>
            </w:r>
          </w:p>
        </w:tc>
        <w:tc>
          <w:tcPr>
            <w:tcW w:w="2200" w:type="dxa"/>
            <w:shd w:val="clear" w:color="auto" w:fill="999999"/>
          </w:tcPr>
          <w:p w14:paraId="7F486BED" w14:textId="77777777" w:rsidR="0084293B" w:rsidRPr="00061D40" w:rsidRDefault="00E500BB" w:rsidP="00776863">
            <w:pPr>
              <w:pStyle w:val="TableHeading2"/>
              <w:spacing w:line="240" w:lineRule="auto"/>
              <w:jc w:val="right"/>
              <w:rPr>
                <w:sz w:val="21"/>
                <w:szCs w:val="21"/>
              </w:rPr>
            </w:pPr>
            <w:r>
              <w:rPr>
                <w:sz w:val="21"/>
                <w:szCs w:val="21"/>
              </w:rPr>
              <w:t xml:space="preserve">Initial </w:t>
            </w:r>
            <w:r w:rsidR="0084293B" w:rsidRPr="00061D40">
              <w:rPr>
                <w:sz w:val="21"/>
                <w:szCs w:val="21"/>
              </w:rPr>
              <w:t>201</w:t>
            </w:r>
            <w:r w:rsidR="00776863">
              <w:rPr>
                <w:sz w:val="21"/>
                <w:szCs w:val="21"/>
              </w:rPr>
              <w:t>3</w:t>
            </w:r>
          </w:p>
        </w:tc>
      </w:tr>
      <w:tr w:rsidR="0084293B" w:rsidRPr="00061D40" w14:paraId="7F486BF1" w14:textId="77777777" w:rsidTr="003F1936">
        <w:trPr>
          <w:cantSplit/>
        </w:trPr>
        <w:tc>
          <w:tcPr>
            <w:tcW w:w="6400" w:type="dxa"/>
            <w:tcBorders>
              <w:top w:val="single" w:sz="2" w:space="0" w:color="auto"/>
              <w:bottom w:val="single" w:sz="2" w:space="0" w:color="auto"/>
            </w:tcBorders>
            <w:vAlign w:val="center"/>
          </w:tcPr>
          <w:p w14:paraId="7F486BEF" w14:textId="77777777" w:rsidR="0084293B" w:rsidRPr="00061D40" w:rsidRDefault="0084293B" w:rsidP="006455DC">
            <w:pPr>
              <w:pStyle w:val="TableText"/>
              <w:spacing w:line="240" w:lineRule="auto"/>
              <w:rPr>
                <w:b/>
                <w:i/>
                <w:sz w:val="21"/>
                <w:szCs w:val="21"/>
              </w:rPr>
            </w:pPr>
            <w:r w:rsidRPr="00061D40">
              <w:rPr>
                <w:b/>
                <w:i/>
                <w:sz w:val="21"/>
                <w:szCs w:val="21"/>
              </w:rPr>
              <w:t>Schools Assistance Act 2008</w:t>
            </w:r>
          </w:p>
        </w:tc>
        <w:tc>
          <w:tcPr>
            <w:tcW w:w="2200" w:type="dxa"/>
            <w:tcBorders>
              <w:top w:val="single" w:sz="2" w:space="0" w:color="auto"/>
              <w:bottom w:val="single" w:sz="2" w:space="0" w:color="auto"/>
            </w:tcBorders>
            <w:vAlign w:val="center"/>
          </w:tcPr>
          <w:p w14:paraId="7F486BF0" w14:textId="77777777" w:rsidR="0084293B" w:rsidRPr="00061D40" w:rsidRDefault="000815ED" w:rsidP="000815ED">
            <w:pPr>
              <w:pStyle w:val="TableText"/>
              <w:spacing w:line="240" w:lineRule="auto"/>
              <w:jc w:val="center"/>
              <w:rPr>
                <w:b/>
                <w:sz w:val="21"/>
                <w:szCs w:val="21"/>
              </w:rPr>
            </w:pPr>
            <w:r>
              <w:rPr>
                <w:b/>
                <w:sz w:val="21"/>
                <w:szCs w:val="21"/>
              </w:rPr>
              <w:t xml:space="preserve">                    $</w:t>
            </w:r>
          </w:p>
        </w:tc>
      </w:tr>
      <w:tr w:rsidR="006C2CC0" w:rsidRPr="00061D40" w14:paraId="7F486BF4" w14:textId="77777777" w:rsidTr="008C04D8">
        <w:trPr>
          <w:cantSplit/>
        </w:trPr>
        <w:tc>
          <w:tcPr>
            <w:tcW w:w="6400" w:type="dxa"/>
            <w:shd w:val="clear" w:color="auto" w:fill="auto"/>
          </w:tcPr>
          <w:p w14:paraId="7F486BF2" w14:textId="77777777" w:rsidR="006C2CC0" w:rsidRPr="00061D40" w:rsidRDefault="006C2CC0" w:rsidP="007D3971">
            <w:pPr>
              <w:pStyle w:val="StyleTableText105ptLinespacingsingle"/>
              <w:rPr>
                <w:szCs w:val="21"/>
              </w:rPr>
            </w:pPr>
            <w:r w:rsidRPr="00061D40">
              <w:rPr>
                <w:szCs w:val="21"/>
              </w:rPr>
              <w:t>Recurrent Grants (Including distance education and remoteness loading) (*)</w:t>
            </w:r>
          </w:p>
        </w:tc>
        <w:tc>
          <w:tcPr>
            <w:tcW w:w="2200" w:type="dxa"/>
            <w:shd w:val="clear" w:color="auto" w:fill="auto"/>
          </w:tcPr>
          <w:p w14:paraId="7F486BF3" w14:textId="77777777" w:rsidR="006C2CC0" w:rsidRPr="0024751E" w:rsidRDefault="00EB3F7C" w:rsidP="00EB3F7C">
            <w:pPr>
              <w:pStyle w:val="TableText"/>
              <w:spacing w:line="240" w:lineRule="auto"/>
              <w:jc w:val="right"/>
              <w:rPr>
                <w:sz w:val="21"/>
                <w:szCs w:val="21"/>
                <w:highlight w:val="yellow"/>
              </w:rPr>
            </w:pPr>
            <w:r>
              <w:rPr>
                <w:sz w:val="21"/>
                <w:szCs w:val="21"/>
              </w:rPr>
              <w:t>7,404,463,000</w:t>
            </w:r>
          </w:p>
        </w:tc>
      </w:tr>
      <w:tr w:rsidR="006C2CC0" w:rsidRPr="00061D40" w14:paraId="7F486BF7" w14:textId="77777777" w:rsidTr="008C04D8">
        <w:trPr>
          <w:cantSplit/>
        </w:trPr>
        <w:tc>
          <w:tcPr>
            <w:tcW w:w="6400" w:type="dxa"/>
            <w:shd w:val="clear" w:color="auto" w:fill="auto"/>
          </w:tcPr>
          <w:p w14:paraId="7F486BF5" w14:textId="77777777" w:rsidR="006C2CC0" w:rsidRPr="00061D40" w:rsidRDefault="006C2CC0" w:rsidP="007D3971">
            <w:pPr>
              <w:pStyle w:val="StyleTableText105ptLinespacingsingle"/>
              <w:rPr>
                <w:szCs w:val="21"/>
              </w:rPr>
            </w:pPr>
            <w:r w:rsidRPr="00061D40">
              <w:rPr>
                <w:szCs w:val="21"/>
              </w:rPr>
              <w:t>Indigenous Supplementary Assistance (*)</w:t>
            </w:r>
          </w:p>
        </w:tc>
        <w:tc>
          <w:tcPr>
            <w:tcW w:w="2200" w:type="dxa"/>
            <w:shd w:val="clear" w:color="auto" w:fill="auto"/>
          </w:tcPr>
          <w:p w14:paraId="7F486BF6" w14:textId="77777777" w:rsidR="006C2CC0" w:rsidRPr="0024751E" w:rsidRDefault="00EB3F7C" w:rsidP="00467085">
            <w:pPr>
              <w:pStyle w:val="TableText"/>
              <w:spacing w:line="240" w:lineRule="auto"/>
              <w:jc w:val="right"/>
              <w:rPr>
                <w:sz w:val="21"/>
                <w:szCs w:val="21"/>
                <w:highlight w:val="yellow"/>
              </w:rPr>
            </w:pPr>
            <w:r>
              <w:rPr>
                <w:sz w:val="21"/>
                <w:szCs w:val="21"/>
              </w:rPr>
              <w:t>75,499,000</w:t>
            </w:r>
          </w:p>
        </w:tc>
      </w:tr>
      <w:tr w:rsidR="006C2CC0" w:rsidRPr="00061D40" w14:paraId="7F486BFA" w14:textId="77777777" w:rsidTr="008C04D8">
        <w:trPr>
          <w:cantSplit/>
        </w:trPr>
        <w:tc>
          <w:tcPr>
            <w:tcW w:w="6400" w:type="dxa"/>
            <w:shd w:val="clear" w:color="auto" w:fill="auto"/>
          </w:tcPr>
          <w:p w14:paraId="7F486BF8" w14:textId="77777777" w:rsidR="006C2CC0" w:rsidRPr="00061D40" w:rsidRDefault="006C2CC0" w:rsidP="007D3971">
            <w:pPr>
              <w:pStyle w:val="StyleTableText105ptLinespacingsingle"/>
              <w:rPr>
                <w:szCs w:val="21"/>
              </w:rPr>
            </w:pPr>
            <w:r w:rsidRPr="00061D40">
              <w:rPr>
                <w:szCs w:val="21"/>
              </w:rPr>
              <w:t>Indigenous Funding Guarantee</w:t>
            </w:r>
          </w:p>
        </w:tc>
        <w:tc>
          <w:tcPr>
            <w:tcW w:w="2200" w:type="dxa"/>
            <w:shd w:val="clear" w:color="auto" w:fill="auto"/>
          </w:tcPr>
          <w:p w14:paraId="7F486BF9" w14:textId="77777777" w:rsidR="006C2CC0" w:rsidRPr="0024751E" w:rsidRDefault="00EB3F7C" w:rsidP="00394FD4">
            <w:pPr>
              <w:pStyle w:val="TableText"/>
              <w:spacing w:line="240" w:lineRule="auto"/>
              <w:jc w:val="right"/>
              <w:rPr>
                <w:sz w:val="21"/>
                <w:szCs w:val="21"/>
                <w:highlight w:val="yellow"/>
              </w:rPr>
            </w:pPr>
            <w:r>
              <w:rPr>
                <w:sz w:val="21"/>
                <w:szCs w:val="21"/>
              </w:rPr>
              <w:t>3,500,000</w:t>
            </w:r>
          </w:p>
        </w:tc>
      </w:tr>
      <w:tr w:rsidR="006C2CC0" w:rsidRPr="00061D40" w14:paraId="7F486BFD" w14:textId="77777777" w:rsidTr="008C04D8">
        <w:trPr>
          <w:cantSplit/>
        </w:trPr>
        <w:tc>
          <w:tcPr>
            <w:tcW w:w="6400" w:type="dxa"/>
            <w:shd w:val="clear" w:color="auto" w:fill="auto"/>
          </w:tcPr>
          <w:p w14:paraId="7F486BFB" w14:textId="77777777" w:rsidR="006C2CC0" w:rsidRPr="00061D40" w:rsidRDefault="006C2CC0" w:rsidP="007D3971">
            <w:pPr>
              <w:pStyle w:val="StyleTableText105ptLinespacingsingle"/>
              <w:rPr>
                <w:szCs w:val="21"/>
              </w:rPr>
            </w:pPr>
            <w:r w:rsidRPr="00061D40">
              <w:rPr>
                <w:szCs w:val="21"/>
              </w:rPr>
              <w:t>Capital Grants</w:t>
            </w:r>
          </w:p>
        </w:tc>
        <w:tc>
          <w:tcPr>
            <w:tcW w:w="2200" w:type="dxa"/>
            <w:shd w:val="clear" w:color="auto" w:fill="auto"/>
          </w:tcPr>
          <w:p w14:paraId="7F486BFC" w14:textId="77777777" w:rsidR="006C2CC0" w:rsidRPr="0024751E" w:rsidRDefault="00EB3F7C" w:rsidP="006455DC">
            <w:pPr>
              <w:pStyle w:val="TableText"/>
              <w:spacing w:line="240" w:lineRule="auto"/>
              <w:jc w:val="right"/>
              <w:rPr>
                <w:sz w:val="21"/>
                <w:szCs w:val="21"/>
                <w:highlight w:val="yellow"/>
              </w:rPr>
            </w:pPr>
            <w:r>
              <w:rPr>
                <w:sz w:val="21"/>
                <w:szCs w:val="21"/>
              </w:rPr>
              <w:t>133,827,000</w:t>
            </w:r>
          </w:p>
        </w:tc>
      </w:tr>
      <w:tr w:rsidR="00E532DA" w:rsidRPr="00061D40" w14:paraId="7F486C00" w14:textId="77777777" w:rsidTr="003B1652">
        <w:trPr>
          <w:cantSplit/>
        </w:trPr>
        <w:tc>
          <w:tcPr>
            <w:tcW w:w="6400" w:type="dxa"/>
            <w:shd w:val="clear" w:color="auto" w:fill="auto"/>
          </w:tcPr>
          <w:p w14:paraId="7F486BFE" w14:textId="77777777" w:rsidR="00E532DA" w:rsidRPr="00061D40" w:rsidRDefault="00E532DA" w:rsidP="007D3971">
            <w:pPr>
              <w:pStyle w:val="StyleTableText105ptLinespacingsingle"/>
              <w:rPr>
                <w:szCs w:val="21"/>
              </w:rPr>
            </w:pPr>
            <w:r w:rsidRPr="00061D40">
              <w:rPr>
                <w:szCs w:val="21"/>
              </w:rPr>
              <w:t>Short Term Emergency Assistance</w:t>
            </w:r>
          </w:p>
        </w:tc>
        <w:tc>
          <w:tcPr>
            <w:tcW w:w="2200" w:type="dxa"/>
            <w:shd w:val="clear" w:color="auto" w:fill="auto"/>
          </w:tcPr>
          <w:p w14:paraId="7F486BFF" w14:textId="77777777" w:rsidR="00E532DA" w:rsidRDefault="00853EE8" w:rsidP="00394FD4">
            <w:pPr>
              <w:pStyle w:val="TableText"/>
              <w:spacing w:line="240" w:lineRule="auto"/>
              <w:jc w:val="right"/>
              <w:rPr>
                <w:sz w:val="21"/>
                <w:szCs w:val="21"/>
              </w:rPr>
            </w:pPr>
            <w:r>
              <w:rPr>
                <w:sz w:val="21"/>
                <w:szCs w:val="21"/>
              </w:rPr>
              <w:t>1,2</w:t>
            </w:r>
            <w:r w:rsidR="00394FD4">
              <w:rPr>
                <w:sz w:val="21"/>
                <w:szCs w:val="21"/>
              </w:rPr>
              <w:t>65</w:t>
            </w:r>
            <w:r w:rsidR="00B0672C">
              <w:rPr>
                <w:sz w:val="21"/>
                <w:szCs w:val="21"/>
              </w:rPr>
              <w:t>,000</w:t>
            </w:r>
          </w:p>
        </w:tc>
      </w:tr>
      <w:tr w:rsidR="00E532DA" w:rsidRPr="00061D40" w14:paraId="7F486C03" w14:textId="77777777" w:rsidTr="003B1652">
        <w:trPr>
          <w:cantSplit/>
        </w:trPr>
        <w:tc>
          <w:tcPr>
            <w:tcW w:w="6400" w:type="dxa"/>
            <w:shd w:val="clear" w:color="auto" w:fill="auto"/>
          </w:tcPr>
          <w:p w14:paraId="7F486C01" w14:textId="77777777" w:rsidR="00E532DA" w:rsidRPr="00061D40" w:rsidRDefault="00E532DA" w:rsidP="007D3971">
            <w:pPr>
              <w:pStyle w:val="StyleTableText105ptLinespacingsingle"/>
              <w:rPr>
                <w:szCs w:val="21"/>
              </w:rPr>
            </w:pPr>
            <w:r w:rsidRPr="00061D40">
              <w:rPr>
                <w:szCs w:val="21"/>
              </w:rPr>
              <w:t>Country Areas Program</w:t>
            </w:r>
          </w:p>
        </w:tc>
        <w:tc>
          <w:tcPr>
            <w:tcW w:w="2200" w:type="dxa"/>
            <w:shd w:val="clear" w:color="auto" w:fill="auto"/>
          </w:tcPr>
          <w:p w14:paraId="7F486C02" w14:textId="77777777" w:rsidR="00E532DA" w:rsidRDefault="00853EE8" w:rsidP="00EB3F7C">
            <w:pPr>
              <w:pStyle w:val="TableText"/>
              <w:spacing w:line="240" w:lineRule="auto"/>
              <w:jc w:val="right"/>
              <w:rPr>
                <w:sz w:val="21"/>
                <w:szCs w:val="21"/>
              </w:rPr>
            </w:pPr>
            <w:r>
              <w:rPr>
                <w:sz w:val="21"/>
                <w:szCs w:val="21"/>
              </w:rPr>
              <w:t>6,</w:t>
            </w:r>
            <w:r w:rsidR="00EB3F7C">
              <w:rPr>
                <w:sz w:val="21"/>
                <w:szCs w:val="21"/>
              </w:rPr>
              <w:t>479</w:t>
            </w:r>
            <w:r w:rsidR="006F3648">
              <w:rPr>
                <w:sz w:val="21"/>
                <w:szCs w:val="21"/>
              </w:rPr>
              <w:t>,000</w:t>
            </w:r>
          </w:p>
        </w:tc>
      </w:tr>
      <w:tr w:rsidR="00E532DA" w:rsidRPr="00061D40" w14:paraId="7F486C06" w14:textId="77777777" w:rsidTr="008C04D8">
        <w:trPr>
          <w:cantSplit/>
        </w:trPr>
        <w:tc>
          <w:tcPr>
            <w:tcW w:w="6400" w:type="dxa"/>
            <w:shd w:val="clear" w:color="auto" w:fill="auto"/>
          </w:tcPr>
          <w:p w14:paraId="7F486C04" w14:textId="77777777" w:rsidR="00E532DA" w:rsidRPr="00061D40" w:rsidRDefault="00E532DA" w:rsidP="007D3971">
            <w:pPr>
              <w:pStyle w:val="StyleTableText105ptLinespacingsingle"/>
              <w:rPr>
                <w:szCs w:val="21"/>
              </w:rPr>
            </w:pPr>
            <w:r w:rsidRPr="00061D40">
              <w:rPr>
                <w:szCs w:val="21"/>
              </w:rPr>
              <w:t>School Languages Program</w:t>
            </w:r>
          </w:p>
        </w:tc>
        <w:tc>
          <w:tcPr>
            <w:tcW w:w="2200" w:type="dxa"/>
            <w:shd w:val="clear" w:color="auto" w:fill="auto"/>
          </w:tcPr>
          <w:p w14:paraId="7F486C05" w14:textId="77777777" w:rsidR="00E532DA" w:rsidRPr="0024751E" w:rsidRDefault="00853EE8" w:rsidP="00394FD4">
            <w:pPr>
              <w:pStyle w:val="TableText"/>
              <w:spacing w:line="240" w:lineRule="auto"/>
              <w:jc w:val="right"/>
              <w:rPr>
                <w:sz w:val="21"/>
                <w:szCs w:val="21"/>
                <w:highlight w:val="yellow"/>
              </w:rPr>
            </w:pPr>
            <w:r>
              <w:rPr>
                <w:sz w:val="21"/>
                <w:szCs w:val="21"/>
              </w:rPr>
              <w:t>14,</w:t>
            </w:r>
            <w:r w:rsidR="00394FD4">
              <w:rPr>
                <w:sz w:val="21"/>
                <w:szCs w:val="21"/>
              </w:rPr>
              <w:t>762</w:t>
            </w:r>
            <w:r w:rsidR="006F3648">
              <w:rPr>
                <w:sz w:val="21"/>
                <w:szCs w:val="21"/>
              </w:rPr>
              <w:t>,000</w:t>
            </w:r>
          </w:p>
        </w:tc>
      </w:tr>
      <w:tr w:rsidR="00E532DA" w:rsidRPr="00061D40" w14:paraId="7F486C09" w14:textId="77777777" w:rsidTr="008C04D8">
        <w:trPr>
          <w:cantSplit/>
        </w:trPr>
        <w:tc>
          <w:tcPr>
            <w:tcW w:w="6400" w:type="dxa"/>
            <w:shd w:val="clear" w:color="auto" w:fill="auto"/>
          </w:tcPr>
          <w:p w14:paraId="7F486C07" w14:textId="77777777" w:rsidR="00E532DA" w:rsidRPr="00061D40" w:rsidRDefault="00E532DA" w:rsidP="007D3971">
            <w:pPr>
              <w:pStyle w:val="StyleTableText105ptLinespacingsingle"/>
              <w:rPr>
                <w:szCs w:val="21"/>
              </w:rPr>
            </w:pPr>
            <w:r w:rsidRPr="00061D40">
              <w:rPr>
                <w:szCs w:val="21"/>
              </w:rPr>
              <w:t>English as a Second Language – New Arrivals (*)</w:t>
            </w:r>
          </w:p>
        </w:tc>
        <w:tc>
          <w:tcPr>
            <w:tcW w:w="2200" w:type="dxa"/>
            <w:shd w:val="clear" w:color="auto" w:fill="auto"/>
          </w:tcPr>
          <w:p w14:paraId="7F486C08" w14:textId="77777777" w:rsidR="00E532DA" w:rsidRPr="0024751E" w:rsidRDefault="00EB3F7C" w:rsidP="00C26DD2">
            <w:pPr>
              <w:pStyle w:val="TableText"/>
              <w:spacing w:line="240" w:lineRule="auto"/>
              <w:jc w:val="right"/>
              <w:rPr>
                <w:sz w:val="21"/>
                <w:szCs w:val="21"/>
                <w:highlight w:val="yellow"/>
              </w:rPr>
            </w:pPr>
            <w:r>
              <w:rPr>
                <w:sz w:val="21"/>
                <w:szCs w:val="21"/>
              </w:rPr>
              <w:t>12,121,000</w:t>
            </w:r>
          </w:p>
        </w:tc>
      </w:tr>
      <w:tr w:rsidR="00E532DA" w:rsidRPr="00061D40" w14:paraId="7F486C0C" w14:textId="77777777" w:rsidTr="008C04D8">
        <w:trPr>
          <w:cantSplit/>
        </w:trPr>
        <w:tc>
          <w:tcPr>
            <w:tcW w:w="6400" w:type="dxa"/>
            <w:shd w:val="clear" w:color="auto" w:fill="auto"/>
          </w:tcPr>
          <w:p w14:paraId="7F486C0A" w14:textId="77777777" w:rsidR="00E532DA" w:rsidRPr="00061D40" w:rsidRDefault="00E532DA" w:rsidP="009F55B2">
            <w:pPr>
              <w:pStyle w:val="StyleTableText105ptLinespacingsingle"/>
              <w:rPr>
                <w:szCs w:val="21"/>
              </w:rPr>
            </w:pPr>
            <w:r w:rsidRPr="00061D40">
              <w:rPr>
                <w:szCs w:val="21"/>
              </w:rPr>
              <w:t>Literacy, Numeracy &amp; Special Learning Needs – School Grants</w:t>
            </w:r>
          </w:p>
        </w:tc>
        <w:tc>
          <w:tcPr>
            <w:tcW w:w="2200" w:type="dxa"/>
            <w:shd w:val="clear" w:color="auto" w:fill="auto"/>
          </w:tcPr>
          <w:p w14:paraId="7F486C0B" w14:textId="77777777" w:rsidR="00E532DA" w:rsidRPr="0024751E" w:rsidRDefault="00394FD4" w:rsidP="00316D8B">
            <w:pPr>
              <w:pStyle w:val="TableText"/>
              <w:spacing w:line="240" w:lineRule="auto"/>
              <w:jc w:val="right"/>
              <w:rPr>
                <w:sz w:val="21"/>
                <w:szCs w:val="21"/>
                <w:highlight w:val="yellow"/>
              </w:rPr>
            </w:pPr>
            <w:r>
              <w:rPr>
                <w:sz w:val="21"/>
                <w:szCs w:val="21"/>
              </w:rPr>
              <w:t>175,</w:t>
            </w:r>
            <w:r w:rsidR="00316D8B">
              <w:rPr>
                <w:sz w:val="21"/>
                <w:szCs w:val="21"/>
              </w:rPr>
              <w:t>28</w:t>
            </w:r>
            <w:r>
              <w:rPr>
                <w:sz w:val="21"/>
                <w:szCs w:val="21"/>
              </w:rPr>
              <w:t>7</w:t>
            </w:r>
            <w:r w:rsidR="00316D8B">
              <w:rPr>
                <w:sz w:val="21"/>
                <w:szCs w:val="21"/>
              </w:rPr>
              <w:t>,827</w:t>
            </w:r>
          </w:p>
        </w:tc>
      </w:tr>
      <w:tr w:rsidR="009F55B2" w:rsidRPr="00061D40" w14:paraId="7F486C0F" w14:textId="77777777" w:rsidTr="008C04D8">
        <w:trPr>
          <w:cantSplit/>
        </w:trPr>
        <w:tc>
          <w:tcPr>
            <w:tcW w:w="6400" w:type="dxa"/>
            <w:shd w:val="clear" w:color="auto" w:fill="auto"/>
          </w:tcPr>
          <w:p w14:paraId="7F486C0D" w14:textId="77777777" w:rsidR="009F55B2" w:rsidRPr="00061D40" w:rsidRDefault="009F55B2" w:rsidP="001E5146">
            <w:pPr>
              <w:pStyle w:val="StyleTableText105ptLinespacingsingle"/>
              <w:rPr>
                <w:szCs w:val="21"/>
              </w:rPr>
            </w:pPr>
            <w:r>
              <w:rPr>
                <w:szCs w:val="21"/>
              </w:rPr>
              <w:t xml:space="preserve">Literacy, Numeracy &amp; Special Learning Needs – </w:t>
            </w:r>
            <w:r w:rsidR="001E5146" w:rsidRPr="001E5146">
              <w:rPr>
                <w:szCs w:val="21"/>
              </w:rPr>
              <w:t>students with disabilities</w:t>
            </w:r>
            <w:r w:rsidRPr="001E5146">
              <w:rPr>
                <w:szCs w:val="21"/>
              </w:rPr>
              <w:t xml:space="preserve"> (*)</w:t>
            </w:r>
          </w:p>
        </w:tc>
        <w:tc>
          <w:tcPr>
            <w:tcW w:w="2200" w:type="dxa"/>
            <w:shd w:val="clear" w:color="auto" w:fill="auto"/>
          </w:tcPr>
          <w:p w14:paraId="7F486C0E" w14:textId="77777777" w:rsidR="009F55B2" w:rsidRDefault="009F55B2" w:rsidP="00316D8B">
            <w:pPr>
              <w:pStyle w:val="TableText"/>
              <w:spacing w:line="240" w:lineRule="auto"/>
              <w:jc w:val="right"/>
              <w:rPr>
                <w:sz w:val="21"/>
                <w:szCs w:val="21"/>
              </w:rPr>
            </w:pPr>
            <w:r>
              <w:rPr>
                <w:sz w:val="21"/>
                <w:szCs w:val="21"/>
              </w:rPr>
              <w:t>45,627,000</w:t>
            </w:r>
          </w:p>
        </w:tc>
      </w:tr>
    </w:tbl>
    <w:p w14:paraId="7F486C10" w14:textId="77777777" w:rsidR="00AC30F9" w:rsidRPr="00061D40" w:rsidRDefault="00AC30F9" w:rsidP="006455DC">
      <w:pPr>
        <w:spacing w:line="240" w:lineRule="auto"/>
        <w:sectPr w:rsidR="00AC30F9" w:rsidRPr="00061D40" w:rsidSect="00963340">
          <w:pgSz w:w="11906" w:h="16838" w:code="9"/>
          <w:pgMar w:top="1418" w:right="1418" w:bottom="1134" w:left="1418" w:header="567" w:footer="567" w:gutter="0"/>
          <w:cols w:space="720"/>
          <w:docGrid w:linePitch="272"/>
        </w:sectPr>
      </w:pPr>
    </w:p>
    <w:p w14:paraId="7F486C11" w14:textId="77777777" w:rsidR="006D639A" w:rsidRPr="00061D40" w:rsidRDefault="00D40506" w:rsidP="003F1936">
      <w:pPr>
        <w:pStyle w:val="Heading2"/>
        <w:spacing w:before="0"/>
      </w:pPr>
      <w:bookmarkStart w:id="246" w:name="_Appendix_J:_Accountability"/>
      <w:bookmarkStart w:id="247" w:name="_Ref246736303"/>
      <w:bookmarkStart w:id="248" w:name="_Toc346205341"/>
      <w:bookmarkStart w:id="249" w:name="_Toc182292934"/>
      <w:bookmarkStart w:id="250" w:name="_Ref246301462"/>
      <w:bookmarkEnd w:id="243"/>
      <w:bookmarkEnd w:id="244"/>
      <w:bookmarkEnd w:id="246"/>
      <w:r w:rsidRPr="00061D40">
        <w:t xml:space="preserve">Appendix </w:t>
      </w:r>
      <w:r w:rsidR="003E529C" w:rsidRPr="00061D40">
        <w:t>J</w:t>
      </w:r>
      <w:bookmarkEnd w:id="247"/>
      <w:r w:rsidR="00845AF6" w:rsidRPr="00061D40">
        <w:t xml:space="preserve">: </w:t>
      </w:r>
      <w:bookmarkStart w:id="251" w:name="_Toc246493746"/>
      <w:r w:rsidR="006D639A" w:rsidRPr="00061D40">
        <w:t>Accountability Requirements</w:t>
      </w:r>
      <w:bookmarkEnd w:id="248"/>
      <w:r w:rsidR="006D639A" w:rsidRPr="00061D40">
        <w:t xml:space="preserve"> </w:t>
      </w:r>
      <w:bookmarkEnd w:id="249"/>
      <w:bookmarkEnd w:id="250"/>
      <w:bookmarkEnd w:id="251"/>
    </w:p>
    <w:p w14:paraId="7F486C12" w14:textId="77777777" w:rsidR="00D32016" w:rsidRDefault="006D639A">
      <w:pPr>
        <w:pStyle w:val="Heading3"/>
      </w:pPr>
      <w:r w:rsidRPr="00061D40">
        <w:t>Financial Accountability</w:t>
      </w:r>
      <w:r w:rsidR="008E5ABB" w:rsidRPr="00061D40">
        <w:t xml:space="preserve"> </w:t>
      </w:r>
    </w:p>
    <w:p w14:paraId="7F486C13" w14:textId="77777777" w:rsidR="005958FF" w:rsidRPr="00061D40" w:rsidRDefault="00277528" w:rsidP="00C30212">
      <w:pPr>
        <w:pStyle w:val="StyleAppendicesBodyTextAfter6pt"/>
        <w:spacing w:after="0" w:line="240" w:lineRule="auto"/>
      </w:pPr>
      <w:r w:rsidRPr="00061D40">
        <w:t xml:space="preserve">Approved </w:t>
      </w:r>
      <w:r w:rsidR="005958FF" w:rsidRPr="00061D40">
        <w:t xml:space="preserve">Authorities will meet their financial accountability </w:t>
      </w:r>
      <w:r w:rsidRPr="00061D40">
        <w:t xml:space="preserve">requirements </w:t>
      </w:r>
      <w:r w:rsidR="005958FF" w:rsidRPr="00061D40">
        <w:t xml:space="preserve">for </w:t>
      </w:r>
      <w:r w:rsidRPr="00061D40">
        <w:t xml:space="preserve">a program year </w:t>
      </w:r>
      <w:r w:rsidR="005958FF" w:rsidRPr="00061D40">
        <w:t xml:space="preserve">by submitting to the Department by 30 June </w:t>
      </w:r>
      <w:r w:rsidRPr="00061D40">
        <w:t xml:space="preserve">of the following </w:t>
      </w:r>
      <w:r w:rsidR="005958FF" w:rsidRPr="00061D40">
        <w:t xml:space="preserve">year or such </w:t>
      </w:r>
      <w:r w:rsidRPr="00061D40">
        <w:t xml:space="preserve">other </w:t>
      </w:r>
      <w:r w:rsidR="005958FF" w:rsidRPr="00061D40">
        <w:t>date as the Minister approves, an electronic Financial Accountability certificate</w:t>
      </w:r>
      <w:r w:rsidRPr="00061D40">
        <w:t xml:space="preserve"> which covers</w:t>
      </w:r>
      <w:r w:rsidR="005958FF" w:rsidRPr="00061D40">
        <w:t>:</w:t>
      </w:r>
    </w:p>
    <w:p w14:paraId="7F486C14" w14:textId="77777777" w:rsidR="005958FF" w:rsidRPr="00061D40" w:rsidRDefault="002C56A8" w:rsidP="003F1936">
      <w:pPr>
        <w:pStyle w:val="AppendixBullet"/>
        <w:numPr>
          <w:ilvl w:val="0"/>
          <w:numId w:val="26"/>
        </w:numPr>
      </w:pPr>
      <w:r w:rsidRPr="00061D40">
        <w:t xml:space="preserve">Grants for </w:t>
      </w:r>
      <w:r w:rsidR="005958FF" w:rsidRPr="00061D40">
        <w:t xml:space="preserve">Recurrent </w:t>
      </w:r>
      <w:r w:rsidRPr="00061D40">
        <w:t>Expenditure</w:t>
      </w:r>
    </w:p>
    <w:p w14:paraId="7F486C15" w14:textId="77777777" w:rsidR="005958FF" w:rsidRPr="00061D40" w:rsidRDefault="005958FF" w:rsidP="003F1936">
      <w:pPr>
        <w:pStyle w:val="AppendixBullet"/>
        <w:numPr>
          <w:ilvl w:val="0"/>
          <w:numId w:val="26"/>
        </w:numPr>
      </w:pPr>
      <w:r w:rsidRPr="00061D40">
        <w:t>Short Term Emergency Assistance</w:t>
      </w:r>
    </w:p>
    <w:p w14:paraId="7F486C16" w14:textId="77777777" w:rsidR="005958FF" w:rsidRPr="00061D40" w:rsidRDefault="007655FC" w:rsidP="003F1936">
      <w:pPr>
        <w:pStyle w:val="AppendixBullet"/>
        <w:numPr>
          <w:ilvl w:val="0"/>
          <w:numId w:val="26"/>
        </w:numPr>
      </w:pPr>
      <w:r w:rsidRPr="00061D40">
        <w:t>Targeted Assistance (CAP</w:t>
      </w:r>
      <w:r w:rsidR="00AA0F29">
        <w:t>,</w:t>
      </w:r>
      <w:r w:rsidRPr="00061D40">
        <w:t xml:space="preserve"> School Languages Program</w:t>
      </w:r>
      <w:r w:rsidR="00AA0F29" w:rsidRPr="00061D40">
        <w:t>, ESL NA</w:t>
      </w:r>
      <w:r w:rsidR="00AA0F29" w:rsidRPr="00AA0F29">
        <w:t xml:space="preserve"> </w:t>
      </w:r>
      <w:r w:rsidR="00AA0F29" w:rsidRPr="00061D40">
        <w:t>and</w:t>
      </w:r>
      <w:r w:rsidR="00AA0F29" w:rsidRPr="00AA0F29">
        <w:t xml:space="preserve"> </w:t>
      </w:r>
      <w:r w:rsidR="00AA0F29" w:rsidRPr="00061D40">
        <w:t>LNSLN</w:t>
      </w:r>
      <w:r w:rsidRPr="00061D40">
        <w:t>)</w:t>
      </w:r>
      <w:r w:rsidR="003B06DA" w:rsidRPr="00061D40">
        <w:t>.</w:t>
      </w:r>
    </w:p>
    <w:p w14:paraId="7F486C17" w14:textId="77777777" w:rsidR="006D639A" w:rsidRPr="00061D40" w:rsidRDefault="006D639A" w:rsidP="00C30212">
      <w:pPr>
        <w:pStyle w:val="StyleAppendicesBodyTextAfter6pt"/>
        <w:spacing w:after="0" w:line="240" w:lineRule="auto"/>
      </w:pPr>
      <w:bookmarkStart w:id="252" w:name="_Ref217458724"/>
      <w:r w:rsidRPr="00061D40">
        <w:t>The certificate in respect of the program year is to be submitted by a Qualified Accountant. A Qualified Accountant is:</w:t>
      </w:r>
      <w:bookmarkEnd w:id="252"/>
    </w:p>
    <w:p w14:paraId="7F486C18" w14:textId="77777777" w:rsidR="00A23B40" w:rsidRPr="00061D40" w:rsidRDefault="006D639A" w:rsidP="003F1936">
      <w:pPr>
        <w:pStyle w:val="AppendixBullet"/>
        <w:numPr>
          <w:ilvl w:val="0"/>
          <w:numId w:val="25"/>
        </w:numPr>
      </w:pPr>
      <w:r w:rsidRPr="00061D40">
        <w:t xml:space="preserve">a qualified accountant within the meaning of the </w:t>
      </w:r>
      <w:r w:rsidRPr="00061D40">
        <w:rPr>
          <w:i/>
        </w:rPr>
        <w:t>Corporations Act 2001</w:t>
      </w:r>
    </w:p>
    <w:p w14:paraId="7F486C19" w14:textId="77777777" w:rsidR="006D639A" w:rsidRPr="00061D40" w:rsidRDefault="006D639A" w:rsidP="00233820">
      <w:pPr>
        <w:spacing w:before="100"/>
        <w:ind w:left="851"/>
      </w:pPr>
      <w:r w:rsidRPr="00061D40">
        <w:t>or</w:t>
      </w:r>
    </w:p>
    <w:p w14:paraId="7F486C1A" w14:textId="77777777" w:rsidR="003F1936" w:rsidRPr="00061D40" w:rsidRDefault="006D639A" w:rsidP="003F1936">
      <w:pPr>
        <w:pStyle w:val="AppendixBullet"/>
        <w:numPr>
          <w:ilvl w:val="0"/>
          <w:numId w:val="25"/>
        </w:numPr>
      </w:pPr>
      <w:r w:rsidRPr="00061D40">
        <w:t xml:space="preserve">a person registered (or taken to be registered) as a company auditor under the </w:t>
      </w:r>
      <w:r w:rsidRPr="00061D40">
        <w:rPr>
          <w:i/>
        </w:rPr>
        <w:t>Corporations Act 2001</w:t>
      </w:r>
    </w:p>
    <w:p w14:paraId="7F486C1B" w14:textId="77777777" w:rsidR="006D639A" w:rsidRPr="00061D40" w:rsidRDefault="006D639A" w:rsidP="00233820">
      <w:pPr>
        <w:spacing w:before="100"/>
        <w:ind w:left="851"/>
      </w:pPr>
      <w:r w:rsidRPr="00061D40">
        <w:t>or</w:t>
      </w:r>
    </w:p>
    <w:p w14:paraId="7F486C1C" w14:textId="77777777" w:rsidR="006D639A" w:rsidRPr="00061D40" w:rsidRDefault="006D639A" w:rsidP="003F1936">
      <w:pPr>
        <w:pStyle w:val="AppendixBullet"/>
        <w:numPr>
          <w:ilvl w:val="0"/>
          <w:numId w:val="25"/>
        </w:numPr>
      </w:pPr>
      <w:r w:rsidRPr="00061D40">
        <w:t xml:space="preserve">a person approved by the Minister as a </w:t>
      </w:r>
      <w:r w:rsidR="0011052A" w:rsidRPr="00061D40">
        <w:t>q</w:t>
      </w:r>
      <w:r w:rsidRPr="00061D40">
        <w:t xml:space="preserve">ualified </w:t>
      </w:r>
      <w:r w:rsidR="0011052A" w:rsidRPr="00061D40">
        <w:t>a</w:t>
      </w:r>
      <w:r w:rsidRPr="00061D40">
        <w:t xml:space="preserve">ccountant for the purposes of the </w:t>
      </w:r>
      <w:r w:rsidR="00277528" w:rsidRPr="00061D40">
        <w:rPr>
          <w:i/>
        </w:rPr>
        <w:t xml:space="preserve">Schools Assistance </w:t>
      </w:r>
      <w:r w:rsidRPr="00061D40">
        <w:rPr>
          <w:i/>
        </w:rPr>
        <w:t>Act</w:t>
      </w:r>
      <w:r w:rsidR="00277528" w:rsidRPr="00061D40">
        <w:rPr>
          <w:i/>
        </w:rPr>
        <w:t xml:space="preserve"> 2008</w:t>
      </w:r>
      <w:r w:rsidRPr="00061D40">
        <w:t>.</w:t>
      </w:r>
    </w:p>
    <w:p w14:paraId="7F486C1D" w14:textId="77777777" w:rsidR="006D639A" w:rsidRPr="00061D40" w:rsidRDefault="006D639A" w:rsidP="00C30212">
      <w:pPr>
        <w:pStyle w:val="StyleAppendicesBodyTextAfter6pt"/>
        <w:spacing w:after="0" w:line="240" w:lineRule="auto"/>
      </w:pPr>
      <w:r w:rsidRPr="00061D40">
        <w:t xml:space="preserve">The </w:t>
      </w:r>
      <w:r w:rsidR="00277528" w:rsidRPr="00061D40">
        <w:t>Qualified A</w:t>
      </w:r>
      <w:r w:rsidRPr="00061D40">
        <w:t>ccountant is to submit the certificate on the basis that the financial records of the Approved Authority of the school have been examined and the opinion is formed that the amounts equal to the amount or sum of the amounts of financial assistance provided and paid for that year has been spent (or committed to be spent) in respect of that year for the purpose or purposes for which the assistance was granted.</w:t>
      </w:r>
    </w:p>
    <w:p w14:paraId="7F486C1E" w14:textId="77777777" w:rsidR="006D639A" w:rsidRPr="00061D40" w:rsidRDefault="006D639A" w:rsidP="00C30212">
      <w:pPr>
        <w:pStyle w:val="StyleAppendicesBodyTextAfter6pt"/>
        <w:spacing w:after="0" w:line="240" w:lineRule="auto"/>
      </w:pPr>
      <w:r w:rsidRPr="00061D40">
        <w:t xml:space="preserve">Non-government authorities must provide information on the distribution to beneficiaries of </w:t>
      </w:r>
      <w:r w:rsidR="00C1042D">
        <w:t>r</w:t>
      </w:r>
      <w:r w:rsidR="005828E9" w:rsidRPr="00061D40">
        <w:t xml:space="preserve">ecurrent </w:t>
      </w:r>
      <w:r w:rsidR="00C1042D">
        <w:t>f</w:t>
      </w:r>
      <w:r w:rsidR="005828E9" w:rsidRPr="00061D40">
        <w:t>unding</w:t>
      </w:r>
      <w:r w:rsidRPr="00061D40">
        <w:t>.</w:t>
      </w:r>
      <w:r w:rsidR="008E5ABB" w:rsidRPr="00061D40">
        <w:t xml:space="preserve"> </w:t>
      </w:r>
      <w:r w:rsidR="00277528" w:rsidRPr="00061D40">
        <w:t>For school systems</w:t>
      </w:r>
      <w:r w:rsidR="00C1042D">
        <w:t>,</w:t>
      </w:r>
      <w:r w:rsidR="00277528" w:rsidRPr="00061D40">
        <w:t xml:space="preserve"> this will include details of amounts passed on to particular schools within the system and amounts held to cover the cost of administering the system. </w:t>
      </w:r>
      <w:r w:rsidRPr="00061D40">
        <w:t>This will also be collected electronically.</w:t>
      </w:r>
    </w:p>
    <w:p w14:paraId="7F486C1F" w14:textId="77777777" w:rsidR="00D32016" w:rsidRDefault="0052574C">
      <w:pPr>
        <w:pStyle w:val="Heading3"/>
      </w:pPr>
      <w:r w:rsidRPr="00061D40">
        <w:t>National school performance and transparency requirements</w:t>
      </w:r>
    </w:p>
    <w:p w14:paraId="7F486C20" w14:textId="77777777" w:rsidR="005958FF" w:rsidRPr="00061D40" w:rsidRDefault="0052574C" w:rsidP="00C30212">
      <w:pPr>
        <w:pStyle w:val="StyleAppendicesBodyTextAfter6pt"/>
        <w:spacing w:after="0" w:line="240" w:lineRule="auto"/>
      </w:pPr>
      <w:r w:rsidRPr="00061D40">
        <w:t>Par</w:t>
      </w:r>
      <w:r w:rsidR="003B06DA" w:rsidRPr="00061D40">
        <w:t>t 1 of these Guidelines explain</w:t>
      </w:r>
      <w:r w:rsidR="00A23B40" w:rsidRPr="00061D40">
        <w:t>s</w:t>
      </w:r>
      <w:r w:rsidRPr="00061D40">
        <w:t xml:space="preserve"> the performance information and reporting requirements in the Act, </w:t>
      </w:r>
      <w:r w:rsidR="001F7CAD" w:rsidRPr="00061D40">
        <w:t>the</w:t>
      </w:r>
      <w:r w:rsidRPr="00061D40">
        <w:t xml:space="preserve"> Regulations and funding agreements.</w:t>
      </w:r>
      <w:r w:rsidR="00562478" w:rsidRPr="00061D40">
        <w:t xml:space="preserve"> </w:t>
      </w:r>
      <w:r w:rsidRPr="00061D40">
        <w:t xml:space="preserve">These requirements apply to the </w:t>
      </w:r>
      <w:r w:rsidR="005958FF" w:rsidRPr="00061D40">
        <w:t>following programs funded under the Act:</w:t>
      </w:r>
    </w:p>
    <w:p w14:paraId="7F486C21" w14:textId="77777777" w:rsidR="005958FF" w:rsidRPr="00061D40" w:rsidRDefault="002C56A8" w:rsidP="003F1936">
      <w:pPr>
        <w:pStyle w:val="AppendixBullet"/>
        <w:numPr>
          <w:ilvl w:val="0"/>
          <w:numId w:val="27"/>
        </w:numPr>
      </w:pPr>
      <w:r w:rsidRPr="00061D40">
        <w:t xml:space="preserve">Grants for </w:t>
      </w:r>
      <w:r w:rsidR="005958FF" w:rsidRPr="00061D40">
        <w:t xml:space="preserve">Recurrent </w:t>
      </w:r>
      <w:r w:rsidRPr="00061D40">
        <w:t>Expenditure</w:t>
      </w:r>
    </w:p>
    <w:p w14:paraId="7F486C22" w14:textId="77777777" w:rsidR="005958FF" w:rsidRPr="00061D40" w:rsidRDefault="005958FF" w:rsidP="003F1936">
      <w:pPr>
        <w:pStyle w:val="AppendixBullet"/>
        <w:numPr>
          <w:ilvl w:val="0"/>
          <w:numId w:val="27"/>
        </w:numPr>
      </w:pPr>
      <w:r w:rsidRPr="00061D40">
        <w:t>Short Term Emergency Assistance</w:t>
      </w:r>
    </w:p>
    <w:p w14:paraId="7F486C23" w14:textId="77777777" w:rsidR="003546A2" w:rsidRPr="00061D40" w:rsidRDefault="003546A2" w:rsidP="003F1936">
      <w:pPr>
        <w:pStyle w:val="AppendixBullet"/>
        <w:numPr>
          <w:ilvl w:val="0"/>
          <w:numId w:val="27"/>
        </w:numPr>
      </w:pPr>
      <w:r w:rsidRPr="00061D40">
        <w:t>Targeted Assistance (CAP</w:t>
      </w:r>
      <w:r w:rsidR="00C614AA">
        <w:t>,</w:t>
      </w:r>
      <w:r w:rsidRPr="00061D40">
        <w:t xml:space="preserve"> School Languages Program</w:t>
      </w:r>
      <w:r w:rsidR="00C614AA" w:rsidRPr="00061D40">
        <w:t>, ESL NA and</w:t>
      </w:r>
      <w:r w:rsidR="00C614AA" w:rsidRPr="00C614AA">
        <w:t xml:space="preserve"> </w:t>
      </w:r>
      <w:r w:rsidR="00C614AA" w:rsidRPr="00061D40">
        <w:t>LNSLN</w:t>
      </w:r>
      <w:r w:rsidRPr="00061D40">
        <w:t>)</w:t>
      </w:r>
      <w:r w:rsidR="003B06DA" w:rsidRPr="00061D40">
        <w:t>.</w:t>
      </w:r>
    </w:p>
    <w:p w14:paraId="7F486C24" w14:textId="77777777" w:rsidR="00D32016" w:rsidRDefault="006D639A">
      <w:pPr>
        <w:pStyle w:val="Heading3"/>
      </w:pPr>
      <w:r w:rsidRPr="00061D40">
        <w:t>Providing reports on financial assistance</w:t>
      </w:r>
    </w:p>
    <w:p w14:paraId="7F486C25" w14:textId="77777777" w:rsidR="006D639A" w:rsidRPr="00061D40" w:rsidRDefault="006D639A" w:rsidP="00C30212">
      <w:pPr>
        <w:pStyle w:val="StyleAppendicesBodyTextAfter6pt"/>
        <w:spacing w:after="0" w:line="240" w:lineRule="auto"/>
      </w:pPr>
      <w:r w:rsidRPr="00061D40">
        <w:t xml:space="preserve">The Act requires </w:t>
      </w:r>
      <w:r w:rsidR="00F373DD" w:rsidRPr="00061D40">
        <w:t xml:space="preserve">non-government school </w:t>
      </w:r>
      <w:r w:rsidRPr="00061D40">
        <w:t>education authorities to provide the Minister with reports as required about financial assistance provided under the Act.</w:t>
      </w:r>
      <w:r w:rsidR="008E5ABB" w:rsidRPr="00061D40">
        <w:t xml:space="preserve"> </w:t>
      </w:r>
      <w:r w:rsidR="00F373DD" w:rsidRPr="00061D40">
        <w:t xml:space="preserve">Non-government school education authorities </w:t>
      </w:r>
      <w:r w:rsidRPr="00061D40">
        <w:t>would be contacted directly where such reports were necessary.</w:t>
      </w:r>
    </w:p>
    <w:p w14:paraId="7F486C26" w14:textId="77777777" w:rsidR="00AC30F9" w:rsidRPr="00061D40" w:rsidRDefault="00AC30F9" w:rsidP="00B77818">
      <w:pPr>
        <w:pStyle w:val="Heading1"/>
        <w:sectPr w:rsidR="00AC30F9" w:rsidRPr="00061D40" w:rsidSect="00963340">
          <w:pgSz w:w="11906" w:h="16838" w:code="9"/>
          <w:pgMar w:top="1418" w:right="1418" w:bottom="1134" w:left="1418" w:header="567" w:footer="567" w:gutter="0"/>
          <w:cols w:space="720"/>
          <w:docGrid w:linePitch="272"/>
        </w:sectPr>
      </w:pPr>
    </w:p>
    <w:p w14:paraId="7F486C27" w14:textId="77777777" w:rsidR="0056502E" w:rsidRPr="00061D40" w:rsidRDefault="0056502E" w:rsidP="003F1936">
      <w:pPr>
        <w:pStyle w:val="Heading2"/>
        <w:spacing w:before="0"/>
      </w:pPr>
      <w:bookmarkStart w:id="253" w:name="_Appendix_K:_Supplementation"/>
      <w:bookmarkStart w:id="254" w:name="_Ref246736182"/>
      <w:bookmarkStart w:id="255" w:name="_Toc346205342"/>
      <w:bookmarkEnd w:id="238"/>
      <w:bookmarkEnd w:id="253"/>
      <w:r w:rsidRPr="00061D40">
        <w:t xml:space="preserve">Appendix </w:t>
      </w:r>
      <w:r w:rsidR="003E529C" w:rsidRPr="00061D40">
        <w:t>K</w:t>
      </w:r>
      <w:bookmarkEnd w:id="254"/>
      <w:r w:rsidR="00845AF6" w:rsidRPr="00061D40">
        <w:t xml:space="preserve">: </w:t>
      </w:r>
      <w:bookmarkStart w:id="256" w:name="_Toc246493747"/>
      <w:r w:rsidRPr="00061D40">
        <w:t>Supplementation Arrangements</w:t>
      </w:r>
      <w:bookmarkEnd w:id="256"/>
      <w:bookmarkEnd w:id="255"/>
    </w:p>
    <w:p w14:paraId="7F486C28" w14:textId="77777777" w:rsidR="005958FF" w:rsidRPr="00061D40" w:rsidRDefault="005958FF" w:rsidP="00C30212">
      <w:pPr>
        <w:pStyle w:val="StyleAppendicesBodyTextAfter6pt"/>
        <w:spacing w:after="0" w:line="240" w:lineRule="auto"/>
      </w:pPr>
      <w:bookmarkStart w:id="257" w:name="_Toc503145955"/>
      <w:r w:rsidRPr="00061D40">
        <w:t xml:space="preserve">The Act provides for annual supplementation </w:t>
      </w:r>
      <w:r w:rsidR="00962730" w:rsidRPr="00061D40">
        <w:t xml:space="preserve">for </w:t>
      </w:r>
      <w:r w:rsidRPr="00061D40">
        <w:t>the following:</w:t>
      </w:r>
    </w:p>
    <w:p w14:paraId="7F486C29" w14:textId="77777777" w:rsidR="005958FF" w:rsidRPr="00061D40" w:rsidRDefault="00227161" w:rsidP="00C8190E">
      <w:pPr>
        <w:pStyle w:val="StyleabcBulletsAfter6ptLinespacingsingle"/>
      </w:pPr>
      <w:r w:rsidRPr="00061D40">
        <w:t>Grants for recurrent expenditure</w:t>
      </w:r>
      <w:r w:rsidR="005958FF" w:rsidRPr="00061D40">
        <w:t xml:space="preserve"> (</w:t>
      </w:r>
      <w:r w:rsidRPr="00061D40">
        <w:t>excluding IFG)</w:t>
      </w:r>
    </w:p>
    <w:p w14:paraId="7F486C2A" w14:textId="77777777" w:rsidR="005958FF" w:rsidRPr="00061D40" w:rsidRDefault="005958FF" w:rsidP="00C8190E">
      <w:pPr>
        <w:pStyle w:val="StyleabcBulletsAfter6ptLinespacingsingle"/>
      </w:pPr>
      <w:r w:rsidRPr="00061D40">
        <w:t>Grants</w:t>
      </w:r>
      <w:r w:rsidR="00C16459" w:rsidRPr="00061D40">
        <w:t xml:space="preserve"> for capital expenditure</w:t>
      </w:r>
    </w:p>
    <w:p w14:paraId="7F486C2B" w14:textId="77777777" w:rsidR="005958FF" w:rsidRPr="00061D40" w:rsidRDefault="00C16459" w:rsidP="00C8190E">
      <w:pPr>
        <w:pStyle w:val="StyleabcBulletsAfter6ptLinespacingsingle"/>
      </w:pPr>
      <w:r w:rsidRPr="00061D40">
        <w:t>Grants for t</w:t>
      </w:r>
      <w:r w:rsidR="005958FF" w:rsidRPr="00061D40">
        <w:t xml:space="preserve">argeted </w:t>
      </w:r>
      <w:r w:rsidRPr="00061D40">
        <w:t xml:space="preserve">expenditure </w:t>
      </w:r>
      <w:r w:rsidR="00E62C78" w:rsidRPr="00061D40">
        <w:t>(</w:t>
      </w:r>
      <w:r w:rsidR="00227161" w:rsidRPr="00061D40">
        <w:t xml:space="preserve">including </w:t>
      </w:r>
      <w:r w:rsidR="007063CB" w:rsidRPr="00061D40">
        <w:t>STEA</w:t>
      </w:r>
      <w:r w:rsidR="007063CB">
        <w:t>,</w:t>
      </w:r>
      <w:r w:rsidR="007063CB" w:rsidRPr="00061D40">
        <w:t xml:space="preserve"> </w:t>
      </w:r>
      <w:r w:rsidR="005958FF" w:rsidRPr="00061D40">
        <w:t>Country Areas, School Languages</w:t>
      </w:r>
      <w:r w:rsidR="007063CB">
        <w:t>,</w:t>
      </w:r>
      <w:r w:rsidR="007063CB" w:rsidRPr="007063CB">
        <w:t xml:space="preserve"> </w:t>
      </w:r>
      <w:r w:rsidR="007063CB" w:rsidRPr="00061D40">
        <w:t>ESL-New Arrivals</w:t>
      </w:r>
      <w:r w:rsidR="007063CB">
        <w:t xml:space="preserve"> and </w:t>
      </w:r>
      <w:r w:rsidR="007063CB" w:rsidRPr="00061D40">
        <w:t>LNSLN</w:t>
      </w:r>
      <w:r w:rsidR="00E62C78" w:rsidRPr="00061D40">
        <w:t>)</w:t>
      </w:r>
      <w:r w:rsidR="003B06DA" w:rsidRPr="00061D40">
        <w:t>.</w:t>
      </w:r>
    </w:p>
    <w:bookmarkEnd w:id="257"/>
    <w:p w14:paraId="7F486C2C" w14:textId="77777777" w:rsidR="00D32016" w:rsidRDefault="002C56A8">
      <w:pPr>
        <w:pStyle w:val="Heading3"/>
      </w:pPr>
      <w:r w:rsidRPr="00061D40">
        <w:t>RG</w:t>
      </w:r>
      <w:r w:rsidR="005958FF" w:rsidRPr="00061D40">
        <w:t xml:space="preserve"> and ISA</w:t>
      </w:r>
    </w:p>
    <w:p w14:paraId="7F486C2D" w14:textId="77777777" w:rsidR="005958FF" w:rsidRPr="00061D40" w:rsidRDefault="005958FF" w:rsidP="00C30212">
      <w:pPr>
        <w:pStyle w:val="StyleAppendicesBodyTextAfter6pt"/>
        <w:spacing w:after="0" w:line="240" w:lineRule="auto"/>
      </w:pPr>
      <w:r w:rsidRPr="00061D40">
        <w:t xml:space="preserve">The per capita </w:t>
      </w:r>
      <w:r w:rsidR="002C56A8" w:rsidRPr="00061D40">
        <w:t>RG</w:t>
      </w:r>
      <w:r w:rsidRPr="00061D40">
        <w:t xml:space="preserve"> for schools provided under the Act are calculated as a percentage of the primary and secondary per capita Average Government School Recurrent Costs (AGSRC) Amounts. </w:t>
      </w:r>
    </w:p>
    <w:p w14:paraId="7F486C2E" w14:textId="77777777" w:rsidR="005958FF" w:rsidRPr="00061D40" w:rsidRDefault="005958FF" w:rsidP="00C30212">
      <w:pPr>
        <w:pStyle w:val="StyleAppendicesBodyTextAfter6pt"/>
        <w:spacing w:after="0" w:line="240" w:lineRule="auto"/>
      </w:pPr>
      <w:r w:rsidRPr="00061D40">
        <w:t>The AGSRC Amounts are changed every year in accordance with sections 36 and 37 of the Act. The</w:t>
      </w:r>
      <w:r w:rsidR="002C56A8" w:rsidRPr="00061D40">
        <w:t xml:space="preserve"> </w:t>
      </w:r>
      <w:r w:rsidRPr="00061D40">
        <w:t xml:space="preserve">AGSRC Amounts are specified in </w:t>
      </w:r>
      <w:r w:rsidR="002C56A8" w:rsidRPr="00061D40">
        <w:t>Part 7 of the Regulations</w:t>
      </w:r>
      <w:r w:rsidR="00562478" w:rsidRPr="00061D40">
        <w:t xml:space="preserve">. </w:t>
      </w:r>
      <w:r w:rsidRPr="00061D40">
        <w:t xml:space="preserve">The percentages applied to the AGSRC Amounts to arrive at the per capita funding rates for Recurrent Grants are specified in the Act at Schedule 1. </w:t>
      </w:r>
    </w:p>
    <w:p w14:paraId="7F486C2F" w14:textId="77777777" w:rsidR="005958FF" w:rsidRPr="00061D40" w:rsidRDefault="005958FF" w:rsidP="00C30212">
      <w:pPr>
        <w:pStyle w:val="StyleAppendicesBodyTextAfter6pt"/>
        <w:spacing w:after="0" w:line="240" w:lineRule="auto"/>
      </w:pPr>
      <w:r w:rsidRPr="00470755">
        <w:t xml:space="preserve">Initial allocations for the </w:t>
      </w:r>
      <w:r w:rsidR="002C56A8" w:rsidRPr="00470755">
        <w:t>201</w:t>
      </w:r>
      <w:r w:rsidR="00776863">
        <w:t>3</w:t>
      </w:r>
      <w:r w:rsidR="002C56A8" w:rsidRPr="00470755">
        <w:t xml:space="preserve"> </w:t>
      </w:r>
      <w:r w:rsidRPr="00470755">
        <w:t>program year are based on the final 20</w:t>
      </w:r>
      <w:r w:rsidR="0024751E" w:rsidRPr="00470755">
        <w:t>1</w:t>
      </w:r>
      <w:r w:rsidR="00776863">
        <w:t>2</w:t>
      </w:r>
      <w:r w:rsidRPr="00470755">
        <w:t xml:space="preserve"> primary AGSRC Amount of $</w:t>
      </w:r>
      <w:r w:rsidR="00394FD4">
        <w:t>10,057</w:t>
      </w:r>
      <w:r w:rsidR="00A516BC">
        <w:t xml:space="preserve"> </w:t>
      </w:r>
      <w:r w:rsidRPr="00470755">
        <w:t>and the final 20</w:t>
      </w:r>
      <w:r w:rsidR="0024751E" w:rsidRPr="00470755">
        <w:t>1</w:t>
      </w:r>
      <w:r w:rsidR="00776863">
        <w:t>2</w:t>
      </w:r>
      <w:r w:rsidRPr="00470755">
        <w:t xml:space="preserve"> secondary AGSRC Amount of $</w:t>
      </w:r>
      <w:r w:rsidR="00394FD4">
        <w:t>12,445</w:t>
      </w:r>
      <w:r w:rsidRPr="00470755">
        <w:t>.</w:t>
      </w:r>
      <w:r w:rsidR="008E5ABB" w:rsidRPr="00470755">
        <w:t xml:space="preserve"> </w:t>
      </w:r>
      <w:r w:rsidRPr="00470755">
        <w:t>Final allocations for the 20</w:t>
      </w:r>
      <w:r w:rsidR="002C56A8" w:rsidRPr="00470755">
        <w:t>1</w:t>
      </w:r>
      <w:r w:rsidR="00776863">
        <w:t>3</w:t>
      </w:r>
      <w:r w:rsidRPr="00470755">
        <w:t xml:space="preserve"> program year will be based on the 20</w:t>
      </w:r>
      <w:r w:rsidR="002C56A8" w:rsidRPr="00470755">
        <w:t>1</w:t>
      </w:r>
      <w:r w:rsidR="00776863">
        <w:t>3</w:t>
      </w:r>
      <w:r w:rsidRPr="00470755">
        <w:t xml:space="preserve"> AGSRC Amounts and</w:t>
      </w:r>
      <w:r w:rsidRPr="00061D40">
        <w:t xml:space="preserve"> final 20</w:t>
      </w:r>
      <w:r w:rsidR="002C56A8" w:rsidRPr="00061D40">
        <w:t>1</w:t>
      </w:r>
      <w:r w:rsidR="00776863">
        <w:t>3</w:t>
      </w:r>
      <w:r w:rsidRPr="00061D40">
        <w:t xml:space="preserve"> primary and secondary enrolments.</w:t>
      </w:r>
    </w:p>
    <w:p w14:paraId="7F486C30" w14:textId="77777777" w:rsidR="005958FF" w:rsidRPr="00061D40" w:rsidRDefault="002C56A8" w:rsidP="00C30212">
      <w:pPr>
        <w:pStyle w:val="StyleAppendicesBodyTextAfter6pt"/>
        <w:spacing w:after="0" w:line="240" w:lineRule="auto"/>
      </w:pPr>
      <w:r w:rsidRPr="00061D40">
        <w:t xml:space="preserve">ISA </w:t>
      </w:r>
      <w:r w:rsidR="005958FF" w:rsidRPr="00061D40">
        <w:t xml:space="preserve">is provided at per capita rates (refer sections 67(1), </w:t>
      </w:r>
      <w:r w:rsidR="00392CC6">
        <w:t xml:space="preserve">67(1A), </w:t>
      </w:r>
      <w:r w:rsidR="005958FF" w:rsidRPr="00061D40">
        <w:t>67(2)</w:t>
      </w:r>
      <w:r w:rsidR="00392CC6">
        <w:t>,</w:t>
      </w:r>
      <w:r w:rsidR="005958FF" w:rsidRPr="00061D40">
        <w:t xml:space="preserve"> 69(1)</w:t>
      </w:r>
      <w:r w:rsidR="00392CC6">
        <w:t>, 69(1A)</w:t>
      </w:r>
      <w:r w:rsidR="005958FF" w:rsidRPr="00061D40">
        <w:t xml:space="preserve"> and 69(2) of the Act</w:t>
      </w:r>
      <w:r w:rsidR="008C10CE" w:rsidRPr="00061D40">
        <w:t>)</w:t>
      </w:r>
      <w:r w:rsidR="005958FF" w:rsidRPr="00061D40">
        <w:t>.</w:t>
      </w:r>
      <w:r w:rsidR="008E5ABB" w:rsidRPr="00061D40">
        <w:t xml:space="preserve"> </w:t>
      </w:r>
      <w:r w:rsidR="005958FF" w:rsidRPr="00061D40">
        <w:t xml:space="preserve">These amounts are supplemented annually by movements in AGSRC. </w:t>
      </w:r>
    </w:p>
    <w:p w14:paraId="7F486C31" w14:textId="77777777" w:rsidR="005958FF" w:rsidRPr="00061D40" w:rsidRDefault="005958FF" w:rsidP="00C30212">
      <w:pPr>
        <w:pStyle w:val="StyleAppendicesBodyTextAfter6pt"/>
        <w:spacing w:after="0" w:line="240" w:lineRule="auto"/>
      </w:pPr>
      <w:r w:rsidRPr="00061D40">
        <w:t xml:space="preserve">For more information on the AGSRC Amounts, refer to </w:t>
      </w:r>
      <w:r w:rsidR="0052574C" w:rsidRPr="00061D40">
        <w:t xml:space="preserve">the </w:t>
      </w:r>
      <w:r w:rsidRPr="00061D40">
        <w:t xml:space="preserve">paragraphs </w:t>
      </w:r>
      <w:r w:rsidR="00463503" w:rsidRPr="00061D40">
        <w:t xml:space="preserve">below </w:t>
      </w:r>
      <w:r w:rsidR="0052574C" w:rsidRPr="00061D40">
        <w:t>under</w:t>
      </w:r>
      <w:r w:rsidR="00963340" w:rsidRPr="00061D40">
        <w:t xml:space="preserve"> AGSRC Amounts and AGSRC Index.</w:t>
      </w:r>
    </w:p>
    <w:p w14:paraId="7F486C32" w14:textId="77777777" w:rsidR="00D32016" w:rsidRDefault="0011052A">
      <w:pPr>
        <w:pStyle w:val="Heading3"/>
      </w:pPr>
      <w:r w:rsidRPr="00061D40">
        <w:t>Capital Grants</w:t>
      </w:r>
    </w:p>
    <w:p w14:paraId="7F486C33" w14:textId="77777777" w:rsidR="0011052A" w:rsidRPr="00061D40" w:rsidRDefault="0069094B" w:rsidP="00C30212">
      <w:pPr>
        <w:pStyle w:val="StyleAppendicesBodyTextAfter6pt"/>
        <w:spacing w:after="0" w:line="240" w:lineRule="auto"/>
      </w:pPr>
      <w:r>
        <w:t>In accordance with s</w:t>
      </w:r>
      <w:r w:rsidR="006E7B3A">
        <w:t>ections 84 and 85 of the Act, s</w:t>
      </w:r>
      <w:r w:rsidR="008C5A39">
        <w:t xml:space="preserve">upplementation for capital expenditure is calculated annually by applying movements for the previous calendar year in </w:t>
      </w:r>
      <w:r w:rsidR="00BD067D">
        <w:t xml:space="preserve">Index 3020 </w:t>
      </w:r>
      <w:r w:rsidR="008C5A39">
        <w:rPr>
          <w:i/>
          <w:iCs/>
        </w:rPr>
        <w:t xml:space="preserve"> Non-Residential Building Construction, Australia,</w:t>
      </w:r>
      <w:r w:rsidR="008C5A39">
        <w:t xml:space="preserve"> </w:t>
      </w:r>
      <w:r w:rsidR="00BD067D">
        <w:t>published</w:t>
      </w:r>
      <w:r w:rsidR="008C5A39">
        <w:t xml:space="preserve"> by the Australian Bureau of Statistics </w:t>
      </w:r>
      <w:r w:rsidR="004C10B4">
        <w:t>in Table 15</w:t>
      </w:r>
      <w:r w:rsidR="0000539C">
        <w:t>:</w:t>
      </w:r>
      <w:r w:rsidR="004C10B4">
        <w:t xml:space="preserve"> Selected output of division E construction, of the Time Series </w:t>
      </w:r>
      <w:r w:rsidR="00FE37CE">
        <w:t>Spread sheets</w:t>
      </w:r>
      <w:r w:rsidR="004C10B4">
        <w:t xml:space="preserve"> in the </w:t>
      </w:r>
      <w:r w:rsidR="004C10B4" w:rsidRPr="004C10B4">
        <w:rPr>
          <w:i/>
        </w:rPr>
        <w:t>6427.0 – Producer Price Indexes, Australia</w:t>
      </w:r>
      <w:r w:rsidR="008C5A39">
        <w:t xml:space="preserve">. The index </w:t>
      </w:r>
      <w:r w:rsidR="004C10B4">
        <w:t xml:space="preserve">is a fixed weight composite index of building prices and wage costs </w:t>
      </w:r>
      <w:r w:rsidR="003C7D7D">
        <w:t xml:space="preserve">produced by the Australian Bureau of Statistics </w:t>
      </w:r>
      <w:r w:rsidR="004C10B4">
        <w:t xml:space="preserve">and </w:t>
      </w:r>
      <w:r w:rsidR="008C5A39">
        <w:t xml:space="preserve">covers non-residential new construction using a component cost method, </w:t>
      </w:r>
      <w:r w:rsidR="00382459">
        <w:t xml:space="preserve">as </w:t>
      </w:r>
      <w:r w:rsidR="008C5A39">
        <w:t xml:space="preserve">close as possible to market prices, which reflect labour, material, plant input costs and subcontractors’ margin. </w:t>
      </w:r>
    </w:p>
    <w:p w14:paraId="7F486C34" w14:textId="77777777" w:rsidR="00D32016" w:rsidRDefault="003B2838">
      <w:pPr>
        <w:pStyle w:val="Heading3"/>
      </w:pPr>
      <w:r w:rsidRPr="00061D40">
        <w:t>Targeted Programs</w:t>
      </w:r>
    </w:p>
    <w:p w14:paraId="7F486C35" w14:textId="77777777" w:rsidR="005A2DEE" w:rsidRPr="00061D40" w:rsidRDefault="0056502E" w:rsidP="00C30212">
      <w:pPr>
        <w:pStyle w:val="StyleAppendicesBodyTextAfter6pt"/>
        <w:spacing w:after="0" w:line="240" w:lineRule="auto"/>
      </w:pPr>
      <w:r w:rsidRPr="00061D40">
        <w:t xml:space="preserve">Commonwealth </w:t>
      </w:r>
      <w:r w:rsidR="003B2838" w:rsidRPr="00061D40">
        <w:t xml:space="preserve">Targeted Programs </w:t>
      </w:r>
      <w:r w:rsidRPr="00061D40">
        <w:t xml:space="preserve">for non-government schools provided under the Act </w:t>
      </w:r>
      <w:r w:rsidR="003B2838" w:rsidRPr="00061D40">
        <w:t>are</w:t>
      </w:r>
      <w:r w:rsidRPr="00061D40">
        <w:t xml:space="preserve"> supplemented annually in line with movements in the AGSRC Index.</w:t>
      </w:r>
      <w:r w:rsidR="008E5ABB" w:rsidRPr="00061D40">
        <w:t xml:space="preserve"> </w:t>
      </w:r>
      <w:r w:rsidR="003B2838" w:rsidRPr="00061D40">
        <w:t xml:space="preserve">The programs supplemented by the AGSRC Index are </w:t>
      </w:r>
      <w:r w:rsidR="00392CC6" w:rsidRPr="00061D40">
        <w:t>Short Term Emergency Assistance</w:t>
      </w:r>
      <w:r w:rsidR="00392CC6">
        <w:t>,</w:t>
      </w:r>
      <w:r w:rsidR="00392CC6" w:rsidRPr="00061D40">
        <w:t xml:space="preserve"> </w:t>
      </w:r>
      <w:r w:rsidR="005A2DEE" w:rsidRPr="00061D40">
        <w:t xml:space="preserve">Country Areas, </w:t>
      </w:r>
      <w:r w:rsidR="003B2838" w:rsidRPr="00061D40">
        <w:t xml:space="preserve">School </w:t>
      </w:r>
      <w:r w:rsidR="005A2DEE" w:rsidRPr="00061D40">
        <w:t>Languages</w:t>
      </w:r>
      <w:r w:rsidR="00392CC6">
        <w:t>,</w:t>
      </w:r>
      <w:r w:rsidR="005A2DEE" w:rsidRPr="00061D40">
        <w:t xml:space="preserve"> </w:t>
      </w:r>
      <w:r w:rsidR="00392CC6" w:rsidRPr="00061D40">
        <w:t xml:space="preserve">ESL-New Arrivals </w:t>
      </w:r>
      <w:r w:rsidR="005A2DEE" w:rsidRPr="00061D40">
        <w:t>and</w:t>
      </w:r>
      <w:r w:rsidR="00392CC6">
        <w:t xml:space="preserve"> LNSLN</w:t>
      </w:r>
      <w:r w:rsidR="003B2838" w:rsidRPr="00061D40">
        <w:t>.</w:t>
      </w:r>
    </w:p>
    <w:p w14:paraId="7F486C36" w14:textId="77777777" w:rsidR="005A2DEE" w:rsidRPr="00061D40" w:rsidRDefault="0056502E" w:rsidP="00C30212">
      <w:pPr>
        <w:pStyle w:val="StyleAppendicesBodyTextAfter6pt"/>
        <w:spacing w:after="0" w:line="240" w:lineRule="auto"/>
      </w:pPr>
      <w:bookmarkStart w:id="258" w:name="_Ref216502012"/>
      <w:r w:rsidRPr="00061D40">
        <w:t>The AGSRC Index is applied in accordance with section 1</w:t>
      </w:r>
      <w:r w:rsidR="003B2838" w:rsidRPr="00061D40">
        <w:t xml:space="preserve">01 </w:t>
      </w:r>
      <w:r w:rsidRPr="00061D40">
        <w:t xml:space="preserve">of the Act to amounts specified in the Act at </w:t>
      </w:r>
      <w:r w:rsidR="005A2DEE" w:rsidRPr="00061D40">
        <w:t xml:space="preserve">s.87(2), s.88(2), s.91(1), s.94(2) and s.95(2) and </w:t>
      </w:r>
      <w:r w:rsidR="00F62D62">
        <w:t>s.96(3)</w:t>
      </w:r>
      <w:r w:rsidR="005A2DEE" w:rsidRPr="00061D40">
        <w:t xml:space="preserve"> and </w:t>
      </w:r>
      <w:r w:rsidR="00F62D62">
        <w:t>s.98(1)</w:t>
      </w:r>
      <w:r w:rsidR="005A2DEE" w:rsidRPr="00061D40">
        <w:t>.</w:t>
      </w:r>
      <w:bookmarkEnd w:id="258"/>
    </w:p>
    <w:p w14:paraId="7F486C37" w14:textId="77777777" w:rsidR="00D32016" w:rsidRDefault="00D50A66">
      <w:pPr>
        <w:pStyle w:val="Heading3"/>
      </w:pPr>
      <w:bookmarkStart w:id="259" w:name="_Ref246757486"/>
      <w:bookmarkStart w:id="260" w:name="AGSRC"/>
      <w:r w:rsidRPr="00061D40">
        <w:t>AGSRC</w:t>
      </w:r>
      <w:r w:rsidR="0056502E" w:rsidRPr="00061D40">
        <w:t xml:space="preserve"> Amounts and AGSRC Index</w:t>
      </w:r>
      <w:bookmarkEnd w:id="259"/>
    </w:p>
    <w:p w14:paraId="7F486C38" w14:textId="77777777" w:rsidR="00AB6BAA" w:rsidRDefault="00AB6BAA" w:rsidP="00AB6BAA">
      <w:pPr>
        <w:pStyle w:val="StyleAppendicesBodyTextAfter6pt"/>
        <w:spacing w:after="0" w:line="240" w:lineRule="auto"/>
      </w:pPr>
      <w:bookmarkStart w:id="261" w:name="_Ref217300306"/>
      <w:bookmarkEnd w:id="260"/>
      <w:r>
        <w:t xml:space="preserve">Australian Government funding for all Australian schools is provided based on a proportion of the cost of educating a child in a government school. The measure used to establish expenditure in government schools is the Average Government School Recurrent Cost (AGSRC). </w:t>
      </w:r>
    </w:p>
    <w:p w14:paraId="7F486C39" w14:textId="77777777" w:rsidR="00AB6BAA" w:rsidRDefault="00AB6BAA" w:rsidP="00AB6BAA">
      <w:pPr>
        <w:pStyle w:val="StyleAppendicesBodyTextAfter6pt"/>
        <w:spacing w:after="0" w:line="240" w:lineRule="auto"/>
      </w:pPr>
      <w:r>
        <w:t xml:space="preserve">DEEWR calculates the AGSRC from financial year data collected by the states and territories as part of the National Schools Statistics Collection (NSSC) under the auspices of the Standing Council on School Education and Early Childhood (SCSEEC) and its predecessors. </w:t>
      </w:r>
    </w:p>
    <w:p w14:paraId="7F486C3A" w14:textId="77777777" w:rsidR="00AB6BAA" w:rsidRDefault="00AB6BAA" w:rsidP="00AB6BAA">
      <w:pPr>
        <w:pStyle w:val="StyleAppendicesBodyTextAfter6pt"/>
        <w:spacing w:after="0" w:line="240" w:lineRule="auto"/>
      </w:pPr>
      <w:r>
        <w:t xml:space="preserve">The AGSRC is calculated to index Australian Government funding amounts for primary and secondary students. These amounts are based on expenditure by state or territory governments on government schools in the relevant financial years. For example, the 2013 supplementation calculation will be based on the movement in government school expenditures over the 2010-11 and 2011-12 financial year. </w:t>
      </w:r>
    </w:p>
    <w:bookmarkEnd w:id="261"/>
    <w:p w14:paraId="7F486C3B" w14:textId="77777777" w:rsidR="00AB6BAA" w:rsidRDefault="00AB6BAA" w:rsidP="00AB6BAA">
      <w:pPr>
        <w:pStyle w:val="StyleAppendicesBodyTextAfter6pt"/>
        <w:spacing w:after="0" w:line="240" w:lineRule="auto"/>
      </w:pPr>
      <w:r>
        <w:t xml:space="preserve">Year-to- year changes in the AGSRC amounts form the basis for Australian Government indexation of grants to non-government schools and to calculate the growth factor in payments under the National Schools Specific Purpose Payments to states and territories in respect of government schools. </w:t>
      </w:r>
    </w:p>
    <w:p w14:paraId="7F486C3C" w14:textId="77777777" w:rsidR="00AB6BAA" w:rsidRDefault="00AB6BAA" w:rsidP="00AB6BAA">
      <w:pPr>
        <w:pStyle w:val="StyleAppendicesBodyTextAfter6pt"/>
        <w:spacing w:after="0" w:line="240" w:lineRule="auto"/>
      </w:pPr>
      <w:r>
        <w:t xml:space="preserve">Targeted programs in the non-government sector are also supplemented annually by movements in the AGSRC Index. </w:t>
      </w:r>
    </w:p>
    <w:p w14:paraId="7F486C3D" w14:textId="77777777" w:rsidR="00AC30F9" w:rsidRPr="00061D40" w:rsidRDefault="00AC30F9" w:rsidP="00C30212">
      <w:pPr>
        <w:pStyle w:val="StyleAppendicesBodyTextAfter6pt"/>
        <w:spacing w:after="0" w:line="240" w:lineRule="auto"/>
        <w:sectPr w:rsidR="00AC30F9" w:rsidRPr="00061D40" w:rsidSect="00963340">
          <w:pgSz w:w="11906" w:h="16838" w:code="9"/>
          <w:pgMar w:top="1418" w:right="1418" w:bottom="1134" w:left="1418" w:header="567" w:footer="567" w:gutter="0"/>
          <w:cols w:space="720"/>
          <w:docGrid w:linePitch="272"/>
        </w:sectPr>
      </w:pPr>
    </w:p>
    <w:p w14:paraId="7F486C3E" w14:textId="77777777" w:rsidR="00860691" w:rsidRDefault="00860691" w:rsidP="00860691">
      <w:pPr>
        <w:pStyle w:val="Heading2"/>
      </w:pPr>
      <w:bookmarkStart w:id="262" w:name="_Toc346205344"/>
      <w:bookmarkStart w:id="263" w:name="_Toc346205343"/>
      <w:bookmarkStart w:id="264" w:name="_Toc182292937"/>
      <w:r w:rsidRPr="00F02ED7">
        <w:t xml:space="preserve">Appendix </w:t>
      </w:r>
      <w:r>
        <w:t>L</w:t>
      </w:r>
      <w:r w:rsidRPr="00F02ED7">
        <w:t xml:space="preserve">: </w:t>
      </w:r>
      <w:bookmarkStart w:id="265" w:name="_Toc246493748"/>
      <w:r w:rsidRPr="00F02ED7">
        <w:t>Information about requirements for funding</w:t>
      </w:r>
      <w:bookmarkEnd w:id="262"/>
      <w:bookmarkEnd w:id="265"/>
      <w:r w:rsidRPr="00F02ED7">
        <w:t xml:space="preserve"> </w:t>
      </w:r>
    </w:p>
    <w:p w14:paraId="7F486C3F" w14:textId="77777777" w:rsidR="00860691" w:rsidRPr="00061D40" w:rsidRDefault="00860691" w:rsidP="00860691">
      <w:pPr>
        <w:pStyle w:val="StyleAppendicesBodyTextAfter6pt"/>
        <w:spacing w:after="0" w:line="240" w:lineRule="auto"/>
      </w:pPr>
      <w:r w:rsidRPr="00061D40">
        <w:t>Only approved schools, school systems or other educational bodies which meet program eligibility criteria may receive Commonwealth financial assistance under the Act.</w:t>
      </w:r>
    </w:p>
    <w:p w14:paraId="7F486C40" w14:textId="77777777" w:rsidR="00860691" w:rsidRPr="00061D40" w:rsidRDefault="00860691" w:rsidP="00860691">
      <w:pPr>
        <w:pStyle w:val="StyleAppendicesBodyTextAfter6pt"/>
        <w:spacing w:after="0" w:line="240" w:lineRule="auto"/>
      </w:pPr>
      <w:r w:rsidRPr="00061D40">
        <w:t xml:space="preserve">Recurrent </w:t>
      </w:r>
      <w:r>
        <w:t>f</w:t>
      </w:r>
      <w:r w:rsidRPr="00061D40">
        <w:t xml:space="preserve">unding will only be paid for schools which have been recognised for their level/s of education and location/s by the relevant State or Territory in which the school operates. </w:t>
      </w:r>
    </w:p>
    <w:p w14:paraId="7F486C41" w14:textId="77777777" w:rsidR="00860691" w:rsidRPr="00061D40" w:rsidRDefault="00860691" w:rsidP="00860691">
      <w:pPr>
        <w:pStyle w:val="StyleAppendicesBodyTextAfter6pt"/>
        <w:spacing w:after="0" w:line="240" w:lineRule="auto"/>
      </w:pPr>
      <w:r w:rsidRPr="00061D40">
        <w:t>The Minister must declare a body to be the approved authority for non-government schools and other recipients of grants. Those authorities are responsible for entering into agreements with the Commonwealth, ensuring that grants are properly applied and providing such reports and other information as the Commonwealth may require under the terms of the Act or an agreement.</w:t>
      </w:r>
    </w:p>
    <w:p w14:paraId="7F486C42" w14:textId="77777777" w:rsidR="00860691" w:rsidRPr="00061D40" w:rsidRDefault="00860691" w:rsidP="00860691">
      <w:pPr>
        <w:pStyle w:val="StyleAppendicesBodyTextAfter6pt"/>
        <w:spacing w:after="0" w:line="240" w:lineRule="auto"/>
      </w:pPr>
      <w:r w:rsidRPr="00061D40">
        <w:t>The approved authorities for all non-systemic schools must be incorporated bodies. The Department recommends that all other grant recipients become incorporated.</w:t>
      </w:r>
    </w:p>
    <w:p w14:paraId="7F486C43" w14:textId="77777777" w:rsidR="00860691" w:rsidRPr="00061D40" w:rsidRDefault="00860691" w:rsidP="00860691">
      <w:pPr>
        <w:pStyle w:val="StyleAppendicesBodyTextAfter6pt"/>
        <w:spacing w:after="0" w:line="240" w:lineRule="auto"/>
      </w:pPr>
      <w:r w:rsidRPr="00061D40">
        <w:t>The memorandum and articles or other instruments by which incorporation is effected must:</w:t>
      </w:r>
    </w:p>
    <w:p w14:paraId="7F486C44" w14:textId="77777777" w:rsidR="00860691" w:rsidRPr="00061D40" w:rsidRDefault="00860691" w:rsidP="00860691">
      <w:pPr>
        <w:pStyle w:val="AppendixBullet"/>
        <w:numPr>
          <w:ilvl w:val="0"/>
          <w:numId w:val="28"/>
        </w:numPr>
      </w:pPr>
      <w:r w:rsidRPr="00061D40">
        <w:t>include the power of the incorporated body to conduct a school</w:t>
      </w:r>
    </w:p>
    <w:p w14:paraId="7F486C45" w14:textId="77777777" w:rsidR="00860691" w:rsidRPr="00061D40" w:rsidRDefault="00860691" w:rsidP="00860691">
      <w:pPr>
        <w:pStyle w:val="AppendixBullet"/>
        <w:numPr>
          <w:ilvl w:val="0"/>
          <w:numId w:val="28"/>
        </w:numPr>
      </w:pPr>
      <w:r w:rsidRPr="00061D40">
        <w:t>provide for the non-profit status of the body including a requirement that any surpluses generated by the school, or recognised group of non-government schools be used for the purposes of the school or recognised group of non-government schools and not be transferred to any other activity that the body is authorised to undertake</w:t>
      </w:r>
    </w:p>
    <w:p w14:paraId="7F486C46" w14:textId="77777777" w:rsidR="00860691" w:rsidRDefault="00860691" w:rsidP="00860691">
      <w:pPr>
        <w:pStyle w:val="AppendixBullet"/>
        <w:numPr>
          <w:ilvl w:val="0"/>
          <w:numId w:val="28"/>
        </w:numPr>
        <w:spacing w:line="240" w:lineRule="auto"/>
      </w:pPr>
      <w:r>
        <w:t>if the operator is wound up, net assets of the operator remaining after all obligations arising from the winding up have been satisfied will be donated to another non-profit entity that provides education-related services to primary or secondary students, for the purposes of those services.</w:t>
      </w:r>
    </w:p>
    <w:p w14:paraId="7F486C47" w14:textId="77777777" w:rsidR="00860691" w:rsidRPr="00061D40" w:rsidRDefault="00860691" w:rsidP="00860691">
      <w:pPr>
        <w:pStyle w:val="AppendixBullet"/>
        <w:numPr>
          <w:ilvl w:val="0"/>
          <w:numId w:val="28"/>
        </w:numPr>
      </w:pPr>
      <w:r w:rsidRPr="00061D40">
        <w:t>not be inconsistent with the Commonwealth's right to recovery of Commonwealth grants in certain circumstances.</w:t>
      </w:r>
    </w:p>
    <w:p w14:paraId="7F486C48" w14:textId="77777777" w:rsidR="00860691" w:rsidRPr="00061D40" w:rsidRDefault="00860691" w:rsidP="00860691">
      <w:pPr>
        <w:pStyle w:val="StyleAppendicesBodyTextAfter6pt"/>
        <w:spacing w:after="0" w:line="240" w:lineRule="auto"/>
      </w:pPr>
      <w:r w:rsidRPr="00061D40">
        <w:t>Some schools are incorporated through an Act of Parliament or conducted by a religious order, which has a separate body corporate. If the above provisions are difficult to include in the articles or memorandum of incorporation, the trustees or directors of the incorporated body may sign a statutory declaration which addresses the provisions outlined in the previous paragraph.</w:t>
      </w:r>
    </w:p>
    <w:p w14:paraId="7F486C49" w14:textId="77777777" w:rsidR="00860691" w:rsidRPr="00061D40" w:rsidRDefault="00860691" w:rsidP="00860691">
      <w:pPr>
        <w:pStyle w:val="StyleAppendicesBodyTextAfter6pt"/>
        <w:spacing w:after="0" w:line="240" w:lineRule="auto"/>
      </w:pPr>
      <w:r w:rsidRPr="00061D40">
        <w:t>A client body may request a change of its declared approved authority. Until the replacing authority is approved or recognised, the existing authority retains responsibility for the school's dealings with the Commonwealth. The replacing authority will be required to endorse agreements entered into by the outgoing authority in order for the payment of Commonwealth grants to continue.</w:t>
      </w:r>
    </w:p>
    <w:p w14:paraId="7F486C4A" w14:textId="77777777" w:rsidR="00860691" w:rsidRDefault="00860691" w:rsidP="00860691">
      <w:pPr>
        <w:pStyle w:val="StyleAppendicesBodyTextAfter6pt"/>
        <w:keepLines/>
        <w:spacing w:after="0" w:line="240" w:lineRule="auto"/>
      </w:pPr>
      <w:r w:rsidRPr="00061D40">
        <w:t>The approved authority for the receipt of Commonwealth funding for a non-government school should preferably be the same for all groups of programs (Recurrent, Capital and Targeted) covered by the Act. Approved school authorities can appoint different persons for particular programs to act as agents on behalf of the approved authority. It is the responsibility of the approved school authority to ensure that the Department is informed of the names of agents prior to those persons acting on behalf of the approved authority. In the case of most</w:t>
      </w:r>
      <w:r w:rsidR="0092742C">
        <w:t>, but not all,</w:t>
      </w:r>
      <w:r w:rsidRPr="00061D40">
        <w:t xml:space="preserve"> Catholic non-systemic schools, the approved authority under the relevant targeted program will continue to be the Catholic system authority for that State.</w:t>
      </w:r>
    </w:p>
    <w:p w14:paraId="7F486C4B" w14:textId="77777777" w:rsidR="00860691" w:rsidRDefault="00860691" w:rsidP="00860691">
      <w:pPr>
        <w:spacing w:before="0" w:line="240" w:lineRule="auto"/>
      </w:pPr>
      <w:r>
        <w:br w:type="page"/>
      </w:r>
    </w:p>
    <w:p w14:paraId="7F486C4C" w14:textId="77777777" w:rsidR="0055132D" w:rsidRDefault="0055132D" w:rsidP="0055132D">
      <w:pPr>
        <w:pStyle w:val="Heading2"/>
      </w:pPr>
      <w:r w:rsidRPr="00F02ED7">
        <w:t xml:space="preserve">Appendix </w:t>
      </w:r>
      <w:r w:rsidR="00904769">
        <w:t>M</w:t>
      </w:r>
      <w:r w:rsidRPr="00F02ED7">
        <w:t xml:space="preserve">: </w:t>
      </w:r>
      <w:r>
        <w:t>Schools not conducted for profit</w:t>
      </w:r>
      <w:bookmarkEnd w:id="263"/>
      <w:r w:rsidRPr="00F02ED7">
        <w:t xml:space="preserve"> </w:t>
      </w:r>
    </w:p>
    <w:p w14:paraId="7F486C4D" w14:textId="77777777" w:rsidR="0055132D" w:rsidRDefault="0055132D" w:rsidP="0055132D">
      <w:pPr>
        <w:pStyle w:val="StyleAppendicesBodyTextAfter6pt"/>
        <w:spacing w:after="0" w:line="240" w:lineRule="auto"/>
      </w:pPr>
      <w:r>
        <w:t>Under the Act, Commonwealth financial assistance is only payable for, or in connection with, “non-government schools”. Non-government schools are schools that, amongst other things, are “not conducted for profit”</w:t>
      </w:r>
      <w:r>
        <w:rPr>
          <w:rStyle w:val="FootnoteReference"/>
        </w:rPr>
        <w:footnoteReference w:id="3"/>
      </w:r>
      <w:r>
        <w:t>. A school that is conducted for profit cannot be approved by the Minister for the purposes of the Act</w:t>
      </w:r>
      <w:r>
        <w:rPr>
          <w:rStyle w:val="FootnoteReference"/>
        </w:rPr>
        <w:footnoteReference w:id="4"/>
      </w:r>
      <w:r>
        <w:t>, and if an approved school starts to be conducted for profit, the Minister must revoke its approval</w:t>
      </w:r>
      <w:r>
        <w:rPr>
          <w:rStyle w:val="FootnoteReference"/>
        </w:rPr>
        <w:footnoteReference w:id="5"/>
      </w:r>
      <w:r>
        <w:t>.</w:t>
      </w:r>
    </w:p>
    <w:p w14:paraId="7F486C4E" w14:textId="77777777" w:rsidR="0055132D" w:rsidRDefault="0055132D" w:rsidP="0055132D">
      <w:pPr>
        <w:pStyle w:val="StyleAppendicesBodyTextAfter6pt"/>
        <w:spacing w:after="0" w:line="240" w:lineRule="auto"/>
      </w:pPr>
      <w:r>
        <w:t>The crucial consideration in deciding whether or not a school is being conducted for profit is how the entity that is responsible for the operation of the school (school operator) applies the money it derives from or that relates to its operation of the school. Critically, that money must be applied for the benefit of the school or schools of the operator, and not applied for the benefit of the owners of the operator or any third party.</w:t>
      </w:r>
    </w:p>
    <w:p w14:paraId="7F486C4F" w14:textId="77777777" w:rsidR="0055132D" w:rsidRDefault="00CA67BB" w:rsidP="0055132D">
      <w:pPr>
        <w:pStyle w:val="StyleAppendicesBodyTextAfter6pt"/>
        <w:spacing w:after="0" w:line="240" w:lineRule="auto"/>
      </w:pPr>
      <w:r>
        <w:t>To provide greater clarity for schools, the information below outlines the factors the Department currently has regard to i</w:t>
      </w:r>
      <w:r w:rsidR="0055132D">
        <w:t>n deciding whether or not a school is conducted for profit for the purposes of the Act:</w:t>
      </w:r>
    </w:p>
    <w:p w14:paraId="7F486C50" w14:textId="77777777" w:rsidR="0055132D" w:rsidRDefault="0055132D" w:rsidP="0055132D">
      <w:pPr>
        <w:pStyle w:val="StyleAppendicesBodyTextAfter6pt"/>
        <w:numPr>
          <w:ilvl w:val="0"/>
          <w:numId w:val="162"/>
        </w:numPr>
        <w:spacing w:after="0" w:line="240" w:lineRule="auto"/>
      </w:pPr>
      <w:r>
        <w:t>the constituent documents of the school operator;</w:t>
      </w:r>
    </w:p>
    <w:p w14:paraId="7F486C51" w14:textId="77777777" w:rsidR="0055132D" w:rsidRDefault="0055132D" w:rsidP="0055132D">
      <w:pPr>
        <w:pStyle w:val="StyleAppendicesBodyTextAfter6pt"/>
        <w:numPr>
          <w:ilvl w:val="0"/>
          <w:numId w:val="162"/>
        </w:numPr>
        <w:spacing w:after="0" w:line="240" w:lineRule="auto"/>
      </w:pPr>
      <w:r>
        <w:t>recognition of the non-profit status of the school operator; and</w:t>
      </w:r>
    </w:p>
    <w:p w14:paraId="7F486C52" w14:textId="77777777" w:rsidR="0055132D" w:rsidRDefault="0055132D" w:rsidP="0055132D">
      <w:pPr>
        <w:pStyle w:val="StyleAppendicesBodyTextAfter6pt"/>
        <w:numPr>
          <w:ilvl w:val="0"/>
          <w:numId w:val="162"/>
        </w:numPr>
        <w:spacing w:after="0" w:line="240" w:lineRule="auto"/>
      </w:pPr>
      <w:r>
        <w:t>the policies and practices of the school operator with respect to the school.</w:t>
      </w:r>
    </w:p>
    <w:p w14:paraId="7F486C53" w14:textId="77777777" w:rsidR="0055132D" w:rsidRPr="006C52C2" w:rsidRDefault="0055132D" w:rsidP="0055132D">
      <w:pPr>
        <w:pStyle w:val="StyleHeading3LatinBodyCalibri16pt"/>
      </w:pPr>
      <w:r>
        <w:t>Constituent documents of school operator</w:t>
      </w:r>
    </w:p>
    <w:p w14:paraId="7F486C54" w14:textId="77777777" w:rsidR="0055132D" w:rsidRDefault="0055132D" w:rsidP="0055132D">
      <w:pPr>
        <w:pStyle w:val="StyleAppendicesBodyTextAfter6pt"/>
        <w:spacing w:after="0" w:line="240" w:lineRule="auto"/>
      </w:pPr>
      <w:r>
        <w:t>The constituent documents of a school operator – for example, its corporate constitution, or the legislation under which it is established – should provide that the operator is a non-profit entity, or at least non-profit insofar at its education-related activities are concerned.</w:t>
      </w:r>
    </w:p>
    <w:p w14:paraId="7F486C55" w14:textId="77777777" w:rsidR="0055132D" w:rsidRDefault="0055132D" w:rsidP="0055132D">
      <w:pPr>
        <w:pStyle w:val="StyleAppendicesBodyTextAfter6pt"/>
        <w:spacing w:after="0" w:line="240" w:lineRule="auto"/>
      </w:pPr>
      <w:r>
        <w:t>Further, those documents should provide that:</w:t>
      </w:r>
    </w:p>
    <w:p w14:paraId="7F486C56" w14:textId="77777777" w:rsidR="0055132D" w:rsidRDefault="0055132D" w:rsidP="0055132D">
      <w:pPr>
        <w:pStyle w:val="StyleAppendicesBodyTextAfter6pt"/>
        <w:numPr>
          <w:ilvl w:val="0"/>
          <w:numId w:val="164"/>
        </w:numPr>
        <w:spacing w:after="0" w:line="240" w:lineRule="auto"/>
      </w:pPr>
      <w:r>
        <w:t>surplus income of the operator derived from or related to the operation of its school/s must not be distributed to the owners of the operator or to any third party; and</w:t>
      </w:r>
    </w:p>
    <w:p w14:paraId="7F486C57" w14:textId="77777777" w:rsidR="0055132D" w:rsidRDefault="0055132D" w:rsidP="0055132D">
      <w:pPr>
        <w:pStyle w:val="StyleAppendicesBodyTextAfter6pt"/>
        <w:numPr>
          <w:ilvl w:val="0"/>
          <w:numId w:val="164"/>
        </w:numPr>
        <w:spacing w:after="0" w:line="240" w:lineRule="auto"/>
      </w:pPr>
      <w:r>
        <w:t>if the operator is wound up, net assets of the operator remaining after all obligations arising from the winding up have been satisfied will be donated to another non-profit entity that provides education-related services to primary or secondary students, for the purposes of those services.</w:t>
      </w:r>
    </w:p>
    <w:p w14:paraId="7F486C58" w14:textId="77777777" w:rsidR="0055132D" w:rsidRDefault="0055132D" w:rsidP="0055132D">
      <w:pPr>
        <w:pStyle w:val="StyleAppendicesBodyTextAfter6pt"/>
        <w:spacing w:after="0" w:line="240" w:lineRule="auto"/>
      </w:pPr>
      <w:r>
        <w:t>Ideally, the constituent documents of the school operator will have the following effect:</w:t>
      </w:r>
    </w:p>
    <w:p w14:paraId="7F486C59" w14:textId="77777777" w:rsidR="0055132D" w:rsidRDefault="0055132D" w:rsidP="0055132D">
      <w:pPr>
        <w:pStyle w:val="StyleAppendicesBodyTextAfter6pt"/>
        <w:numPr>
          <w:ilvl w:val="0"/>
          <w:numId w:val="163"/>
        </w:numPr>
        <w:spacing w:after="0" w:line="240" w:lineRule="auto"/>
      </w:pPr>
      <w:r>
        <w:t>revenue derived by the operator in relation to its school/s will be used only for the purposes of the school/s; and</w:t>
      </w:r>
    </w:p>
    <w:p w14:paraId="7F486C5A" w14:textId="77777777" w:rsidR="0055132D" w:rsidRDefault="0055132D" w:rsidP="0055132D">
      <w:pPr>
        <w:pStyle w:val="StyleAppendicesBodyTextAfter6pt"/>
        <w:numPr>
          <w:ilvl w:val="0"/>
          <w:numId w:val="163"/>
        </w:numPr>
        <w:spacing w:after="0" w:line="240" w:lineRule="auto"/>
      </w:pPr>
      <w:r>
        <w:t>if the operator is wound up, net assets remaining after all obligations arising from the winding up have been satisfied will be donated to another school operator who is in receipt of, or eligible for, Commonwealth financial assistance for its school/s.</w:t>
      </w:r>
    </w:p>
    <w:p w14:paraId="7F486C5B" w14:textId="77777777" w:rsidR="0055132D" w:rsidRDefault="0055132D" w:rsidP="0055132D">
      <w:pPr>
        <w:pStyle w:val="StyleAppendicesBodyTextAfter6pt"/>
        <w:spacing w:after="0" w:line="240" w:lineRule="auto"/>
      </w:pPr>
      <w:r>
        <w:t>Changes to a school operator’s constituent documents can result in a reassessment by the Department of whether it continues to conduct its school/s on a non-profit basis.</w:t>
      </w:r>
    </w:p>
    <w:p w14:paraId="7F486C5C" w14:textId="77777777" w:rsidR="0055132D" w:rsidRDefault="0055132D" w:rsidP="0055132D">
      <w:pPr>
        <w:pStyle w:val="StyleHeading3LatinBodyCalibri16pt"/>
      </w:pPr>
      <w:r>
        <w:t>Recognition of non-profit status of school operator</w:t>
      </w:r>
    </w:p>
    <w:p w14:paraId="7F486C5D" w14:textId="77777777" w:rsidR="0055132D" w:rsidRDefault="0055132D" w:rsidP="0055132D">
      <w:pPr>
        <w:pStyle w:val="StyleAppendicesBodyTextAfter6pt"/>
        <w:spacing w:after="0" w:line="240" w:lineRule="auto"/>
      </w:pPr>
      <w:r>
        <w:t xml:space="preserve">Ideally, a school operator should have its non-profit status recognised in some fashion – for example, registration as a charitable institution or deductible gift recipient for taxation purposes, or registration as a not-for-profit entity under the </w:t>
      </w:r>
      <w:r>
        <w:rPr>
          <w:i/>
        </w:rPr>
        <w:t>Australian Charities and Not-for-profits Commission Act 2012</w:t>
      </w:r>
      <w:r>
        <w:t>.</w:t>
      </w:r>
    </w:p>
    <w:p w14:paraId="7F486C5E" w14:textId="77777777" w:rsidR="0055132D" w:rsidRDefault="0055132D" w:rsidP="0055132D">
      <w:pPr>
        <w:pStyle w:val="StyleAppendicesBodyTextAfter6pt"/>
        <w:spacing w:after="0" w:line="240" w:lineRule="auto"/>
      </w:pPr>
      <w:r>
        <w:t>While failure by a school operator to be so recognised will not means its schools are regarded as being conducted for profit, such recognition provides a measure of assurance that that is not the case. Equally, failure by a school operator to maintain such recognition can result in the Department reassessing whether it continues to conduct its school/s on a non-profit basis.</w:t>
      </w:r>
    </w:p>
    <w:p w14:paraId="7F486C5F" w14:textId="77777777" w:rsidR="0055132D" w:rsidRPr="00423978" w:rsidRDefault="0055132D" w:rsidP="0055132D">
      <w:pPr>
        <w:pStyle w:val="StyleHeading3LatinBodyCalibri16pt"/>
      </w:pPr>
      <w:r>
        <w:t>Policies and practices of school operator</w:t>
      </w:r>
    </w:p>
    <w:p w14:paraId="7F486C60" w14:textId="77777777" w:rsidR="0055132D" w:rsidRDefault="0055132D" w:rsidP="0055132D">
      <w:pPr>
        <w:pStyle w:val="StyleAppendicesBodyTextAfter6pt"/>
        <w:spacing w:after="0" w:line="240" w:lineRule="auto"/>
      </w:pPr>
      <w:r>
        <w:t>The most significant factor in determining whether a school operator is conducting its schools for profit is the actual behaviour of the operator with respect to school finances – that is, the policies it implements around the financial management of its school/s and its conduct in receiving and spending money in relation to its school/s.</w:t>
      </w:r>
    </w:p>
    <w:p w14:paraId="7F486C61" w14:textId="77777777" w:rsidR="0055132D" w:rsidRDefault="0055132D" w:rsidP="0055132D">
      <w:pPr>
        <w:pStyle w:val="StyleAppendicesBodyTextAfter6pt"/>
        <w:spacing w:after="0" w:line="240" w:lineRule="auto"/>
      </w:pPr>
      <w:r>
        <w:t>In particular, in assessing whether a school operator is or is not conducting its school/s for profit, the Department will have regard to such matters as:</w:t>
      </w:r>
    </w:p>
    <w:p w14:paraId="7F486C62" w14:textId="77777777" w:rsidR="0055132D" w:rsidRDefault="0055132D" w:rsidP="0055132D">
      <w:pPr>
        <w:pStyle w:val="bodytextoutlinednumber"/>
        <w:numPr>
          <w:ilvl w:val="1"/>
          <w:numId w:val="10"/>
        </w:numPr>
      </w:pPr>
      <w:r>
        <w:t>the extent to which the school operator has acted in accordance with the restrictions on distribution of surplus funds in its constituent documents;</w:t>
      </w:r>
    </w:p>
    <w:p w14:paraId="7F486C63" w14:textId="77777777" w:rsidR="0055132D" w:rsidRDefault="0055132D" w:rsidP="0055132D">
      <w:pPr>
        <w:pStyle w:val="bodytextoutlinednumber"/>
        <w:numPr>
          <w:ilvl w:val="1"/>
          <w:numId w:val="10"/>
        </w:numPr>
      </w:pPr>
      <w:r>
        <w:t>the extent to which money derived from or related to the operator’s school/s have, or have not, been applied to the purposes of its school/s;</w:t>
      </w:r>
    </w:p>
    <w:p w14:paraId="7F486C64" w14:textId="77777777" w:rsidR="0055132D" w:rsidRDefault="0055132D" w:rsidP="0055132D">
      <w:pPr>
        <w:pStyle w:val="bodytextoutlinednumber"/>
        <w:numPr>
          <w:ilvl w:val="1"/>
          <w:numId w:val="10"/>
        </w:numPr>
      </w:pPr>
      <w:r>
        <w:t xml:space="preserve">whether there has been a direct or indirect distribution of money derived from or related to the operator’s school/s to the owners of the operator, or any other entity (e.g. in circumstances indicating profit-taking as opposed to </w:t>
      </w:r>
      <w:r>
        <w:rPr>
          <w:i/>
        </w:rPr>
        <w:t>bona fide</w:t>
      </w:r>
      <w:r>
        <w:t xml:space="preserve"> commercial transactions).</w:t>
      </w:r>
    </w:p>
    <w:bookmarkEnd w:id="264"/>
    <w:p w14:paraId="7F486C65" w14:textId="77777777" w:rsidR="00860691" w:rsidRDefault="00860691" w:rsidP="00281CA5">
      <w:pPr>
        <w:pStyle w:val="StyleAppendicesBodyTextAfter6pt"/>
        <w:keepLines/>
        <w:spacing w:after="0" w:line="240" w:lineRule="auto"/>
      </w:pPr>
    </w:p>
    <w:p w14:paraId="7F486C66" w14:textId="77777777" w:rsidR="00860691" w:rsidRPr="00061D40" w:rsidRDefault="00860691" w:rsidP="00281CA5">
      <w:pPr>
        <w:pStyle w:val="StyleAppendicesBodyTextAfter6pt"/>
        <w:keepLines/>
        <w:spacing w:after="0" w:line="240" w:lineRule="auto"/>
      </w:pPr>
    </w:p>
    <w:p w14:paraId="7F486C67" w14:textId="77777777" w:rsidR="00AC30F9" w:rsidRPr="00061D40" w:rsidRDefault="00AC30F9" w:rsidP="00C30212">
      <w:pPr>
        <w:pStyle w:val="StyleAppendicesBodyTextAfter6pt"/>
        <w:spacing w:after="0" w:line="240" w:lineRule="auto"/>
        <w:sectPr w:rsidR="00AC30F9" w:rsidRPr="00061D40" w:rsidSect="00963340">
          <w:pgSz w:w="11906" w:h="16838" w:code="9"/>
          <w:pgMar w:top="1418" w:right="1418" w:bottom="1134" w:left="1418" w:header="567" w:footer="567" w:gutter="0"/>
          <w:cols w:space="720"/>
          <w:docGrid w:linePitch="272"/>
        </w:sectPr>
      </w:pPr>
      <w:bookmarkStart w:id="266" w:name="_Toc182292938"/>
    </w:p>
    <w:p w14:paraId="7F486C68" w14:textId="77777777" w:rsidR="006D639A" w:rsidRPr="00061D40" w:rsidRDefault="00D66109" w:rsidP="00281CA5">
      <w:pPr>
        <w:pStyle w:val="Heading2"/>
        <w:spacing w:before="0"/>
      </w:pPr>
      <w:bookmarkStart w:id="267" w:name="_Toc346205345"/>
      <w:r w:rsidRPr="00061D40">
        <w:t xml:space="preserve">Appendix </w:t>
      </w:r>
      <w:r w:rsidR="0055132D">
        <w:t>N</w:t>
      </w:r>
      <w:r w:rsidR="00845AF6" w:rsidRPr="00061D40">
        <w:t xml:space="preserve">: </w:t>
      </w:r>
      <w:bookmarkStart w:id="268" w:name="_Toc246493749"/>
      <w:r w:rsidR="000228B3" w:rsidRPr="00061D40">
        <w:t>Funding for schools enrolling students on visas</w:t>
      </w:r>
      <w:bookmarkEnd w:id="267"/>
      <w:r w:rsidR="006D639A" w:rsidRPr="00061D40">
        <w:t xml:space="preserve"> </w:t>
      </w:r>
      <w:bookmarkEnd w:id="266"/>
      <w:bookmarkEnd w:id="268"/>
    </w:p>
    <w:p w14:paraId="7F486C69" w14:textId="77777777" w:rsidR="000228B3" w:rsidRPr="00061D40" w:rsidRDefault="000228B3" w:rsidP="000228B3">
      <w:r w:rsidRPr="00061D40">
        <w:t xml:space="preserve">Under the </w:t>
      </w:r>
      <w:r w:rsidRPr="00061D40">
        <w:rPr>
          <w:i/>
          <w:iCs/>
        </w:rPr>
        <w:t>Schools Assistance Act 2008</w:t>
      </w:r>
      <w:r w:rsidRPr="00061D40">
        <w:t xml:space="preserve">, recurrent financial assistance can only be provided to schools in respect of certain students who hold, or are dependents of persons who hold a permanent or temporary visa which permits them to travel to Australia and attend non-government schools. The Minister for </w:t>
      </w:r>
      <w:r w:rsidR="00A516BC">
        <w:t>School Education’s</w:t>
      </w:r>
      <w:r w:rsidRPr="00061D40">
        <w:t xml:space="preserve"> delegate determines the persons or classes of persons according to visa sub-class who are eligible to attract recurrent financial assistance under the Act. The persons who are </w:t>
      </w:r>
      <w:r w:rsidRPr="00061D40">
        <w:rPr>
          <w:u w:val="single"/>
        </w:rPr>
        <w:t>not</w:t>
      </w:r>
      <w:r w:rsidRPr="00061D40">
        <w:t xml:space="preserve"> eligible to attract recurrent financial assistance are known as Overseas Students for the purposes of the Act. </w:t>
      </w:r>
    </w:p>
    <w:p w14:paraId="7F486C6A" w14:textId="77777777" w:rsidR="00D32016" w:rsidRDefault="005D62E2">
      <w:pPr>
        <w:pStyle w:val="Heading3"/>
      </w:pPr>
      <w:r w:rsidRPr="00061D40">
        <w:t xml:space="preserve">Overseas Students </w:t>
      </w:r>
    </w:p>
    <w:p w14:paraId="7F486C6B" w14:textId="77777777" w:rsidR="005D62E2" w:rsidRPr="00061D40" w:rsidRDefault="005D62E2" w:rsidP="00C30212">
      <w:pPr>
        <w:pStyle w:val="StyleAppendicesBodyTextAfter6pt"/>
        <w:spacing w:after="0" w:line="240" w:lineRule="auto"/>
      </w:pPr>
      <w:r w:rsidRPr="00061D40">
        <w:t>Unless the Minister determines otherwise, an Overseas Student is a</w:t>
      </w:r>
      <w:r w:rsidR="008E5ABB" w:rsidRPr="00061D40">
        <w:t xml:space="preserve"> </w:t>
      </w:r>
      <w:r w:rsidRPr="00061D40">
        <w:t>person:</w:t>
      </w:r>
    </w:p>
    <w:p w14:paraId="7F486C6C" w14:textId="77777777" w:rsidR="005D62E2" w:rsidRPr="00061D40" w:rsidRDefault="005D62E2" w:rsidP="00281CA5">
      <w:pPr>
        <w:pStyle w:val="AppendixBullet"/>
        <w:numPr>
          <w:ilvl w:val="0"/>
          <w:numId w:val="29"/>
        </w:numPr>
      </w:pPr>
      <w:r w:rsidRPr="00061D40">
        <w:t xml:space="preserve">who holds a visa in force under the </w:t>
      </w:r>
      <w:r w:rsidRPr="00061D40">
        <w:rPr>
          <w:i/>
        </w:rPr>
        <w:t>Migration Act 1958</w:t>
      </w:r>
      <w:r w:rsidRPr="00061D40">
        <w:t xml:space="preserve"> that permits the person to travel to Australia for the purpose of undertaking a course provided by a body</w:t>
      </w:r>
    </w:p>
    <w:p w14:paraId="7F486C6D" w14:textId="77777777" w:rsidR="005D62E2" w:rsidRPr="00061D40" w:rsidRDefault="005D62E2" w:rsidP="00281CA5">
      <w:pPr>
        <w:pStyle w:val="AppendixBullet"/>
        <w:numPr>
          <w:ilvl w:val="0"/>
          <w:numId w:val="29"/>
        </w:numPr>
      </w:pPr>
      <w:r w:rsidRPr="00061D40">
        <w:t>who is included in such a visa in force under that Act</w:t>
      </w:r>
    </w:p>
    <w:p w14:paraId="7F486C6E" w14:textId="77777777" w:rsidR="005D62E2" w:rsidRPr="00061D40" w:rsidRDefault="005D62E2" w:rsidP="00281CA5">
      <w:pPr>
        <w:pStyle w:val="AppendixBullet"/>
        <w:numPr>
          <w:ilvl w:val="0"/>
          <w:numId w:val="29"/>
        </w:numPr>
      </w:pPr>
      <w:r w:rsidRPr="00061D40">
        <w:t>who is specified in the Regulations as an overseas student.</w:t>
      </w:r>
    </w:p>
    <w:p w14:paraId="7F486C6F" w14:textId="77777777" w:rsidR="00D37B2E" w:rsidRDefault="005D62E2" w:rsidP="00D37B2E">
      <w:r w:rsidRPr="00061D40">
        <w:t>The Minister has determined that persons covered by certain visa classes are not Overseas Students.</w:t>
      </w:r>
      <w:r w:rsidR="008E5ABB" w:rsidRPr="00061D40">
        <w:t xml:space="preserve"> </w:t>
      </w:r>
      <w:r w:rsidRPr="00061D40">
        <w:t xml:space="preserve">Specific details of these visa classes are provided in the Non-Government Schools Census Instructions which can be </w:t>
      </w:r>
      <w:r w:rsidRPr="00061D40">
        <w:rPr>
          <w:szCs w:val="22"/>
        </w:rPr>
        <w:t>viewed at</w:t>
      </w:r>
      <w:r w:rsidR="00281CA5" w:rsidRPr="00061D40">
        <w:t xml:space="preserve">: </w:t>
      </w:r>
    </w:p>
    <w:p w14:paraId="7F486C70" w14:textId="77777777" w:rsidR="00D37B2E" w:rsidRPr="00D37B2E" w:rsidRDefault="00C73D8D" w:rsidP="00D37B2E">
      <w:pPr>
        <w:rPr>
          <w:sz w:val="22"/>
          <w:szCs w:val="22"/>
        </w:rPr>
      </w:pPr>
      <w:hyperlink r:id="rId81" w:anchor="Not_Overseas_Students" w:history="1">
        <w:r w:rsidR="00D37B2E" w:rsidRPr="00D37B2E">
          <w:rPr>
            <w:rStyle w:val="Hyperlink"/>
            <w:sz w:val="22"/>
            <w:szCs w:val="22"/>
          </w:rPr>
          <w:t>https://ssp.deewr.gov.au/ssp/help/html/coi/student_definitions.html#Not_Overseas_Students</w:t>
        </w:r>
      </w:hyperlink>
    </w:p>
    <w:p w14:paraId="7F486C71" w14:textId="77777777" w:rsidR="005D62E2" w:rsidRPr="00061D40" w:rsidRDefault="005D62E2" w:rsidP="00C30212">
      <w:pPr>
        <w:pStyle w:val="StyleAppendicesBodyTextAfter6pt"/>
        <w:spacing w:after="0" w:line="240" w:lineRule="auto"/>
      </w:pPr>
    </w:p>
    <w:p w14:paraId="7F486C72" w14:textId="77777777" w:rsidR="00845AF6" w:rsidRPr="00061D40" w:rsidRDefault="005D62E2" w:rsidP="00C30212">
      <w:pPr>
        <w:pStyle w:val="StyleAppendicesBodyTextAfter6pt"/>
        <w:spacing w:after="0" w:line="240" w:lineRule="auto"/>
      </w:pPr>
      <w:r w:rsidRPr="00061D40">
        <w:t>You may also cont</w:t>
      </w:r>
      <w:r w:rsidR="00805A6F" w:rsidRPr="00061D40">
        <w:t xml:space="preserve">act the Department on 1800 677 </w:t>
      </w:r>
      <w:r w:rsidRPr="00061D40">
        <w:t>0</w:t>
      </w:r>
      <w:r w:rsidR="00805A6F" w:rsidRPr="00061D40">
        <w:t>2</w:t>
      </w:r>
      <w:r w:rsidRPr="00061D40">
        <w:t>7 -</w:t>
      </w:r>
      <w:r w:rsidR="008E5ABB" w:rsidRPr="00061D40">
        <w:t xml:space="preserve"> </w:t>
      </w:r>
      <w:r w:rsidRPr="00061D40">
        <w:t xml:space="preserve">option </w:t>
      </w:r>
      <w:r w:rsidR="00845AF6" w:rsidRPr="00061D40">
        <w:t>1</w:t>
      </w:r>
      <w:r w:rsidR="00E90923" w:rsidRPr="00061D40">
        <w:t>/option</w:t>
      </w:r>
      <w:r w:rsidR="00845AF6" w:rsidRPr="00061D40">
        <w:t xml:space="preserve"> 3</w:t>
      </w:r>
      <w:r w:rsidRPr="00061D40">
        <w:t xml:space="preserve">, or by email </w:t>
      </w:r>
      <w:hyperlink r:id="rId82" w:history="1">
        <w:r w:rsidR="00B67601" w:rsidRPr="00061D40">
          <w:rPr>
            <w:rStyle w:val="Hyperlink"/>
            <w:rFonts w:cs="Arial"/>
          </w:rPr>
          <w:t>grantsanddata.help@deewr.gov.au</w:t>
        </w:r>
      </w:hyperlink>
      <w:r w:rsidRPr="00061D40">
        <w:t xml:space="preserve"> .</w:t>
      </w:r>
    </w:p>
    <w:p w14:paraId="7F486C73" w14:textId="77777777" w:rsidR="0071005D" w:rsidRPr="00061D40" w:rsidRDefault="0071005D" w:rsidP="00C30212">
      <w:pPr>
        <w:pStyle w:val="StyleStyleAppendicesBodyTextAfter6ptBold"/>
      </w:pPr>
    </w:p>
    <w:p w14:paraId="7F486C74" w14:textId="77777777" w:rsidR="002B58BB" w:rsidRPr="00061D40" w:rsidRDefault="0071005D" w:rsidP="00281CA5">
      <w:pPr>
        <w:pStyle w:val="Heading2"/>
        <w:keepLines/>
        <w:spacing w:before="0"/>
      </w:pPr>
      <w:bookmarkStart w:id="269" w:name="_Appendix_N:"/>
      <w:bookmarkStart w:id="270" w:name="_Appendix_N:_Individual"/>
      <w:bookmarkStart w:id="271" w:name="_Appendix_ON:_Individual"/>
      <w:bookmarkEnd w:id="269"/>
      <w:bookmarkEnd w:id="270"/>
      <w:bookmarkEnd w:id="271"/>
      <w:r w:rsidRPr="00061D40">
        <w:br w:type="page"/>
      </w:r>
      <w:bookmarkStart w:id="272" w:name="AppendixN"/>
      <w:bookmarkStart w:id="273" w:name="_Ref246736790"/>
      <w:bookmarkStart w:id="274" w:name="_Ref246924000"/>
      <w:bookmarkStart w:id="275" w:name="_Toc346205346"/>
      <w:bookmarkEnd w:id="272"/>
      <w:r w:rsidRPr="00061D40">
        <w:t>Appendix</w:t>
      </w:r>
      <w:bookmarkEnd w:id="273"/>
      <w:r w:rsidR="009720D9">
        <w:t xml:space="preserve"> </w:t>
      </w:r>
      <w:r w:rsidR="0055132D">
        <w:t>O</w:t>
      </w:r>
      <w:bookmarkEnd w:id="274"/>
      <w:r w:rsidR="002B58BB" w:rsidRPr="00061D40">
        <w:t>: Individual school information</w:t>
      </w:r>
      <w:bookmarkEnd w:id="275"/>
    </w:p>
    <w:p w14:paraId="7F486C75" w14:textId="77777777" w:rsidR="0071005D" w:rsidRPr="00061D40" w:rsidRDefault="0071005D" w:rsidP="002B58BB">
      <w:r w:rsidRPr="00061D40">
        <w:t xml:space="preserve">This Appendix provides information about individual school information as required under the Schools Assistance Regulations. </w:t>
      </w:r>
    </w:p>
    <w:p w14:paraId="7F486C76" w14:textId="77777777" w:rsidR="00D32016" w:rsidRDefault="0071005D">
      <w:pPr>
        <w:pStyle w:val="Heading3"/>
      </w:pPr>
      <w:r w:rsidRPr="00061D40">
        <w:t xml:space="preserve">Background </w:t>
      </w:r>
    </w:p>
    <w:p w14:paraId="7F486C77" w14:textId="77777777" w:rsidR="0071005D" w:rsidRPr="00061D40" w:rsidRDefault="0071005D" w:rsidP="00505ABD">
      <w:pPr>
        <w:pStyle w:val="StyleAppendicesBodyTextLinespacingsingle"/>
      </w:pPr>
      <w:r w:rsidRPr="00061D40">
        <w:t xml:space="preserve">All Australian governments and education providers are committed to an education system that pursues excellence for all Australian schools and where every child receives the highest quality education. </w:t>
      </w:r>
    </w:p>
    <w:p w14:paraId="7F486C78" w14:textId="77777777" w:rsidR="0071005D" w:rsidRPr="00061D40" w:rsidRDefault="0071005D" w:rsidP="00505ABD">
      <w:pPr>
        <w:pStyle w:val="StyleAppendicesBodyTextLinespacingsingle"/>
      </w:pPr>
      <w:r w:rsidRPr="00061D40">
        <w:t>To support this commitment and identify accurately where the greatest educational need across the Australian community is located, and to encourage excellence in every school, a basis for fair, consistent and accurate analysis of how different schools are performing is needed. Accurate information on how students are performing will help inform teachers, principals, parents and governments on areas of excellence and areas for improvement.</w:t>
      </w:r>
    </w:p>
    <w:p w14:paraId="7F486C79" w14:textId="77777777" w:rsidR="0071005D" w:rsidRPr="00061D40" w:rsidRDefault="0071005D" w:rsidP="00505ABD">
      <w:pPr>
        <w:pStyle w:val="StyleAppendicesBodyTextLinespacingsingle"/>
      </w:pPr>
      <w:r w:rsidRPr="00061D40">
        <w:t xml:space="preserve">Under the National Education Agreement (NEA) the Council of Australian Governments agreed to establish a national data repository on individual school information within the Australian Curriculum, Assessment and Reporting Authority (ACARA) to support school evaluation, accountability and resource allocation. </w:t>
      </w:r>
    </w:p>
    <w:p w14:paraId="7F486C7A" w14:textId="77777777" w:rsidR="0071005D" w:rsidRPr="00061D40" w:rsidRDefault="0071005D" w:rsidP="00505ABD">
      <w:pPr>
        <w:pStyle w:val="StyleAppendicesBodyTextLinespacingsingle"/>
      </w:pPr>
      <w:r w:rsidRPr="00061D40">
        <w:t>The national data repository support</w:t>
      </w:r>
      <w:r w:rsidR="002C4D9F" w:rsidRPr="00061D40">
        <w:t>s</w:t>
      </w:r>
      <w:r w:rsidRPr="00061D40">
        <w:t xml:space="preserve"> Education Ministers in their evaluation of system and school performance, assisting in identifying what is working in schools across the country and directing resources to where they are most needed. The creation of this data repository enable</w:t>
      </w:r>
      <w:r w:rsidR="00846B71">
        <w:t>s</w:t>
      </w:r>
      <w:r w:rsidRPr="00061D40">
        <w:t xml:space="preserve"> Ministers to make informed decisions, based not only on the performance of their own schools / systems</w:t>
      </w:r>
      <w:r w:rsidR="0052709F" w:rsidRPr="00061D40">
        <w:t>,</w:t>
      </w:r>
      <w:r w:rsidRPr="00061D40">
        <w:t xml:space="preserve"> but in comparison to other schools / systems across the country. Best practices can also be identified and shared.</w:t>
      </w:r>
    </w:p>
    <w:p w14:paraId="7F486C7B" w14:textId="77777777" w:rsidR="0071005D" w:rsidRPr="00061D40" w:rsidRDefault="0071005D" w:rsidP="00505ABD">
      <w:pPr>
        <w:pStyle w:val="StyleAppendicesBodyTextLinespacingsingle"/>
      </w:pPr>
      <w:r w:rsidRPr="00061D40">
        <w:t xml:space="preserve">Data from the national repository </w:t>
      </w:r>
      <w:r w:rsidR="007F49E8">
        <w:t xml:space="preserve">that is </w:t>
      </w:r>
      <w:r w:rsidRPr="00061D40">
        <w:t>published by ACARA provide</w:t>
      </w:r>
      <w:r w:rsidR="00F7685C">
        <w:t>s</w:t>
      </w:r>
      <w:r w:rsidRPr="00061D40">
        <w:t xml:space="preserve"> the community with information that enables them to understand the performance of schools and the context in which they perform and to evaluate the decisions taken by governments. This help</w:t>
      </w:r>
      <w:r w:rsidR="00F7685C">
        <w:t>s</w:t>
      </w:r>
      <w:r w:rsidRPr="00061D40">
        <w:t xml:space="preserve"> ensure schools are accountable for the public funding they receive and governments are accountable for the decisions they </w:t>
      </w:r>
      <w:r w:rsidR="007F49E8">
        <w:t>m</w:t>
      </w:r>
      <w:r w:rsidRPr="00061D40">
        <w:t>ake.</w:t>
      </w:r>
    </w:p>
    <w:p w14:paraId="7F486C7C" w14:textId="77777777" w:rsidR="0071005D" w:rsidRPr="00061D40" w:rsidRDefault="0071005D" w:rsidP="00505ABD">
      <w:pPr>
        <w:pStyle w:val="StyleAppendicesBodyTextLinespacingsingle"/>
      </w:pPr>
      <w:r w:rsidRPr="00061D40">
        <w:t>The requirement to provide individual school information applies to all schools, both government and non-government</w:t>
      </w:r>
      <w:r w:rsidR="007F49E8">
        <w:t>:</w:t>
      </w:r>
      <w:r w:rsidRPr="00061D40">
        <w:t xml:space="preserve"> </w:t>
      </w:r>
    </w:p>
    <w:p w14:paraId="7F486C7D" w14:textId="77777777" w:rsidR="00B748A7" w:rsidRDefault="0071005D">
      <w:pPr>
        <w:pStyle w:val="StyleAppendicesBodyTextLinespacingsingle"/>
        <w:numPr>
          <w:ilvl w:val="0"/>
          <w:numId w:val="140"/>
        </w:numPr>
      </w:pPr>
      <w:r w:rsidRPr="00061D40">
        <w:t>For government schools, the provision of individual school information to ACARA is an obligation under paragraphs 31</w:t>
      </w:r>
      <w:r w:rsidR="00963340" w:rsidRPr="00061D40">
        <w:t>-</w:t>
      </w:r>
      <w:r w:rsidRPr="00061D40">
        <w:t xml:space="preserve">32 of the NEA. </w:t>
      </w:r>
    </w:p>
    <w:p w14:paraId="7F486C7E" w14:textId="77777777" w:rsidR="00B748A7" w:rsidRDefault="0071005D">
      <w:pPr>
        <w:pStyle w:val="StyleAppendicesBodyTextLinespacingsingle"/>
        <w:numPr>
          <w:ilvl w:val="0"/>
          <w:numId w:val="140"/>
        </w:numPr>
      </w:pPr>
      <w:r w:rsidRPr="00061D40">
        <w:t xml:space="preserve">For non-government schools, the requirement to provide individual school information to ACARA is spelt out in section 19 of the </w:t>
      </w:r>
      <w:r w:rsidR="008159F3" w:rsidRPr="00061D40">
        <w:t>Act</w:t>
      </w:r>
      <w:r w:rsidRPr="00061D40">
        <w:t xml:space="preserve">, supported by Regulation 4 of the Regulations. </w:t>
      </w:r>
    </w:p>
    <w:p w14:paraId="7F486C7F" w14:textId="77777777" w:rsidR="0071005D" w:rsidRPr="00061D40" w:rsidRDefault="0071005D" w:rsidP="00505ABD">
      <w:pPr>
        <w:pStyle w:val="StyleAppendicesBodyTextLinespacingsingle"/>
      </w:pPr>
      <w:r w:rsidRPr="00061D40">
        <w:t>The individual school information requirements are the result of decisions by Education Ministers in April 2009 based on advice provided to them by the</w:t>
      </w:r>
      <w:r w:rsidR="0005135F" w:rsidRPr="00061D40">
        <w:t xml:space="preserve"> then</w:t>
      </w:r>
      <w:r w:rsidRPr="00061D40">
        <w:t xml:space="preserve"> School Reporting Working Group, an advisory group </w:t>
      </w:r>
      <w:r w:rsidR="002750AA" w:rsidRPr="00061D40">
        <w:t xml:space="preserve">that </w:t>
      </w:r>
      <w:r w:rsidRPr="00061D40">
        <w:t>include</w:t>
      </w:r>
      <w:r w:rsidR="00E64D1F" w:rsidRPr="00061D40">
        <w:t>d</w:t>
      </w:r>
      <w:r w:rsidRPr="00061D40">
        <w:t xml:space="preserve"> representatives from the Commonwealth, States and Territories, the National Catholic Education Commission (NCEC) and the Independent Schools Council of Australia (ISCA).</w:t>
      </w:r>
      <w:r w:rsidR="00562478" w:rsidRPr="00061D40">
        <w:t xml:space="preserve"> </w:t>
      </w:r>
      <w:r w:rsidRPr="00061D40">
        <w:t>DEEWR provided all non-government schools and school systems with the details of Ministers’ decisions in July 2009.</w:t>
      </w:r>
      <w:r w:rsidR="009911C9" w:rsidRPr="009911C9">
        <w:t xml:space="preserve"> </w:t>
      </w:r>
      <w:r w:rsidR="009911C9">
        <w:t xml:space="preserve">There have been further decisions made by Education Ministers through the Ministerial Council since then, </w:t>
      </w:r>
      <w:r w:rsidR="009458D7">
        <w:t>which have been incorporated into</w:t>
      </w:r>
      <w:r w:rsidR="009911C9">
        <w:t xml:space="preserve"> individual school reporting</w:t>
      </w:r>
      <w:r w:rsidR="009458D7">
        <w:t xml:space="preserve"> requirements</w:t>
      </w:r>
      <w:r w:rsidR="009911C9" w:rsidRPr="00061D40">
        <w:t>.</w:t>
      </w:r>
    </w:p>
    <w:p w14:paraId="7F486C80" w14:textId="77777777" w:rsidR="0071005D" w:rsidRPr="00061D40" w:rsidRDefault="0071005D" w:rsidP="00281CA5">
      <w:pPr>
        <w:pStyle w:val="StyleAppendicesBodyTextLinespacingsingle"/>
        <w:keepLines/>
      </w:pPr>
      <w:r w:rsidRPr="00061D40">
        <w:t xml:space="preserve">Collection and reporting of individual school information will be informed by the </w:t>
      </w:r>
      <w:r w:rsidRPr="00061D40">
        <w:rPr>
          <w:i/>
        </w:rPr>
        <w:t>Principles and Protocols for Reporting on Schooling in Australia</w:t>
      </w:r>
      <w:r w:rsidRPr="00061D40">
        <w:t>, agreed by Education Ministers in June 2009 and available at</w:t>
      </w:r>
      <w:r w:rsidR="00281CA5" w:rsidRPr="00061D40">
        <w:t>:</w:t>
      </w:r>
      <w:r w:rsidRPr="00061D40">
        <w:t xml:space="preserve"> </w:t>
      </w:r>
      <w:hyperlink r:id="rId83" w:history="1">
        <w:r w:rsidRPr="00061D40">
          <w:rPr>
            <w:rStyle w:val="Hyperlink"/>
          </w:rPr>
          <w:t>http://www.mceecdya.edu.au/verve/_resources/Principles_and_Protocols_2009.pdf</w:t>
        </w:r>
      </w:hyperlink>
      <w:r w:rsidR="00281CA5" w:rsidRPr="00061D40">
        <w:t>.</w:t>
      </w:r>
    </w:p>
    <w:p w14:paraId="7F486C81" w14:textId="77777777" w:rsidR="00D32016" w:rsidRDefault="007F49E8">
      <w:pPr>
        <w:pStyle w:val="Heading3"/>
        <w:rPr>
          <w:smallCaps/>
        </w:rPr>
      </w:pPr>
      <w:r>
        <w:t>R</w:t>
      </w:r>
      <w:r w:rsidR="0071005D" w:rsidRPr="00061D40">
        <w:t>egulation</w:t>
      </w:r>
      <w:r>
        <w:t xml:space="preserve"> 4</w:t>
      </w:r>
      <w:r w:rsidR="0071005D" w:rsidRPr="00061D40">
        <w:t xml:space="preserve"> </w:t>
      </w:r>
    </w:p>
    <w:p w14:paraId="7F486C82" w14:textId="77777777" w:rsidR="0071005D" w:rsidRPr="00061D40" w:rsidRDefault="0071005D" w:rsidP="00505ABD">
      <w:pPr>
        <w:pStyle w:val="StyleAppendicesBodyTextLinespacingsingle"/>
      </w:pPr>
      <w:r w:rsidRPr="00061D40">
        <w:t xml:space="preserve">Under section 19 of the </w:t>
      </w:r>
      <w:r w:rsidR="003A6F12" w:rsidRPr="00061D40">
        <w:t>Act,</w:t>
      </w:r>
      <w:r w:rsidRPr="00061D40">
        <w:t xml:space="preserve"> a funding agreement for a non-systemic school must require the school authority to ensure that the school gives the Commonwealth Minister (or another person or body determined by the Minister) reports about individual school information specified by the Regulations.</w:t>
      </w:r>
      <w:r w:rsidR="00562478" w:rsidRPr="00061D40">
        <w:t xml:space="preserve"> </w:t>
      </w:r>
      <w:r w:rsidRPr="00061D40">
        <w:t xml:space="preserve">In the case of school systems, the system authority must ensure this is done by each school in the system. </w:t>
      </w:r>
    </w:p>
    <w:p w14:paraId="7F486C83" w14:textId="77777777" w:rsidR="0071005D" w:rsidRPr="00061D40" w:rsidRDefault="0071005D" w:rsidP="00505ABD">
      <w:pPr>
        <w:pStyle w:val="StyleAppendicesBodyTextLinespacingsingle"/>
      </w:pPr>
      <w:r w:rsidRPr="00061D40">
        <w:t xml:space="preserve">The </w:t>
      </w:r>
      <w:r w:rsidR="007F49E8">
        <w:t>frequency, timing, format, content and delivery of the school information report must be consistent with the Minister’s requirements.</w:t>
      </w:r>
    </w:p>
    <w:p w14:paraId="7F486C84" w14:textId="77777777" w:rsidR="0071005D" w:rsidRPr="00061D40" w:rsidRDefault="0071005D" w:rsidP="00505ABD">
      <w:pPr>
        <w:pStyle w:val="StyleAppendicesBodyTextLinespacingsingle"/>
      </w:pPr>
      <w:r w:rsidRPr="00061D40">
        <w:t xml:space="preserve">The requirement to provide individual school information is </w:t>
      </w:r>
      <w:r w:rsidR="007F49E8">
        <w:t xml:space="preserve">also </w:t>
      </w:r>
      <w:r w:rsidRPr="00061D40">
        <w:t>set out in clauses 10.4 and 10.5 of the recurrent assistance funding agreement for 2009-201</w:t>
      </w:r>
      <w:r w:rsidR="00776863">
        <w:t>3</w:t>
      </w:r>
      <w:r w:rsidRPr="00061D40">
        <w:t xml:space="preserve"> between the Commonwealth and each non-systemic school and school system.</w:t>
      </w:r>
    </w:p>
    <w:p w14:paraId="7F486C85" w14:textId="77777777" w:rsidR="005C52FE" w:rsidRDefault="0071005D" w:rsidP="00505ABD">
      <w:pPr>
        <w:pStyle w:val="StyleAppendicesBodyTextLinespacingsingle"/>
        <w:rPr>
          <w:rFonts w:cs="Verdana"/>
          <w:szCs w:val="22"/>
        </w:rPr>
      </w:pPr>
      <w:r w:rsidRPr="00061D40">
        <w:t xml:space="preserve">Regulation </w:t>
      </w:r>
      <w:r w:rsidR="007F49E8">
        <w:t>4 of</w:t>
      </w:r>
      <w:r w:rsidRPr="00061D40">
        <w:t xml:space="preserve"> the </w:t>
      </w:r>
      <w:r w:rsidRPr="00061D40">
        <w:rPr>
          <w:i/>
        </w:rPr>
        <w:t>Schools Assistance Regulations 2009</w:t>
      </w:r>
      <w:r w:rsidRPr="00061D40">
        <w:t xml:space="preserve">, came into effect on </w:t>
      </w:r>
      <w:r w:rsidR="005C52FE" w:rsidRPr="00061D40">
        <w:t>28 </w:t>
      </w:r>
      <w:r w:rsidRPr="00061D40">
        <w:t>November 2009</w:t>
      </w:r>
      <w:r w:rsidR="002C2044">
        <w:t xml:space="preserve"> and is available through the ComLaw website at:</w:t>
      </w:r>
      <w:r w:rsidR="005C52FE" w:rsidRPr="00061D40">
        <w:t xml:space="preserve"> </w:t>
      </w:r>
    </w:p>
    <w:p w14:paraId="7F486C86" w14:textId="77777777" w:rsidR="00A65371" w:rsidRDefault="00C73D8D" w:rsidP="00505ABD">
      <w:pPr>
        <w:pStyle w:val="StyleAppendicesBodyTextLinespacingsingle"/>
      </w:pPr>
      <w:hyperlink r:id="rId84" w:history="1">
        <w:r w:rsidR="00A65371" w:rsidRPr="00FD68CC">
          <w:rPr>
            <w:rStyle w:val="Hyperlink"/>
          </w:rPr>
          <w:t>http://www.comlaw.gov.au/Details/F2011C00744</w:t>
        </w:r>
      </w:hyperlink>
    </w:p>
    <w:p w14:paraId="7F486C87" w14:textId="77777777" w:rsidR="0071005D" w:rsidRPr="00061D40" w:rsidRDefault="0071005D" w:rsidP="00505ABD">
      <w:pPr>
        <w:pStyle w:val="StyleAppendicesBodyTextLinespacingsingle"/>
      </w:pPr>
      <w:r w:rsidRPr="00061D40">
        <w:t>Regulation 4 lists the information on each school which must be provided to the Minister or to the person or body determined by the Minister.</w:t>
      </w:r>
      <w:r w:rsidR="00562478" w:rsidRPr="00061D40">
        <w:t xml:space="preserve"> </w:t>
      </w:r>
      <w:r w:rsidRPr="00061D40">
        <w:t>The Minister has determined that body to be ACARA.</w:t>
      </w:r>
    </w:p>
    <w:p w14:paraId="7F486C88" w14:textId="77777777" w:rsidR="0071005D" w:rsidRPr="00061D40" w:rsidRDefault="0071005D" w:rsidP="00505ABD">
      <w:pPr>
        <w:pStyle w:val="StyleAppendicesBodyTextLinespacingsingle"/>
      </w:pPr>
      <w:r w:rsidRPr="00061D40">
        <w:t xml:space="preserve">The information listed in Regulation 4 is the data for each school which needs to be collected in order to publish the set of indicators agreed by </w:t>
      </w:r>
      <w:r w:rsidR="00900553" w:rsidRPr="00061D40">
        <w:t xml:space="preserve">Education Ministers </w:t>
      </w:r>
      <w:r w:rsidR="009911C9">
        <w:t>from</w:t>
      </w:r>
      <w:r w:rsidR="009911C9" w:rsidRPr="00061D40">
        <w:t xml:space="preserve"> </w:t>
      </w:r>
      <w:r w:rsidRPr="00061D40">
        <w:t>April 2009</w:t>
      </w:r>
      <w:r w:rsidR="009911C9">
        <w:t xml:space="preserve"> onwards</w:t>
      </w:r>
      <w:r w:rsidRPr="00061D40">
        <w:t>.</w:t>
      </w:r>
    </w:p>
    <w:p w14:paraId="7F486C89" w14:textId="77777777" w:rsidR="00D32016" w:rsidRDefault="0071005D">
      <w:pPr>
        <w:pStyle w:val="Heading3"/>
        <w:rPr>
          <w:smallCaps/>
        </w:rPr>
      </w:pPr>
      <w:r w:rsidRPr="00061D40">
        <w:t xml:space="preserve">Individual school information </w:t>
      </w:r>
    </w:p>
    <w:p w14:paraId="7F486C8A" w14:textId="77777777" w:rsidR="0071005D" w:rsidRPr="00061D40" w:rsidRDefault="0071005D" w:rsidP="00505ABD">
      <w:pPr>
        <w:pStyle w:val="StyleAppendicesBodyTextLinespacingsingle"/>
      </w:pPr>
      <w:r w:rsidRPr="00061D40">
        <w:t>Education Ministers have previously identified three classes of indicators needed to guide school evaluation, accountability and resource allocation. These are:</w:t>
      </w:r>
    </w:p>
    <w:p w14:paraId="7F486C8B" w14:textId="77777777" w:rsidR="0071005D" w:rsidRPr="00061D40" w:rsidRDefault="0071005D" w:rsidP="006067EC">
      <w:pPr>
        <w:pStyle w:val="StyleStyledotpointAfter75ptLinespacingsingle"/>
      </w:pPr>
      <w:r w:rsidRPr="00061D40">
        <w:t>contextual - factors that contextualise student outcomes, e.g. a school’s student intake (population), spread of student SES, proportion of Indigenous students</w:t>
      </w:r>
    </w:p>
    <w:p w14:paraId="7F486C8C" w14:textId="77777777" w:rsidR="0071005D" w:rsidRPr="00061D40" w:rsidRDefault="0071005D" w:rsidP="006067EC">
      <w:pPr>
        <w:pStyle w:val="StyleStyledotpointAfter75ptLinespacingsingle"/>
      </w:pPr>
      <w:r w:rsidRPr="00061D40">
        <w:t xml:space="preserve">capacity - a school’s capability, e.g. school </w:t>
      </w:r>
      <w:r w:rsidR="002750AA" w:rsidRPr="00061D40">
        <w:t>financ</w:t>
      </w:r>
      <w:r w:rsidR="00F7685C">
        <w:t>e</w:t>
      </w:r>
      <w:r w:rsidR="002750AA" w:rsidRPr="00061D40">
        <w:t xml:space="preserve"> information</w:t>
      </w:r>
      <w:r w:rsidRPr="00061D40">
        <w:t>, teacher workforce</w:t>
      </w:r>
    </w:p>
    <w:p w14:paraId="7F486C8D" w14:textId="77777777" w:rsidR="0071005D" w:rsidRPr="00061D40" w:rsidRDefault="0071005D" w:rsidP="006067EC">
      <w:pPr>
        <w:pStyle w:val="StyleStyledotpointAfter75ptLinespacingsingle"/>
      </w:pPr>
      <w:r w:rsidRPr="00061D40">
        <w:t>outcomes -a school’s outcomes, e.g. literacy and numeracy test results,</w:t>
      </w:r>
      <w:r w:rsidR="00E12C7E">
        <w:t xml:space="preserve"> </w:t>
      </w:r>
      <w:r w:rsidR="002C2044">
        <w:t>school opinion survey results,</w:t>
      </w:r>
      <w:r w:rsidRPr="00061D40">
        <w:t xml:space="preserve"> Year 12 attainment.</w:t>
      </w:r>
    </w:p>
    <w:p w14:paraId="7F486C8E" w14:textId="77777777" w:rsidR="0071005D" w:rsidRPr="00061D40" w:rsidRDefault="0071005D" w:rsidP="00505ABD">
      <w:pPr>
        <w:pStyle w:val="StyleAppendicesBodyTextLinespacingsingle"/>
      </w:pPr>
      <w:r w:rsidRPr="00061D40">
        <w:t xml:space="preserve">To give schools and systems an indication of how </w:t>
      </w:r>
      <w:r w:rsidR="00E64D1F" w:rsidRPr="00061D40">
        <w:t xml:space="preserve">collected </w:t>
      </w:r>
      <w:r w:rsidRPr="00061D40">
        <w:t xml:space="preserve">data </w:t>
      </w:r>
      <w:r w:rsidR="00E64D1F" w:rsidRPr="00061D40">
        <w:t xml:space="preserve">are </w:t>
      </w:r>
      <w:r w:rsidRPr="00061D40">
        <w:t xml:space="preserve">communicated to the community on the ACARA website, Table </w:t>
      </w:r>
      <w:r w:rsidR="00D6528F" w:rsidRPr="00061D40">
        <w:t>N.</w:t>
      </w:r>
      <w:r w:rsidRPr="00061D40">
        <w:t>1 below provides a summary of:</w:t>
      </w:r>
    </w:p>
    <w:p w14:paraId="7F486C8F" w14:textId="77777777" w:rsidR="0071005D" w:rsidRPr="00061D40" w:rsidRDefault="0071005D" w:rsidP="006067EC">
      <w:pPr>
        <w:pStyle w:val="StyleStyledotpointAfter75ptLinespacingsingle"/>
      </w:pPr>
      <w:r w:rsidRPr="00061D40">
        <w:t>the individual school information to be collected by ACARA (note that data will be collected at the de-identified unit record level)</w:t>
      </w:r>
    </w:p>
    <w:p w14:paraId="7F486C90" w14:textId="77777777" w:rsidR="0071005D" w:rsidRPr="00061D40" w:rsidRDefault="0071005D" w:rsidP="006067EC">
      <w:pPr>
        <w:pStyle w:val="StyleStyledotpointAfter75ptLinespacingsingle"/>
      </w:pPr>
      <w:r w:rsidRPr="00061D40">
        <w:t>the school level information to be published by ACARA</w:t>
      </w:r>
    </w:p>
    <w:p w14:paraId="7F486C91" w14:textId="77777777" w:rsidR="0071005D" w:rsidRPr="00061D40" w:rsidRDefault="0071005D" w:rsidP="006067EC">
      <w:pPr>
        <w:pStyle w:val="StyleStyledotpointAfter75ptLinespacingsingle"/>
      </w:pPr>
      <w:r w:rsidRPr="00061D40">
        <w:t xml:space="preserve">the collection or authority from which the data </w:t>
      </w:r>
      <w:r w:rsidR="00691CF9" w:rsidRPr="00061D40">
        <w:t>are</w:t>
      </w:r>
      <w:r w:rsidRPr="00061D40">
        <w:t xml:space="preserve"> expected to be sourced</w:t>
      </w:r>
    </w:p>
    <w:p w14:paraId="7F486C92" w14:textId="77777777" w:rsidR="0071005D" w:rsidRPr="00061D40" w:rsidRDefault="0071005D" w:rsidP="006067EC">
      <w:pPr>
        <w:pStyle w:val="StyleStyledotpointAfter75ptLinespacingsingle"/>
      </w:pPr>
      <w:r w:rsidRPr="00061D40">
        <w:t xml:space="preserve">when publishing is expected to commence. </w:t>
      </w:r>
    </w:p>
    <w:p w14:paraId="7F486C93" w14:textId="77777777" w:rsidR="0071005D" w:rsidRPr="00061D40" w:rsidRDefault="0071005D" w:rsidP="00505ABD">
      <w:pPr>
        <w:pStyle w:val="StyleAppendicesBodyTextLinespacingsingle"/>
      </w:pPr>
      <w:r w:rsidRPr="00061D40">
        <w:t xml:space="preserve">The information contained in Table </w:t>
      </w:r>
      <w:r w:rsidR="00E64D1F" w:rsidRPr="00061D40">
        <w:t>N.</w:t>
      </w:r>
      <w:r w:rsidRPr="00061D40">
        <w:t>1 is subject to change based on data availability and decisions by Education Ministers.</w:t>
      </w:r>
    </w:p>
    <w:p w14:paraId="7F486C94" w14:textId="77777777" w:rsidR="0071005D" w:rsidRPr="00061D40" w:rsidRDefault="0071005D" w:rsidP="00281CA5">
      <w:pPr>
        <w:pStyle w:val="TablefigureHeading1"/>
        <w:spacing w:after="60" w:line="240" w:lineRule="auto"/>
      </w:pPr>
      <w:r w:rsidRPr="00061D40">
        <w:t xml:space="preserve">Table </w:t>
      </w:r>
      <w:r w:rsidR="00D6528F" w:rsidRPr="00061D40">
        <w:t>N.</w:t>
      </w:r>
      <w:r w:rsidRPr="00061D40">
        <w:t>1: Individual school information</w:t>
      </w:r>
      <w:r w:rsidR="002C2044">
        <w:t xml:space="preserve"> (see Data Standards Manual for specific requirements)</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3077"/>
        <w:gridCol w:w="2153"/>
        <w:gridCol w:w="1454"/>
      </w:tblGrid>
      <w:tr w:rsidR="0071005D" w:rsidRPr="00061D40" w14:paraId="7F486C99" w14:textId="77777777" w:rsidTr="00D86626">
        <w:trPr>
          <w:cantSplit/>
          <w:trHeight w:val="671"/>
          <w:tblHeader/>
        </w:trPr>
        <w:tc>
          <w:tcPr>
            <w:tcW w:w="1452" w:type="pct"/>
            <w:shd w:val="clear" w:color="auto" w:fill="999999"/>
          </w:tcPr>
          <w:p w14:paraId="7F486C95" w14:textId="77777777" w:rsidR="0071005D" w:rsidRPr="00061D40" w:rsidRDefault="0071005D" w:rsidP="00D86626">
            <w:pPr>
              <w:pStyle w:val="TableHeading2"/>
              <w:spacing w:line="240" w:lineRule="auto"/>
              <w:rPr>
                <w:sz w:val="21"/>
                <w:szCs w:val="21"/>
              </w:rPr>
            </w:pPr>
            <w:r w:rsidRPr="00061D40">
              <w:rPr>
                <w:sz w:val="21"/>
                <w:szCs w:val="21"/>
              </w:rPr>
              <w:t>Collected</w:t>
            </w:r>
          </w:p>
        </w:tc>
        <w:tc>
          <w:tcPr>
            <w:tcW w:w="1633" w:type="pct"/>
            <w:shd w:val="clear" w:color="auto" w:fill="999999"/>
          </w:tcPr>
          <w:p w14:paraId="7F486C96" w14:textId="77777777" w:rsidR="0071005D" w:rsidRPr="00061D40" w:rsidRDefault="0071005D" w:rsidP="00D86626">
            <w:pPr>
              <w:pStyle w:val="TableHeading2"/>
              <w:spacing w:line="240" w:lineRule="auto"/>
              <w:rPr>
                <w:sz w:val="21"/>
                <w:szCs w:val="21"/>
              </w:rPr>
            </w:pPr>
            <w:r w:rsidRPr="00061D40">
              <w:rPr>
                <w:sz w:val="21"/>
                <w:szCs w:val="21"/>
              </w:rPr>
              <w:t>Details to be published</w:t>
            </w:r>
          </w:p>
        </w:tc>
        <w:tc>
          <w:tcPr>
            <w:tcW w:w="1143" w:type="pct"/>
            <w:shd w:val="clear" w:color="auto" w:fill="999999"/>
          </w:tcPr>
          <w:p w14:paraId="7F486C97" w14:textId="77777777" w:rsidR="0071005D" w:rsidRPr="00061D40" w:rsidRDefault="0071005D" w:rsidP="00D86626">
            <w:pPr>
              <w:pStyle w:val="TableHeading2"/>
              <w:spacing w:line="240" w:lineRule="auto"/>
              <w:rPr>
                <w:sz w:val="21"/>
                <w:szCs w:val="21"/>
              </w:rPr>
            </w:pPr>
            <w:r w:rsidRPr="00061D40">
              <w:rPr>
                <w:sz w:val="21"/>
                <w:szCs w:val="21"/>
              </w:rPr>
              <w:t>Expected source</w:t>
            </w:r>
          </w:p>
        </w:tc>
        <w:tc>
          <w:tcPr>
            <w:tcW w:w="772" w:type="pct"/>
            <w:shd w:val="clear" w:color="auto" w:fill="999999"/>
          </w:tcPr>
          <w:p w14:paraId="7F486C98" w14:textId="77777777" w:rsidR="0071005D" w:rsidRPr="00061D40" w:rsidRDefault="0071005D" w:rsidP="00D86626">
            <w:pPr>
              <w:pStyle w:val="TableHeading2"/>
              <w:spacing w:line="240" w:lineRule="auto"/>
              <w:rPr>
                <w:sz w:val="21"/>
                <w:szCs w:val="21"/>
              </w:rPr>
            </w:pPr>
            <w:r w:rsidRPr="00061D40">
              <w:rPr>
                <w:sz w:val="21"/>
                <w:szCs w:val="21"/>
              </w:rPr>
              <w:t>Timing of publication</w:t>
            </w:r>
          </w:p>
        </w:tc>
      </w:tr>
      <w:tr w:rsidR="0071005D" w:rsidRPr="00061D40" w14:paraId="7F486C9B" w14:textId="77777777" w:rsidTr="00D86626">
        <w:trPr>
          <w:cantSplit/>
          <w:trHeight w:val="376"/>
        </w:trPr>
        <w:tc>
          <w:tcPr>
            <w:tcW w:w="5000" w:type="pct"/>
            <w:gridSpan w:val="4"/>
            <w:shd w:val="clear" w:color="auto" w:fill="E6E6E6"/>
            <w:vAlign w:val="center"/>
          </w:tcPr>
          <w:p w14:paraId="7F486C9A" w14:textId="77777777" w:rsidR="0071005D" w:rsidRPr="00061D40" w:rsidRDefault="0071005D" w:rsidP="00D86626">
            <w:pPr>
              <w:pStyle w:val="TableText"/>
              <w:spacing w:line="240" w:lineRule="auto"/>
              <w:rPr>
                <w:i/>
                <w:sz w:val="21"/>
                <w:szCs w:val="21"/>
              </w:rPr>
            </w:pPr>
            <w:r w:rsidRPr="00061D40">
              <w:rPr>
                <w:i/>
                <w:sz w:val="21"/>
                <w:szCs w:val="21"/>
              </w:rPr>
              <w:t>Contextual information</w:t>
            </w:r>
          </w:p>
        </w:tc>
      </w:tr>
      <w:tr w:rsidR="0071005D" w:rsidRPr="00061D40" w14:paraId="7F486CA4" w14:textId="77777777" w:rsidTr="00D86626">
        <w:trPr>
          <w:cantSplit/>
        </w:trPr>
        <w:tc>
          <w:tcPr>
            <w:tcW w:w="1452" w:type="pct"/>
          </w:tcPr>
          <w:p w14:paraId="7F486C9C" w14:textId="77777777" w:rsidR="0071005D" w:rsidRDefault="0071005D" w:rsidP="007D3971">
            <w:pPr>
              <w:pStyle w:val="StyleTableText105ptLinespacingsingle"/>
            </w:pPr>
            <w:r w:rsidRPr="00061D40">
              <w:t xml:space="preserve">School information statement </w:t>
            </w:r>
          </w:p>
          <w:p w14:paraId="7F486C9D"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1633" w:type="pct"/>
          </w:tcPr>
          <w:p w14:paraId="7F486C9E" w14:textId="77777777" w:rsidR="0071005D" w:rsidRPr="00061D40" w:rsidRDefault="0071005D" w:rsidP="007D3971">
            <w:pPr>
              <w:pStyle w:val="StyleTableText105ptLinespacingsingle"/>
            </w:pPr>
            <w:r w:rsidRPr="00061D40">
              <w:t>School information statement</w:t>
            </w:r>
          </w:p>
          <w:p w14:paraId="7F486C9F" w14:textId="77777777" w:rsidR="0071005D" w:rsidRPr="005E5A95" w:rsidRDefault="00C75A62" w:rsidP="00D86626">
            <w:pPr>
              <w:pStyle w:val="TableText"/>
              <w:spacing w:line="240" w:lineRule="auto"/>
              <w:rPr>
                <w:color w:val="FFFFFF" w:themeColor="background1"/>
                <w:sz w:val="21"/>
                <w:szCs w:val="21"/>
              </w:rPr>
            </w:pPr>
            <w:r w:rsidRPr="00C75A62">
              <w:rPr>
                <w:color w:val="FFFFFF" w:themeColor="background1"/>
                <w:sz w:val="21"/>
                <w:szCs w:val="21"/>
              </w:rPr>
              <w:t>-</w:t>
            </w:r>
          </w:p>
        </w:tc>
        <w:tc>
          <w:tcPr>
            <w:tcW w:w="1143" w:type="pct"/>
          </w:tcPr>
          <w:p w14:paraId="7F486CA0" w14:textId="77777777" w:rsidR="0071005D" w:rsidRDefault="0071005D" w:rsidP="007D3971">
            <w:pPr>
              <w:pStyle w:val="StyleTableText105ptLinespacingsingle"/>
            </w:pPr>
            <w:r w:rsidRPr="00061D40">
              <w:t>Individual Schools</w:t>
            </w:r>
          </w:p>
          <w:p w14:paraId="7F486CA1"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772" w:type="pct"/>
          </w:tcPr>
          <w:p w14:paraId="7F486CA2" w14:textId="77777777" w:rsidR="0071005D" w:rsidRDefault="00F7685C" w:rsidP="007D3971">
            <w:pPr>
              <w:pStyle w:val="StyleTableText105ptLinespacingsingle"/>
            </w:pPr>
            <w:r>
              <w:t>Annually</w:t>
            </w:r>
          </w:p>
          <w:p w14:paraId="7F486CA3"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r>
      <w:tr w:rsidR="0071005D" w:rsidRPr="00061D40" w14:paraId="7F486CAD" w14:textId="77777777" w:rsidTr="00D86626">
        <w:trPr>
          <w:cantSplit/>
        </w:trPr>
        <w:tc>
          <w:tcPr>
            <w:tcW w:w="1452" w:type="pct"/>
          </w:tcPr>
          <w:p w14:paraId="7F486CA5" w14:textId="77777777" w:rsidR="0071005D" w:rsidRPr="00061D40" w:rsidRDefault="0071005D" w:rsidP="007D3971">
            <w:pPr>
              <w:pStyle w:val="StyleTableText105ptLinespacingsingle"/>
            </w:pPr>
            <w:r w:rsidRPr="00061D40">
              <w:t>Whether the school belongs to the Catholic school sector or the independent school sector</w:t>
            </w:r>
          </w:p>
        </w:tc>
        <w:tc>
          <w:tcPr>
            <w:tcW w:w="1633" w:type="pct"/>
          </w:tcPr>
          <w:p w14:paraId="7F486CA6" w14:textId="77777777" w:rsidR="0071005D" w:rsidRPr="00061D40" w:rsidRDefault="0071005D" w:rsidP="007D3971">
            <w:pPr>
              <w:pStyle w:val="StyleTableText105ptLinespacingsingle"/>
            </w:pPr>
            <w:r w:rsidRPr="00061D40">
              <w:t>School type: Government or Non-government</w:t>
            </w:r>
          </w:p>
          <w:p w14:paraId="7F486CA7" w14:textId="77777777" w:rsidR="0071005D" w:rsidRPr="005E5A95" w:rsidRDefault="00C75A62" w:rsidP="00D86626">
            <w:pPr>
              <w:pStyle w:val="TableText"/>
              <w:spacing w:line="240" w:lineRule="auto"/>
              <w:rPr>
                <w:color w:val="FFFFFF" w:themeColor="background1"/>
                <w:sz w:val="21"/>
                <w:szCs w:val="21"/>
              </w:rPr>
            </w:pPr>
            <w:r w:rsidRPr="00C75A62">
              <w:rPr>
                <w:color w:val="FFFFFF" w:themeColor="background1"/>
                <w:sz w:val="21"/>
                <w:szCs w:val="21"/>
              </w:rPr>
              <w:t>-</w:t>
            </w:r>
          </w:p>
        </w:tc>
        <w:tc>
          <w:tcPr>
            <w:tcW w:w="1143" w:type="pct"/>
          </w:tcPr>
          <w:p w14:paraId="7F486CA8" w14:textId="77777777" w:rsidR="0071005D" w:rsidRDefault="0071005D" w:rsidP="007D3971">
            <w:pPr>
              <w:pStyle w:val="StyleTableText105ptLinespacingsingle"/>
            </w:pPr>
            <w:r w:rsidRPr="00061D40">
              <w:t>School Census</w:t>
            </w:r>
          </w:p>
          <w:p w14:paraId="7F486CA9" w14:textId="77777777" w:rsidR="005E5A95" w:rsidRPr="00061D40" w:rsidRDefault="005E5A95" w:rsidP="007D3971">
            <w:pPr>
              <w:pStyle w:val="StyleTableText105ptLinespacingsingle"/>
            </w:pPr>
            <w:r w:rsidRPr="0014019B">
              <w:rPr>
                <w:color w:val="FFFFFF" w:themeColor="background1"/>
              </w:rPr>
              <w:t>-</w:t>
            </w:r>
          </w:p>
        </w:tc>
        <w:tc>
          <w:tcPr>
            <w:tcW w:w="772" w:type="pct"/>
          </w:tcPr>
          <w:p w14:paraId="7F486CAA" w14:textId="77777777" w:rsidR="0071005D" w:rsidRDefault="00F7685C" w:rsidP="007D3971">
            <w:pPr>
              <w:pStyle w:val="StyleTableText105ptLinespacingsingle"/>
            </w:pPr>
            <w:r>
              <w:t>Annually</w:t>
            </w:r>
          </w:p>
          <w:p w14:paraId="7F486CAB" w14:textId="77777777" w:rsidR="005E5A95" w:rsidRPr="0014019B" w:rsidRDefault="005E5A95" w:rsidP="007D3971">
            <w:pPr>
              <w:pStyle w:val="StyleTableText105ptLinespacingsingle"/>
              <w:rPr>
                <w:color w:val="FFFFFF" w:themeColor="background1"/>
              </w:rPr>
            </w:pPr>
            <w:r w:rsidRPr="0014019B">
              <w:rPr>
                <w:color w:val="FFFFFF" w:themeColor="background1"/>
              </w:rPr>
              <w:t>-</w:t>
            </w:r>
          </w:p>
          <w:p w14:paraId="7F486CAC" w14:textId="77777777" w:rsidR="005E5A95" w:rsidRPr="00061D40" w:rsidRDefault="00C75A62" w:rsidP="007D3971">
            <w:pPr>
              <w:pStyle w:val="StyleTableText105ptLinespacingsingle"/>
            </w:pPr>
            <w:r w:rsidRPr="0014019B">
              <w:rPr>
                <w:color w:val="FFFFFF" w:themeColor="background1"/>
              </w:rPr>
              <w:t>-</w:t>
            </w:r>
            <w:r w:rsidR="0014019B" w:rsidRPr="0014019B">
              <w:rPr>
                <w:color w:val="FFFFFF" w:themeColor="background1"/>
              </w:rPr>
              <w:t>-</w:t>
            </w:r>
          </w:p>
        </w:tc>
      </w:tr>
      <w:tr w:rsidR="0071005D" w:rsidRPr="00061D40" w14:paraId="7F486CB7" w14:textId="77777777" w:rsidTr="00D86626">
        <w:trPr>
          <w:cantSplit/>
        </w:trPr>
        <w:tc>
          <w:tcPr>
            <w:tcW w:w="1452" w:type="pct"/>
          </w:tcPr>
          <w:p w14:paraId="7F486CAE" w14:textId="77777777" w:rsidR="0071005D" w:rsidRDefault="0071005D" w:rsidP="007D3971">
            <w:pPr>
              <w:pStyle w:val="StyleTableText105ptLinespacingsingle"/>
            </w:pPr>
            <w:r w:rsidRPr="00061D40">
              <w:t>School grades offered by the school</w:t>
            </w:r>
          </w:p>
          <w:p w14:paraId="7F486CAF"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1633" w:type="pct"/>
          </w:tcPr>
          <w:p w14:paraId="7F486CB0" w14:textId="77777777" w:rsidR="0071005D" w:rsidRPr="00061D40" w:rsidRDefault="0071005D" w:rsidP="007D3971">
            <w:pPr>
              <w:pStyle w:val="StyleTableText105ptLinespacingsingle"/>
            </w:pPr>
            <w:r w:rsidRPr="00061D40">
              <w:t xml:space="preserve">School type: Primary, Secondary, Combined or Special Year range: e.g. K </w:t>
            </w:r>
            <w:r w:rsidR="00F57242">
              <w:t>–</w:t>
            </w:r>
            <w:r w:rsidRPr="00061D40">
              <w:t xml:space="preserve"> 12</w:t>
            </w:r>
          </w:p>
        </w:tc>
        <w:tc>
          <w:tcPr>
            <w:tcW w:w="1143" w:type="pct"/>
          </w:tcPr>
          <w:p w14:paraId="7F486CB1" w14:textId="77777777" w:rsidR="0071005D" w:rsidRDefault="0071005D" w:rsidP="007D3971">
            <w:pPr>
              <w:pStyle w:val="StyleTableText105ptLinespacingsingle"/>
            </w:pPr>
            <w:r w:rsidRPr="00061D40">
              <w:t>School Census</w:t>
            </w:r>
          </w:p>
          <w:p w14:paraId="7F486CB2" w14:textId="77777777" w:rsidR="005E5A95" w:rsidRPr="0014019B" w:rsidRDefault="005E5A95" w:rsidP="007D3971">
            <w:pPr>
              <w:pStyle w:val="StyleTableText105ptLinespacingsingle"/>
              <w:rPr>
                <w:color w:val="FFFFFF" w:themeColor="background1"/>
              </w:rPr>
            </w:pPr>
            <w:r w:rsidRPr="0014019B">
              <w:rPr>
                <w:color w:val="FFFFFF" w:themeColor="background1"/>
              </w:rPr>
              <w:t>-</w:t>
            </w:r>
          </w:p>
          <w:p w14:paraId="7F486CB3" w14:textId="77777777" w:rsidR="005E5A95" w:rsidRPr="00061D40" w:rsidRDefault="00C75A62" w:rsidP="007D3971">
            <w:pPr>
              <w:pStyle w:val="StyleTableText105ptLinespacingsingle"/>
            </w:pPr>
            <w:r w:rsidRPr="00C75A62">
              <w:rPr>
                <w:color w:val="FFFFFF" w:themeColor="background1"/>
              </w:rPr>
              <w:t>-</w:t>
            </w:r>
          </w:p>
        </w:tc>
        <w:tc>
          <w:tcPr>
            <w:tcW w:w="772" w:type="pct"/>
          </w:tcPr>
          <w:p w14:paraId="7F486CB4" w14:textId="77777777" w:rsidR="0071005D" w:rsidRDefault="00F7685C" w:rsidP="007D3971">
            <w:pPr>
              <w:pStyle w:val="StyleTableText105ptLinespacingsingle"/>
            </w:pPr>
            <w:r>
              <w:t>Annually</w:t>
            </w:r>
          </w:p>
          <w:p w14:paraId="7F486CB5"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p w14:paraId="7F486CB6" w14:textId="77777777" w:rsidR="005E5A95" w:rsidRPr="00061D40" w:rsidRDefault="00C75A62" w:rsidP="007D3971">
            <w:pPr>
              <w:pStyle w:val="StyleTableText105ptLinespacingsingle"/>
            </w:pPr>
            <w:r w:rsidRPr="00C75A62">
              <w:rPr>
                <w:color w:val="FFFFFF" w:themeColor="background1"/>
              </w:rPr>
              <w:t>-</w:t>
            </w:r>
          </w:p>
        </w:tc>
      </w:tr>
      <w:tr w:rsidR="0071005D" w:rsidRPr="00061D40" w14:paraId="7F486CC2" w14:textId="77777777" w:rsidTr="00D86626">
        <w:trPr>
          <w:cantSplit/>
        </w:trPr>
        <w:tc>
          <w:tcPr>
            <w:tcW w:w="1452" w:type="pct"/>
          </w:tcPr>
          <w:p w14:paraId="7F486CB8" w14:textId="77777777" w:rsidR="0071005D" w:rsidRDefault="0071005D" w:rsidP="007D3971">
            <w:pPr>
              <w:pStyle w:val="StyleTableText105ptLinespacingsingle"/>
            </w:pPr>
            <w:r w:rsidRPr="00061D40">
              <w:t>Street address of the school</w:t>
            </w:r>
          </w:p>
          <w:p w14:paraId="7F486CB9"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p w14:paraId="7F486CBA" w14:textId="77777777" w:rsidR="005E5A95" w:rsidRPr="00061D40" w:rsidRDefault="00C75A62" w:rsidP="007D3971">
            <w:pPr>
              <w:pStyle w:val="StyleTableText105ptLinespacingsingle"/>
            </w:pPr>
            <w:r w:rsidRPr="00C75A62">
              <w:rPr>
                <w:color w:val="FFFFFF" w:themeColor="background1"/>
              </w:rPr>
              <w:t>-</w:t>
            </w:r>
          </w:p>
        </w:tc>
        <w:tc>
          <w:tcPr>
            <w:tcW w:w="1633" w:type="pct"/>
          </w:tcPr>
          <w:p w14:paraId="7F486CBB" w14:textId="77777777" w:rsidR="0071005D" w:rsidRPr="00061D40" w:rsidRDefault="0071005D" w:rsidP="007D3971">
            <w:pPr>
              <w:pStyle w:val="StyleTableText105ptLinespacingsingle"/>
            </w:pPr>
            <w:r w:rsidRPr="00061D40">
              <w:t>Geo-location: Metropolitan, Provincial, Remote or Very Remote (</w:t>
            </w:r>
            <w:r w:rsidR="007C08B2" w:rsidRPr="005F30CD">
              <w:t>MCEECDYA</w:t>
            </w:r>
            <w:r w:rsidRPr="00061D40">
              <w:t xml:space="preserve"> geo-location categories)</w:t>
            </w:r>
          </w:p>
        </w:tc>
        <w:tc>
          <w:tcPr>
            <w:tcW w:w="1143" w:type="pct"/>
          </w:tcPr>
          <w:p w14:paraId="7F486CBC" w14:textId="77777777" w:rsidR="0071005D" w:rsidRDefault="0071005D" w:rsidP="007D3971">
            <w:pPr>
              <w:pStyle w:val="StyleTableText105ptLinespacingsingle"/>
            </w:pPr>
            <w:r w:rsidRPr="00061D40">
              <w:t>School Census</w:t>
            </w:r>
          </w:p>
          <w:p w14:paraId="7F486CBD" w14:textId="77777777" w:rsidR="005E5A95" w:rsidRPr="001D0963" w:rsidRDefault="005E5A95" w:rsidP="007D3971">
            <w:pPr>
              <w:pStyle w:val="StyleTableText105ptLinespacingsingle"/>
              <w:rPr>
                <w:color w:val="FFFFFF" w:themeColor="background1"/>
              </w:rPr>
            </w:pPr>
            <w:r w:rsidRPr="001D0963">
              <w:rPr>
                <w:color w:val="FFFFFF" w:themeColor="background1"/>
              </w:rPr>
              <w:t>-</w:t>
            </w:r>
          </w:p>
          <w:p w14:paraId="7F486CBE" w14:textId="77777777" w:rsidR="005E5A95" w:rsidRPr="00061D40" w:rsidRDefault="00C75A62" w:rsidP="007D3971">
            <w:pPr>
              <w:pStyle w:val="StyleTableText105ptLinespacingsingle"/>
            </w:pPr>
            <w:r w:rsidRPr="00C75A62">
              <w:rPr>
                <w:color w:val="FFFFFF" w:themeColor="background1"/>
              </w:rPr>
              <w:t>-</w:t>
            </w:r>
          </w:p>
        </w:tc>
        <w:tc>
          <w:tcPr>
            <w:tcW w:w="772" w:type="pct"/>
          </w:tcPr>
          <w:p w14:paraId="7F486CBF" w14:textId="77777777" w:rsidR="0071005D" w:rsidRDefault="00F7685C" w:rsidP="007D3971">
            <w:pPr>
              <w:pStyle w:val="StyleTableText105ptLinespacingsingle"/>
            </w:pPr>
            <w:r>
              <w:t>Annually</w:t>
            </w:r>
          </w:p>
          <w:p w14:paraId="7F486CC0" w14:textId="77777777" w:rsidR="005E5A95" w:rsidRPr="0014019B" w:rsidRDefault="00C75A62" w:rsidP="007D3971">
            <w:pPr>
              <w:pStyle w:val="StyleTableText105ptLinespacingsingle"/>
              <w:rPr>
                <w:color w:val="FFFFFF" w:themeColor="background1"/>
              </w:rPr>
            </w:pPr>
            <w:r w:rsidRPr="0014019B">
              <w:rPr>
                <w:color w:val="FFFFFF" w:themeColor="background1"/>
              </w:rPr>
              <w:t>-</w:t>
            </w:r>
          </w:p>
          <w:p w14:paraId="7F486CC1" w14:textId="77777777" w:rsidR="005E5A95" w:rsidRPr="00061D40" w:rsidRDefault="00C75A62" w:rsidP="007D3971">
            <w:pPr>
              <w:pStyle w:val="StyleTableText105ptLinespacingsingle"/>
            </w:pPr>
            <w:r w:rsidRPr="00C75A62">
              <w:rPr>
                <w:color w:val="FFFFFF" w:themeColor="background1"/>
              </w:rPr>
              <w:t>-</w:t>
            </w:r>
          </w:p>
        </w:tc>
      </w:tr>
      <w:tr w:rsidR="0071005D" w:rsidRPr="00061D40" w14:paraId="7F486CCA" w14:textId="77777777" w:rsidTr="00D86626">
        <w:trPr>
          <w:cantSplit/>
        </w:trPr>
        <w:tc>
          <w:tcPr>
            <w:tcW w:w="1452" w:type="pct"/>
          </w:tcPr>
          <w:p w14:paraId="7F486CC3" w14:textId="77777777" w:rsidR="0071005D" w:rsidRPr="00061D40" w:rsidRDefault="0071005D" w:rsidP="007D3971">
            <w:pPr>
              <w:pStyle w:val="StyleTableText105ptLinespacingsingle"/>
            </w:pPr>
            <w:r w:rsidRPr="00061D40">
              <w:t>Total number of students enrolled at the school</w:t>
            </w:r>
          </w:p>
        </w:tc>
        <w:tc>
          <w:tcPr>
            <w:tcW w:w="1633" w:type="pct"/>
          </w:tcPr>
          <w:p w14:paraId="7F486CC4" w14:textId="77777777" w:rsidR="0071005D" w:rsidRDefault="0071005D" w:rsidP="007D3971">
            <w:pPr>
              <w:pStyle w:val="StyleTableText105ptLinespacingsingle"/>
            </w:pPr>
            <w:r w:rsidRPr="00061D40">
              <w:t>Total student enrolments</w:t>
            </w:r>
          </w:p>
          <w:p w14:paraId="7F486CC5"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1143" w:type="pct"/>
          </w:tcPr>
          <w:p w14:paraId="7F486CC6" w14:textId="77777777" w:rsidR="0071005D" w:rsidRDefault="0071005D" w:rsidP="007D3971">
            <w:pPr>
              <w:pStyle w:val="StyleTableText105ptLinespacingsingle"/>
            </w:pPr>
            <w:r w:rsidRPr="00061D40">
              <w:t>School Census</w:t>
            </w:r>
          </w:p>
          <w:p w14:paraId="7F486CC7"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772" w:type="pct"/>
          </w:tcPr>
          <w:p w14:paraId="7F486CC8" w14:textId="77777777" w:rsidR="0071005D" w:rsidRDefault="00F7685C" w:rsidP="007D3971">
            <w:pPr>
              <w:pStyle w:val="StyleTableText105ptLinespacingsingle"/>
            </w:pPr>
            <w:r>
              <w:t>Annually</w:t>
            </w:r>
          </w:p>
          <w:p w14:paraId="7F486CC9"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r>
      <w:tr w:rsidR="0071005D" w:rsidRPr="00061D40" w14:paraId="7F486CD2" w14:textId="77777777" w:rsidTr="00D86626">
        <w:trPr>
          <w:cantSplit/>
        </w:trPr>
        <w:tc>
          <w:tcPr>
            <w:tcW w:w="1452" w:type="pct"/>
          </w:tcPr>
          <w:p w14:paraId="7F486CCB" w14:textId="77777777" w:rsidR="0071005D" w:rsidRPr="00061D40" w:rsidRDefault="0071005D" w:rsidP="007D3971">
            <w:pPr>
              <w:pStyle w:val="StyleTableText105ptLinespacingsingle"/>
            </w:pPr>
            <w:r w:rsidRPr="00061D40">
              <w:t>Total full-time equivalent student enrolments at the school</w:t>
            </w:r>
          </w:p>
        </w:tc>
        <w:tc>
          <w:tcPr>
            <w:tcW w:w="1633" w:type="pct"/>
          </w:tcPr>
          <w:p w14:paraId="7F486CCC" w14:textId="77777777" w:rsidR="0071005D" w:rsidRDefault="0071005D" w:rsidP="007D3971">
            <w:pPr>
              <w:pStyle w:val="StyleTableText105ptLinespacingsingle"/>
            </w:pPr>
            <w:r w:rsidRPr="00061D40">
              <w:t>FTE student enrolments</w:t>
            </w:r>
          </w:p>
          <w:p w14:paraId="7F486CCD"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1143" w:type="pct"/>
          </w:tcPr>
          <w:p w14:paraId="7F486CCE" w14:textId="77777777" w:rsidR="0071005D" w:rsidRDefault="0071005D" w:rsidP="007D3971">
            <w:pPr>
              <w:pStyle w:val="StyleTableText105ptLinespacingsingle"/>
            </w:pPr>
            <w:r w:rsidRPr="00061D40">
              <w:t>School Census</w:t>
            </w:r>
          </w:p>
          <w:p w14:paraId="7F486CCF"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772" w:type="pct"/>
          </w:tcPr>
          <w:p w14:paraId="7F486CD0" w14:textId="77777777" w:rsidR="0071005D" w:rsidRDefault="00F7685C" w:rsidP="007D3971">
            <w:pPr>
              <w:pStyle w:val="StyleTableText105ptLinespacingsingle"/>
            </w:pPr>
            <w:r>
              <w:t>Annually</w:t>
            </w:r>
          </w:p>
          <w:p w14:paraId="7F486CD1"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r>
      <w:tr w:rsidR="0071005D" w:rsidRPr="00061D40" w14:paraId="7F486CD9" w14:textId="77777777" w:rsidTr="00D86626">
        <w:trPr>
          <w:cantSplit/>
        </w:trPr>
        <w:tc>
          <w:tcPr>
            <w:tcW w:w="1452" w:type="pct"/>
          </w:tcPr>
          <w:p w14:paraId="7F486CD3" w14:textId="77777777" w:rsidR="0071005D" w:rsidRPr="00061D40" w:rsidRDefault="0071005D" w:rsidP="007D3971">
            <w:pPr>
              <w:pStyle w:val="StyleTableText105ptLinespacingsingle"/>
            </w:pPr>
            <w:r w:rsidRPr="00061D40">
              <w:t>Total student enrolments at the school disaggregated by sex</w:t>
            </w:r>
          </w:p>
        </w:tc>
        <w:tc>
          <w:tcPr>
            <w:tcW w:w="1633" w:type="pct"/>
          </w:tcPr>
          <w:p w14:paraId="7F486CD4" w14:textId="77777777" w:rsidR="0071005D" w:rsidRPr="00061D40" w:rsidRDefault="0071005D" w:rsidP="007D3971">
            <w:pPr>
              <w:pStyle w:val="StyleTableText105ptLinespacingsingle"/>
            </w:pPr>
            <w:r w:rsidRPr="00061D40">
              <w:t>Total student enrolments by sex (girls, boys)</w:t>
            </w:r>
          </w:p>
        </w:tc>
        <w:tc>
          <w:tcPr>
            <w:tcW w:w="1143" w:type="pct"/>
          </w:tcPr>
          <w:p w14:paraId="7F486CD5" w14:textId="77777777" w:rsidR="0071005D" w:rsidRDefault="0071005D" w:rsidP="007D3971">
            <w:pPr>
              <w:pStyle w:val="StyleTableText105ptLinespacingsingle"/>
            </w:pPr>
            <w:r w:rsidRPr="00061D40">
              <w:t>School Census</w:t>
            </w:r>
          </w:p>
          <w:p w14:paraId="7F486CD6"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772" w:type="pct"/>
          </w:tcPr>
          <w:p w14:paraId="7F486CD7" w14:textId="77777777" w:rsidR="0071005D" w:rsidRDefault="00F7685C" w:rsidP="007D3971">
            <w:pPr>
              <w:pStyle w:val="StyleTableText105ptLinespacingsingle"/>
            </w:pPr>
            <w:r>
              <w:t>Annually</w:t>
            </w:r>
          </w:p>
          <w:p w14:paraId="7F486CD8"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r>
      <w:tr w:rsidR="0071005D" w:rsidRPr="00061D40" w14:paraId="7F486CE1" w14:textId="77777777" w:rsidTr="00D86626">
        <w:trPr>
          <w:cantSplit/>
        </w:trPr>
        <w:tc>
          <w:tcPr>
            <w:tcW w:w="1452" w:type="pct"/>
          </w:tcPr>
          <w:p w14:paraId="7F486CDA" w14:textId="77777777" w:rsidR="0071005D" w:rsidRPr="00061D40" w:rsidRDefault="0071005D" w:rsidP="007D3971">
            <w:pPr>
              <w:pStyle w:val="StyleTableText105ptLinespacingsingle"/>
            </w:pPr>
            <w:r w:rsidRPr="00061D40">
              <w:t>Total student enrolments at the school disaggregated by school grade</w:t>
            </w:r>
          </w:p>
        </w:tc>
        <w:tc>
          <w:tcPr>
            <w:tcW w:w="1633" w:type="pct"/>
          </w:tcPr>
          <w:p w14:paraId="7F486CDB" w14:textId="77777777" w:rsidR="0071005D" w:rsidRDefault="0071005D" w:rsidP="007D3971">
            <w:pPr>
              <w:pStyle w:val="StyleTableText105ptLinespacingsingle"/>
            </w:pPr>
            <w:r w:rsidRPr="00061D40">
              <w:t>Nil</w:t>
            </w:r>
          </w:p>
          <w:p w14:paraId="7F486CDC"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1143" w:type="pct"/>
          </w:tcPr>
          <w:p w14:paraId="7F486CDD" w14:textId="77777777" w:rsidR="0071005D" w:rsidRDefault="0071005D" w:rsidP="007D3971">
            <w:pPr>
              <w:pStyle w:val="StyleTableText105ptLinespacingsingle"/>
            </w:pPr>
            <w:r w:rsidRPr="00061D40">
              <w:t>School Census</w:t>
            </w:r>
          </w:p>
          <w:p w14:paraId="7F486CDE"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772" w:type="pct"/>
          </w:tcPr>
          <w:p w14:paraId="7F486CDF" w14:textId="77777777" w:rsidR="0071005D" w:rsidRDefault="00F7685C" w:rsidP="007D3971">
            <w:pPr>
              <w:pStyle w:val="StyleTableText105ptLinespacingsingle"/>
            </w:pPr>
            <w:r>
              <w:t>Annually</w:t>
            </w:r>
          </w:p>
          <w:p w14:paraId="7F486CE0"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r>
      <w:tr w:rsidR="0071005D" w:rsidRPr="00061D40" w14:paraId="7F486CE9" w14:textId="77777777" w:rsidTr="00D86626">
        <w:trPr>
          <w:cantSplit/>
        </w:trPr>
        <w:tc>
          <w:tcPr>
            <w:tcW w:w="1452" w:type="pct"/>
          </w:tcPr>
          <w:p w14:paraId="7F486CE2" w14:textId="77777777" w:rsidR="0071005D" w:rsidRPr="00061D40" w:rsidRDefault="0071005D" w:rsidP="007D3971">
            <w:pPr>
              <w:pStyle w:val="StyleTableText105ptLinespacingsingle"/>
            </w:pPr>
            <w:r w:rsidRPr="00061D40">
              <w:t>De-identified residential address of each student enrolled at the school</w:t>
            </w:r>
          </w:p>
        </w:tc>
        <w:tc>
          <w:tcPr>
            <w:tcW w:w="1633" w:type="pct"/>
          </w:tcPr>
          <w:p w14:paraId="7F486CE3" w14:textId="77777777" w:rsidR="0071005D" w:rsidRDefault="0071005D" w:rsidP="004121A5">
            <w:pPr>
              <w:pStyle w:val="StyleTableText105ptLinespacingsingle"/>
            </w:pPr>
            <w:r w:rsidRPr="00061D40">
              <w:t>Socioeconomic profile of student population, % by quartile</w:t>
            </w:r>
          </w:p>
          <w:p w14:paraId="7F486CE4" w14:textId="77777777" w:rsidR="005E5A95" w:rsidRPr="005E5A95" w:rsidRDefault="00C75A62" w:rsidP="004121A5">
            <w:pPr>
              <w:pStyle w:val="StyleTableText105ptLinespacingsingle"/>
              <w:rPr>
                <w:color w:val="FFFFFF" w:themeColor="background1"/>
              </w:rPr>
            </w:pPr>
            <w:r w:rsidRPr="00C75A62">
              <w:rPr>
                <w:color w:val="FFFFFF" w:themeColor="background1"/>
              </w:rPr>
              <w:t>-</w:t>
            </w:r>
          </w:p>
        </w:tc>
        <w:tc>
          <w:tcPr>
            <w:tcW w:w="1143" w:type="pct"/>
          </w:tcPr>
          <w:p w14:paraId="7F486CE5" w14:textId="77777777" w:rsidR="005E5A95" w:rsidRPr="00061D40" w:rsidRDefault="0071005D" w:rsidP="007D3971">
            <w:pPr>
              <w:pStyle w:val="StyleTableText105ptLinespacingsingle"/>
            </w:pPr>
            <w:r w:rsidRPr="00061D40">
              <w:t>DEEWR Socioeconomic Status (SES) funding collection</w:t>
            </w:r>
          </w:p>
        </w:tc>
        <w:tc>
          <w:tcPr>
            <w:tcW w:w="772" w:type="pct"/>
          </w:tcPr>
          <w:p w14:paraId="7F486CE6" w14:textId="77777777" w:rsidR="0071005D" w:rsidRDefault="00F7685C" w:rsidP="007D3971">
            <w:pPr>
              <w:pStyle w:val="StyleTableText105ptLinespacingsingle"/>
            </w:pPr>
            <w:r>
              <w:t>Annually</w:t>
            </w:r>
          </w:p>
          <w:p w14:paraId="7F486CE7"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p w14:paraId="7F486CE8" w14:textId="77777777" w:rsidR="005E5A95" w:rsidRPr="00061D40" w:rsidRDefault="00C75A62" w:rsidP="007D3971">
            <w:pPr>
              <w:pStyle w:val="StyleTableText105ptLinespacingsingle"/>
            </w:pPr>
            <w:r w:rsidRPr="00C75A62">
              <w:rPr>
                <w:color w:val="FFFFFF" w:themeColor="background1"/>
              </w:rPr>
              <w:t>-</w:t>
            </w:r>
          </w:p>
        </w:tc>
      </w:tr>
      <w:tr w:rsidR="0071005D" w:rsidRPr="00061D40" w14:paraId="7F486CF1" w14:textId="77777777" w:rsidTr="00D86626">
        <w:trPr>
          <w:cantSplit/>
        </w:trPr>
        <w:tc>
          <w:tcPr>
            <w:tcW w:w="1452" w:type="pct"/>
          </w:tcPr>
          <w:p w14:paraId="7F486CEA" w14:textId="77777777" w:rsidR="0071005D" w:rsidRPr="00061D40" w:rsidRDefault="0071005D" w:rsidP="007D3971">
            <w:pPr>
              <w:pStyle w:val="StyleTableText105ptLinespacingsingle"/>
            </w:pPr>
            <w:r w:rsidRPr="00061D40">
              <w:t>Number of Indigenous students enrolled at the school</w:t>
            </w:r>
          </w:p>
        </w:tc>
        <w:tc>
          <w:tcPr>
            <w:tcW w:w="1633" w:type="pct"/>
          </w:tcPr>
          <w:p w14:paraId="7F486CEB" w14:textId="77777777" w:rsidR="0071005D" w:rsidRDefault="0071005D" w:rsidP="007D3971">
            <w:pPr>
              <w:pStyle w:val="StyleTableText105ptLinespacingsingle"/>
            </w:pPr>
            <w:r w:rsidRPr="00061D40">
              <w:t>% Indigenous students</w:t>
            </w:r>
          </w:p>
          <w:p w14:paraId="7F486CEC"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1143" w:type="pct"/>
          </w:tcPr>
          <w:p w14:paraId="7F486CED" w14:textId="77777777" w:rsidR="0071005D" w:rsidRDefault="0071005D" w:rsidP="007D3971">
            <w:pPr>
              <w:pStyle w:val="StyleTableText105ptLinespacingsingle"/>
            </w:pPr>
            <w:r w:rsidRPr="00061D40">
              <w:t>School Census</w:t>
            </w:r>
          </w:p>
          <w:p w14:paraId="7F486CEE"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772" w:type="pct"/>
          </w:tcPr>
          <w:p w14:paraId="7F486CEF" w14:textId="77777777" w:rsidR="0071005D" w:rsidRDefault="00F7685C" w:rsidP="007D3971">
            <w:pPr>
              <w:pStyle w:val="StyleTableText105ptLinespacingsingle"/>
            </w:pPr>
            <w:r>
              <w:t>Annually</w:t>
            </w:r>
          </w:p>
          <w:p w14:paraId="7F486CF0"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r>
      <w:tr w:rsidR="0071005D" w:rsidRPr="00061D40" w14:paraId="7F486CF7" w14:textId="77777777" w:rsidTr="00D86626">
        <w:trPr>
          <w:cantSplit/>
        </w:trPr>
        <w:tc>
          <w:tcPr>
            <w:tcW w:w="1452" w:type="pct"/>
          </w:tcPr>
          <w:p w14:paraId="7F486CF2" w14:textId="77777777" w:rsidR="0071005D" w:rsidRPr="00061D40" w:rsidRDefault="0071005D" w:rsidP="007D3971">
            <w:pPr>
              <w:pStyle w:val="StyleTableText105ptLinespacingsingle"/>
            </w:pPr>
            <w:r w:rsidRPr="00061D40">
              <w:t>Number of students of language background other than English (LBOTE) enrolled at the school</w:t>
            </w:r>
          </w:p>
        </w:tc>
        <w:tc>
          <w:tcPr>
            <w:tcW w:w="1633" w:type="pct"/>
          </w:tcPr>
          <w:p w14:paraId="7F486CF3" w14:textId="77777777" w:rsidR="0071005D" w:rsidRDefault="0071005D" w:rsidP="007D3971">
            <w:pPr>
              <w:pStyle w:val="StyleTableText105ptLinespacingsingle"/>
            </w:pPr>
            <w:r w:rsidRPr="00061D40">
              <w:t>% LBOTE</w:t>
            </w:r>
          </w:p>
          <w:p w14:paraId="7F486CF4"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1143" w:type="pct"/>
          </w:tcPr>
          <w:p w14:paraId="7F486CF5" w14:textId="77777777" w:rsidR="0071005D" w:rsidRPr="00F7685C" w:rsidRDefault="00F7685C" w:rsidP="007D3971">
            <w:pPr>
              <w:pStyle w:val="StyleTableText105ptLinespacingsingle"/>
            </w:pPr>
            <w:r w:rsidRPr="00F7685C">
              <w:t xml:space="preserve">State and </w:t>
            </w:r>
            <w:r w:rsidR="00C93407">
              <w:t>T</w:t>
            </w:r>
            <w:r w:rsidRPr="00F7685C">
              <w:t>erritory test administration authorities</w:t>
            </w:r>
          </w:p>
        </w:tc>
        <w:tc>
          <w:tcPr>
            <w:tcW w:w="772" w:type="pct"/>
          </w:tcPr>
          <w:p w14:paraId="7F486CF6" w14:textId="77777777" w:rsidR="005E5A95" w:rsidRPr="005E5A95" w:rsidRDefault="00BD45CD" w:rsidP="007D3971">
            <w:pPr>
              <w:pStyle w:val="StyleTableText105ptLinespacingsingle"/>
              <w:rPr>
                <w:color w:val="FFFFFF" w:themeColor="background1"/>
              </w:rPr>
            </w:pPr>
            <w:r>
              <w:t>Annually</w:t>
            </w:r>
            <w:r w:rsidR="00C75A62" w:rsidRPr="00C75A62">
              <w:rPr>
                <w:color w:val="FFFFFF" w:themeColor="background1"/>
              </w:rPr>
              <w:t>-</w:t>
            </w:r>
          </w:p>
        </w:tc>
      </w:tr>
      <w:tr w:rsidR="0071005D" w:rsidRPr="00061D40" w14:paraId="7F486CFF" w14:textId="77777777" w:rsidTr="00D86626">
        <w:trPr>
          <w:cantSplit/>
        </w:trPr>
        <w:tc>
          <w:tcPr>
            <w:tcW w:w="1452" w:type="pct"/>
          </w:tcPr>
          <w:p w14:paraId="7F486CF8" w14:textId="77777777" w:rsidR="0071005D" w:rsidRPr="00061D40" w:rsidRDefault="0071005D" w:rsidP="007D3971">
            <w:pPr>
              <w:pStyle w:val="StyleTableText105ptLinespacingsingle"/>
            </w:pPr>
            <w:r w:rsidRPr="00061D40">
              <w:t>Number of students with a disability enrolled at the school</w:t>
            </w:r>
          </w:p>
        </w:tc>
        <w:tc>
          <w:tcPr>
            <w:tcW w:w="1633" w:type="pct"/>
          </w:tcPr>
          <w:p w14:paraId="7F486CF9" w14:textId="77777777" w:rsidR="0071005D" w:rsidRDefault="0071005D" w:rsidP="004121A5">
            <w:pPr>
              <w:pStyle w:val="StyleTableText105ptLinespacingsingle"/>
            </w:pPr>
            <w:r w:rsidRPr="00061D40">
              <w:t xml:space="preserve">% </w:t>
            </w:r>
            <w:r w:rsidR="004121A5" w:rsidRPr="00061D40">
              <w:t xml:space="preserve">students </w:t>
            </w:r>
            <w:r w:rsidRPr="00061D40">
              <w:t>with disability</w:t>
            </w:r>
          </w:p>
          <w:p w14:paraId="7F486CFA" w14:textId="77777777" w:rsidR="005E5A95" w:rsidRPr="005E5A95" w:rsidRDefault="00C75A62" w:rsidP="004121A5">
            <w:pPr>
              <w:pStyle w:val="StyleTableText105ptLinespacingsingle"/>
              <w:rPr>
                <w:color w:val="FFFFFF" w:themeColor="background1"/>
              </w:rPr>
            </w:pPr>
            <w:r w:rsidRPr="00C75A62">
              <w:rPr>
                <w:color w:val="FFFFFF" w:themeColor="background1"/>
              </w:rPr>
              <w:t>-</w:t>
            </w:r>
          </w:p>
        </w:tc>
        <w:tc>
          <w:tcPr>
            <w:tcW w:w="1143" w:type="pct"/>
          </w:tcPr>
          <w:p w14:paraId="7F486CFB" w14:textId="77777777" w:rsidR="0071005D" w:rsidRDefault="0071005D" w:rsidP="007D3971">
            <w:pPr>
              <w:pStyle w:val="StyleTableText105ptLinespacingsingle"/>
            </w:pPr>
            <w:r w:rsidRPr="00061D40">
              <w:t xml:space="preserve">To be advised </w:t>
            </w:r>
          </w:p>
          <w:p w14:paraId="7F486CFC"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772" w:type="pct"/>
          </w:tcPr>
          <w:p w14:paraId="7F486CFD" w14:textId="77777777" w:rsidR="0071005D" w:rsidRDefault="0071005D" w:rsidP="007D3971">
            <w:pPr>
              <w:pStyle w:val="StyleTableText105ptLinespacingsingle"/>
            </w:pPr>
            <w:r w:rsidRPr="00061D40">
              <w:t>To be advised</w:t>
            </w:r>
          </w:p>
          <w:p w14:paraId="7F486CFE"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r>
      <w:tr w:rsidR="0071005D" w:rsidRPr="00061D40" w14:paraId="7F486D01" w14:textId="77777777" w:rsidTr="00D86626">
        <w:trPr>
          <w:cantSplit/>
          <w:trHeight w:val="376"/>
        </w:trPr>
        <w:tc>
          <w:tcPr>
            <w:tcW w:w="5000" w:type="pct"/>
            <w:gridSpan w:val="4"/>
            <w:shd w:val="clear" w:color="auto" w:fill="E6E6E6"/>
            <w:vAlign w:val="center"/>
          </w:tcPr>
          <w:p w14:paraId="7F486D00" w14:textId="77777777" w:rsidR="0071005D" w:rsidRPr="00061D40" w:rsidRDefault="0071005D" w:rsidP="00E91EE7">
            <w:pPr>
              <w:pStyle w:val="TableText"/>
              <w:keepNext/>
              <w:spacing w:line="240" w:lineRule="auto"/>
              <w:rPr>
                <w:b/>
                <w:i/>
                <w:sz w:val="21"/>
                <w:szCs w:val="21"/>
              </w:rPr>
            </w:pPr>
            <w:r w:rsidRPr="00061D40">
              <w:rPr>
                <w:b/>
                <w:i/>
                <w:sz w:val="21"/>
                <w:szCs w:val="21"/>
              </w:rPr>
              <w:t>Capacity information</w:t>
            </w:r>
          </w:p>
        </w:tc>
      </w:tr>
      <w:tr w:rsidR="0071005D" w:rsidRPr="00061D40" w14:paraId="7F486D06" w14:textId="77777777" w:rsidTr="00D86626">
        <w:trPr>
          <w:cantSplit/>
        </w:trPr>
        <w:tc>
          <w:tcPr>
            <w:tcW w:w="1452" w:type="pct"/>
          </w:tcPr>
          <w:p w14:paraId="7F486D02" w14:textId="77777777" w:rsidR="0071005D" w:rsidRPr="00061D40" w:rsidRDefault="0071005D" w:rsidP="00F7685C">
            <w:pPr>
              <w:pStyle w:val="StyleTableText105ptLinespacingsingle"/>
            </w:pPr>
            <w:r w:rsidRPr="00061D40">
              <w:t xml:space="preserve">School </w:t>
            </w:r>
            <w:r w:rsidR="00F7685C">
              <w:t>finance</w:t>
            </w:r>
            <w:r w:rsidR="004121A5" w:rsidRPr="00061D40">
              <w:t xml:space="preserve"> </w:t>
            </w:r>
            <w:r w:rsidR="00F7685C">
              <w:t xml:space="preserve">data </w:t>
            </w:r>
            <w:r w:rsidRPr="00061D40">
              <w:t xml:space="preserve">broken down by </w:t>
            </w:r>
            <w:r w:rsidR="004121A5" w:rsidRPr="00061D40">
              <w:t>sources of funding</w:t>
            </w:r>
          </w:p>
        </w:tc>
        <w:tc>
          <w:tcPr>
            <w:tcW w:w="1633" w:type="pct"/>
          </w:tcPr>
          <w:p w14:paraId="7F486D03" w14:textId="77777777" w:rsidR="0071005D" w:rsidRPr="00061D40" w:rsidRDefault="0071005D" w:rsidP="004121A5">
            <w:pPr>
              <w:pStyle w:val="StyleTableText105ptLinespacingsingle"/>
            </w:pPr>
            <w:r w:rsidRPr="00061D40">
              <w:t xml:space="preserve">School </w:t>
            </w:r>
            <w:r w:rsidR="00F7685C">
              <w:t>recurrent income and capital expenditure by funding source</w:t>
            </w:r>
          </w:p>
        </w:tc>
        <w:tc>
          <w:tcPr>
            <w:tcW w:w="1143" w:type="pct"/>
          </w:tcPr>
          <w:p w14:paraId="7F486D04" w14:textId="77777777" w:rsidR="005E5A95" w:rsidRPr="005E5A95" w:rsidRDefault="00AD48C5" w:rsidP="00AD48C5">
            <w:pPr>
              <w:pStyle w:val="StyleTableText105ptLinespacingsingle"/>
              <w:rPr>
                <w:color w:val="FFFFFF" w:themeColor="background1"/>
              </w:rPr>
            </w:pPr>
            <w:r w:rsidRPr="00AD48C5">
              <w:t>DEEWR Financial Questionnaire and information from other parties where required</w:t>
            </w:r>
          </w:p>
        </w:tc>
        <w:tc>
          <w:tcPr>
            <w:tcW w:w="772" w:type="pct"/>
          </w:tcPr>
          <w:p w14:paraId="7F486D05" w14:textId="77777777" w:rsidR="0071005D" w:rsidRPr="00061D40" w:rsidRDefault="002C2044" w:rsidP="007D3971">
            <w:pPr>
              <w:pStyle w:val="StyleTableText105ptLinespacingsingle"/>
            </w:pPr>
            <w:r>
              <w:t>Annually</w:t>
            </w:r>
          </w:p>
        </w:tc>
      </w:tr>
      <w:tr w:rsidR="0071005D" w:rsidRPr="00061D40" w14:paraId="7F486D0B" w14:textId="77777777" w:rsidTr="00D86626">
        <w:trPr>
          <w:cantSplit/>
        </w:trPr>
        <w:tc>
          <w:tcPr>
            <w:tcW w:w="1452" w:type="pct"/>
          </w:tcPr>
          <w:p w14:paraId="7F486D07" w14:textId="77777777" w:rsidR="0071005D" w:rsidRPr="00061D40" w:rsidRDefault="0071005D" w:rsidP="007D3971">
            <w:pPr>
              <w:pStyle w:val="StyleTableText105ptLinespacingsingle"/>
            </w:pPr>
            <w:r w:rsidRPr="00061D40">
              <w:t>Number of teaching staff</w:t>
            </w:r>
          </w:p>
        </w:tc>
        <w:tc>
          <w:tcPr>
            <w:tcW w:w="1633" w:type="pct"/>
          </w:tcPr>
          <w:p w14:paraId="7F486D08" w14:textId="77777777" w:rsidR="0071005D" w:rsidRPr="00061D40" w:rsidRDefault="0071005D" w:rsidP="007D3971">
            <w:pPr>
              <w:pStyle w:val="StyleTableText105ptLinespacingsingle"/>
            </w:pPr>
            <w:r w:rsidRPr="00061D40">
              <w:t>Number of teaching staff</w:t>
            </w:r>
          </w:p>
        </w:tc>
        <w:tc>
          <w:tcPr>
            <w:tcW w:w="1143" w:type="pct"/>
          </w:tcPr>
          <w:p w14:paraId="7F486D09" w14:textId="77777777" w:rsidR="0071005D" w:rsidRPr="00061D40" w:rsidRDefault="0071005D" w:rsidP="007D3971">
            <w:pPr>
              <w:pStyle w:val="StyleTableText105ptLinespacingsingle"/>
            </w:pPr>
            <w:r w:rsidRPr="00061D40">
              <w:t xml:space="preserve">School Census </w:t>
            </w:r>
          </w:p>
        </w:tc>
        <w:tc>
          <w:tcPr>
            <w:tcW w:w="772" w:type="pct"/>
          </w:tcPr>
          <w:p w14:paraId="7F486D0A" w14:textId="77777777" w:rsidR="0071005D" w:rsidRPr="00061D40" w:rsidRDefault="00F7685C" w:rsidP="007D3971">
            <w:pPr>
              <w:pStyle w:val="StyleTableText105ptLinespacingsingle"/>
            </w:pPr>
            <w:r>
              <w:t>Annually</w:t>
            </w:r>
          </w:p>
        </w:tc>
      </w:tr>
      <w:tr w:rsidR="0071005D" w:rsidRPr="00061D40" w14:paraId="7F486D17" w14:textId="77777777" w:rsidTr="00D86626">
        <w:trPr>
          <w:cantSplit/>
        </w:trPr>
        <w:tc>
          <w:tcPr>
            <w:tcW w:w="1452" w:type="pct"/>
          </w:tcPr>
          <w:p w14:paraId="7F486D0C" w14:textId="77777777" w:rsidR="0071005D" w:rsidRPr="00061D40" w:rsidRDefault="0071005D" w:rsidP="007D3971">
            <w:pPr>
              <w:pStyle w:val="StyleTableText105ptLinespacingsingle"/>
            </w:pPr>
            <w:r w:rsidRPr="00061D40">
              <w:t>Number of full-time equivalent teaching staff</w:t>
            </w:r>
          </w:p>
        </w:tc>
        <w:tc>
          <w:tcPr>
            <w:tcW w:w="1633" w:type="pct"/>
          </w:tcPr>
          <w:p w14:paraId="7F486D0D" w14:textId="77777777" w:rsidR="0071005D" w:rsidRDefault="0071005D" w:rsidP="007D3971">
            <w:pPr>
              <w:pStyle w:val="StyleTableText105ptLinespacingsingle"/>
            </w:pPr>
            <w:r w:rsidRPr="00061D40">
              <w:t>FTE teaching staff</w:t>
            </w:r>
          </w:p>
          <w:p w14:paraId="7F486D0E"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1143" w:type="pct"/>
          </w:tcPr>
          <w:p w14:paraId="7F486D0F" w14:textId="77777777" w:rsidR="0071005D" w:rsidRDefault="0071005D" w:rsidP="007D3971">
            <w:pPr>
              <w:pStyle w:val="StyleTableText105ptLinespacingsingle"/>
            </w:pPr>
            <w:r w:rsidRPr="00061D40">
              <w:t>School Census</w:t>
            </w:r>
          </w:p>
          <w:p w14:paraId="7F486D10" w14:textId="77777777" w:rsidR="005E5A95" w:rsidRDefault="00C75A62" w:rsidP="007D3971">
            <w:pPr>
              <w:pStyle w:val="StyleTableText105ptLinespacingsingle"/>
              <w:rPr>
                <w:color w:val="FFFFFF" w:themeColor="background1"/>
              </w:rPr>
            </w:pPr>
            <w:r w:rsidRPr="00C75A62">
              <w:rPr>
                <w:color w:val="FFFFFF" w:themeColor="background1"/>
              </w:rPr>
              <w:t>-</w:t>
            </w:r>
          </w:p>
          <w:p w14:paraId="7F486D11" w14:textId="77777777" w:rsidR="001D0963" w:rsidRDefault="001D0963" w:rsidP="007D3971">
            <w:pPr>
              <w:pStyle w:val="StyleTableText105ptLinespacingsingle"/>
              <w:rPr>
                <w:color w:val="FFFFFF" w:themeColor="background1"/>
              </w:rPr>
            </w:pPr>
          </w:p>
          <w:p w14:paraId="7F486D12" w14:textId="77777777" w:rsidR="001D0963" w:rsidRDefault="001D0963" w:rsidP="007D3971">
            <w:pPr>
              <w:pStyle w:val="StyleTableText105ptLinespacingsingle"/>
              <w:rPr>
                <w:color w:val="FFFFFF" w:themeColor="background1"/>
              </w:rPr>
            </w:pPr>
          </w:p>
          <w:p w14:paraId="7F486D13" w14:textId="77777777" w:rsidR="00EF6EA9" w:rsidRDefault="00EF6EA9" w:rsidP="007D3971">
            <w:pPr>
              <w:pStyle w:val="StyleTableText105ptLinespacingsingle"/>
              <w:rPr>
                <w:color w:val="FFFFFF" w:themeColor="background1"/>
              </w:rPr>
            </w:pPr>
          </w:p>
          <w:p w14:paraId="7F486D14" w14:textId="77777777" w:rsidR="00EF6EA9" w:rsidRPr="005E5A95" w:rsidRDefault="00EF6EA9" w:rsidP="007D3971">
            <w:pPr>
              <w:pStyle w:val="StyleTableText105ptLinespacingsingle"/>
              <w:rPr>
                <w:color w:val="FFFFFF" w:themeColor="background1"/>
              </w:rPr>
            </w:pPr>
          </w:p>
        </w:tc>
        <w:tc>
          <w:tcPr>
            <w:tcW w:w="772" w:type="pct"/>
          </w:tcPr>
          <w:p w14:paraId="7F486D15" w14:textId="77777777" w:rsidR="0071005D" w:rsidRDefault="00F7685C" w:rsidP="004121A5">
            <w:pPr>
              <w:pStyle w:val="StyleTableText105ptLinespacingsingle"/>
            </w:pPr>
            <w:r>
              <w:t>Annually</w:t>
            </w:r>
          </w:p>
          <w:p w14:paraId="7F486D16" w14:textId="77777777" w:rsidR="005E5A95" w:rsidRPr="005E5A95" w:rsidRDefault="00C75A62" w:rsidP="004121A5">
            <w:pPr>
              <w:pStyle w:val="StyleTableText105ptLinespacingsingle"/>
              <w:rPr>
                <w:color w:val="FFFFFF" w:themeColor="background1"/>
              </w:rPr>
            </w:pPr>
            <w:r w:rsidRPr="00C75A62">
              <w:rPr>
                <w:color w:val="FFFFFF" w:themeColor="background1"/>
              </w:rPr>
              <w:t>-</w:t>
            </w:r>
          </w:p>
        </w:tc>
      </w:tr>
      <w:tr w:rsidR="0071005D" w:rsidRPr="00061D40" w14:paraId="7F486D1C" w14:textId="77777777" w:rsidTr="00D86626">
        <w:trPr>
          <w:cantSplit/>
        </w:trPr>
        <w:tc>
          <w:tcPr>
            <w:tcW w:w="1452" w:type="pct"/>
          </w:tcPr>
          <w:p w14:paraId="7F486D18" w14:textId="77777777" w:rsidR="0071005D" w:rsidRPr="00061D40" w:rsidRDefault="0071005D" w:rsidP="007D3971">
            <w:pPr>
              <w:pStyle w:val="StyleTableText105ptLinespacingsingle"/>
            </w:pPr>
            <w:r w:rsidRPr="00061D40">
              <w:t xml:space="preserve">Number of non-teaching staff </w:t>
            </w:r>
          </w:p>
        </w:tc>
        <w:tc>
          <w:tcPr>
            <w:tcW w:w="1633" w:type="pct"/>
          </w:tcPr>
          <w:p w14:paraId="7F486D19" w14:textId="77777777" w:rsidR="0071005D" w:rsidRPr="00061D40" w:rsidRDefault="0071005D" w:rsidP="007D3971">
            <w:pPr>
              <w:pStyle w:val="StyleTableText105ptLinespacingsingle"/>
            </w:pPr>
            <w:r w:rsidRPr="00061D40">
              <w:t xml:space="preserve">Number of non-teaching staff </w:t>
            </w:r>
          </w:p>
        </w:tc>
        <w:tc>
          <w:tcPr>
            <w:tcW w:w="1143" w:type="pct"/>
          </w:tcPr>
          <w:p w14:paraId="7F486D1A" w14:textId="77777777" w:rsidR="0071005D" w:rsidRPr="00061D40" w:rsidRDefault="0071005D" w:rsidP="007D3971">
            <w:pPr>
              <w:pStyle w:val="StyleTableText105ptLinespacingsingle"/>
            </w:pPr>
            <w:r w:rsidRPr="00061D40">
              <w:t xml:space="preserve">School Census </w:t>
            </w:r>
          </w:p>
        </w:tc>
        <w:tc>
          <w:tcPr>
            <w:tcW w:w="772" w:type="pct"/>
          </w:tcPr>
          <w:p w14:paraId="7F486D1B" w14:textId="77777777" w:rsidR="0071005D" w:rsidRPr="00061D40" w:rsidRDefault="00F7685C" w:rsidP="007D3971">
            <w:pPr>
              <w:pStyle w:val="StyleTableText105ptLinespacingsingle"/>
            </w:pPr>
            <w:r>
              <w:t>Annually</w:t>
            </w:r>
          </w:p>
        </w:tc>
      </w:tr>
      <w:tr w:rsidR="0071005D" w:rsidRPr="00061D40" w14:paraId="7F486D24" w14:textId="77777777" w:rsidTr="00D86626">
        <w:trPr>
          <w:cantSplit/>
        </w:trPr>
        <w:tc>
          <w:tcPr>
            <w:tcW w:w="1452" w:type="pct"/>
          </w:tcPr>
          <w:p w14:paraId="7F486D1D" w14:textId="77777777" w:rsidR="0071005D" w:rsidRPr="00061D40" w:rsidRDefault="0071005D" w:rsidP="007D3971">
            <w:pPr>
              <w:pStyle w:val="StyleTableText105ptLinespacingsingle"/>
            </w:pPr>
            <w:r w:rsidRPr="00061D40">
              <w:t>Number of full-time equivalent non-teaching staff</w:t>
            </w:r>
          </w:p>
        </w:tc>
        <w:tc>
          <w:tcPr>
            <w:tcW w:w="1633" w:type="pct"/>
          </w:tcPr>
          <w:p w14:paraId="7F486D1E" w14:textId="77777777" w:rsidR="0071005D" w:rsidRDefault="0071005D" w:rsidP="007D3971">
            <w:pPr>
              <w:pStyle w:val="StyleTableText105ptLinespacingsingle"/>
            </w:pPr>
            <w:r w:rsidRPr="00061D40">
              <w:t>FTE non-teaching staff</w:t>
            </w:r>
          </w:p>
          <w:p w14:paraId="7F486D1F"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tc>
        <w:tc>
          <w:tcPr>
            <w:tcW w:w="1143" w:type="pct"/>
          </w:tcPr>
          <w:p w14:paraId="7F486D20" w14:textId="77777777" w:rsidR="0071005D" w:rsidRDefault="0071005D" w:rsidP="007D3971">
            <w:pPr>
              <w:pStyle w:val="StyleTableText105ptLinespacingsingle"/>
            </w:pPr>
            <w:r w:rsidRPr="00061D40">
              <w:t>School Census</w:t>
            </w:r>
          </w:p>
          <w:p w14:paraId="7F486D21" w14:textId="77777777" w:rsidR="005E5A95" w:rsidRPr="00061D40" w:rsidRDefault="005E5A95" w:rsidP="007D3971">
            <w:pPr>
              <w:pStyle w:val="StyleTableText105ptLinespacingsingle"/>
            </w:pPr>
          </w:p>
        </w:tc>
        <w:tc>
          <w:tcPr>
            <w:tcW w:w="772" w:type="pct"/>
          </w:tcPr>
          <w:p w14:paraId="7F486D22" w14:textId="77777777" w:rsidR="0071005D" w:rsidRDefault="00F7685C" w:rsidP="007D3971">
            <w:pPr>
              <w:pStyle w:val="StyleTableText105ptLinespacingsingle"/>
            </w:pPr>
            <w:r>
              <w:t>Annually</w:t>
            </w:r>
          </w:p>
          <w:p w14:paraId="7F486D23" w14:textId="77777777" w:rsidR="005E5A95" w:rsidRPr="00061D40" w:rsidRDefault="005E5A95" w:rsidP="007D3971">
            <w:pPr>
              <w:pStyle w:val="StyleTableText105ptLinespacingsingle"/>
            </w:pPr>
          </w:p>
        </w:tc>
      </w:tr>
      <w:tr w:rsidR="0071005D" w:rsidRPr="00061D40" w14:paraId="7F486D2D" w14:textId="77777777" w:rsidTr="00D86626">
        <w:trPr>
          <w:cantSplit/>
        </w:trPr>
        <w:tc>
          <w:tcPr>
            <w:tcW w:w="1452" w:type="pct"/>
          </w:tcPr>
          <w:p w14:paraId="7F486D25" w14:textId="77777777" w:rsidR="0071005D" w:rsidRPr="00061D40" w:rsidRDefault="0071005D" w:rsidP="007D3971">
            <w:pPr>
              <w:pStyle w:val="StyleTableText105ptLinespacingsingle"/>
            </w:pPr>
            <w:r w:rsidRPr="00061D40">
              <w:t>Number of teaching staff by level of expertise</w:t>
            </w:r>
          </w:p>
        </w:tc>
        <w:tc>
          <w:tcPr>
            <w:tcW w:w="1633" w:type="pct"/>
          </w:tcPr>
          <w:p w14:paraId="7F486D26" w14:textId="77777777" w:rsidR="0071005D" w:rsidRPr="00061D40" w:rsidRDefault="0071005D" w:rsidP="007D3971">
            <w:pPr>
              <w:pStyle w:val="StyleTableText105ptLinespacingsingle"/>
            </w:pPr>
            <w:r w:rsidRPr="00061D40">
              <w:t>Proportions of teachers at each level of expertise</w:t>
            </w:r>
            <w:r w:rsidR="00F7685C">
              <w:t xml:space="preserve"> under new national teacher registration standards</w:t>
            </w:r>
          </w:p>
        </w:tc>
        <w:tc>
          <w:tcPr>
            <w:tcW w:w="1143" w:type="pct"/>
          </w:tcPr>
          <w:p w14:paraId="7F486D27" w14:textId="77777777" w:rsidR="005E5A95" w:rsidRDefault="0071005D" w:rsidP="007D3971">
            <w:pPr>
              <w:pStyle w:val="StyleTableText105ptLinespacingsingle"/>
            </w:pPr>
            <w:r w:rsidRPr="00061D40">
              <w:t>To be advised</w:t>
            </w:r>
          </w:p>
          <w:p w14:paraId="7F486D28"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p w14:paraId="7F486D29" w14:textId="77777777" w:rsidR="0071005D" w:rsidRPr="00061D40" w:rsidRDefault="00C75A62" w:rsidP="007D3971">
            <w:pPr>
              <w:pStyle w:val="StyleTableText105ptLinespacingsingle"/>
            </w:pPr>
            <w:r w:rsidRPr="00C75A62">
              <w:rPr>
                <w:color w:val="FFFFFF" w:themeColor="background1"/>
              </w:rPr>
              <w:t>-</w:t>
            </w:r>
            <w:r w:rsidR="0071005D" w:rsidRPr="00061D40">
              <w:t xml:space="preserve"> </w:t>
            </w:r>
          </w:p>
        </w:tc>
        <w:tc>
          <w:tcPr>
            <w:tcW w:w="772" w:type="pct"/>
          </w:tcPr>
          <w:p w14:paraId="7F486D2A" w14:textId="77777777" w:rsidR="005E5A95" w:rsidRDefault="0071005D" w:rsidP="007D3971">
            <w:pPr>
              <w:pStyle w:val="StyleTableText105ptLinespacingsingle"/>
            </w:pPr>
            <w:r w:rsidRPr="00061D40">
              <w:t>To be advised</w:t>
            </w:r>
          </w:p>
          <w:p w14:paraId="7F486D2B"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p w14:paraId="7F486D2C" w14:textId="77777777" w:rsidR="005E5A95" w:rsidRPr="00061D40" w:rsidRDefault="00C75A62" w:rsidP="007D3971">
            <w:pPr>
              <w:pStyle w:val="StyleTableText105ptLinespacingsingle"/>
            </w:pPr>
            <w:r w:rsidRPr="00C75A62">
              <w:rPr>
                <w:color w:val="FFFFFF" w:themeColor="background1"/>
              </w:rPr>
              <w:t>-</w:t>
            </w:r>
          </w:p>
        </w:tc>
      </w:tr>
      <w:tr w:rsidR="0071005D" w:rsidRPr="00061D40" w14:paraId="7F486D2F" w14:textId="77777777" w:rsidTr="00D86626">
        <w:trPr>
          <w:cantSplit/>
          <w:trHeight w:val="376"/>
        </w:trPr>
        <w:tc>
          <w:tcPr>
            <w:tcW w:w="5000" w:type="pct"/>
            <w:gridSpan w:val="4"/>
            <w:shd w:val="clear" w:color="auto" w:fill="E6E6E6"/>
            <w:vAlign w:val="center"/>
          </w:tcPr>
          <w:p w14:paraId="7F486D2E" w14:textId="77777777" w:rsidR="0071005D" w:rsidRPr="00061D40" w:rsidRDefault="0071005D" w:rsidP="00D86626">
            <w:pPr>
              <w:pStyle w:val="TableText"/>
              <w:spacing w:line="240" w:lineRule="auto"/>
              <w:rPr>
                <w:b/>
                <w:i/>
                <w:sz w:val="21"/>
                <w:szCs w:val="21"/>
              </w:rPr>
            </w:pPr>
            <w:r w:rsidRPr="00061D40">
              <w:rPr>
                <w:b/>
                <w:i/>
                <w:sz w:val="21"/>
                <w:szCs w:val="21"/>
              </w:rPr>
              <w:t>Outcomes information</w:t>
            </w:r>
          </w:p>
        </w:tc>
      </w:tr>
      <w:tr w:rsidR="0071005D" w:rsidRPr="00061D40" w14:paraId="7F486D3C" w14:textId="77777777" w:rsidTr="00D86626">
        <w:trPr>
          <w:cantSplit/>
        </w:trPr>
        <w:tc>
          <w:tcPr>
            <w:tcW w:w="1452" w:type="pct"/>
          </w:tcPr>
          <w:p w14:paraId="7F486D30" w14:textId="77777777" w:rsidR="0071005D" w:rsidRPr="00061D40" w:rsidRDefault="0071005D" w:rsidP="007D3971">
            <w:pPr>
              <w:pStyle w:val="StyleTableText105ptLinespacingsingle"/>
            </w:pPr>
            <w:r w:rsidRPr="00061D40">
              <w:t>Rate of student attendance at the school disaggregated by school grade, sex and Indigenous status</w:t>
            </w:r>
          </w:p>
        </w:tc>
        <w:tc>
          <w:tcPr>
            <w:tcW w:w="1633" w:type="pct"/>
          </w:tcPr>
          <w:p w14:paraId="7F486D31" w14:textId="77777777" w:rsidR="0071005D" w:rsidRDefault="0071005D" w:rsidP="007D3971">
            <w:pPr>
              <w:pStyle w:val="StyleTableText105ptLinespacingsingle"/>
            </w:pPr>
            <w:r w:rsidRPr="00061D40">
              <w:t xml:space="preserve">% school attendance rate </w:t>
            </w:r>
          </w:p>
          <w:p w14:paraId="7F486D32"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p w14:paraId="7F486D33"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p w14:paraId="7F486D34" w14:textId="77777777" w:rsidR="005E5A95" w:rsidRPr="00061D40" w:rsidRDefault="00C75A62" w:rsidP="007D3971">
            <w:pPr>
              <w:pStyle w:val="StyleTableText105ptLinespacingsingle"/>
            </w:pPr>
            <w:r w:rsidRPr="00C75A62">
              <w:rPr>
                <w:color w:val="FFFFFF" w:themeColor="background1"/>
              </w:rPr>
              <w:t>-</w:t>
            </w:r>
          </w:p>
        </w:tc>
        <w:tc>
          <w:tcPr>
            <w:tcW w:w="1143" w:type="pct"/>
          </w:tcPr>
          <w:p w14:paraId="7F486D35" w14:textId="77777777" w:rsidR="0071005D" w:rsidRDefault="00CD429E" w:rsidP="007D3971">
            <w:pPr>
              <w:pStyle w:val="StyleTableText105ptLinespacingsingle"/>
            </w:pPr>
            <w:r>
              <w:t>Ministerial Council</w:t>
            </w:r>
            <w:r w:rsidRPr="00061D40">
              <w:t xml:space="preserve"> </w:t>
            </w:r>
            <w:r w:rsidR="0071005D" w:rsidRPr="00061D40">
              <w:t>national attendance collection</w:t>
            </w:r>
          </w:p>
          <w:p w14:paraId="7F486D36"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p w14:paraId="7F486D37" w14:textId="77777777" w:rsidR="005E5A95" w:rsidRPr="00061D40" w:rsidRDefault="00C75A62" w:rsidP="007D3971">
            <w:pPr>
              <w:pStyle w:val="StyleTableText105ptLinespacingsingle"/>
            </w:pPr>
            <w:r w:rsidRPr="00C75A62">
              <w:rPr>
                <w:color w:val="FFFFFF" w:themeColor="background1"/>
              </w:rPr>
              <w:t>-</w:t>
            </w:r>
          </w:p>
        </w:tc>
        <w:tc>
          <w:tcPr>
            <w:tcW w:w="772" w:type="pct"/>
          </w:tcPr>
          <w:p w14:paraId="7F486D38" w14:textId="77777777" w:rsidR="0071005D" w:rsidRDefault="00F7685C" w:rsidP="007D3971">
            <w:pPr>
              <w:pStyle w:val="StyleTableText105ptLinespacingsingle"/>
            </w:pPr>
            <w:r>
              <w:t>Annually</w:t>
            </w:r>
          </w:p>
          <w:p w14:paraId="7F486D39"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p w14:paraId="7F486D3A" w14:textId="77777777" w:rsidR="005E5A95" w:rsidRPr="005E5A95" w:rsidRDefault="00C75A62" w:rsidP="007D3971">
            <w:pPr>
              <w:pStyle w:val="StyleTableText105ptLinespacingsingle"/>
              <w:rPr>
                <w:color w:val="FFFFFF" w:themeColor="background1"/>
              </w:rPr>
            </w:pPr>
            <w:r w:rsidRPr="00C75A62">
              <w:rPr>
                <w:color w:val="FFFFFF" w:themeColor="background1"/>
              </w:rPr>
              <w:t>-</w:t>
            </w:r>
          </w:p>
          <w:p w14:paraId="7F486D3B" w14:textId="77777777" w:rsidR="005E5A95" w:rsidRPr="00061D40" w:rsidRDefault="00C75A62" w:rsidP="007D3971">
            <w:pPr>
              <w:pStyle w:val="StyleTableText105ptLinespacingsingle"/>
            </w:pPr>
            <w:r w:rsidRPr="00C75A62">
              <w:rPr>
                <w:color w:val="FFFFFF" w:themeColor="background1"/>
              </w:rPr>
              <w:t>-</w:t>
            </w:r>
          </w:p>
        </w:tc>
      </w:tr>
      <w:tr w:rsidR="0071005D" w:rsidRPr="00061D40" w14:paraId="7F486D4C" w14:textId="77777777" w:rsidTr="00D86626">
        <w:trPr>
          <w:cantSplit/>
        </w:trPr>
        <w:tc>
          <w:tcPr>
            <w:tcW w:w="1452" w:type="pct"/>
          </w:tcPr>
          <w:p w14:paraId="7F486D3D" w14:textId="77777777" w:rsidR="0071005D" w:rsidRDefault="0071005D" w:rsidP="007D3971">
            <w:pPr>
              <w:pStyle w:val="StyleTableText105ptLinespacingsingle"/>
            </w:pPr>
            <w:r w:rsidRPr="00061D40">
              <w:t>NAPLAN outcomes</w:t>
            </w:r>
          </w:p>
          <w:p w14:paraId="7F486D3E"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3F"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40"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41" w14:textId="77777777" w:rsidR="005E5A95" w:rsidRPr="00061D40" w:rsidRDefault="00C75A62" w:rsidP="007D3971">
            <w:pPr>
              <w:pStyle w:val="StyleTableText105ptLinespacingsingle"/>
            </w:pPr>
            <w:r w:rsidRPr="00C75A62">
              <w:rPr>
                <w:color w:val="FFFFFF" w:themeColor="background1"/>
              </w:rPr>
              <w:t>-</w:t>
            </w:r>
          </w:p>
        </w:tc>
        <w:tc>
          <w:tcPr>
            <w:tcW w:w="1633" w:type="pct"/>
          </w:tcPr>
          <w:p w14:paraId="7F486D42" w14:textId="77777777" w:rsidR="0071005D" w:rsidRPr="00061D40" w:rsidRDefault="0071005D" w:rsidP="007D3971">
            <w:pPr>
              <w:pStyle w:val="StyleTableText105ptLinespacingsingle"/>
            </w:pPr>
            <w:r w:rsidRPr="00061D40">
              <w:t xml:space="preserve">NAPLAN mean score for each year / domain for the school, proportions of students in achievement bands, participation rate %, exemption %, </w:t>
            </w:r>
            <w:r w:rsidR="002C2044">
              <w:t xml:space="preserve">withdrawn from test %, </w:t>
            </w:r>
            <w:r w:rsidRPr="00061D40">
              <w:t>absent from test %</w:t>
            </w:r>
          </w:p>
        </w:tc>
        <w:tc>
          <w:tcPr>
            <w:tcW w:w="1143" w:type="pct"/>
          </w:tcPr>
          <w:p w14:paraId="7F486D43" w14:textId="77777777" w:rsidR="0071005D" w:rsidRDefault="0071005D" w:rsidP="007D3971">
            <w:pPr>
              <w:pStyle w:val="StyleTableText105ptLinespacingsingle"/>
            </w:pPr>
            <w:r w:rsidRPr="00061D40">
              <w:t>State and Territory test administration authorities</w:t>
            </w:r>
          </w:p>
          <w:p w14:paraId="7F486D44"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45"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46" w14:textId="77777777" w:rsidR="005E5A95" w:rsidRPr="00061D40" w:rsidRDefault="00C75A62" w:rsidP="007D3971">
            <w:pPr>
              <w:pStyle w:val="StyleTableText105ptLinespacingsingle"/>
            </w:pPr>
            <w:r w:rsidRPr="00C75A62">
              <w:rPr>
                <w:color w:val="FFFFFF" w:themeColor="background1"/>
              </w:rPr>
              <w:t>-</w:t>
            </w:r>
          </w:p>
        </w:tc>
        <w:tc>
          <w:tcPr>
            <w:tcW w:w="772" w:type="pct"/>
          </w:tcPr>
          <w:p w14:paraId="7F486D47" w14:textId="77777777" w:rsidR="0071005D" w:rsidRDefault="00F7685C" w:rsidP="007D3971">
            <w:pPr>
              <w:pStyle w:val="StyleTableText105ptLinespacingsingle"/>
            </w:pPr>
            <w:r>
              <w:t>Annually</w:t>
            </w:r>
          </w:p>
          <w:p w14:paraId="7F486D48"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49"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4A"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4B" w14:textId="77777777" w:rsidR="005E5A95" w:rsidRPr="00061D40" w:rsidRDefault="00C75A62" w:rsidP="007D3971">
            <w:pPr>
              <w:pStyle w:val="StyleTableText105ptLinespacingsingle"/>
            </w:pPr>
            <w:r w:rsidRPr="00C75A62">
              <w:rPr>
                <w:color w:val="FFFFFF" w:themeColor="background1"/>
              </w:rPr>
              <w:t>-</w:t>
            </w:r>
          </w:p>
        </w:tc>
      </w:tr>
      <w:tr w:rsidR="00E64D1F" w:rsidRPr="00061D40" w14:paraId="7F486D58" w14:textId="77777777" w:rsidTr="00D86626">
        <w:trPr>
          <w:cantSplit/>
        </w:trPr>
        <w:tc>
          <w:tcPr>
            <w:tcW w:w="1452" w:type="pct"/>
          </w:tcPr>
          <w:p w14:paraId="7F486D4D" w14:textId="77777777" w:rsidR="00E64D1F" w:rsidRPr="00061D40" w:rsidRDefault="00E64D1F" w:rsidP="007D3971">
            <w:pPr>
              <w:pStyle w:val="StyleTableText105ptLinespacingsingle"/>
            </w:pPr>
            <w:r w:rsidRPr="00061D40">
              <w:t>Secondary school outcomes (Year 12 Results) - Number of senior secondary certificates awarded</w:t>
            </w:r>
          </w:p>
        </w:tc>
        <w:tc>
          <w:tcPr>
            <w:tcW w:w="1633" w:type="pct"/>
          </w:tcPr>
          <w:p w14:paraId="7F486D4E" w14:textId="77777777" w:rsidR="00E64D1F" w:rsidRDefault="00E64D1F" w:rsidP="007D3971">
            <w:pPr>
              <w:pStyle w:val="StyleTableText105ptLinespacingsingle"/>
            </w:pPr>
            <w:r w:rsidRPr="00061D40">
              <w:t>Number of senior secondary certificates awarded</w:t>
            </w:r>
          </w:p>
          <w:p w14:paraId="7F486D4F"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50" w14:textId="77777777" w:rsidR="005E5A95" w:rsidRPr="00061D40" w:rsidRDefault="00C75A62" w:rsidP="007D3971">
            <w:pPr>
              <w:pStyle w:val="StyleTableText105ptLinespacingsingle"/>
            </w:pPr>
            <w:r w:rsidRPr="00C75A62">
              <w:rPr>
                <w:color w:val="FFFFFF" w:themeColor="background1"/>
              </w:rPr>
              <w:t>-</w:t>
            </w:r>
          </w:p>
        </w:tc>
        <w:tc>
          <w:tcPr>
            <w:tcW w:w="1143" w:type="pct"/>
          </w:tcPr>
          <w:p w14:paraId="7F486D51" w14:textId="77777777" w:rsidR="00E64D1F" w:rsidRDefault="00E64D1F" w:rsidP="007D3971">
            <w:pPr>
              <w:pStyle w:val="StyleTableText105ptLinespacingsingle"/>
            </w:pPr>
            <w:r w:rsidRPr="00061D40">
              <w:t>State and Territory authorities</w:t>
            </w:r>
          </w:p>
          <w:p w14:paraId="7F486D52" w14:textId="77777777" w:rsidR="005E5A95" w:rsidRPr="001D0963" w:rsidRDefault="005E5A95" w:rsidP="007D3971">
            <w:pPr>
              <w:pStyle w:val="StyleTableText105ptLinespacingsingle"/>
              <w:rPr>
                <w:color w:val="FFFFFF" w:themeColor="background1"/>
              </w:rPr>
            </w:pPr>
            <w:r w:rsidRPr="001D0963">
              <w:rPr>
                <w:color w:val="FFFFFF" w:themeColor="background1"/>
              </w:rPr>
              <w:t>-</w:t>
            </w:r>
          </w:p>
          <w:p w14:paraId="7F486D53" w14:textId="77777777" w:rsidR="005E5A95" w:rsidRPr="00061D40" w:rsidRDefault="00C75A62" w:rsidP="007D3971">
            <w:pPr>
              <w:pStyle w:val="StyleTableText105ptLinespacingsingle"/>
            </w:pPr>
            <w:r w:rsidRPr="00C75A62">
              <w:rPr>
                <w:color w:val="FFFFFF" w:themeColor="background1"/>
              </w:rPr>
              <w:t>-</w:t>
            </w:r>
          </w:p>
        </w:tc>
        <w:tc>
          <w:tcPr>
            <w:tcW w:w="772" w:type="pct"/>
          </w:tcPr>
          <w:p w14:paraId="7F486D54" w14:textId="77777777" w:rsidR="00E64D1F" w:rsidRDefault="00F7685C" w:rsidP="007D3971">
            <w:pPr>
              <w:pStyle w:val="StyleTableText105ptLinespacingsingle"/>
            </w:pPr>
            <w:r>
              <w:t>Annually</w:t>
            </w:r>
          </w:p>
          <w:p w14:paraId="7F486D55"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56"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57" w14:textId="77777777" w:rsidR="005E5A95" w:rsidRPr="00061D40" w:rsidRDefault="00C75A62" w:rsidP="007D3971">
            <w:pPr>
              <w:pStyle w:val="StyleTableText105ptLinespacingsingle"/>
            </w:pPr>
            <w:r w:rsidRPr="00C75A62">
              <w:rPr>
                <w:color w:val="FFFFFF" w:themeColor="background1"/>
              </w:rPr>
              <w:t>-</w:t>
            </w:r>
          </w:p>
        </w:tc>
      </w:tr>
      <w:tr w:rsidR="00E64D1F" w:rsidRPr="00061D40" w14:paraId="7F486D61" w14:textId="77777777" w:rsidTr="00D86626">
        <w:trPr>
          <w:cantSplit/>
        </w:trPr>
        <w:tc>
          <w:tcPr>
            <w:tcW w:w="1452" w:type="pct"/>
          </w:tcPr>
          <w:p w14:paraId="7F486D59" w14:textId="77777777" w:rsidR="00E64D1F" w:rsidRPr="00061D40" w:rsidRDefault="00E64D1F" w:rsidP="007D3971">
            <w:pPr>
              <w:pStyle w:val="StyleTableText105ptLinespacingsingle"/>
            </w:pPr>
            <w:r w:rsidRPr="00061D40">
              <w:t>Secondary school outcomes (Year 12 Results)- Number of students who completed senior secondary school</w:t>
            </w:r>
          </w:p>
        </w:tc>
        <w:tc>
          <w:tcPr>
            <w:tcW w:w="1633" w:type="pct"/>
          </w:tcPr>
          <w:p w14:paraId="7F486D5A" w14:textId="77777777" w:rsidR="00E64D1F" w:rsidRDefault="00E64D1F" w:rsidP="007D3971">
            <w:pPr>
              <w:pStyle w:val="StyleTableText105ptLinespacingsingle"/>
            </w:pPr>
            <w:r w:rsidRPr="00061D40">
              <w:t>Number of students who completed senior secondary school</w:t>
            </w:r>
          </w:p>
          <w:p w14:paraId="7F486D5B"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tc>
        <w:tc>
          <w:tcPr>
            <w:tcW w:w="1143" w:type="pct"/>
          </w:tcPr>
          <w:p w14:paraId="7F486D5C" w14:textId="77777777" w:rsidR="00E64D1F" w:rsidRDefault="00E64D1F" w:rsidP="007D3971">
            <w:pPr>
              <w:pStyle w:val="StyleTableText105ptLinespacingsingle"/>
            </w:pPr>
            <w:r w:rsidRPr="00061D40">
              <w:t>State and Territory authorities</w:t>
            </w:r>
          </w:p>
          <w:p w14:paraId="7F486D5D"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tc>
        <w:tc>
          <w:tcPr>
            <w:tcW w:w="772" w:type="pct"/>
          </w:tcPr>
          <w:p w14:paraId="7F486D5E" w14:textId="77777777" w:rsidR="00E64D1F" w:rsidRDefault="00F7685C" w:rsidP="007D3971">
            <w:pPr>
              <w:pStyle w:val="StyleTableText105ptLinespacingsingle"/>
            </w:pPr>
            <w:r>
              <w:t>Annually</w:t>
            </w:r>
          </w:p>
          <w:p w14:paraId="7F486D5F"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60" w14:textId="77777777" w:rsidR="005E5A95" w:rsidRPr="00061D40" w:rsidRDefault="00C75A62" w:rsidP="007D3971">
            <w:pPr>
              <w:pStyle w:val="StyleTableText105ptLinespacingsingle"/>
            </w:pPr>
            <w:r w:rsidRPr="00C75A62">
              <w:rPr>
                <w:color w:val="FFFFFF" w:themeColor="background1"/>
              </w:rPr>
              <w:t>-</w:t>
            </w:r>
          </w:p>
        </w:tc>
      </w:tr>
      <w:tr w:rsidR="00E64D1F" w:rsidRPr="00061D40" w14:paraId="7F486D69" w14:textId="77777777" w:rsidTr="00D86626">
        <w:trPr>
          <w:cantSplit/>
        </w:trPr>
        <w:tc>
          <w:tcPr>
            <w:tcW w:w="1452" w:type="pct"/>
          </w:tcPr>
          <w:p w14:paraId="7F486D62" w14:textId="77777777" w:rsidR="00E64D1F" w:rsidRPr="00061D40" w:rsidRDefault="00E64D1F" w:rsidP="00CD429E">
            <w:pPr>
              <w:pStyle w:val="StyleTableText105ptLinespacingsingle"/>
            </w:pPr>
            <w:r w:rsidRPr="00061D40">
              <w:t xml:space="preserve">Secondary school outcomes (VET) - Number of </w:t>
            </w:r>
            <w:r w:rsidR="00CD429E">
              <w:t>course enrolments and qualifications</w:t>
            </w:r>
          </w:p>
        </w:tc>
        <w:tc>
          <w:tcPr>
            <w:tcW w:w="1633" w:type="pct"/>
          </w:tcPr>
          <w:p w14:paraId="7F486D63" w14:textId="77777777" w:rsidR="00E64D1F" w:rsidRDefault="00E64D1F" w:rsidP="007D3971">
            <w:pPr>
              <w:pStyle w:val="StyleTableText105ptLinespacingsingle"/>
            </w:pPr>
            <w:r w:rsidRPr="00061D40">
              <w:t xml:space="preserve">Number of </w:t>
            </w:r>
            <w:r w:rsidR="00CD429E">
              <w:t>course enrolments and qualifications completed for students undertaking vocational education and training by qualification level and (if available) industry area</w:t>
            </w:r>
          </w:p>
          <w:p w14:paraId="7F486D64"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tc>
        <w:tc>
          <w:tcPr>
            <w:tcW w:w="1143" w:type="pct"/>
          </w:tcPr>
          <w:p w14:paraId="7F486D65" w14:textId="77777777" w:rsidR="00E64D1F" w:rsidRDefault="00E64D1F" w:rsidP="007D3971">
            <w:pPr>
              <w:pStyle w:val="StyleTableText105ptLinespacingsingle"/>
            </w:pPr>
            <w:r w:rsidRPr="00061D40">
              <w:t>State and Territory authorities</w:t>
            </w:r>
          </w:p>
          <w:p w14:paraId="7F486D66"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tc>
        <w:tc>
          <w:tcPr>
            <w:tcW w:w="772" w:type="pct"/>
          </w:tcPr>
          <w:p w14:paraId="7F486D67" w14:textId="77777777" w:rsidR="00E8548B" w:rsidRDefault="00F7685C" w:rsidP="007D3971">
            <w:pPr>
              <w:pStyle w:val="StyleTableText105ptLinespacingsingle"/>
            </w:pPr>
            <w:r>
              <w:t>Annually</w:t>
            </w:r>
          </w:p>
          <w:p w14:paraId="7F486D68"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tc>
      </w:tr>
      <w:tr w:rsidR="00E64D1F" w:rsidRPr="00061D40" w14:paraId="7F486D75" w14:textId="77777777" w:rsidTr="00D86626">
        <w:trPr>
          <w:cantSplit/>
        </w:trPr>
        <w:tc>
          <w:tcPr>
            <w:tcW w:w="1452" w:type="pct"/>
          </w:tcPr>
          <w:p w14:paraId="7F486D6A" w14:textId="77777777" w:rsidR="00E64D1F" w:rsidRPr="00061D40" w:rsidRDefault="00E64D1F" w:rsidP="00CD429E">
            <w:pPr>
              <w:pStyle w:val="StyleTableText105ptLinespacingsingle"/>
            </w:pPr>
            <w:r w:rsidRPr="00061D40">
              <w:t>Secondary school outcomes</w:t>
            </w:r>
            <w:r w:rsidR="003C7C0D">
              <w:t xml:space="preserve">  </w:t>
            </w:r>
            <w:r w:rsidRPr="00061D40">
              <w:t>(VET) - Number of students who undertook school-based apprenticeship</w:t>
            </w:r>
            <w:r w:rsidR="00CD429E">
              <w:t>s and traineeships</w:t>
            </w:r>
          </w:p>
        </w:tc>
        <w:tc>
          <w:tcPr>
            <w:tcW w:w="1633" w:type="pct"/>
          </w:tcPr>
          <w:p w14:paraId="7F486D6B" w14:textId="77777777" w:rsidR="00E64D1F" w:rsidRDefault="00E64D1F" w:rsidP="007D3971">
            <w:pPr>
              <w:pStyle w:val="StyleTableText105ptLinespacingsingle"/>
            </w:pPr>
            <w:r w:rsidRPr="00061D40">
              <w:t>Number of students who undertook school-based apprenticeship</w:t>
            </w:r>
            <w:r w:rsidR="00CD429E">
              <w:t>s and traineeships</w:t>
            </w:r>
          </w:p>
          <w:p w14:paraId="7F486D6C" w14:textId="77777777" w:rsidR="005E5A95" w:rsidRPr="001D0963" w:rsidRDefault="005E5A95" w:rsidP="007D3971">
            <w:pPr>
              <w:pStyle w:val="StyleTableText105ptLinespacingsingle"/>
              <w:rPr>
                <w:color w:val="FFFFFF" w:themeColor="background1"/>
              </w:rPr>
            </w:pPr>
            <w:r w:rsidRPr="001D0963">
              <w:rPr>
                <w:color w:val="FFFFFF" w:themeColor="background1"/>
              </w:rPr>
              <w:t>-</w:t>
            </w:r>
          </w:p>
          <w:p w14:paraId="7F486D6D" w14:textId="77777777" w:rsidR="005E5A95" w:rsidRPr="00061D40" w:rsidRDefault="00C75A62" w:rsidP="007D3971">
            <w:pPr>
              <w:pStyle w:val="StyleTableText105ptLinespacingsingle"/>
            </w:pPr>
            <w:r w:rsidRPr="00C75A62">
              <w:rPr>
                <w:color w:val="FFFFFF" w:themeColor="background1"/>
              </w:rPr>
              <w:t>-</w:t>
            </w:r>
          </w:p>
        </w:tc>
        <w:tc>
          <w:tcPr>
            <w:tcW w:w="1143" w:type="pct"/>
          </w:tcPr>
          <w:p w14:paraId="7F486D6E" w14:textId="77777777" w:rsidR="00E64D1F" w:rsidRDefault="00E64D1F" w:rsidP="007D3971">
            <w:pPr>
              <w:pStyle w:val="StyleTableText105ptLinespacingsingle"/>
            </w:pPr>
            <w:r w:rsidRPr="00061D40">
              <w:t>State and Territory authorities</w:t>
            </w:r>
          </w:p>
          <w:p w14:paraId="7F486D6F"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70" w14:textId="77777777" w:rsidR="005E5A95" w:rsidRPr="00061D40" w:rsidRDefault="00C75A62" w:rsidP="007D3971">
            <w:pPr>
              <w:pStyle w:val="StyleTableText105ptLinespacingsingle"/>
            </w:pPr>
            <w:r w:rsidRPr="00C75A62">
              <w:rPr>
                <w:color w:val="FFFFFF" w:themeColor="background1"/>
              </w:rPr>
              <w:t>-</w:t>
            </w:r>
          </w:p>
        </w:tc>
        <w:tc>
          <w:tcPr>
            <w:tcW w:w="772" w:type="pct"/>
          </w:tcPr>
          <w:p w14:paraId="7F486D71" w14:textId="77777777" w:rsidR="00E64D1F" w:rsidRDefault="00F7685C" w:rsidP="007D3971">
            <w:pPr>
              <w:pStyle w:val="StyleTableText105ptLinespacingsingle"/>
            </w:pPr>
            <w:r>
              <w:t>Annually</w:t>
            </w:r>
          </w:p>
          <w:p w14:paraId="7F486D72"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73"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74" w14:textId="77777777" w:rsidR="005E5A95" w:rsidRPr="00061D40" w:rsidRDefault="00C75A62" w:rsidP="007D3971">
            <w:pPr>
              <w:pStyle w:val="StyleTableText105ptLinespacingsingle"/>
            </w:pPr>
            <w:r w:rsidRPr="00C75A62">
              <w:rPr>
                <w:color w:val="FFFFFF" w:themeColor="background1"/>
              </w:rPr>
              <w:t>-</w:t>
            </w:r>
          </w:p>
        </w:tc>
      </w:tr>
      <w:tr w:rsidR="0071005D" w:rsidRPr="00061D40" w14:paraId="7F486D7A" w14:textId="77777777" w:rsidTr="00D86626">
        <w:trPr>
          <w:cantSplit/>
        </w:trPr>
        <w:tc>
          <w:tcPr>
            <w:tcW w:w="1452" w:type="pct"/>
          </w:tcPr>
          <w:p w14:paraId="7F486D76" w14:textId="77777777" w:rsidR="0071005D" w:rsidRPr="00061D40" w:rsidRDefault="0071005D" w:rsidP="007D3971">
            <w:pPr>
              <w:pStyle w:val="StyleTableText105ptLinespacingsingle"/>
            </w:pPr>
            <w:r w:rsidRPr="00061D40">
              <w:t>Secondary school outcomes - Tertiary entrance results</w:t>
            </w:r>
          </w:p>
        </w:tc>
        <w:tc>
          <w:tcPr>
            <w:tcW w:w="1633" w:type="pct"/>
          </w:tcPr>
          <w:p w14:paraId="7F486D77" w14:textId="77777777" w:rsidR="0071005D" w:rsidRPr="00061D40" w:rsidRDefault="0071005D" w:rsidP="007D3971">
            <w:pPr>
              <w:pStyle w:val="StyleTableText105ptLinespacingsingle"/>
            </w:pPr>
            <w:r w:rsidRPr="00061D40">
              <w:t>To be advised</w:t>
            </w:r>
          </w:p>
        </w:tc>
        <w:tc>
          <w:tcPr>
            <w:tcW w:w="1143" w:type="pct"/>
          </w:tcPr>
          <w:p w14:paraId="7F486D78" w14:textId="77777777" w:rsidR="0071005D" w:rsidRPr="00061D40" w:rsidRDefault="0071005D" w:rsidP="007D3971">
            <w:pPr>
              <w:pStyle w:val="StyleTableText105ptLinespacingsingle"/>
            </w:pPr>
            <w:r w:rsidRPr="00061D40">
              <w:t xml:space="preserve">State and Territory authorities </w:t>
            </w:r>
          </w:p>
        </w:tc>
        <w:tc>
          <w:tcPr>
            <w:tcW w:w="772" w:type="pct"/>
          </w:tcPr>
          <w:p w14:paraId="7F486D79" w14:textId="77777777" w:rsidR="0071005D" w:rsidRPr="00061D40" w:rsidRDefault="0071005D" w:rsidP="007D3971">
            <w:pPr>
              <w:pStyle w:val="StyleTableText105ptLinespacingsingle"/>
            </w:pPr>
            <w:r w:rsidRPr="00061D40">
              <w:t>To be advised</w:t>
            </w:r>
          </w:p>
        </w:tc>
      </w:tr>
      <w:tr w:rsidR="0071005D" w:rsidRPr="00061D40" w14:paraId="7F486D88" w14:textId="77777777" w:rsidTr="00D86626">
        <w:trPr>
          <w:cantSplit/>
        </w:trPr>
        <w:tc>
          <w:tcPr>
            <w:tcW w:w="1452" w:type="pct"/>
          </w:tcPr>
          <w:p w14:paraId="7F486D7B" w14:textId="77777777" w:rsidR="0071005D" w:rsidRPr="00061D40" w:rsidRDefault="0071005D" w:rsidP="007D3971">
            <w:pPr>
              <w:pStyle w:val="StyleTableText105ptLinespacingsingle"/>
            </w:pPr>
            <w:r w:rsidRPr="00061D40">
              <w:t>Secondary school outcomes - Destination of each student enrolled at the school after the end of the student’s secondary education</w:t>
            </w:r>
          </w:p>
        </w:tc>
        <w:tc>
          <w:tcPr>
            <w:tcW w:w="1633" w:type="pct"/>
          </w:tcPr>
          <w:p w14:paraId="7F486D7C" w14:textId="77777777" w:rsidR="0071005D" w:rsidRDefault="0071005D" w:rsidP="007D3971">
            <w:pPr>
              <w:pStyle w:val="StyleTableText105ptLinespacingsingle"/>
            </w:pPr>
            <w:r w:rsidRPr="00061D40">
              <w:t>To be advised</w:t>
            </w:r>
          </w:p>
          <w:p w14:paraId="7F486D7D" w14:textId="77777777" w:rsidR="005E5A95" w:rsidRPr="001D0963" w:rsidRDefault="00E6403C" w:rsidP="007D3971">
            <w:pPr>
              <w:pStyle w:val="StyleTableText105ptLinespacingsingle"/>
              <w:rPr>
                <w:color w:val="FFFFFF" w:themeColor="background1"/>
              </w:rPr>
            </w:pPr>
            <w:r w:rsidRPr="001D0963">
              <w:rPr>
                <w:color w:val="FFFFFF" w:themeColor="background1"/>
              </w:rPr>
              <w:t>-</w:t>
            </w:r>
          </w:p>
          <w:p w14:paraId="7F486D7E"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7F" w14:textId="77777777" w:rsidR="005E5A95" w:rsidRPr="00061D40" w:rsidRDefault="00C75A62" w:rsidP="007D3971">
            <w:pPr>
              <w:pStyle w:val="StyleTableText105ptLinespacingsingle"/>
            </w:pPr>
            <w:r w:rsidRPr="00C75A62">
              <w:rPr>
                <w:color w:val="FFFFFF" w:themeColor="background1"/>
              </w:rPr>
              <w:t>-</w:t>
            </w:r>
          </w:p>
        </w:tc>
        <w:tc>
          <w:tcPr>
            <w:tcW w:w="1143" w:type="pct"/>
          </w:tcPr>
          <w:p w14:paraId="7F486D80" w14:textId="77777777" w:rsidR="0071005D" w:rsidRDefault="0071005D" w:rsidP="007D3971">
            <w:pPr>
              <w:pStyle w:val="StyleTableText105ptLinespacingsingle"/>
            </w:pPr>
            <w:r w:rsidRPr="00061D40">
              <w:t>To be advised</w:t>
            </w:r>
          </w:p>
          <w:p w14:paraId="7F486D81" w14:textId="77777777" w:rsidR="005E5A95" w:rsidRPr="001D0963" w:rsidRDefault="00E6403C" w:rsidP="007D3971">
            <w:pPr>
              <w:pStyle w:val="StyleTableText105ptLinespacingsingle"/>
              <w:rPr>
                <w:color w:val="FFFFFF" w:themeColor="background1"/>
              </w:rPr>
            </w:pPr>
            <w:r w:rsidRPr="001D0963">
              <w:rPr>
                <w:color w:val="FFFFFF" w:themeColor="background1"/>
              </w:rPr>
              <w:t>-</w:t>
            </w:r>
          </w:p>
          <w:p w14:paraId="7F486D82"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83" w14:textId="77777777" w:rsidR="005E5A95" w:rsidRPr="00061D40" w:rsidRDefault="00C75A62" w:rsidP="007D3971">
            <w:pPr>
              <w:pStyle w:val="StyleTableText105ptLinespacingsingle"/>
            </w:pPr>
            <w:r w:rsidRPr="00C75A62">
              <w:rPr>
                <w:color w:val="FFFFFF" w:themeColor="background1"/>
              </w:rPr>
              <w:t>-</w:t>
            </w:r>
          </w:p>
        </w:tc>
        <w:tc>
          <w:tcPr>
            <w:tcW w:w="772" w:type="pct"/>
          </w:tcPr>
          <w:p w14:paraId="7F486D84" w14:textId="77777777" w:rsidR="0071005D" w:rsidRDefault="002969D5" w:rsidP="007D3971">
            <w:pPr>
              <w:pStyle w:val="StyleTableText105ptLinespacingsingle"/>
            </w:pPr>
            <w:r>
              <w:t>To be advised</w:t>
            </w:r>
          </w:p>
          <w:p w14:paraId="7F486D85"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86"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87" w14:textId="77777777" w:rsidR="005E5A95" w:rsidRPr="00061D40" w:rsidRDefault="00C75A62" w:rsidP="007D3971">
            <w:pPr>
              <w:pStyle w:val="StyleTableText105ptLinespacingsingle"/>
            </w:pPr>
            <w:r w:rsidRPr="00C75A62">
              <w:rPr>
                <w:color w:val="FFFFFF" w:themeColor="background1"/>
              </w:rPr>
              <w:t>-</w:t>
            </w:r>
          </w:p>
        </w:tc>
      </w:tr>
      <w:tr w:rsidR="0071005D" w:rsidRPr="00061D40" w14:paraId="7F486D90" w14:textId="77777777" w:rsidTr="00D86626">
        <w:trPr>
          <w:cantSplit/>
        </w:trPr>
        <w:tc>
          <w:tcPr>
            <w:tcW w:w="1452" w:type="pct"/>
          </w:tcPr>
          <w:p w14:paraId="7F486D89" w14:textId="77777777" w:rsidR="0071005D" w:rsidRPr="00061D40" w:rsidRDefault="0071005D" w:rsidP="007D3971">
            <w:pPr>
              <w:pStyle w:val="StyleTableText105ptLinespacingsingle"/>
            </w:pPr>
            <w:r w:rsidRPr="00061D40">
              <w:t xml:space="preserve">Information about the </w:t>
            </w:r>
            <w:r w:rsidR="002C2044">
              <w:t>opinions</w:t>
            </w:r>
            <w:r w:rsidRPr="00061D40">
              <w:t xml:space="preserve"> of students, parents and teachers </w:t>
            </w:r>
            <w:r w:rsidR="002C2044">
              <w:t>about</w:t>
            </w:r>
            <w:r w:rsidRPr="00061D40">
              <w:t xml:space="preserve"> the</w:t>
            </w:r>
            <w:r w:rsidR="002C2044">
              <w:t>ir</w:t>
            </w:r>
            <w:r w:rsidRPr="00061D40">
              <w:t xml:space="preserve"> school</w:t>
            </w:r>
          </w:p>
        </w:tc>
        <w:tc>
          <w:tcPr>
            <w:tcW w:w="1633" w:type="pct"/>
          </w:tcPr>
          <w:p w14:paraId="7F486D8A" w14:textId="77777777" w:rsidR="0071005D" w:rsidRDefault="0071005D" w:rsidP="007D3971">
            <w:pPr>
              <w:pStyle w:val="StyleTableText105ptLinespacingsingle"/>
            </w:pPr>
            <w:r w:rsidRPr="00061D40">
              <w:t>To be advised</w:t>
            </w:r>
          </w:p>
          <w:p w14:paraId="7F486D8B"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8C" w14:textId="77777777" w:rsidR="005E5A95" w:rsidRPr="00E6403C" w:rsidRDefault="00C75A62" w:rsidP="007D3971">
            <w:pPr>
              <w:pStyle w:val="StyleTableText105ptLinespacingsingle"/>
              <w:rPr>
                <w:color w:val="FFFFFF" w:themeColor="background1"/>
              </w:rPr>
            </w:pPr>
            <w:r w:rsidRPr="00C75A62">
              <w:rPr>
                <w:color w:val="FFFFFF" w:themeColor="background1"/>
              </w:rPr>
              <w:t>-</w:t>
            </w:r>
          </w:p>
          <w:p w14:paraId="7F486D8D" w14:textId="77777777" w:rsidR="005E5A95" w:rsidRPr="00061D40" w:rsidRDefault="00C75A62" w:rsidP="007D3971">
            <w:pPr>
              <w:pStyle w:val="StyleTableText105ptLinespacingsingle"/>
            </w:pPr>
            <w:r w:rsidRPr="00C75A62">
              <w:rPr>
                <w:color w:val="FFFFFF" w:themeColor="background1"/>
              </w:rPr>
              <w:t>-</w:t>
            </w:r>
          </w:p>
        </w:tc>
        <w:tc>
          <w:tcPr>
            <w:tcW w:w="1143" w:type="pct"/>
          </w:tcPr>
          <w:p w14:paraId="7F486D8E" w14:textId="77777777" w:rsidR="0071005D" w:rsidRPr="00061D40" w:rsidRDefault="002C2044" w:rsidP="007D3971">
            <w:pPr>
              <w:pStyle w:val="StyleTableText105ptLinespacingsingle"/>
            </w:pPr>
            <w:r>
              <w:t>Information from a national collection instrument or as agreed by Ministers</w:t>
            </w:r>
          </w:p>
        </w:tc>
        <w:tc>
          <w:tcPr>
            <w:tcW w:w="772" w:type="pct"/>
          </w:tcPr>
          <w:p w14:paraId="7F486D8F" w14:textId="77777777" w:rsidR="0071005D" w:rsidRPr="00061D40" w:rsidRDefault="00CD429E" w:rsidP="007D3971">
            <w:pPr>
              <w:pStyle w:val="StyleTableText105ptLinespacingsingle"/>
            </w:pPr>
            <w:r w:rsidRPr="00D85CBB">
              <w:t>To</w:t>
            </w:r>
            <w:r w:rsidR="009248C1" w:rsidRPr="009248C1">
              <w:rPr>
                <w:highlight w:val="yellow"/>
              </w:rPr>
              <w:t xml:space="preserve"> </w:t>
            </w:r>
            <w:r w:rsidR="009248C1" w:rsidRPr="00D85CBB">
              <w:t>be advised</w:t>
            </w:r>
          </w:p>
        </w:tc>
      </w:tr>
    </w:tbl>
    <w:p w14:paraId="7F486D91" w14:textId="77777777" w:rsidR="0071005D" w:rsidRPr="00061D40" w:rsidRDefault="00E64D1F" w:rsidP="006455DC">
      <w:pPr>
        <w:pStyle w:val="Tablefootnote"/>
        <w:spacing w:line="240" w:lineRule="auto"/>
        <w:rPr>
          <w:szCs w:val="20"/>
        </w:rPr>
      </w:pPr>
      <w:r w:rsidRPr="00061D40">
        <w:rPr>
          <w:szCs w:val="20"/>
        </w:rPr>
        <w:t xml:space="preserve">* </w:t>
      </w:r>
      <w:r w:rsidR="0071005D" w:rsidRPr="00061D40">
        <w:rPr>
          <w:szCs w:val="20"/>
        </w:rPr>
        <w:t>Where this Table has “</w:t>
      </w:r>
      <w:r w:rsidR="0071005D" w:rsidRPr="00061D40">
        <w:rPr>
          <w:b/>
          <w:szCs w:val="20"/>
        </w:rPr>
        <w:t>To be advised</w:t>
      </w:r>
      <w:r w:rsidR="0071005D" w:rsidRPr="00061D40">
        <w:rPr>
          <w:szCs w:val="20"/>
        </w:rPr>
        <w:t>”, the specific detail has not been agreed by Education Ministers.</w:t>
      </w:r>
      <w:r w:rsidR="00562478" w:rsidRPr="00061D40">
        <w:rPr>
          <w:szCs w:val="20"/>
        </w:rPr>
        <w:t xml:space="preserve"> </w:t>
      </w:r>
      <w:r w:rsidR="0071005D" w:rsidRPr="00061D40">
        <w:rPr>
          <w:szCs w:val="20"/>
        </w:rPr>
        <w:t>Schools and systems will be notified when these decisions have been made.</w:t>
      </w:r>
    </w:p>
    <w:p w14:paraId="7F486D92" w14:textId="77777777" w:rsidR="00D32016" w:rsidRDefault="0071005D">
      <w:pPr>
        <w:pStyle w:val="Heading3"/>
        <w:rPr>
          <w:smallCaps/>
        </w:rPr>
      </w:pPr>
      <w:r w:rsidRPr="00061D40">
        <w:t xml:space="preserve">Sources of the data </w:t>
      </w:r>
    </w:p>
    <w:p w14:paraId="7F486D93" w14:textId="77777777" w:rsidR="0071005D" w:rsidRPr="00061D40" w:rsidRDefault="0071005D" w:rsidP="00505ABD">
      <w:pPr>
        <w:pStyle w:val="StyleAppendicesBodyTextLinespacingsingle"/>
      </w:pPr>
      <w:r w:rsidRPr="00061D40">
        <w:t>Much of the information listed in the Regulations is available from sources other than individual schools, through existing data collections.</w:t>
      </w:r>
      <w:r w:rsidR="00562478" w:rsidRPr="00061D40">
        <w:t xml:space="preserve"> </w:t>
      </w:r>
      <w:r w:rsidRPr="00061D40">
        <w:t>To limit the reporting required by schools</w:t>
      </w:r>
      <w:r w:rsidR="00714EC7" w:rsidRPr="00061D40">
        <w:t>,</w:t>
      </w:r>
      <w:r w:rsidRPr="00061D40">
        <w:t xml:space="preserve"> information will be collected</w:t>
      </w:r>
      <w:r w:rsidR="00714EC7" w:rsidRPr="00061D40">
        <w:t xml:space="preserve"> </w:t>
      </w:r>
      <w:r w:rsidRPr="00061D40">
        <w:t>from existing collections</w:t>
      </w:r>
      <w:r w:rsidR="00714EC7" w:rsidRPr="00061D40">
        <w:t>, where possible</w:t>
      </w:r>
      <w:r w:rsidRPr="00061D40">
        <w:t xml:space="preserve">. </w:t>
      </w:r>
    </w:p>
    <w:p w14:paraId="7F486D94" w14:textId="77777777" w:rsidR="0071005D" w:rsidRPr="00061D40" w:rsidRDefault="0071005D" w:rsidP="00505ABD">
      <w:pPr>
        <w:pStyle w:val="StyleAppendicesBodyTextLinespacingsingle"/>
      </w:pPr>
      <w:r w:rsidRPr="00061D40">
        <w:t xml:space="preserve">For example, non-government schools provide data on school location, year levels, student enrolments (including Indigenous) and staff via the annual non-government schools </w:t>
      </w:r>
      <w:r w:rsidR="0075662F" w:rsidRPr="00061D40">
        <w:t>Census</w:t>
      </w:r>
      <w:r w:rsidRPr="00061D40">
        <w:t>, managed by DEEWR, which feeds into the ABS National School Statistics Collection.</w:t>
      </w:r>
      <w:r w:rsidR="00562478" w:rsidRPr="00061D40">
        <w:t xml:space="preserve"> </w:t>
      </w:r>
      <w:r w:rsidRPr="00061D40">
        <w:t>Student NAPLAN results are provided by the State and Territory test administration authorities which carry out the annual NAPLAN assessments.</w:t>
      </w:r>
    </w:p>
    <w:p w14:paraId="7F486D95" w14:textId="77777777" w:rsidR="0071005D" w:rsidRPr="00061D40" w:rsidRDefault="0071005D" w:rsidP="00505ABD">
      <w:pPr>
        <w:pStyle w:val="StyleAppendicesBodyTextLinespacingsingle"/>
      </w:pPr>
      <w:r w:rsidRPr="00061D40">
        <w:t>Where a school or school system has concerns about information on a particular school as it appears on the ACARA website</w:t>
      </w:r>
      <w:r w:rsidR="00714EC7" w:rsidRPr="00061D40">
        <w:t>,</w:t>
      </w:r>
      <w:r w:rsidRPr="00061D40">
        <w:t xml:space="preserve"> it should raise these concerns with ACARA.</w:t>
      </w:r>
    </w:p>
    <w:p w14:paraId="7F486D96" w14:textId="77777777" w:rsidR="00D32016" w:rsidRDefault="0071005D">
      <w:pPr>
        <w:pStyle w:val="Heading3"/>
        <w:rPr>
          <w:smallCaps/>
        </w:rPr>
      </w:pPr>
      <w:r w:rsidRPr="00061D40">
        <w:t xml:space="preserve">Timing </w:t>
      </w:r>
    </w:p>
    <w:p w14:paraId="7F486D97" w14:textId="77777777" w:rsidR="0071005D" w:rsidRPr="00061D40" w:rsidRDefault="0071005D" w:rsidP="00505ABD">
      <w:pPr>
        <w:pStyle w:val="StyleAppendicesBodyTextLinespacingsingle"/>
      </w:pPr>
      <w:r w:rsidRPr="00061D40">
        <w:t xml:space="preserve">It is expected that individual school information for most indicators will be collected on an annual basis, or as otherwise determined by the Minister. </w:t>
      </w:r>
    </w:p>
    <w:p w14:paraId="7F486D98" w14:textId="77777777" w:rsidR="0071005D" w:rsidRPr="00061D40" w:rsidRDefault="0071005D" w:rsidP="00505ABD">
      <w:pPr>
        <w:pStyle w:val="StyleAppendicesBodyTextLinespacingsingle"/>
      </w:pPr>
      <w:r w:rsidRPr="00061D40">
        <w:t>ACARA commence</w:t>
      </w:r>
      <w:r w:rsidR="00E64D1F" w:rsidRPr="00061D40">
        <w:t>d</w:t>
      </w:r>
      <w:r w:rsidRPr="00061D40">
        <w:t xml:space="preserve"> publishing individual school information in January 2010.</w:t>
      </w:r>
      <w:r w:rsidR="00562478" w:rsidRPr="00061D40">
        <w:t xml:space="preserve"> </w:t>
      </w:r>
      <w:r w:rsidRPr="00061D40">
        <w:t>The initial publication</w:t>
      </w:r>
      <w:r w:rsidR="002C2044">
        <w:t>s in January 2010 and March 2011</w:t>
      </w:r>
      <w:r w:rsidRPr="00061D40">
        <w:t xml:space="preserve"> include</w:t>
      </w:r>
      <w:r w:rsidR="00E64D1F" w:rsidRPr="00061D40">
        <w:t>d</w:t>
      </w:r>
      <w:r w:rsidRPr="00061D40">
        <w:t xml:space="preserve"> data from the 2008</w:t>
      </w:r>
      <w:r w:rsidR="00E12C7E">
        <w:t xml:space="preserve">, </w:t>
      </w:r>
      <w:r w:rsidRPr="00061D40">
        <w:t>2009</w:t>
      </w:r>
      <w:r w:rsidR="002C2044">
        <w:t xml:space="preserve"> and 2010</w:t>
      </w:r>
      <w:r w:rsidRPr="00061D40">
        <w:t xml:space="preserve"> school years</w:t>
      </w:r>
      <w:r w:rsidR="00714EC7" w:rsidRPr="00061D40">
        <w:t xml:space="preserve">, </w:t>
      </w:r>
      <w:r w:rsidR="00572338" w:rsidRPr="00061D40">
        <w:t>where available</w:t>
      </w:r>
      <w:r w:rsidRPr="00061D40">
        <w:t>.</w:t>
      </w:r>
      <w:r w:rsidR="00CD429E">
        <w:t xml:space="preserve"> A further update was released in February 2012 which included 2011 data.</w:t>
      </w:r>
    </w:p>
    <w:p w14:paraId="7F486D99" w14:textId="77777777" w:rsidR="0071005D" w:rsidRPr="00061D40" w:rsidRDefault="0071005D" w:rsidP="00505ABD">
      <w:pPr>
        <w:pStyle w:val="StyleAppendicesBodyTextLinespacingsingle"/>
      </w:pPr>
      <w:r w:rsidRPr="00061D40">
        <w:t xml:space="preserve">Not all items </w:t>
      </w:r>
      <w:r w:rsidR="00E64D1F" w:rsidRPr="00061D40">
        <w:t xml:space="preserve">have been </w:t>
      </w:r>
      <w:r w:rsidRPr="00061D40">
        <w:t xml:space="preserve">collected or reported </w:t>
      </w:r>
      <w:r w:rsidR="00E64D1F" w:rsidRPr="00061D40">
        <w:t>initially</w:t>
      </w:r>
      <w:r w:rsidRPr="00061D40">
        <w:t xml:space="preserve">. </w:t>
      </w:r>
      <w:r w:rsidR="002C2044">
        <w:t>R</w:t>
      </w:r>
      <w:r w:rsidRPr="00061D40">
        <w:t>eporting on teacher expertise, student disability, Year 12 attainment</w:t>
      </w:r>
      <w:r w:rsidR="00CD429E">
        <w:t>,</w:t>
      </w:r>
      <w:r w:rsidRPr="00061D40">
        <w:t xml:space="preserve"> tertiary entrance scores</w:t>
      </w:r>
      <w:r w:rsidR="00CD429E">
        <w:t>, post-school student destinations and parent, student and teacher opinion surveys</w:t>
      </w:r>
      <w:r w:rsidRPr="00061D40">
        <w:t xml:space="preserve"> will also commence at a later date once the data collection and reporting issues are agreed.</w:t>
      </w:r>
    </w:p>
    <w:p w14:paraId="7F486D9A" w14:textId="77777777" w:rsidR="00D32016" w:rsidRDefault="0071005D">
      <w:pPr>
        <w:pStyle w:val="Heading3"/>
        <w:rPr>
          <w:smallCaps/>
        </w:rPr>
      </w:pPr>
      <w:r w:rsidRPr="00061D40">
        <w:t xml:space="preserve">Publication of the data </w:t>
      </w:r>
    </w:p>
    <w:p w14:paraId="7F486D9B" w14:textId="77777777" w:rsidR="0071005D" w:rsidRPr="00061D40" w:rsidRDefault="0071005D" w:rsidP="00505ABD">
      <w:pPr>
        <w:pStyle w:val="StyleAppendicesBodyTextLinespacingsingle"/>
      </w:pPr>
      <w:r w:rsidRPr="00061D40">
        <w:t xml:space="preserve">While the Regulations specify the individual items of data to be provided for the purposes of individual school information, it is important to note that not all of the data collected </w:t>
      </w:r>
      <w:r w:rsidR="00691CF9" w:rsidRPr="00061D40">
        <w:t>are</w:t>
      </w:r>
      <w:r w:rsidRPr="00061D40">
        <w:t xml:space="preserve"> for publication in the form provided. For example, ACARA will collect de-identified unit record student results from NAPLAN assessments; however the published information will be at the school level.</w:t>
      </w:r>
    </w:p>
    <w:p w14:paraId="7F486D9C" w14:textId="77777777" w:rsidR="005B7495" w:rsidRPr="00061D40" w:rsidRDefault="00281CA5" w:rsidP="00281CA5">
      <w:pPr>
        <w:pStyle w:val="Heading2"/>
        <w:spacing w:before="0" w:after="150"/>
      </w:pPr>
      <w:r w:rsidRPr="00061D40">
        <w:br w:type="page"/>
      </w:r>
      <w:bookmarkStart w:id="276" w:name="_Toc346205347"/>
      <w:r w:rsidR="00627149" w:rsidRPr="00061D40">
        <w:t xml:space="preserve">Appendix </w:t>
      </w:r>
      <w:r w:rsidR="0055132D">
        <w:t>P</w:t>
      </w:r>
      <w:r w:rsidR="005B7495" w:rsidRPr="00061D40">
        <w:t>: Calendar of Key Dates</w:t>
      </w:r>
      <w:bookmarkEnd w:id="276"/>
    </w:p>
    <w:tbl>
      <w:tblPr>
        <w:tblW w:w="9300" w:type="dxa"/>
        <w:tblLook w:val="01E0" w:firstRow="1" w:lastRow="1" w:firstColumn="1" w:lastColumn="1" w:noHBand="0" w:noVBand="0"/>
      </w:tblPr>
      <w:tblGrid>
        <w:gridCol w:w="1716"/>
        <w:gridCol w:w="7584"/>
      </w:tblGrid>
      <w:tr w:rsidR="00627149" w:rsidRPr="00061D40" w14:paraId="7F486D9F" w14:textId="77777777" w:rsidTr="00435E07">
        <w:trPr>
          <w:cantSplit/>
          <w:tblHeader/>
        </w:trPr>
        <w:tc>
          <w:tcPr>
            <w:tcW w:w="1716" w:type="dxa"/>
            <w:tcBorders>
              <w:top w:val="single" w:sz="4" w:space="0" w:color="auto"/>
              <w:left w:val="single" w:sz="4" w:space="0" w:color="auto"/>
              <w:bottom w:val="single" w:sz="4" w:space="0" w:color="auto"/>
              <w:right w:val="single" w:sz="6" w:space="0" w:color="auto"/>
            </w:tcBorders>
            <w:shd w:val="clear" w:color="auto" w:fill="999999"/>
          </w:tcPr>
          <w:p w14:paraId="7F486D9D" w14:textId="77777777" w:rsidR="00627149" w:rsidRPr="00061D40" w:rsidRDefault="00627149" w:rsidP="00D86626">
            <w:pPr>
              <w:pStyle w:val="TableHeading2"/>
              <w:spacing w:line="240" w:lineRule="auto"/>
              <w:jc w:val="left"/>
              <w:rPr>
                <w:sz w:val="20"/>
                <w:szCs w:val="20"/>
              </w:rPr>
            </w:pPr>
            <w:r w:rsidRPr="00061D40">
              <w:rPr>
                <w:sz w:val="20"/>
                <w:szCs w:val="20"/>
              </w:rPr>
              <w:t>Key dates</w:t>
            </w:r>
          </w:p>
        </w:tc>
        <w:tc>
          <w:tcPr>
            <w:tcW w:w="7584" w:type="dxa"/>
            <w:tcBorders>
              <w:top w:val="single" w:sz="4" w:space="0" w:color="auto"/>
              <w:left w:val="single" w:sz="6" w:space="0" w:color="auto"/>
              <w:bottom w:val="single" w:sz="4" w:space="0" w:color="auto"/>
              <w:right w:val="single" w:sz="4" w:space="0" w:color="auto"/>
            </w:tcBorders>
            <w:shd w:val="clear" w:color="auto" w:fill="999999"/>
          </w:tcPr>
          <w:p w14:paraId="7F486D9E" w14:textId="77777777" w:rsidR="00627149" w:rsidRPr="00061D40" w:rsidRDefault="00627149" w:rsidP="00D86626">
            <w:pPr>
              <w:pStyle w:val="TableHeading2"/>
              <w:spacing w:line="240" w:lineRule="auto"/>
              <w:jc w:val="left"/>
              <w:rPr>
                <w:sz w:val="20"/>
                <w:szCs w:val="20"/>
              </w:rPr>
            </w:pPr>
            <w:r w:rsidRPr="00061D40">
              <w:rPr>
                <w:sz w:val="20"/>
                <w:szCs w:val="20"/>
              </w:rPr>
              <w:t>Activities</w:t>
            </w:r>
          </w:p>
        </w:tc>
      </w:tr>
      <w:tr w:rsidR="008B3E93" w:rsidRPr="00061D40" w14:paraId="7F486DA4" w14:textId="77777777" w:rsidTr="00435E07">
        <w:trPr>
          <w:cantSplit/>
        </w:trPr>
        <w:tc>
          <w:tcPr>
            <w:tcW w:w="1716" w:type="dxa"/>
            <w:tcBorders>
              <w:top w:val="nil"/>
              <w:left w:val="single" w:sz="4" w:space="0" w:color="auto"/>
              <w:bottom w:val="nil"/>
              <w:right w:val="single" w:sz="4" w:space="0" w:color="auto"/>
            </w:tcBorders>
          </w:tcPr>
          <w:p w14:paraId="7F486DA0" w14:textId="77777777" w:rsidR="00002569" w:rsidRDefault="008B3E93" w:rsidP="00D86626">
            <w:pPr>
              <w:pStyle w:val="TableText"/>
              <w:spacing w:line="240" w:lineRule="auto"/>
              <w:rPr>
                <w:sz w:val="20"/>
                <w:szCs w:val="20"/>
              </w:rPr>
            </w:pPr>
            <w:r w:rsidRPr="00061D40">
              <w:rPr>
                <w:sz w:val="20"/>
                <w:szCs w:val="20"/>
              </w:rPr>
              <w:t>January</w:t>
            </w:r>
          </w:p>
          <w:p w14:paraId="7F486DA1" w14:textId="77777777" w:rsidR="00CC7F8C" w:rsidRPr="00061D40" w:rsidRDefault="00CC7F8C" w:rsidP="00D86626">
            <w:pPr>
              <w:pStyle w:val="TableText"/>
              <w:spacing w:line="240" w:lineRule="auto"/>
              <w:rPr>
                <w:sz w:val="20"/>
                <w:szCs w:val="20"/>
              </w:rPr>
            </w:pPr>
          </w:p>
        </w:tc>
        <w:tc>
          <w:tcPr>
            <w:tcW w:w="7584" w:type="dxa"/>
            <w:tcBorders>
              <w:top w:val="nil"/>
              <w:left w:val="single" w:sz="4" w:space="0" w:color="auto"/>
              <w:bottom w:val="nil"/>
              <w:right w:val="single" w:sz="4" w:space="0" w:color="auto"/>
            </w:tcBorders>
          </w:tcPr>
          <w:p w14:paraId="7F486DA2" w14:textId="77777777" w:rsidR="008B3E93" w:rsidRPr="00061D40" w:rsidRDefault="008B3E93" w:rsidP="00D86626">
            <w:pPr>
              <w:pStyle w:val="TableText"/>
              <w:spacing w:line="240" w:lineRule="auto"/>
              <w:rPr>
                <w:sz w:val="20"/>
                <w:szCs w:val="20"/>
              </w:rPr>
            </w:pPr>
            <w:r w:rsidRPr="00061D40">
              <w:rPr>
                <w:sz w:val="20"/>
                <w:szCs w:val="20"/>
              </w:rPr>
              <w:t xml:space="preserve">Grants for Recurrent Expenditure – The first RG Program payment of 50 per cent of estimated annual entitlements based on previous years Census and initial per capita funding rates. </w:t>
            </w:r>
          </w:p>
          <w:p w14:paraId="7F486DA3" w14:textId="77777777" w:rsidR="008B3E93" w:rsidRPr="00061D40" w:rsidRDefault="008B3E93" w:rsidP="00D86626">
            <w:pPr>
              <w:pStyle w:val="TableText"/>
              <w:spacing w:line="240" w:lineRule="auto"/>
              <w:rPr>
                <w:sz w:val="20"/>
                <w:szCs w:val="20"/>
              </w:rPr>
            </w:pPr>
            <w:r w:rsidRPr="00061D40">
              <w:rPr>
                <w:sz w:val="20"/>
                <w:szCs w:val="20"/>
              </w:rPr>
              <w:t>Payments of 50 per cent of estimated annual entitlements for Remoteness Loading and ISA will also be processed this month based on previous years Census and initial per capita funding rates.</w:t>
            </w:r>
          </w:p>
        </w:tc>
      </w:tr>
      <w:tr w:rsidR="008B3E93" w:rsidRPr="00061D40" w14:paraId="7F486DA7" w14:textId="77777777" w:rsidTr="00435E07">
        <w:trPr>
          <w:cantSplit/>
        </w:trPr>
        <w:tc>
          <w:tcPr>
            <w:tcW w:w="1716" w:type="dxa"/>
            <w:tcBorders>
              <w:top w:val="nil"/>
              <w:left w:val="single" w:sz="4" w:space="0" w:color="auto"/>
              <w:right w:val="single" w:sz="4" w:space="0" w:color="auto"/>
            </w:tcBorders>
          </w:tcPr>
          <w:p w14:paraId="7F486DA5" w14:textId="77777777" w:rsidR="008B3E93" w:rsidRPr="00061D40" w:rsidRDefault="008B3E93" w:rsidP="00D86626">
            <w:pPr>
              <w:pStyle w:val="TableText"/>
              <w:spacing w:line="240" w:lineRule="auto"/>
              <w:rPr>
                <w:sz w:val="20"/>
                <w:szCs w:val="20"/>
              </w:rPr>
            </w:pPr>
          </w:p>
        </w:tc>
        <w:tc>
          <w:tcPr>
            <w:tcW w:w="7584" w:type="dxa"/>
            <w:tcBorders>
              <w:top w:val="nil"/>
              <w:left w:val="single" w:sz="4" w:space="0" w:color="auto"/>
              <w:right w:val="single" w:sz="4" w:space="0" w:color="auto"/>
            </w:tcBorders>
          </w:tcPr>
          <w:p w14:paraId="7F486DA6" w14:textId="77777777" w:rsidR="008B3E93" w:rsidRPr="00061D40" w:rsidRDefault="008B3E93" w:rsidP="00D86626">
            <w:pPr>
              <w:pStyle w:val="TableText"/>
              <w:spacing w:line="240" w:lineRule="auto"/>
              <w:rPr>
                <w:sz w:val="20"/>
                <w:szCs w:val="20"/>
              </w:rPr>
            </w:pPr>
            <w:r w:rsidRPr="00061D40">
              <w:rPr>
                <w:sz w:val="20"/>
                <w:szCs w:val="20"/>
              </w:rPr>
              <w:t>LNSLN</w:t>
            </w:r>
            <w:r w:rsidR="003C7C0D">
              <w:rPr>
                <w:sz w:val="20"/>
                <w:szCs w:val="20"/>
              </w:rPr>
              <w:t xml:space="preserve">  </w:t>
            </w:r>
            <w:r w:rsidRPr="00061D40">
              <w:rPr>
                <w:sz w:val="20"/>
                <w:szCs w:val="20"/>
              </w:rPr>
              <w:t>– first payment is one quarter of the initial entitlement.</w:t>
            </w:r>
          </w:p>
        </w:tc>
      </w:tr>
      <w:tr w:rsidR="008B3E93" w:rsidRPr="00061D40" w14:paraId="7F486DAB" w14:textId="77777777" w:rsidTr="00435E07">
        <w:trPr>
          <w:cantSplit/>
        </w:trPr>
        <w:tc>
          <w:tcPr>
            <w:tcW w:w="1716" w:type="dxa"/>
            <w:tcBorders>
              <w:top w:val="nil"/>
              <w:left w:val="single" w:sz="4" w:space="0" w:color="auto"/>
              <w:right w:val="single" w:sz="4" w:space="0" w:color="auto"/>
            </w:tcBorders>
          </w:tcPr>
          <w:p w14:paraId="7F486DA8" w14:textId="77777777" w:rsidR="008B3E93" w:rsidRPr="00061D40" w:rsidRDefault="008B3E93" w:rsidP="00D86626">
            <w:pPr>
              <w:pStyle w:val="TableText"/>
              <w:spacing w:line="240" w:lineRule="auto"/>
              <w:rPr>
                <w:sz w:val="20"/>
                <w:szCs w:val="20"/>
              </w:rPr>
            </w:pPr>
          </w:p>
        </w:tc>
        <w:tc>
          <w:tcPr>
            <w:tcW w:w="7584" w:type="dxa"/>
            <w:tcBorders>
              <w:top w:val="nil"/>
              <w:left w:val="single" w:sz="4" w:space="0" w:color="auto"/>
              <w:right w:val="single" w:sz="4" w:space="0" w:color="auto"/>
            </w:tcBorders>
          </w:tcPr>
          <w:p w14:paraId="7F486DA9" w14:textId="77777777" w:rsidR="008B3E93" w:rsidRDefault="008B3E93" w:rsidP="00D86626">
            <w:pPr>
              <w:pStyle w:val="TableText"/>
              <w:spacing w:line="240" w:lineRule="auto"/>
              <w:rPr>
                <w:sz w:val="20"/>
                <w:szCs w:val="20"/>
              </w:rPr>
            </w:pPr>
            <w:r w:rsidRPr="00061D40">
              <w:rPr>
                <w:sz w:val="20"/>
                <w:szCs w:val="20"/>
              </w:rPr>
              <w:t>CAP</w:t>
            </w:r>
            <w:r w:rsidR="003C7C0D">
              <w:rPr>
                <w:sz w:val="20"/>
                <w:szCs w:val="20"/>
              </w:rPr>
              <w:t xml:space="preserve">  </w:t>
            </w:r>
            <w:r w:rsidRPr="00061D40">
              <w:rPr>
                <w:sz w:val="20"/>
                <w:szCs w:val="20"/>
              </w:rPr>
              <w:t>– first payment is one quarter of the initial entitlement.</w:t>
            </w:r>
          </w:p>
          <w:p w14:paraId="7F486DAA" w14:textId="77777777" w:rsidR="00B75F9A" w:rsidRPr="00061D40" w:rsidRDefault="00B75F9A" w:rsidP="00D86626">
            <w:pPr>
              <w:pStyle w:val="TableText"/>
              <w:spacing w:line="240" w:lineRule="auto"/>
              <w:rPr>
                <w:sz w:val="20"/>
                <w:szCs w:val="20"/>
              </w:rPr>
            </w:pPr>
            <w:r>
              <w:rPr>
                <w:sz w:val="20"/>
                <w:szCs w:val="20"/>
              </w:rPr>
              <w:t>ESL-NA – Advance payment is made (50% of previous year’s funding allocation.)</w:t>
            </w:r>
          </w:p>
        </w:tc>
      </w:tr>
      <w:tr w:rsidR="008B3E93" w:rsidRPr="00061D40" w14:paraId="7F486DAE" w14:textId="77777777" w:rsidTr="00435E07">
        <w:trPr>
          <w:cantSplit/>
        </w:trPr>
        <w:tc>
          <w:tcPr>
            <w:tcW w:w="1716" w:type="dxa"/>
            <w:tcBorders>
              <w:top w:val="nil"/>
              <w:left w:val="single" w:sz="4" w:space="0" w:color="auto"/>
              <w:bottom w:val="single" w:sz="4" w:space="0" w:color="auto"/>
              <w:right w:val="single" w:sz="4" w:space="0" w:color="auto"/>
            </w:tcBorders>
          </w:tcPr>
          <w:p w14:paraId="7F486DAC" w14:textId="77777777" w:rsidR="008B3E93" w:rsidRPr="00061D40" w:rsidRDefault="008B3E93" w:rsidP="00D86626">
            <w:pPr>
              <w:pStyle w:val="TableText"/>
              <w:spacing w:line="240" w:lineRule="auto"/>
              <w:rPr>
                <w:sz w:val="20"/>
                <w:szCs w:val="20"/>
              </w:rPr>
            </w:pPr>
            <w:r w:rsidRPr="00061D40">
              <w:rPr>
                <w:sz w:val="20"/>
                <w:szCs w:val="20"/>
              </w:rPr>
              <w:t>31 January</w:t>
            </w:r>
          </w:p>
        </w:tc>
        <w:tc>
          <w:tcPr>
            <w:tcW w:w="7584" w:type="dxa"/>
            <w:tcBorders>
              <w:top w:val="nil"/>
              <w:left w:val="single" w:sz="4" w:space="0" w:color="auto"/>
              <w:bottom w:val="single" w:sz="4" w:space="0" w:color="auto"/>
              <w:right w:val="single" w:sz="4" w:space="0" w:color="auto"/>
            </w:tcBorders>
          </w:tcPr>
          <w:p w14:paraId="7F486DAD" w14:textId="77777777" w:rsidR="008B3E93" w:rsidRPr="00061D40" w:rsidRDefault="008B3E93" w:rsidP="00D86626">
            <w:pPr>
              <w:pStyle w:val="TableText"/>
              <w:spacing w:line="240" w:lineRule="auto"/>
              <w:rPr>
                <w:sz w:val="20"/>
                <w:szCs w:val="20"/>
              </w:rPr>
            </w:pPr>
            <w:r w:rsidRPr="00061D40">
              <w:rPr>
                <w:sz w:val="20"/>
                <w:szCs w:val="20"/>
              </w:rPr>
              <w:t>School Languages Program</w:t>
            </w:r>
            <w:r w:rsidR="003C7C0D">
              <w:rPr>
                <w:sz w:val="20"/>
                <w:szCs w:val="20"/>
              </w:rPr>
              <w:t xml:space="preserve">  </w:t>
            </w:r>
            <w:r w:rsidRPr="00061D40">
              <w:rPr>
                <w:sz w:val="20"/>
                <w:szCs w:val="20"/>
              </w:rPr>
              <w:t>– reporting by non-government education authorities</w:t>
            </w:r>
          </w:p>
        </w:tc>
      </w:tr>
      <w:tr w:rsidR="008B3E93" w:rsidRPr="00061D40" w14:paraId="7F486DB1" w14:textId="77777777" w:rsidTr="00435E07">
        <w:trPr>
          <w:cantSplit/>
        </w:trPr>
        <w:tc>
          <w:tcPr>
            <w:tcW w:w="1716" w:type="dxa"/>
            <w:tcBorders>
              <w:top w:val="single" w:sz="4" w:space="0" w:color="auto"/>
              <w:left w:val="single" w:sz="4" w:space="0" w:color="auto"/>
              <w:right w:val="single" w:sz="4" w:space="0" w:color="auto"/>
            </w:tcBorders>
          </w:tcPr>
          <w:p w14:paraId="7F486DAF" w14:textId="77777777" w:rsidR="008B3E93" w:rsidRPr="00061D40" w:rsidRDefault="008B3E93" w:rsidP="00D86626">
            <w:pPr>
              <w:pStyle w:val="TableText"/>
              <w:spacing w:line="240" w:lineRule="auto"/>
              <w:rPr>
                <w:sz w:val="20"/>
                <w:szCs w:val="20"/>
              </w:rPr>
            </w:pPr>
            <w:r w:rsidRPr="00061D40">
              <w:rPr>
                <w:sz w:val="20"/>
                <w:szCs w:val="20"/>
              </w:rPr>
              <w:t>March</w:t>
            </w:r>
          </w:p>
        </w:tc>
        <w:tc>
          <w:tcPr>
            <w:tcW w:w="7584" w:type="dxa"/>
            <w:tcBorders>
              <w:top w:val="single" w:sz="4" w:space="0" w:color="auto"/>
              <w:left w:val="single" w:sz="4" w:space="0" w:color="auto"/>
              <w:right w:val="single" w:sz="4" w:space="0" w:color="auto"/>
            </w:tcBorders>
          </w:tcPr>
          <w:p w14:paraId="7F486DB0" w14:textId="77777777" w:rsidR="008B3E93" w:rsidRPr="00061D40" w:rsidRDefault="008B3E93" w:rsidP="00D86626">
            <w:pPr>
              <w:pStyle w:val="TableText"/>
              <w:spacing w:line="240" w:lineRule="auto"/>
              <w:rPr>
                <w:sz w:val="20"/>
                <w:szCs w:val="20"/>
              </w:rPr>
            </w:pPr>
            <w:r w:rsidRPr="00061D40">
              <w:rPr>
                <w:sz w:val="20"/>
                <w:szCs w:val="20"/>
              </w:rPr>
              <w:t>School Languages Program – initial payment made to non-government education authorities following receipt of program report</w:t>
            </w:r>
          </w:p>
        </w:tc>
      </w:tr>
      <w:tr w:rsidR="008B3E93" w:rsidRPr="00061D40" w14:paraId="7F486DB4" w14:textId="77777777" w:rsidTr="00435E07">
        <w:trPr>
          <w:cantSplit/>
        </w:trPr>
        <w:tc>
          <w:tcPr>
            <w:tcW w:w="1716" w:type="dxa"/>
            <w:tcBorders>
              <w:left w:val="single" w:sz="4" w:space="0" w:color="auto"/>
              <w:right w:val="single" w:sz="4" w:space="0" w:color="auto"/>
            </w:tcBorders>
          </w:tcPr>
          <w:p w14:paraId="7F486DB2" w14:textId="77777777" w:rsidR="008B3E93" w:rsidRPr="00061D40" w:rsidRDefault="008B3E93" w:rsidP="00D86626">
            <w:pPr>
              <w:pStyle w:val="TableText"/>
              <w:spacing w:line="240" w:lineRule="auto"/>
              <w:rPr>
                <w:sz w:val="20"/>
                <w:szCs w:val="20"/>
              </w:rPr>
            </w:pPr>
          </w:p>
        </w:tc>
        <w:tc>
          <w:tcPr>
            <w:tcW w:w="7584" w:type="dxa"/>
            <w:tcBorders>
              <w:left w:val="single" w:sz="4" w:space="0" w:color="auto"/>
              <w:right w:val="single" w:sz="4" w:space="0" w:color="auto"/>
            </w:tcBorders>
          </w:tcPr>
          <w:p w14:paraId="7F486DB3" w14:textId="77777777" w:rsidR="008B3E93" w:rsidRPr="00061D40" w:rsidRDefault="008B3E93" w:rsidP="00D86626">
            <w:pPr>
              <w:pStyle w:val="TableText"/>
              <w:spacing w:line="240" w:lineRule="auto"/>
              <w:rPr>
                <w:sz w:val="20"/>
                <w:szCs w:val="20"/>
              </w:rPr>
            </w:pPr>
            <w:r w:rsidRPr="00061D40">
              <w:rPr>
                <w:sz w:val="20"/>
                <w:szCs w:val="20"/>
              </w:rPr>
              <w:t xml:space="preserve">Grants for Recurrent Expenditure – IFG </w:t>
            </w:r>
            <w:r w:rsidR="00390D81">
              <w:rPr>
                <w:sz w:val="20"/>
                <w:szCs w:val="20"/>
              </w:rPr>
              <w:t xml:space="preserve">(Total School Approach) </w:t>
            </w:r>
            <w:r w:rsidRPr="00061D40">
              <w:rPr>
                <w:sz w:val="20"/>
                <w:szCs w:val="20"/>
              </w:rPr>
              <w:t>payment made to non-systemic schools based on 50 per cent of the estimated annual entitlement.</w:t>
            </w:r>
          </w:p>
        </w:tc>
      </w:tr>
      <w:tr w:rsidR="008B3E93" w:rsidRPr="00061D40" w14:paraId="7F486DB8" w14:textId="77777777" w:rsidTr="00435E07">
        <w:trPr>
          <w:cantSplit/>
        </w:trPr>
        <w:tc>
          <w:tcPr>
            <w:tcW w:w="1716" w:type="dxa"/>
            <w:tcBorders>
              <w:left w:val="single" w:sz="4" w:space="0" w:color="auto"/>
              <w:bottom w:val="nil"/>
              <w:right w:val="single" w:sz="4" w:space="0" w:color="auto"/>
            </w:tcBorders>
          </w:tcPr>
          <w:p w14:paraId="7F486DB5" w14:textId="77777777" w:rsidR="008B3E93" w:rsidRPr="00061D40" w:rsidRDefault="008B3E93" w:rsidP="00D86626">
            <w:pPr>
              <w:pStyle w:val="TableText"/>
              <w:spacing w:line="240" w:lineRule="auto"/>
              <w:rPr>
                <w:sz w:val="20"/>
                <w:szCs w:val="20"/>
              </w:rPr>
            </w:pPr>
            <w:r w:rsidRPr="00061D40">
              <w:rPr>
                <w:sz w:val="20"/>
                <w:szCs w:val="20"/>
              </w:rPr>
              <w:t>15 March</w:t>
            </w:r>
          </w:p>
          <w:p w14:paraId="7F486DB6" w14:textId="77777777" w:rsidR="008B3E93" w:rsidRPr="00061D40" w:rsidRDefault="008B3E93" w:rsidP="00D86626">
            <w:pPr>
              <w:pStyle w:val="TableText"/>
              <w:spacing w:line="240" w:lineRule="auto"/>
              <w:rPr>
                <w:sz w:val="20"/>
                <w:szCs w:val="20"/>
              </w:rPr>
            </w:pPr>
          </w:p>
        </w:tc>
        <w:tc>
          <w:tcPr>
            <w:tcW w:w="7584" w:type="dxa"/>
            <w:tcBorders>
              <w:left w:val="single" w:sz="4" w:space="0" w:color="auto"/>
              <w:bottom w:val="nil"/>
              <w:right w:val="single" w:sz="4" w:space="0" w:color="auto"/>
            </w:tcBorders>
          </w:tcPr>
          <w:p w14:paraId="7F486DB7" w14:textId="77777777" w:rsidR="008B3E93" w:rsidRPr="00061D40" w:rsidRDefault="008B3E93" w:rsidP="00D86626">
            <w:pPr>
              <w:pStyle w:val="TableText"/>
              <w:spacing w:line="240" w:lineRule="auto"/>
              <w:rPr>
                <w:sz w:val="20"/>
                <w:szCs w:val="20"/>
              </w:rPr>
            </w:pPr>
            <w:r w:rsidRPr="00061D40">
              <w:rPr>
                <w:sz w:val="20"/>
                <w:szCs w:val="20"/>
              </w:rPr>
              <w:t>Grants for Recurrent Expenditure – Non-systemic school enrolments: If non-systemic school experiences a rise or fall of 15 per cent or more in enrolments in the beginning of the school year, it should notify the Department of its enrolments as at the end of February. Notification of enrolment changes received after 15 March cannot be taken into account prior to the October payment.</w:t>
            </w:r>
          </w:p>
        </w:tc>
      </w:tr>
      <w:tr w:rsidR="008B3E93" w:rsidRPr="00061D40" w14:paraId="7F486DBB" w14:textId="77777777" w:rsidTr="00435E07">
        <w:trPr>
          <w:cantSplit/>
        </w:trPr>
        <w:tc>
          <w:tcPr>
            <w:tcW w:w="1716" w:type="dxa"/>
            <w:tcBorders>
              <w:top w:val="nil"/>
              <w:left w:val="single" w:sz="4" w:space="0" w:color="auto"/>
              <w:bottom w:val="single" w:sz="4" w:space="0" w:color="auto"/>
              <w:right w:val="single" w:sz="4" w:space="0" w:color="auto"/>
            </w:tcBorders>
          </w:tcPr>
          <w:p w14:paraId="7F486DB9" w14:textId="77777777" w:rsidR="008B3E93" w:rsidRPr="00061D40" w:rsidRDefault="008B3E93" w:rsidP="00D86626">
            <w:pPr>
              <w:pStyle w:val="TableText"/>
              <w:spacing w:line="240" w:lineRule="auto"/>
              <w:rPr>
                <w:sz w:val="20"/>
                <w:szCs w:val="20"/>
              </w:rPr>
            </w:pPr>
          </w:p>
        </w:tc>
        <w:tc>
          <w:tcPr>
            <w:tcW w:w="7584" w:type="dxa"/>
            <w:tcBorders>
              <w:top w:val="nil"/>
              <w:left w:val="single" w:sz="4" w:space="0" w:color="auto"/>
              <w:bottom w:val="single" w:sz="4" w:space="0" w:color="auto"/>
              <w:right w:val="single" w:sz="4" w:space="0" w:color="auto"/>
            </w:tcBorders>
          </w:tcPr>
          <w:p w14:paraId="7F486DBA" w14:textId="77777777" w:rsidR="008B3E93" w:rsidRPr="00061D40" w:rsidRDefault="008B3E93" w:rsidP="00D86626">
            <w:pPr>
              <w:pStyle w:val="TableText"/>
              <w:spacing w:line="240" w:lineRule="auto"/>
              <w:rPr>
                <w:sz w:val="20"/>
                <w:szCs w:val="20"/>
              </w:rPr>
            </w:pPr>
            <w:r w:rsidRPr="00061D40">
              <w:rPr>
                <w:sz w:val="20"/>
                <w:szCs w:val="20"/>
              </w:rPr>
              <w:t>Reductions in enrolments of 15 per cent or more must be advised to the Department within 10 working days.</w:t>
            </w:r>
          </w:p>
        </w:tc>
      </w:tr>
      <w:tr w:rsidR="008B3E93" w:rsidRPr="00061D40" w14:paraId="7F486DBE" w14:textId="77777777" w:rsidTr="00435E07">
        <w:trPr>
          <w:cantSplit/>
        </w:trPr>
        <w:tc>
          <w:tcPr>
            <w:tcW w:w="1716" w:type="dxa"/>
            <w:tcBorders>
              <w:top w:val="single" w:sz="4" w:space="0" w:color="auto"/>
              <w:left w:val="single" w:sz="4" w:space="0" w:color="auto"/>
              <w:right w:val="single" w:sz="4" w:space="0" w:color="auto"/>
            </w:tcBorders>
          </w:tcPr>
          <w:p w14:paraId="7F486DBC" w14:textId="77777777" w:rsidR="008B3E93" w:rsidRPr="00061D40" w:rsidRDefault="008B3E93" w:rsidP="00D86626">
            <w:pPr>
              <w:pStyle w:val="TableText"/>
              <w:spacing w:line="240" w:lineRule="auto"/>
              <w:rPr>
                <w:sz w:val="20"/>
                <w:szCs w:val="20"/>
              </w:rPr>
            </w:pPr>
            <w:r w:rsidRPr="00061D40">
              <w:rPr>
                <w:sz w:val="20"/>
                <w:szCs w:val="20"/>
              </w:rPr>
              <w:t>April</w:t>
            </w:r>
          </w:p>
        </w:tc>
        <w:tc>
          <w:tcPr>
            <w:tcW w:w="7584" w:type="dxa"/>
            <w:tcBorders>
              <w:top w:val="single" w:sz="4" w:space="0" w:color="auto"/>
              <w:left w:val="single" w:sz="4" w:space="0" w:color="auto"/>
              <w:right w:val="single" w:sz="4" w:space="0" w:color="auto"/>
            </w:tcBorders>
          </w:tcPr>
          <w:p w14:paraId="7F486DBD" w14:textId="77777777" w:rsidR="008B3E93" w:rsidRPr="00061D40" w:rsidRDefault="008B3E93" w:rsidP="00D86626">
            <w:pPr>
              <w:pStyle w:val="TableText"/>
              <w:spacing w:line="240" w:lineRule="auto"/>
              <w:rPr>
                <w:sz w:val="20"/>
                <w:szCs w:val="20"/>
              </w:rPr>
            </w:pPr>
            <w:r w:rsidRPr="00061D40">
              <w:rPr>
                <w:sz w:val="20"/>
                <w:szCs w:val="20"/>
              </w:rPr>
              <w:t>LNSLN – second payment is one quarter of the initial entitlement.</w:t>
            </w:r>
          </w:p>
        </w:tc>
      </w:tr>
      <w:tr w:rsidR="008B3E93" w:rsidRPr="00061D40" w14:paraId="7F486DC1" w14:textId="77777777" w:rsidTr="00435E07">
        <w:trPr>
          <w:cantSplit/>
        </w:trPr>
        <w:tc>
          <w:tcPr>
            <w:tcW w:w="1716" w:type="dxa"/>
            <w:tcBorders>
              <w:left w:val="single" w:sz="4" w:space="0" w:color="auto"/>
              <w:bottom w:val="single" w:sz="4" w:space="0" w:color="auto"/>
              <w:right w:val="single" w:sz="4" w:space="0" w:color="auto"/>
            </w:tcBorders>
          </w:tcPr>
          <w:p w14:paraId="7F486DBF" w14:textId="77777777" w:rsidR="008B3E93" w:rsidRPr="00061D40" w:rsidRDefault="008B3E93" w:rsidP="00D86626">
            <w:pPr>
              <w:pStyle w:val="TableText"/>
              <w:spacing w:line="240" w:lineRule="auto"/>
              <w:rPr>
                <w:sz w:val="20"/>
                <w:szCs w:val="20"/>
              </w:rPr>
            </w:pPr>
          </w:p>
        </w:tc>
        <w:tc>
          <w:tcPr>
            <w:tcW w:w="7584" w:type="dxa"/>
            <w:tcBorders>
              <w:left w:val="single" w:sz="4" w:space="0" w:color="auto"/>
              <w:bottom w:val="single" w:sz="4" w:space="0" w:color="auto"/>
              <w:right w:val="single" w:sz="4" w:space="0" w:color="auto"/>
            </w:tcBorders>
          </w:tcPr>
          <w:p w14:paraId="7F486DC0" w14:textId="77777777" w:rsidR="008B3E93" w:rsidRPr="00061D40" w:rsidRDefault="008B3E93" w:rsidP="00D86626">
            <w:pPr>
              <w:pStyle w:val="TableText"/>
              <w:spacing w:line="240" w:lineRule="auto"/>
              <w:rPr>
                <w:sz w:val="20"/>
                <w:szCs w:val="20"/>
              </w:rPr>
            </w:pPr>
            <w:r w:rsidRPr="00061D40">
              <w:rPr>
                <w:sz w:val="20"/>
                <w:szCs w:val="20"/>
              </w:rPr>
              <w:t>CAP – second payment is one quarter of the initial entitlement.</w:t>
            </w:r>
          </w:p>
        </w:tc>
      </w:tr>
      <w:tr w:rsidR="008B3E93" w:rsidRPr="00061D40" w14:paraId="7F486DC4" w14:textId="77777777" w:rsidTr="00435E07">
        <w:trPr>
          <w:cantSplit/>
        </w:trPr>
        <w:tc>
          <w:tcPr>
            <w:tcW w:w="1716" w:type="dxa"/>
            <w:tcBorders>
              <w:top w:val="single" w:sz="4" w:space="0" w:color="auto"/>
              <w:left w:val="single" w:sz="4" w:space="0" w:color="auto"/>
              <w:right w:val="single" w:sz="4" w:space="0" w:color="auto"/>
            </w:tcBorders>
          </w:tcPr>
          <w:p w14:paraId="7F486DC2" w14:textId="77777777" w:rsidR="008B3E93" w:rsidRPr="00061D40" w:rsidRDefault="008B3E93" w:rsidP="00D86626">
            <w:pPr>
              <w:pStyle w:val="TableText"/>
              <w:spacing w:line="240" w:lineRule="auto"/>
              <w:rPr>
                <w:sz w:val="20"/>
                <w:szCs w:val="20"/>
              </w:rPr>
            </w:pPr>
            <w:r w:rsidRPr="00061D40">
              <w:rPr>
                <w:sz w:val="20"/>
                <w:szCs w:val="20"/>
              </w:rPr>
              <w:t>30 June</w:t>
            </w:r>
          </w:p>
        </w:tc>
        <w:tc>
          <w:tcPr>
            <w:tcW w:w="7584" w:type="dxa"/>
            <w:tcBorders>
              <w:top w:val="single" w:sz="4" w:space="0" w:color="auto"/>
              <w:left w:val="single" w:sz="4" w:space="0" w:color="auto"/>
              <w:right w:val="single" w:sz="4" w:space="0" w:color="auto"/>
            </w:tcBorders>
          </w:tcPr>
          <w:p w14:paraId="7F486DC3" w14:textId="77777777" w:rsidR="008B3E93" w:rsidRPr="00061D40" w:rsidRDefault="008B3E93" w:rsidP="00277528">
            <w:pPr>
              <w:pStyle w:val="TableText"/>
              <w:spacing w:line="240" w:lineRule="auto"/>
              <w:rPr>
                <w:sz w:val="20"/>
                <w:szCs w:val="20"/>
              </w:rPr>
            </w:pPr>
            <w:r w:rsidRPr="00061D40">
              <w:rPr>
                <w:sz w:val="20"/>
                <w:szCs w:val="20"/>
              </w:rPr>
              <w:t xml:space="preserve">Schools </w:t>
            </w:r>
            <w:r w:rsidR="00277528" w:rsidRPr="00061D40">
              <w:rPr>
                <w:sz w:val="20"/>
                <w:szCs w:val="20"/>
              </w:rPr>
              <w:t xml:space="preserve">and Systems </w:t>
            </w:r>
            <w:r w:rsidRPr="00061D40">
              <w:rPr>
                <w:sz w:val="20"/>
                <w:szCs w:val="20"/>
              </w:rPr>
              <w:t xml:space="preserve">Financial Questionnaire – to be submitted and declared electronically and a copy of the school’s auditor’s </w:t>
            </w:r>
            <w:r w:rsidR="00277528" w:rsidRPr="00061D40">
              <w:rPr>
                <w:sz w:val="20"/>
                <w:szCs w:val="20"/>
              </w:rPr>
              <w:t xml:space="preserve">report </w:t>
            </w:r>
            <w:r w:rsidRPr="00061D40">
              <w:rPr>
                <w:sz w:val="20"/>
                <w:szCs w:val="20"/>
              </w:rPr>
              <w:t>is to be provided to the Department</w:t>
            </w:r>
          </w:p>
        </w:tc>
      </w:tr>
      <w:tr w:rsidR="008B3E93" w:rsidRPr="00061D40" w14:paraId="7F486DC7" w14:textId="77777777" w:rsidTr="00435E07">
        <w:trPr>
          <w:cantSplit/>
        </w:trPr>
        <w:tc>
          <w:tcPr>
            <w:tcW w:w="1716" w:type="dxa"/>
            <w:tcBorders>
              <w:top w:val="nil"/>
              <w:left w:val="single" w:sz="4" w:space="0" w:color="auto"/>
              <w:bottom w:val="single" w:sz="4" w:space="0" w:color="auto"/>
              <w:right w:val="single" w:sz="4" w:space="0" w:color="auto"/>
            </w:tcBorders>
          </w:tcPr>
          <w:p w14:paraId="7F486DC5" w14:textId="77777777" w:rsidR="008B3E93" w:rsidRPr="00061D40" w:rsidRDefault="008B3E93" w:rsidP="00D86626">
            <w:pPr>
              <w:pStyle w:val="TableText"/>
              <w:spacing w:line="240" w:lineRule="auto"/>
              <w:rPr>
                <w:sz w:val="20"/>
                <w:szCs w:val="20"/>
              </w:rPr>
            </w:pPr>
          </w:p>
        </w:tc>
        <w:tc>
          <w:tcPr>
            <w:tcW w:w="7584" w:type="dxa"/>
            <w:tcBorders>
              <w:top w:val="nil"/>
              <w:left w:val="single" w:sz="4" w:space="0" w:color="auto"/>
              <w:bottom w:val="single" w:sz="4" w:space="0" w:color="auto"/>
              <w:right w:val="single" w:sz="4" w:space="0" w:color="auto"/>
            </w:tcBorders>
          </w:tcPr>
          <w:p w14:paraId="7F486DC6" w14:textId="77777777" w:rsidR="008B3E93" w:rsidRPr="00061D40" w:rsidRDefault="008B3E93" w:rsidP="00277528">
            <w:pPr>
              <w:pStyle w:val="TableText"/>
              <w:spacing w:line="240" w:lineRule="auto"/>
              <w:rPr>
                <w:sz w:val="20"/>
                <w:szCs w:val="20"/>
              </w:rPr>
            </w:pPr>
            <w:r w:rsidRPr="00061D40">
              <w:rPr>
                <w:sz w:val="20"/>
                <w:szCs w:val="20"/>
              </w:rPr>
              <w:t xml:space="preserve">Financial Acquittal – Acquittal Certificates to be completed on line by the </w:t>
            </w:r>
            <w:r w:rsidR="00277528" w:rsidRPr="00061D40">
              <w:rPr>
                <w:sz w:val="20"/>
                <w:szCs w:val="20"/>
              </w:rPr>
              <w:t xml:space="preserve">qualified accountant for the </w:t>
            </w:r>
            <w:r w:rsidRPr="00061D40">
              <w:rPr>
                <w:sz w:val="20"/>
                <w:szCs w:val="20"/>
              </w:rPr>
              <w:t>school</w:t>
            </w:r>
            <w:r w:rsidR="00277528" w:rsidRPr="00061D40">
              <w:rPr>
                <w:sz w:val="20"/>
                <w:szCs w:val="20"/>
              </w:rPr>
              <w:t>, System or Association of Independent Schools (as applicable)</w:t>
            </w:r>
            <w:r w:rsidRPr="00061D40">
              <w:rPr>
                <w:sz w:val="20"/>
                <w:szCs w:val="20"/>
              </w:rPr>
              <w:t>.</w:t>
            </w:r>
          </w:p>
        </w:tc>
      </w:tr>
      <w:tr w:rsidR="008B3E93" w:rsidRPr="00061D40" w14:paraId="7F486DCB" w14:textId="77777777" w:rsidTr="00435E07">
        <w:trPr>
          <w:cantSplit/>
        </w:trPr>
        <w:tc>
          <w:tcPr>
            <w:tcW w:w="1716" w:type="dxa"/>
            <w:tcBorders>
              <w:top w:val="single" w:sz="4" w:space="0" w:color="auto"/>
              <w:left w:val="single" w:sz="4" w:space="0" w:color="auto"/>
              <w:right w:val="single" w:sz="4" w:space="0" w:color="auto"/>
            </w:tcBorders>
          </w:tcPr>
          <w:p w14:paraId="7F486DC8" w14:textId="77777777" w:rsidR="008B3E93" w:rsidRPr="00061D40" w:rsidRDefault="008B3E93" w:rsidP="00D86626">
            <w:pPr>
              <w:pStyle w:val="TableText"/>
              <w:spacing w:line="240" w:lineRule="auto"/>
              <w:rPr>
                <w:sz w:val="20"/>
                <w:szCs w:val="20"/>
              </w:rPr>
            </w:pPr>
            <w:r w:rsidRPr="00061D40">
              <w:rPr>
                <w:sz w:val="20"/>
                <w:szCs w:val="20"/>
              </w:rPr>
              <w:t>1 July</w:t>
            </w:r>
          </w:p>
        </w:tc>
        <w:tc>
          <w:tcPr>
            <w:tcW w:w="7584" w:type="dxa"/>
            <w:tcBorders>
              <w:top w:val="single" w:sz="4" w:space="0" w:color="auto"/>
              <w:left w:val="single" w:sz="4" w:space="0" w:color="auto"/>
              <w:right w:val="single" w:sz="4" w:space="0" w:color="auto"/>
            </w:tcBorders>
          </w:tcPr>
          <w:p w14:paraId="7F486DC9" w14:textId="77777777" w:rsidR="008B3E93" w:rsidRPr="00061D40" w:rsidRDefault="008B3E93" w:rsidP="00D86626">
            <w:pPr>
              <w:pStyle w:val="TableText"/>
              <w:spacing w:line="240" w:lineRule="auto"/>
              <w:rPr>
                <w:sz w:val="20"/>
                <w:szCs w:val="20"/>
              </w:rPr>
            </w:pPr>
            <w:r w:rsidRPr="00061D40">
              <w:rPr>
                <w:sz w:val="20"/>
                <w:szCs w:val="20"/>
              </w:rPr>
              <w:t>Grants for Recurrent Expenditure – Organisations wishing to apply for recognition as an approved school system must apply to the Department by 1 July of the year before proposed commencement.</w:t>
            </w:r>
          </w:p>
          <w:p w14:paraId="7F486DCA" w14:textId="77777777" w:rsidR="008B3E93" w:rsidRPr="00061D40" w:rsidRDefault="008B3E93" w:rsidP="00D86626">
            <w:pPr>
              <w:pStyle w:val="TableText"/>
              <w:spacing w:line="240" w:lineRule="auto"/>
              <w:rPr>
                <w:sz w:val="20"/>
                <w:szCs w:val="20"/>
              </w:rPr>
            </w:pPr>
            <w:r w:rsidRPr="00061D40">
              <w:rPr>
                <w:sz w:val="20"/>
                <w:szCs w:val="20"/>
              </w:rPr>
              <w:t>Schools proposing to join or leave existing systems, or schools proposing to amalgamate or separate, must notify the Department by 1 July of the year before the proposed change is to commence.</w:t>
            </w:r>
          </w:p>
        </w:tc>
      </w:tr>
      <w:tr w:rsidR="008B3E93" w:rsidRPr="00061D40" w14:paraId="7F486DCE" w14:textId="77777777" w:rsidTr="00435E07">
        <w:trPr>
          <w:cantSplit/>
        </w:trPr>
        <w:tc>
          <w:tcPr>
            <w:tcW w:w="1716" w:type="dxa"/>
            <w:tcBorders>
              <w:top w:val="nil"/>
              <w:left w:val="single" w:sz="4" w:space="0" w:color="auto"/>
              <w:right w:val="single" w:sz="4" w:space="0" w:color="auto"/>
            </w:tcBorders>
          </w:tcPr>
          <w:p w14:paraId="7F486DCC" w14:textId="77777777" w:rsidR="008B3E93" w:rsidRPr="00061D40" w:rsidRDefault="008B3E93" w:rsidP="00D86626">
            <w:pPr>
              <w:pStyle w:val="TableText"/>
              <w:spacing w:line="240" w:lineRule="auto"/>
              <w:rPr>
                <w:sz w:val="20"/>
                <w:szCs w:val="20"/>
              </w:rPr>
            </w:pPr>
          </w:p>
        </w:tc>
        <w:tc>
          <w:tcPr>
            <w:tcW w:w="7584" w:type="dxa"/>
            <w:tcBorders>
              <w:top w:val="nil"/>
              <w:left w:val="single" w:sz="4" w:space="0" w:color="auto"/>
              <w:right w:val="single" w:sz="4" w:space="0" w:color="auto"/>
            </w:tcBorders>
          </w:tcPr>
          <w:p w14:paraId="7F486DCD" w14:textId="77777777" w:rsidR="008B3E93" w:rsidRPr="00061D40" w:rsidRDefault="008B3E93" w:rsidP="000D7631">
            <w:pPr>
              <w:pStyle w:val="TableText"/>
              <w:spacing w:line="240" w:lineRule="auto"/>
              <w:rPr>
                <w:sz w:val="20"/>
                <w:szCs w:val="20"/>
              </w:rPr>
            </w:pPr>
            <w:r w:rsidRPr="00061D40">
              <w:rPr>
                <w:sz w:val="20"/>
                <w:szCs w:val="20"/>
              </w:rPr>
              <w:t xml:space="preserve">Applications for Review or Appeal of </w:t>
            </w:r>
            <w:r w:rsidR="000D7631">
              <w:rPr>
                <w:sz w:val="20"/>
                <w:szCs w:val="20"/>
              </w:rPr>
              <w:t xml:space="preserve">an </w:t>
            </w:r>
            <w:r w:rsidRPr="00061D40">
              <w:rPr>
                <w:sz w:val="20"/>
                <w:szCs w:val="20"/>
              </w:rPr>
              <w:t xml:space="preserve">SES score </w:t>
            </w:r>
            <w:r w:rsidR="000D7631" w:rsidRPr="00061D40">
              <w:rPr>
                <w:sz w:val="20"/>
                <w:szCs w:val="20"/>
              </w:rPr>
              <w:t xml:space="preserve">under section 76, Part 4, Division 11 of the Act must </w:t>
            </w:r>
            <w:r w:rsidR="000D7631">
              <w:rPr>
                <w:sz w:val="20"/>
                <w:szCs w:val="20"/>
              </w:rPr>
              <w:t>be submitted to</w:t>
            </w:r>
            <w:r w:rsidR="000D7631" w:rsidRPr="00061D40">
              <w:rPr>
                <w:sz w:val="20"/>
                <w:szCs w:val="20"/>
              </w:rPr>
              <w:t xml:space="preserve"> the Department by 1 July of the relevant program year.</w:t>
            </w:r>
          </w:p>
        </w:tc>
      </w:tr>
      <w:tr w:rsidR="008B3E93" w:rsidRPr="00061D40" w14:paraId="7F486DD1" w14:textId="77777777" w:rsidTr="00435E07">
        <w:trPr>
          <w:cantSplit/>
        </w:trPr>
        <w:tc>
          <w:tcPr>
            <w:tcW w:w="1716" w:type="dxa"/>
            <w:tcBorders>
              <w:top w:val="nil"/>
              <w:left w:val="single" w:sz="4" w:space="0" w:color="auto"/>
              <w:bottom w:val="single" w:sz="4" w:space="0" w:color="auto"/>
              <w:right w:val="single" w:sz="4" w:space="0" w:color="auto"/>
            </w:tcBorders>
          </w:tcPr>
          <w:p w14:paraId="7F486DCF" w14:textId="77777777" w:rsidR="008B3E93" w:rsidRPr="00061D40" w:rsidRDefault="008B3E93" w:rsidP="00D86626">
            <w:pPr>
              <w:pStyle w:val="TableText"/>
              <w:spacing w:line="240" w:lineRule="auto"/>
              <w:rPr>
                <w:sz w:val="20"/>
                <w:szCs w:val="20"/>
              </w:rPr>
            </w:pPr>
          </w:p>
        </w:tc>
        <w:tc>
          <w:tcPr>
            <w:tcW w:w="7584" w:type="dxa"/>
            <w:tcBorders>
              <w:top w:val="nil"/>
              <w:left w:val="single" w:sz="4" w:space="0" w:color="auto"/>
              <w:bottom w:val="single" w:sz="4" w:space="0" w:color="auto"/>
              <w:right w:val="single" w:sz="4" w:space="0" w:color="auto"/>
            </w:tcBorders>
          </w:tcPr>
          <w:p w14:paraId="7F486DD0" w14:textId="77777777" w:rsidR="008B3E93" w:rsidRPr="00061D40" w:rsidRDefault="008B3E93" w:rsidP="000D7631">
            <w:pPr>
              <w:pStyle w:val="TableText"/>
              <w:spacing w:line="240" w:lineRule="auto"/>
              <w:rPr>
                <w:sz w:val="20"/>
                <w:szCs w:val="20"/>
              </w:rPr>
            </w:pPr>
          </w:p>
        </w:tc>
      </w:tr>
      <w:tr w:rsidR="006E39CD" w:rsidRPr="00061D40" w14:paraId="7F486DD9" w14:textId="77777777" w:rsidTr="00435E07">
        <w:trPr>
          <w:cantSplit/>
          <w:trHeight w:val="2301"/>
        </w:trPr>
        <w:tc>
          <w:tcPr>
            <w:tcW w:w="1716" w:type="dxa"/>
            <w:tcBorders>
              <w:top w:val="single" w:sz="4" w:space="0" w:color="auto"/>
              <w:left w:val="single" w:sz="4" w:space="0" w:color="auto"/>
              <w:bottom w:val="single" w:sz="4" w:space="0" w:color="auto"/>
              <w:right w:val="single" w:sz="4" w:space="0" w:color="auto"/>
            </w:tcBorders>
          </w:tcPr>
          <w:p w14:paraId="7F486DD2" w14:textId="77777777" w:rsidR="006E39CD" w:rsidRDefault="006E39CD" w:rsidP="00D86626">
            <w:pPr>
              <w:pStyle w:val="TableText"/>
              <w:spacing w:line="240" w:lineRule="auto"/>
              <w:rPr>
                <w:sz w:val="20"/>
                <w:szCs w:val="20"/>
              </w:rPr>
            </w:pPr>
            <w:r w:rsidRPr="00061D40">
              <w:rPr>
                <w:sz w:val="20"/>
                <w:szCs w:val="20"/>
              </w:rPr>
              <w:t>July</w:t>
            </w:r>
          </w:p>
          <w:p w14:paraId="7F486DD3" w14:textId="77777777" w:rsidR="00004948" w:rsidRPr="00061D40" w:rsidRDefault="00004948" w:rsidP="00D86626">
            <w:pPr>
              <w:pStyle w:val="TableText"/>
              <w:spacing w:line="240" w:lineRule="auto"/>
              <w:rPr>
                <w:sz w:val="20"/>
                <w:szCs w:val="20"/>
              </w:rPr>
            </w:pPr>
          </w:p>
        </w:tc>
        <w:tc>
          <w:tcPr>
            <w:tcW w:w="7584" w:type="dxa"/>
            <w:tcBorders>
              <w:top w:val="single" w:sz="4" w:space="0" w:color="auto"/>
              <w:left w:val="single" w:sz="4" w:space="0" w:color="auto"/>
              <w:bottom w:val="single" w:sz="4" w:space="0" w:color="auto"/>
              <w:right w:val="single" w:sz="4" w:space="0" w:color="auto"/>
            </w:tcBorders>
          </w:tcPr>
          <w:p w14:paraId="7F486DD4" w14:textId="77777777" w:rsidR="006E39CD" w:rsidRPr="00061D40" w:rsidRDefault="006E39CD" w:rsidP="00D86626">
            <w:pPr>
              <w:pStyle w:val="TableText"/>
              <w:spacing w:line="240" w:lineRule="auto"/>
              <w:rPr>
                <w:sz w:val="20"/>
                <w:szCs w:val="20"/>
              </w:rPr>
            </w:pPr>
            <w:r w:rsidRPr="00061D40">
              <w:rPr>
                <w:sz w:val="20"/>
                <w:szCs w:val="20"/>
              </w:rPr>
              <w:t>Grants for Recurrent Expenditure – Advance payment of RG and ISA.</w:t>
            </w:r>
          </w:p>
          <w:p w14:paraId="7F486DD5" w14:textId="77777777" w:rsidR="006E39CD" w:rsidRPr="00061D40" w:rsidRDefault="006E39CD" w:rsidP="00D86626">
            <w:pPr>
              <w:pStyle w:val="TableText"/>
              <w:spacing w:line="240" w:lineRule="auto"/>
              <w:rPr>
                <w:sz w:val="20"/>
                <w:szCs w:val="20"/>
              </w:rPr>
            </w:pPr>
            <w:r w:rsidRPr="00061D40">
              <w:rPr>
                <w:sz w:val="20"/>
                <w:szCs w:val="20"/>
              </w:rPr>
              <w:t xml:space="preserve">Second RG Program payment based on 75 per cent of estimated annual entitlement less payments already made for this year. </w:t>
            </w:r>
          </w:p>
          <w:p w14:paraId="7F486DD6" w14:textId="77777777" w:rsidR="006E39CD" w:rsidRPr="00061D40" w:rsidRDefault="006E39CD" w:rsidP="00D86626">
            <w:pPr>
              <w:pStyle w:val="TableText"/>
              <w:spacing w:line="240" w:lineRule="auto"/>
              <w:rPr>
                <w:sz w:val="20"/>
                <w:szCs w:val="20"/>
              </w:rPr>
            </w:pPr>
            <w:r w:rsidRPr="00061D40">
              <w:rPr>
                <w:sz w:val="20"/>
                <w:szCs w:val="20"/>
              </w:rPr>
              <w:t>Second payment of ISA Program based on 75 per cent of estimated annual entitlement less payments already made for this year.</w:t>
            </w:r>
          </w:p>
          <w:p w14:paraId="7F486DD7" w14:textId="77777777" w:rsidR="006E39CD" w:rsidRPr="00061D40" w:rsidRDefault="006E39CD" w:rsidP="00D86626">
            <w:pPr>
              <w:pStyle w:val="TableText"/>
              <w:spacing w:line="240" w:lineRule="auto"/>
              <w:rPr>
                <w:sz w:val="20"/>
                <w:szCs w:val="20"/>
              </w:rPr>
            </w:pPr>
            <w:r w:rsidRPr="00061D40">
              <w:rPr>
                <w:sz w:val="20"/>
                <w:szCs w:val="20"/>
              </w:rPr>
              <w:t>LNSLN – third payment is one quarter of the initial entitlement.</w:t>
            </w:r>
          </w:p>
          <w:p w14:paraId="7F486DD8" w14:textId="77777777" w:rsidR="006E39CD" w:rsidRPr="00061D40" w:rsidRDefault="006E39CD" w:rsidP="00D86626">
            <w:pPr>
              <w:pStyle w:val="TableText"/>
              <w:rPr>
                <w:sz w:val="20"/>
                <w:szCs w:val="20"/>
              </w:rPr>
            </w:pPr>
            <w:r w:rsidRPr="00061D40">
              <w:rPr>
                <w:sz w:val="20"/>
                <w:szCs w:val="20"/>
              </w:rPr>
              <w:t>CAP – third payment is one quarter of the initial entitlement.</w:t>
            </w:r>
          </w:p>
        </w:tc>
      </w:tr>
      <w:tr w:rsidR="008B3E93" w:rsidRPr="00061D40" w14:paraId="7F486DDC" w14:textId="77777777" w:rsidTr="00435E07">
        <w:trPr>
          <w:cantSplit/>
        </w:trPr>
        <w:tc>
          <w:tcPr>
            <w:tcW w:w="1716" w:type="dxa"/>
            <w:tcBorders>
              <w:top w:val="single" w:sz="4" w:space="0" w:color="auto"/>
              <w:left w:val="single" w:sz="4" w:space="0" w:color="auto"/>
              <w:bottom w:val="single" w:sz="4" w:space="0" w:color="auto"/>
              <w:right w:val="single" w:sz="4" w:space="0" w:color="auto"/>
            </w:tcBorders>
          </w:tcPr>
          <w:p w14:paraId="7F486DDA" w14:textId="77777777" w:rsidR="008B3E93" w:rsidRPr="00061D40" w:rsidRDefault="008B3E93" w:rsidP="00D86626">
            <w:pPr>
              <w:pStyle w:val="TableText"/>
              <w:spacing w:line="240" w:lineRule="auto"/>
              <w:rPr>
                <w:sz w:val="20"/>
                <w:szCs w:val="20"/>
              </w:rPr>
            </w:pPr>
            <w:r w:rsidRPr="00061D40">
              <w:rPr>
                <w:sz w:val="20"/>
                <w:szCs w:val="20"/>
              </w:rPr>
              <w:t>First Friday in August</w:t>
            </w:r>
          </w:p>
        </w:tc>
        <w:tc>
          <w:tcPr>
            <w:tcW w:w="7584" w:type="dxa"/>
            <w:tcBorders>
              <w:top w:val="single" w:sz="4" w:space="0" w:color="auto"/>
              <w:left w:val="single" w:sz="4" w:space="0" w:color="auto"/>
              <w:bottom w:val="single" w:sz="4" w:space="0" w:color="auto"/>
              <w:right w:val="single" w:sz="4" w:space="0" w:color="auto"/>
            </w:tcBorders>
          </w:tcPr>
          <w:p w14:paraId="7F486DDB" w14:textId="77777777" w:rsidR="008B3E93" w:rsidRPr="00061D40" w:rsidRDefault="008B3E93" w:rsidP="00D86626">
            <w:pPr>
              <w:pStyle w:val="TableText"/>
              <w:spacing w:line="240" w:lineRule="auto"/>
              <w:rPr>
                <w:sz w:val="20"/>
                <w:szCs w:val="20"/>
              </w:rPr>
            </w:pPr>
            <w:r w:rsidRPr="00061D40">
              <w:rPr>
                <w:sz w:val="20"/>
                <w:szCs w:val="20"/>
              </w:rPr>
              <w:t>Schools Census date for all States.</w:t>
            </w:r>
          </w:p>
        </w:tc>
      </w:tr>
      <w:tr w:rsidR="008B3E93" w:rsidRPr="00061D40" w14:paraId="7F486DE0" w14:textId="77777777" w:rsidTr="00435E07">
        <w:trPr>
          <w:cantSplit/>
          <w:trHeight w:val="670"/>
        </w:trPr>
        <w:tc>
          <w:tcPr>
            <w:tcW w:w="1716" w:type="dxa"/>
            <w:tcBorders>
              <w:top w:val="single" w:sz="4" w:space="0" w:color="auto"/>
              <w:left w:val="single" w:sz="4" w:space="0" w:color="auto"/>
              <w:bottom w:val="single" w:sz="4" w:space="0" w:color="auto"/>
              <w:right w:val="single" w:sz="4" w:space="0" w:color="auto"/>
            </w:tcBorders>
          </w:tcPr>
          <w:p w14:paraId="7F486DDD" w14:textId="77777777" w:rsidR="008B3E93" w:rsidRPr="00061D40" w:rsidRDefault="008B3E93" w:rsidP="00D86626">
            <w:pPr>
              <w:pStyle w:val="TableText"/>
              <w:spacing w:line="240" w:lineRule="auto"/>
              <w:rPr>
                <w:sz w:val="20"/>
                <w:szCs w:val="20"/>
              </w:rPr>
            </w:pPr>
            <w:r w:rsidRPr="00061D40">
              <w:rPr>
                <w:sz w:val="20"/>
                <w:szCs w:val="20"/>
              </w:rPr>
              <w:t>Second Friday in August</w:t>
            </w:r>
          </w:p>
        </w:tc>
        <w:tc>
          <w:tcPr>
            <w:tcW w:w="7584" w:type="dxa"/>
            <w:tcBorders>
              <w:top w:val="single" w:sz="4" w:space="0" w:color="auto"/>
              <w:left w:val="single" w:sz="4" w:space="0" w:color="auto"/>
              <w:bottom w:val="single" w:sz="4" w:space="0" w:color="auto"/>
              <w:right w:val="single" w:sz="4" w:space="0" w:color="auto"/>
            </w:tcBorders>
          </w:tcPr>
          <w:p w14:paraId="7F486DDE" w14:textId="77777777" w:rsidR="008B3E93" w:rsidRDefault="008B3E93" w:rsidP="00D86626">
            <w:pPr>
              <w:pStyle w:val="TableText"/>
              <w:spacing w:line="240" w:lineRule="auto"/>
              <w:rPr>
                <w:sz w:val="20"/>
                <w:szCs w:val="20"/>
              </w:rPr>
            </w:pPr>
            <w:r w:rsidRPr="00061D40">
              <w:rPr>
                <w:sz w:val="20"/>
                <w:szCs w:val="20"/>
              </w:rPr>
              <w:t>Schools Census Statutory Declarations should be completed and returned to the Department.</w:t>
            </w:r>
          </w:p>
          <w:p w14:paraId="7F486DDF" w14:textId="77777777" w:rsidR="006E39CD" w:rsidRPr="00061D40" w:rsidRDefault="00B75F9A" w:rsidP="00D86626">
            <w:pPr>
              <w:pStyle w:val="TableText"/>
              <w:rPr>
                <w:sz w:val="20"/>
                <w:szCs w:val="20"/>
              </w:rPr>
            </w:pPr>
            <w:r>
              <w:rPr>
                <w:sz w:val="20"/>
                <w:szCs w:val="20"/>
              </w:rPr>
              <w:t>ESL-NA First Claim Forms Due.</w:t>
            </w:r>
          </w:p>
        </w:tc>
      </w:tr>
      <w:tr w:rsidR="006E39CD" w:rsidRPr="00061D40" w14:paraId="7F486DE3" w14:textId="77777777" w:rsidTr="00435E07">
        <w:trPr>
          <w:cantSplit/>
          <w:trHeight w:val="318"/>
        </w:trPr>
        <w:tc>
          <w:tcPr>
            <w:tcW w:w="1716" w:type="dxa"/>
            <w:tcBorders>
              <w:top w:val="single" w:sz="4" w:space="0" w:color="auto"/>
              <w:left w:val="single" w:sz="4" w:space="0" w:color="auto"/>
              <w:bottom w:val="single" w:sz="4" w:space="0" w:color="auto"/>
              <w:right w:val="single" w:sz="4" w:space="0" w:color="auto"/>
            </w:tcBorders>
          </w:tcPr>
          <w:p w14:paraId="7F486DE1" w14:textId="77777777" w:rsidR="006E39CD" w:rsidRPr="00061D40" w:rsidRDefault="006E39CD" w:rsidP="00D86626">
            <w:pPr>
              <w:pStyle w:val="TableText"/>
              <w:rPr>
                <w:sz w:val="20"/>
                <w:szCs w:val="20"/>
              </w:rPr>
            </w:pPr>
            <w:r>
              <w:rPr>
                <w:sz w:val="20"/>
                <w:szCs w:val="20"/>
              </w:rPr>
              <w:t>September</w:t>
            </w:r>
          </w:p>
        </w:tc>
        <w:tc>
          <w:tcPr>
            <w:tcW w:w="7584" w:type="dxa"/>
            <w:tcBorders>
              <w:top w:val="single" w:sz="4" w:space="0" w:color="auto"/>
              <w:left w:val="single" w:sz="4" w:space="0" w:color="auto"/>
              <w:bottom w:val="single" w:sz="4" w:space="0" w:color="auto"/>
              <w:right w:val="single" w:sz="4" w:space="0" w:color="auto"/>
            </w:tcBorders>
          </w:tcPr>
          <w:p w14:paraId="7F486DE2" w14:textId="77777777" w:rsidR="006E39CD" w:rsidRPr="00061D40" w:rsidRDefault="006E39CD" w:rsidP="00D86626">
            <w:pPr>
              <w:pStyle w:val="TableText"/>
              <w:rPr>
                <w:sz w:val="20"/>
                <w:szCs w:val="20"/>
              </w:rPr>
            </w:pPr>
            <w:r>
              <w:rPr>
                <w:sz w:val="20"/>
                <w:szCs w:val="20"/>
              </w:rPr>
              <w:t>ESL-NA First Claim Payment.</w:t>
            </w:r>
          </w:p>
        </w:tc>
      </w:tr>
      <w:tr w:rsidR="008B3E93" w:rsidRPr="00061D40" w14:paraId="7F486DEB" w14:textId="77777777" w:rsidTr="00435E07">
        <w:trPr>
          <w:cantSplit/>
        </w:trPr>
        <w:tc>
          <w:tcPr>
            <w:tcW w:w="1716" w:type="dxa"/>
            <w:tcBorders>
              <w:top w:val="single" w:sz="4" w:space="0" w:color="auto"/>
              <w:left w:val="single" w:sz="4" w:space="0" w:color="auto"/>
              <w:bottom w:val="nil"/>
              <w:right w:val="single" w:sz="4" w:space="0" w:color="auto"/>
            </w:tcBorders>
          </w:tcPr>
          <w:p w14:paraId="7F486DE4" w14:textId="77777777" w:rsidR="008B3E93" w:rsidRPr="00061D40" w:rsidRDefault="008B3E93" w:rsidP="00D86626">
            <w:pPr>
              <w:pStyle w:val="TableText"/>
              <w:spacing w:line="240" w:lineRule="auto"/>
              <w:rPr>
                <w:sz w:val="20"/>
                <w:szCs w:val="20"/>
              </w:rPr>
            </w:pPr>
            <w:r w:rsidRPr="00061D40">
              <w:rPr>
                <w:sz w:val="20"/>
                <w:szCs w:val="20"/>
              </w:rPr>
              <w:t>October</w:t>
            </w:r>
          </w:p>
          <w:p w14:paraId="7F486DE5" w14:textId="77777777" w:rsidR="008B3E93" w:rsidRPr="00061D40" w:rsidRDefault="008B3E93" w:rsidP="00D86626">
            <w:pPr>
              <w:pStyle w:val="TableText"/>
              <w:spacing w:line="240" w:lineRule="auto"/>
              <w:rPr>
                <w:sz w:val="20"/>
                <w:szCs w:val="20"/>
              </w:rPr>
            </w:pPr>
          </w:p>
        </w:tc>
        <w:tc>
          <w:tcPr>
            <w:tcW w:w="7584" w:type="dxa"/>
            <w:tcBorders>
              <w:top w:val="single" w:sz="4" w:space="0" w:color="auto"/>
              <w:left w:val="single" w:sz="4" w:space="0" w:color="auto"/>
              <w:bottom w:val="nil"/>
              <w:right w:val="single" w:sz="4" w:space="0" w:color="auto"/>
            </w:tcBorders>
          </w:tcPr>
          <w:p w14:paraId="7F486DE6" w14:textId="77777777" w:rsidR="008B3E93" w:rsidRPr="00061D40" w:rsidRDefault="008B3E93" w:rsidP="00D86626">
            <w:pPr>
              <w:pStyle w:val="TableText"/>
              <w:spacing w:line="240" w:lineRule="auto"/>
              <w:rPr>
                <w:sz w:val="20"/>
                <w:szCs w:val="20"/>
              </w:rPr>
            </w:pPr>
            <w:r w:rsidRPr="00061D40">
              <w:rPr>
                <w:sz w:val="20"/>
                <w:szCs w:val="20"/>
              </w:rPr>
              <w:t xml:space="preserve">Grants for Recurrent Expenditure – Balancing RG Program payment: 100 per cent of annual entitlement based on current year’s Census data and final per capita funding rates less payments already made for this year. </w:t>
            </w:r>
          </w:p>
          <w:p w14:paraId="7F486DE7" w14:textId="77777777" w:rsidR="008B3E93" w:rsidRDefault="008B3E93" w:rsidP="00D86626">
            <w:pPr>
              <w:pStyle w:val="TableText"/>
              <w:spacing w:line="240" w:lineRule="auto"/>
              <w:rPr>
                <w:sz w:val="20"/>
                <w:szCs w:val="20"/>
              </w:rPr>
            </w:pPr>
            <w:r w:rsidRPr="00061D40">
              <w:rPr>
                <w:sz w:val="20"/>
                <w:szCs w:val="20"/>
              </w:rPr>
              <w:t>100 per cent of Remoteness Loading entitlement and ISA Program based on current year’s Census data and final per capita funding rates less payments already made for this year.</w:t>
            </w:r>
          </w:p>
          <w:p w14:paraId="7F486DE8" w14:textId="77777777" w:rsidR="007A52CF" w:rsidRPr="00061D40" w:rsidRDefault="00390D81" w:rsidP="00D86626">
            <w:pPr>
              <w:pStyle w:val="TableText"/>
              <w:spacing w:line="240" w:lineRule="auto"/>
              <w:rPr>
                <w:sz w:val="20"/>
                <w:szCs w:val="20"/>
              </w:rPr>
            </w:pPr>
            <w:r>
              <w:rPr>
                <w:sz w:val="20"/>
                <w:szCs w:val="20"/>
              </w:rPr>
              <w:t>100 per cent of entitlement under</w:t>
            </w:r>
            <w:r w:rsidR="007A52CF">
              <w:rPr>
                <w:sz w:val="20"/>
                <w:szCs w:val="20"/>
              </w:rPr>
              <w:t xml:space="preserve"> increased ISA for non-remote non-government boarding schools</w:t>
            </w:r>
            <w:r>
              <w:rPr>
                <w:sz w:val="20"/>
                <w:szCs w:val="20"/>
              </w:rPr>
              <w:t xml:space="preserve"> program</w:t>
            </w:r>
            <w:r w:rsidR="007A52CF">
              <w:rPr>
                <w:sz w:val="20"/>
                <w:szCs w:val="20"/>
              </w:rPr>
              <w:t>.</w:t>
            </w:r>
          </w:p>
          <w:p w14:paraId="7F486DE9" w14:textId="77777777" w:rsidR="008B3E93" w:rsidRDefault="008B3E93" w:rsidP="00390D81">
            <w:pPr>
              <w:pStyle w:val="TableText"/>
              <w:spacing w:line="240" w:lineRule="auto"/>
              <w:rPr>
                <w:sz w:val="20"/>
                <w:szCs w:val="20"/>
              </w:rPr>
            </w:pPr>
            <w:r w:rsidRPr="00061D40">
              <w:rPr>
                <w:sz w:val="20"/>
                <w:szCs w:val="20"/>
              </w:rPr>
              <w:t xml:space="preserve">100 per cent of IFG </w:t>
            </w:r>
            <w:r w:rsidR="00390D81">
              <w:rPr>
                <w:sz w:val="20"/>
                <w:szCs w:val="20"/>
              </w:rPr>
              <w:t>(Total School Approach) entitlement</w:t>
            </w:r>
            <w:r w:rsidRPr="00061D40">
              <w:rPr>
                <w:sz w:val="20"/>
                <w:szCs w:val="20"/>
              </w:rPr>
              <w:t xml:space="preserve"> less payments already made for this year.</w:t>
            </w:r>
          </w:p>
          <w:p w14:paraId="7F486DEA" w14:textId="77777777" w:rsidR="00390D81" w:rsidRPr="00061D40" w:rsidRDefault="00390D81" w:rsidP="00390D81">
            <w:pPr>
              <w:pStyle w:val="TableText"/>
              <w:spacing w:line="240" w:lineRule="auto"/>
              <w:rPr>
                <w:sz w:val="20"/>
                <w:szCs w:val="20"/>
              </w:rPr>
            </w:pPr>
            <w:r>
              <w:rPr>
                <w:sz w:val="20"/>
                <w:szCs w:val="20"/>
              </w:rPr>
              <w:t>100 per cent of IFG (Per Capita Approach) entitlement.</w:t>
            </w:r>
          </w:p>
        </w:tc>
      </w:tr>
      <w:tr w:rsidR="008B3E93" w:rsidRPr="00061D40" w14:paraId="7F486DEE" w14:textId="77777777" w:rsidTr="00435E07">
        <w:trPr>
          <w:cantSplit/>
        </w:trPr>
        <w:tc>
          <w:tcPr>
            <w:tcW w:w="1716" w:type="dxa"/>
            <w:tcBorders>
              <w:top w:val="nil"/>
              <w:left w:val="single" w:sz="4" w:space="0" w:color="auto"/>
              <w:right w:val="single" w:sz="4" w:space="0" w:color="auto"/>
            </w:tcBorders>
          </w:tcPr>
          <w:p w14:paraId="7F486DEC" w14:textId="77777777" w:rsidR="008B3E93" w:rsidRPr="00061D40" w:rsidRDefault="008B3E93" w:rsidP="00D86626">
            <w:pPr>
              <w:pStyle w:val="TableText"/>
              <w:spacing w:line="240" w:lineRule="auto"/>
              <w:rPr>
                <w:sz w:val="20"/>
                <w:szCs w:val="20"/>
              </w:rPr>
            </w:pPr>
          </w:p>
        </w:tc>
        <w:tc>
          <w:tcPr>
            <w:tcW w:w="7584" w:type="dxa"/>
            <w:tcBorders>
              <w:top w:val="nil"/>
              <w:left w:val="single" w:sz="4" w:space="0" w:color="auto"/>
              <w:right w:val="single" w:sz="4" w:space="0" w:color="auto"/>
            </w:tcBorders>
          </w:tcPr>
          <w:p w14:paraId="7F486DED" w14:textId="77777777" w:rsidR="008B3E93" w:rsidRPr="00061D40" w:rsidRDefault="008B3E93" w:rsidP="00D86626">
            <w:pPr>
              <w:pStyle w:val="TableText"/>
              <w:spacing w:line="240" w:lineRule="auto"/>
              <w:rPr>
                <w:sz w:val="20"/>
                <w:szCs w:val="20"/>
              </w:rPr>
            </w:pPr>
            <w:r w:rsidRPr="00061D40">
              <w:rPr>
                <w:sz w:val="20"/>
                <w:szCs w:val="20"/>
              </w:rPr>
              <w:t>LNSLN – fourth payment is one quarter of the initial entitlement.</w:t>
            </w:r>
          </w:p>
        </w:tc>
      </w:tr>
      <w:tr w:rsidR="008B3E93" w:rsidRPr="00061D40" w14:paraId="7F486DF1" w14:textId="77777777" w:rsidTr="00435E07">
        <w:trPr>
          <w:cantSplit/>
        </w:trPr>
        <w:tc>
          <w:tcPr>
            <w:tcW w:w="1716" w:type="dxa"/>
            <w:tcBorders>
              <w:top w:val="nil"/>
              <w:left w:val="single" w:sz="4" w:space="0" w:color="auto"/>
              <w:right w:val="single" w:sz="4" w:space="0" w:color="auto"/>
            </w:tcBorders>
          </w:tcPr>
          <w:p w14:paraId="7F486DEF" w14:textId="77777777" w:rsidR="008B3E93" w:rsidRPr="00061D40" w:rsidRDefault="008B3E93" w:rsidP="00D86626">
            <w:pPr>
              <w:pStyle w:val="TableText"/>
              <w:spacing w:line="240" w:lineRule="auto"/>
              <w:rPr>
                <w:sz w:val="20"/>
                <w:szCs w:val="20"/>
              </w:rPr>
            </w:pPr>
          </w:p>
        </w:tc>
        <w:tc>
          <w:tcPr>
            <w:tcW w:w="7584" w:type="dxa"/>
            <w:tcBorders>
              <w:top w:val="nil"/>
              <w:left w:val="single" w:sz="4" w:space="0" w:color="auto"/>
              <w:right w:val="single" w:sz="4" w:space="0" w:color="auto"/>
            </w:tcBorders>
          </w:tcPr>
          <w:p w14:paraId="7F486DF0" w14:textId="77777777" w:rsidR="008B3E93" w:rsidRPr="00061D40" w:rsidRDefault="008B3E93" w:rsidP="00D86626">
            <w:pPr>
              <w:pStyle w:val="TableText"/>
              <w:spacing w:line="240" w:lineRule="auto"/>
              <w:rPr>
                <w:sz w:val="20"/>
                <w:szCs w:val="20"/>
              </w:rPr>
            </w:pPr>
            <w:r w:rsidRPr="00061D40">
              <w:rPr>
                <w:sz w:val="20"/>
                <w:szCs w:val="20"/>
              </w:rPr>
              <w:t>CAP – fourth payment is one quarter of the initial entitlement.</w:t>
            </w:r>
          </w:p>
        </w:tc>
      </w:tr>
      <w:tr w:rsidR="008B3E93" w:rsidRPr="00061D40" w14:paraId="7F486DF4" w14:textId="77777777" w:rsidTr="00435E07">
        <w:trPr>
          <w:cantSplit/>
          <w:trHeight w:val="569"/>
        </w:trPr>
        <w:tc>
          <w:tcPr>
            <w:tcW w:w="1716" w:type="dxa"/>
            <w:tcBorders>
              <w:top w:val="single" w:sz="4" w:space="0" w:color="auto"/>
              <w:left w:val="single" w:sz="4" w:space="0" w:color="auto"/>
              <w:bottom w:val="single" w:sz="4" w:space="0" w:color="auto"/>
              <w:right w:val="single" w:sz="4" w:space="0" w:color="auto"/>
            </w:tcBorders>
          </w:tcPr>
          <w:p w14:paraId="7F486DF2" w14:textId="77777777" w:rsidR="008B3E93" w:rsidRPr="00061D40" w:rsidRDefault="008B3E93" w:rsidP="00D86626">
            <w:pPr>
              <w:pStyle w:val="TableText"/>
              <w:spacing w:line="240" w:lineRule="auto"/>
              <w:rPr>
                <w:sz w:val="20"/>
                <w:szCs w:val="20"/>
              </w:rPr>
            </w:pPr>
            <w:r w:rsidRPr="00061D40">
              <w:rPr>
                <w:sz w:val="20"/>
                <w:szCs w:val="20"/>
              </w:rPr>
              <w:t>Early November</w:t>
            </w:r>
          </w:p>
        </w:tc>
        <w:tc>
          <w:tcPr>
            <w:tcW w:w="7584" w:type="dxa"/>
            <w:tcBorders>
              <w:top w:val="single" w:sz="4" w:space="0" w:color="auto"/>
              <w:left w:val="single" w:sz="4" w:space="0" w:color="auto"/>
              <w:bottom w:val="single" w:sz="4" w:space="0" w:color="auto"/>
              <w:right w:val="single" w:sz="4" w:space="0" w:color="auto"/>
            </w:tcBorders>
          </w:tcPr>
          <w:p w14:paraId="7F486DF3" w14:textId="77777777" w:rsidR="006E39CD" w:rsidRPr="00061D40" w:rsidRDefault="008B3E93" w:rsidP="00D86626">
            <w:pPr>
              <w:pStyle w:val="TableText"/>
              <w:rPr>
                <w:sz w:val="20"/>
                <w:szCs w:val="20"/>
              </w:rPr>
            </w:pPr>
            <w:r w:rsidRPr="00061D40">
              <w:rPr>
                <w:sz w:val="20"/>
                <w:szCs w:val="20"/>
              </w:rPr>
              <w:t>School Languages Program – Supplementation payments made annually in line with changes to the AGSRC.</w:t>
            </w:r>
          </w:p>
        </w:tc>
      </w:tr>
      <w:tr w:rsidR="006E39CD" w:rsidRPr="00061D40" w14:paraId="7F486DF7" w14:textId="77777777" w:rsidTr="00435E07">
        <w:trPr>
          <w:cantSplit/>
          <w:trHeight w:val="335"/>
        </w:trPr>
        <w:tc>
          <w:tcPr>
            <w:tcW w:w="1716" w:type="dxa"/>
            <w:tcBorders>
              <w:top w:val="single" w:sz="4" w:space="0" w:color="auto"/>
              <w:left w:val="single" w:sz="4" w:space="0" w:color="auto"/>
              <w:bottom w:val="single" w:sz="4" w:space="0" w:color="auto"/>
              <w:right w:val="single" w:sz="4" w:space="0" w:color="auto"/>
            </w:tcBorders>
          </w:tcPr>
          <w:p w14:paraId="7F486DF5" w14:textId="77777777" w:rsidR="006E39CD" w:rsidRPr="00061D40" w:rsidRDefault="006E39CD" w:rsidP="00D86626">
            <w:pPr>
              <w:pStyle w:val="TableText"/>
              <w:rPr>
                <w:sz w:val="20"/>
                <w:szCs w:val="20"/>
              </w:rPr>
            </w:pPr>
            <w:r>
              <w:rPr>
                <w:sz w:val="20"/>
                <w:szCs w:val="20"/>
              </w:rPr>
              <w:t>Fourth Friday in November</w:t>
            </w:r>
          </w:p>
        </w:tc>
        <w:tc>
          <w:tcPr>
            <w:tcW w:w="7584" w:type="dxa"/>
            <w:tcBorders>
              <w:top w:val="single" w:sz="4" w:space="0" w:color="auto"/>
              <w:left w:val="single" w:sz="4" w:space="0" w:color="auto"/>
              <w:bottom w:val="single" w:sz="4" w:space="0" w:color="auto"/>
              <w:right w:val="single" w:sz="4" w:space="0" w:color="auto"/>
            </w:tcBorders>
          </w:tcPr>
          <w:p w14:paraId="7F486DF6" w14:textId="77777777" w:rsidR="006E39CD" w:rsidRPr="00061D40" w:rsidRDefault="006E39CD" w:rsidP="00D86626">
            <w:pPr>
              <w:pStyle w:val="TableText"/>
              <w:rPr>
                <w:sz w:val="20"/>
                <w:szCs w:val="20"/>
              </w:rPr>
            </w:pPr>
            <w:r>
              <w:rPr>
                <w:sz w:val="20"/>
                <w:szCs w:val="20"/>
              </w:rPr>
              <w:t>ESL-NA Second Claim Form Due.</w:t>
            </w:r>
          </w:p>
        </w:tc>
      </w:tr>
      <w:tr w:rsidR="008B3E93" w:rsidRPr="00061D40" w14:paraId="7F486DFC" w14:textId="77777777" w:rsidTr="00435E07">
        <w:trPr>
          <w:cantSplit/>
        </w:trPr>
        <w:tc>
          <w:tcPr>
            <w:tcW w:w="1716" w:type="dxa"/>
            <w:tcBorders>
              <w:top w:val="single" w:sz="4" w:space="0" w:color="auto"/>
              <w:left w:val="single" w:sz="4" w:space="0" w:color="auto"/>
              <w:bottom w:val="single" w:sz="4" w:space="0" w:color="auto"/>
              <w:right w:val="single" w:sz="4" w:space="0" w:color="auto"/>
            </w:tcBorders>
          </w:tcPr>
          <w:p w14:paraId="7F486DF8" w14:textId="77777777" w:rsidR="008B3E93" w:rsidRPr="00061D40" w:rsidRDefault="008B3E93" w:rsidP="00D86626">
            <w:pPr>
              <w:pStyle w:val="TableText"/>
              <w:spacing w:line="240" w:lineRule="auto"/>
              <w:rPr>
                <w:sz w:val="20"/>
                <w:szCs w:val="20"/>
              </w:rPr>
            </w:pPr>
            <w:r w:rsidRPr="00061D40">
              <w:rPr>
                <w:sz w:val="20"/>
                <w:szCs w:val="20"/>
              </w:rPr>
              <w:t>December</w:t>
            </w:r>
          </w:p>
        </w:tc>
        <w:tc>
          <w:tcPr>
            <w:tcW w:w="7584" w:type="dxa"/>
            <w:tcBorders>
              <w:top w:val="single" w:sz="4" w:space="0" w:color="auto"/>
              <w:left w:val="single" w:sz="4" w:space="0" w:color="auto"/>
              <w:bottom w:val="single" w:sz="4" w:space="0" w:color="auto"/>
              <w:right w:val="single" w:sz="4" w:space="0" w:color="auto"/>
            </w:tcBorders>
          </w:tcPr>
          <w:p w14:paraId="7F486DF9" w14:textId="77777777" w:rsidR="008B3E93" w:rsidRDefault="008B3E93" w:rsidP="00D86626">
            <w:pPr>
              <w:pStyle w:val="TableText"/>
              <w:spacing w:line="240" w:lineRule="auto"/>
              <w:rPr>
                <w:sz w:val="20"/>
                <w:szCs w:val="20"/>
              </w:rPr>
            </w:pPr>
            <w:r w:rsidRPr="00061D40">
              <w:rPr>
                <w:sz w:val="20"/>
                <w:szCs w:val="20"/>
              </w:rPr>
              <w:t>LNSLN – additional payment to reflect supplementation.</w:t>
            </w:r>
          </w:p>
          <w:p w14:paraId="7F486DFA" w14:textId="77777777" w:rsidR="006E39CD" w:rsidRDefault="006E39CD" w:rsidP="00D86626">
            <w:pPr>
              <w:pStyle w:val="TableText"/>
              <w:spacing w:line="240" w:lineRule="auto"/>
              <w:rPr>
                <w:sz w:val="20"/>
                <w:szCs w:val="20"/>
              </w:rPr>
            </w:pPr>
            <w:r>
              <w:rPr>
                <w:sz w:val="20"/>
                <w:szCs w:val="20"/>
              </w:rPr>
              <w:t>CAP – additional payment to reflect supplementation.</w:t>
            </w:r>
          </w:p>
          <w:p w14:paraId="7F486DFB" w14:textId="77777777" w:rsidR="006E39CD" w:rsidRPr="00061D40" w:rsidDel="00704E27" w:rsidRDefault="006E39CD" w:rsidP="00D86626">
            <w:pPr>
              <w:pStyle w:val="TableText"/>
              <w:spacing w:line="240" w:lineRule="auto"/>
              <w:rPr>
                <w:sz w:val="20"/>
                <w:szCs w:val="20"/>
              </w:rPr>
            </w:pPr>
            <w:r>
              <w:rPr>
                <w:sz w:val="20"/>
                <w:szCs w:val="20"/>
              </w:rPr>
              <w:t>ESL-NA – Second Claim Payment, including supplementation.</w:t>
            </w:r>
          </w:p>
        </w:tc>
      </w:tr>
    </w:tbl>
    <w:p w14:paraId="7F486DFD" w14:textId="77777777" w:rsidR="006E39CD" w:rsidRDefault="006E39CD" w:rsidP="006455DC">
      <w:pPr>
        <w:pStyle w:val="Tablefootnote"/>
        <w:spacing w:line="240" w:lineRule="auto"/>
        <w:rPr>
          <w:szCs w:val="20"/>
        </w:rPr>
      </w:pPr>
    </w:p>
    <w:p w14:paraId="7F486DFE" w14:textId="77777777" w:rsidR="0072435F" w:rsidRDefault="00627149" w:rsidP="006455DC">
      <w:pPr>
        <w:pStyle w:val="Tablefootnote"/>
        <w:spacing w:line="240" w:lineRule="auto"/>
        <w:rPr>
          <w:szCs w:val="20"/>
        </w:rPr>
      </w:pPr>
      <w:r w:rsidRPr="00061D40">
        <w:rPr>
          <w:szCs w:val="20"/>
        </w:rPr>
        <w:t xml:space="preserve">NOTE: Information on new programs, funding applications, announcements etc. are made during the year and are available on the DEEWR website at: </w:t>
      </w:r>
      <w:r w:rsidR="00866692" w:rsidRPr="00866692">
        <w:t>http://deewr.gov.au/</w:t>
      </w:r>
      <w:r w:rsidR="0072435F">
        <w:rPr>
          <w:szCs w:val="20"/>
        </w:rPr>
        <w:t>.</w:t>
      </w:r>
    </w:p>
    <w:p w14:paraId="7F486DFF" w14:textId="77777777" w:rsidR="00653D35" w:rsidRDefault="00E64D1F" w:rsidP="008E71A5">
      <w:r w:rsidRPr="00061D40">
        <w:t xml:space="preserve">Under the </w:t>
      </w:r>
      <w:r w:rsidRPr="00061D40">
        <w:rPr>
          <w:i/>
        </w:rPr>
        <w:t>Intergovernmental Agreement on Federal Financial Relations</w:t>
      </w:r>
      <w:r w:rsidRPr="00061D40">
        <w:t xml:space="preserve"> between the Commonwealth and the states and territories, payments are made from the Commonwealth Treasury to state and territory treasuries on the seventh day of the relevant month.</w:t>
      </w:r>
      <w:bookmarkEnd w:id="0"/>
      <w:bookmarkEnd w:id="1"/>
    </w:p>
    <w:p w14:paraId="7F486E00" w14:textId="77777777" w:rsidR="006E39CD" w:rsidRPr="009E202E" w:rsidRDefault="006E39CD" w:rsidP="008E71A5"/>
    <w:sectPr w:rsidR="006E39CD" w:rsidRPr="009E202E" w:rsidSect="00963340">
      <w:headerReference w:type="even" r:id="rId85"/>
      <w:headerReference w:type="default" r:id="rId86"/>
      <w:headerReference w:type="first" r:id="rId87"/>
      <w:pgSz w:w="11906" w:h="16838" w:code="9"/>
      <w:pgMar w:top="1418" w:right="1418" w:bottom="1134"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86E07" w14:textId="77777777" w:rsidR="000609B4" w:rsidRDefault="000609B4">
      <w:r>
        <w:separator/>
      </w:r>
    </w:p>
  </w:endnote>
  <w:endnote w:type="continuationSeparator" w:id="0">
    <w:p w14:paraId="7F486E08" w14:textId="77777777" w:rsidR="000609B4" w:rsidRDefault="0006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6E09" w14:textId="77777777" w:rsidR="000609B4" w:rsidRPr="006455DC" w:rsidRDefault="000609B4" w:rsidP="006455DC">
    <w:pPr>
      <w:pStyle w:val="Footer"/>
      <w:jc w:val="right"/>
    </w:pPr>
    <w:r w:rsidRPr="00F00C7B">
      <w:rPr>
        <w:rStyle w:val="TablefootnoteChar"/>
        <w:i w:val="0"/>
        <w:sz w:val="16"/>
        <w:szCs w:val="16"/>
      </w:rPr>
      <w:t>Adminis</w:t>
    </w:r>
    <w:r>
      <w:rPr>
        <w:rStyle w:val="TablefootnoteChar"/>
        <w:i w:val="0"/>
        <w:sz w:val="16"/>
        <w:szCs w:val="16"/>
      </w:rPr>
      <w:t>tra</w:t>
    </w:r>
    <w:r w:rsidRPr="00F00C7B">
      <w:rPr>
        <w:rStyle w:val="TablefootnoteChar"/>
        <w:i w:val="0"/>
        <w:sz w:val="16"/>
        <w:szCs w:val="16"/>
      </w:rPr>
      <w:t xml:space="preserve">tive Guidelines: </w:t>
    </w:r>
    <w:r>
      <w:rPr>
        <w:rStyle w:val="TablefootnoteChar"/>
        <w:i w:val="0"/>
        <w:sz w:val="16"/>
        <w:szCs w:val="16"/>
      </w:rPr>
      <w:t>2013 Update</w:t>
    </w:r>
    <w:r>
      <w:rPr>
        <w:rFonts w:ascii="Garamond" w:hAnsi="Garamond"/>
        <w:sz w:val="18"/>
        <w:szCs w:val="18"/>
      </w:rPr>
      <w:t xml:space="preserve"> </w:t>
    </w:r>
    <w:r w:rsidRPr="006455DC">
      <w:rPr>
        <w:rStyle w:val="Heading1Char"/>
        <w:b/>
        <w:sz w:val="24"/>
        <w:szCs w:val="24"/>
      </w:rPr>
      <w:t>|</w:t>
    </w:r>
    <w:r>
      <w:rPr>
        <w:rStyle w:val="Heading1Char"/>
        <w:b/>
        <w:sz w:val="24"/>
        <w:szCs w:val="24"/>
      </w:rPr>
      <w:t xml:space="preserve"> </w:t>
    </w:r>
    <w:r>
      <w:rPr>
        <w:sz w:val="18"/>
        <w:szCs w:val="18"/>
      </w:rPr>
      <w:fldChar w:fldCharType="begin"/>
    </w:r>
    <w:r>
      <w:rPr>
        <w:sz w:val="18"/>
        <w:szCs w:val="18"/>
      </w:rPr>
      <w:instrText xml:space="preserve"> PAGE  \* roman </w:instrText>
    </w:r>
    <w:r>
      <w:rPr>
        <w:sz w:val="18"/>
        <w:szCs w:val="18"/>
      </w:rPr>
      <w:fldChar w:fldCharType="separate"/>
    </w:r>
    <w:r w:rsidR="00C73D8D">
      <w:rPr>
        <w:noProof/>
        <w:sz w:val="18"/>
        <w:szCs w:val="18"/>
      </w:rPr>
      <w:t>iii</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6E0A" w14:textId="77777777" w:rsidR="000609B4" w:rsidRPr="00963340" w:rsidRDefault="000609B4" w:rsidP="00963340">
    <w:pPr>
      <w:pStyle w:val="Footer"/>
      <w:rPr>
        <w:rFonts w:ascii="Garamond" w:hAnsi="Garamond"/>
        <w:sz w:val="18"/>
        <w:szCs w:val="18"/>
      </w:rPr>
    </w:pPr>
    <w:r>
      <w:rPr>
        <w:sz w:val="18"/>
        <w:szCs w:val="18"/>
      </w:rPr>
      <w:fldChar w:fldCharType="begin"/>
    </w:r>
    <w:r>
      <w:rPr>
        <w:sz w:val="18"/>
        <w:szCs w:val="18"/>
      </w:rPr>
      <w:instrText xml:space="preserve"> PAGE  \* roman </w:instrText>
    </w:r>
    <w:r>
      <w:rPr>
        <w:sz w:val="18"/>
        <w:szCs w:val="18"/>
      </w:rPr>
      <w:fldChar w:fldCharType="separate"/>
    </w:r>
    <w:r w:rsidR="00C73D8D">
      <w:rPr>
        <w:noProof/>
        <w:sz w:val="18"/>
        <w:szCs w:val="18"/>
      </w:rPr>
      <w:t>iv</w:t>
    </w:r>
    <w:r>
      <w:rPr>
        <w:sz w:val="18"/>
        <w:szCs w:val="18"/>
      </w:rPr>
      <w:fldChar w:fldCharType="end"/>
    </w:r>
    <w:r w:rsidRPr="00EB1549">
      <w:rPr>
        <w:rFonts w:ascii="Garamond" w:hAnsi="Garamond"/>
        <w:sz w:val="18"/>
        <w:szCs w:val="18"/>
      </w:rPr>
      <w:t xml:space="preserve"> </w:t>
    </w:r>
    <w:r>
      <w:rPr>
        <w:rFonts w:ascii="Garamond" w:hAnsi="Garamond"/>
        <w:sz w:val="18"/>
        <w:szCs w:val="18"/>
      </w:rPr>
      <w:t xml:space="preserve"> </w:t>
    </w:r>
    <w:r w:rsidRPr="00963340">
      <w:rPr>
        <w:rStyle w:val="Heading1Char"/>
        <w:b/>
        <w:sz w:val="24"/>
        <w:szCs w:val="24"/>
      </w:rPr>
      <w:t>|</w:t>
    </w:r>
    <w:r w:rsidRPr="00F00C7B">
      <w:rPr>
        <w:rFonts w:ascii="Garamond" w:hAnsi="Garamond"/>
        <w:sz w:val="18"/>
        <w:szCs w:val="18"/>
      </w:rPr>
      <w:t xml:space="preserve">   </w:t>
    </w:r>
    <w:r>
      <w:rPr>
        <w:rStyle w:val="TablefootnoteChar"/>
        <w:i w:val="0"/>
        <w:sz w:val="16"/>
        <w:szCs w:val="16"/>
      </w:rPr>
      <w:t>Administrative Guidelines: 2013 Update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6E0D" w14:textId="77777777" w:rsidR="000609B4" w:rsidRPr="00963340" w:rsidRDefault="000609B4" w:rsidP="00963340">
    <w:pPr>
      <w:pStyle w:val="Footer"/>
      <w:rPr>
        <w:rFonts w:ascii="Garamond" w:hAnsi="Garamond"/>
        <w:sz w:val="18"/>
        <w:szCs w:val="18"/>
      </w:rPr>
    </w:pPr>
    <w:r w:rsidRPr="00780B12">
      <w:rPr>
        <w:sz w:val="18"/>
        <w:szCs w:val="18"/>
      </w:rPr>
      <w:fldChar w:fldCharType="begin"/>
    </w:r>
    <w:r w:rsidRPr="00780B12">
      <w:rPr>
        <w:sz w:val="18"/>
        <w:szCs w:val="18"/>
      </w:rPr>
      <w:instrText xml:space="preserve"> PAGE </w:instrText>
    </w:r>
    <w:r w:rsidRPr="00780B12">
      <w:rPr>
        <w:sz w:val="18"/>
        <w:szCs w:val="18"/>
      </w:rPr>
      <w:fldChar w:fldCharType="separate"/>
    </w:r>
    <w:r w:rsidR="00C73D8D">
      <w:rPr>
        <w:noProof/>
        <w:sz w:val="18"/>
        <w:szCs w:val="18"/>
      </w:rPr>
      <w:t>92</w:t>
    </w:r>
    <w:r w:rsidRPr="00780B12">
      <w:rPr>
        <w:sz w:val="18"/>
        <w:szCs w:val="18"/>
      </w:rPr>
      <w:fldChar w:fldCharType="end"/>
    </w:r>
    <w:r w:rsidRPr="00EB1549">
      <w:rPr>
        <w:rFonts w:ascii="Garamond" w:hAnsi="Garamond"/>
        <w:sz w:val="18"/>
        <w:szCs w:val="18"/>
      </w:rPr>
      <w:t xml:space="preserve"> </w:t>
    </w:r>
    <w:r>
      <w:rPr>
        <w:rFonts w:ascii="Garamond" w:hAnsi="Garamond"/>
        <w:sz w:val="18"/>
        <w:szCs w:val="18"/>
      </w:rPr>
      <w:t xml:space="preserve"> </w:t>
    </w:r>
    <w:r w:rsidRPr="00963340">
      <w:rPr>
        <w:rStyle w:val="Heading1Char"/>
        <w:b/>
        <w:sz w:val="24"/>
        <w:szCs w:val="24"/>
      </w:rPr>
      <w:t>|</w:t>
    </w:r>
    <w:r w:rsidRPr="00F00C7B">
      <w:rPr>
        <w:rFonts w:ascii="Garamond" w:hAnsi="Garamond"/>
        <w:sz w:val="18"/>
        <w:szCs w:val="18"/>
      </w:rPr>
      <w:t xml:space="preserve">   </w:t>
    </w:r>
    <w:r>
      <w:rPr>
        <w:rStyle w:val="TablefootnoteChar"/>
        <w:i w:val="0"/>
        <w:sz w:val="16"/>
        <w:szCs w:val="16"/>
      </w:rPr>
      <w:t>Administrative Guidelines: 2013 Update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6E0E" w14:textId="77777777" w:rsidR="000609B4" w:rsidRPr="006455DC" w:rsidRDefault="000609B4" w:rsidP="006455DC">
    <w:pPr>
      <w:pStyle w:val="Footer"/>
      <w:jc w:val="right"/>
    </w:pPr>
    <w:r w:rsidRPr="00F00C7B">
      <w:rPr>
        <w:rStyle w:val="TablefootnoteChar"/>
        <w:i w:val="0"/>
        <w:sz w:val="16"/>
        <w:szCs w:val="16"/>
      </w:rPr>
      <w:t>Adminis</w:t>
    </w:r>
    <w:r>
      <w:rPr>
        <w:rStyle w:val="TablefootnoteChar"/>
        <w:i w:val="0"/>
        <w:sz w:val="16"/>
        <w:szCs w:val="16"/>
      </w:rPr>
      <w:t>tra</w:t>
    </w:r>
    <w:r w:rsidRPr="00F00C7B">
      <w:rPr>
        <w:rStyle w:val="TablefootnoteChar"/>
        <w:i w:val="0"/>
        <w:sz w:val="16"/>
        <w:szCs w:val="16"/>
      </w:rPr>
      <w:t xml:space="preserve">tive Guidelines: </w:t>
    </w:r>
    <w:r>
      <w:rPr>
        <w:rStyle w:val="TablefootnoteChar"/>
        <w:i w:val="0"/>
        <w:sz w:val="16"/>
        <w:szCs w:val="16"/>
      </w:rPr>
      <w:t>2013 Update</w:t>
    </w:r>
    <w:r>
      <w:rPr>
        <w:rFonts w:ascii="Garamond" w:hAnsi="Garamond"/>
        <w:sz w:val="18"/>
        <w:szCs w:val="18"/>
      </w:rPr>
      <w:t xml:space="preserve"> </w:t>
    </w:r>
    <w:r w:rsidRPr="006455DC">
      <w:rPr>
        <w:rStyle w:val="Heading1Char"/>
        <w:b/>
        <w:sz w:val="24"/>
        <w:szCs w:val="24"/>
      </w:rPr>
      <w:t>|</w:t>
    </w:r>
    <w:r>
      <w:rPr>
        <w:rStyle w:val="Heading1Char"/>
        <w:b/>
        <w:sz w:val="24"/>
        <w:szCs w:val="24"/>
      </w:rPr>
      <w:t xml:space="preserve"> </w:t>
    </w:r>
    <w:r w:rsidRPr="00780B12">
      <w:rPr>
        <w:sz w:val="18"/>
        <w:szCs w:val="18"/>
      </w:rPr>
      <w:fldChar w:fldCharType="begin"/>
    </w:r>
    <w:r w:rsidRPr="00780B12">
      <w:rPr>
        <w:sz w:val="18"/>
        <w:szCs w:val="18"/>
      </w:rPr>
      <w:instrText xml:space="preserve"> PAGE </w:instrText>
    </w:r>
    <w:r w:rsidRPr="00780B12">
      <w:rPr>
        <w:sz w:val="18"/>
        <w:szCs w:val="18"/>
      </w:rPr>
      <w:fldChar w:fldCharType="separate"/>
    </w:r>
    <w:r w:rsidR="00C73D8D">
      <w:rPr>
        <w:noProof/>
        <w:sz w:val="18"/>
        <w:szCs w:val="18"/>
      </w:rPr>
      <w:t>93</w:t>
    </w:r>
    <w:r w:rsidRPr="00780B12">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6E10" w14:textId="77777777" w:rsidR="000609B4" w:rsidRDefault="00060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86E05" w14:textId="77777777" w:rsidR="000609B4" w:rsidRDefault="000609B4">
      <w:r>
        <w:separator/>
      </w:r>
    </w:p>
  </w:footnote>
  <w:footnote w:type="continuationSeparator" w:id="0">
    <w:p w14:paraId="7F486E06" w14:textId="77777777" w:rsidR="000609B4" w:rsidRDefault="000609B4">
      <w:r>
        <w:continuationSeparator/>
      </w:r>
    </w:p>
  </w:footnote>
  <w:footnote w:id="1">
    <w:p w14:paraId="7F486E14" w14:textId="77777777" w:rsidR="000609B4" w:rsidRDefault="000609B4">
      <w:pPr>
        <w:pStyle w:val="FootnoteText"/>
      </w:pPr>
      <w:r>
        <w:rPr>
          <w:rStyle w:val="FootnoteReference"/>
        </w:rPr>
        <w:footnoteRef/>
      </w:r>
      <w:r>
        <w:t xml:space="preserve"> </w:t>
      </w:r>
      <w:r>
        <w:rPr>
          <w:rFonts w:asciiTheme="minorHAnsi" w:hAnsiTheme="minorHAnsi" w:cstheme="minorHAnsi"/>
          <w:sz w:val="18"/>
          <w:szCs w:val="18"/>
        </w:rPr>
        <w:t>M</w:t>
      </w:r>
      <w:r w:rsidRPr="004C7C89">
        <w:rPr>
          <w:rFonts w:asciiTheme="minorHAnsi" w:hAnsiTheme="minorHAnsi" w:cstheme="minorHAnsi"/>
          <w:sz w:val="18"/>
          <w:szCs w:val="18"/>
        </w:rPr>
        <w:t>inisterial Council means the Council of Commonwealth, State and Territory Ministers, as it exists from time to time, with responsibility for school education. The current Ministerial Council is the Standing Council on School Education and Early Childhood</w:t>
      </w:r>
      <w:r>
        <w:rPr>
          <w:rFonts w:asciiTheme="minorHAnsi" w:hAnsiTheme="minorHAnsi" w:cstheme="minorHAnsi"/>
          <w:sz w:val="18"/>
          <w:szCs w:val="18"/>
        </w:rPr>
        <w:t xml:space="preserve"> (SCSEEC)</w:t>
      </w:r>
      <w:r w:rsidRPr="004C7C89">
        <w:rPr>
          <w:rFonts w:asciiTheme="minorHAnsi" w:hAnsiTheme="minorHAnsi" w:cstheme="minorHAnsi"/>
          <w:sz w:val="18"/>
          <w:szCs w:val="18"/>
        </w:rPr>
        <w:t>, which was established on 18 January 2012, and took over the schools education functions of the former Ministerial Council for Education, Early Childhood Development and Youth Affairs (MCEECDYA). MCEECDYA was established on 1 July 2009 and took over the schools education functions of the former Ministerial Council on Education, Employment, Training and Youth Affairs.</w:t>
      </w:r>
    </w:p>
  </w:footnote>
  <w:footnote w:id="2">
    <w:p w14:paraId="7F486E15" w14:textId="77777777" w:rsidR="000609B4" w:rsidRDefault="000609B4">
      <w:pPr>
        <w:pStyle w:val="FootnoteText"/>
        <w:rPr>
          <w:rFonts w:ascii="Calibri" w:hAnsi="Calibri"/>
          <w:sz w:val="17"/>
        </w:rPr>
      </w:pPr>
      <w:r>
        <w:rPr>
          <w:rStyle w:val="FootnoteReference"/>
        </w:rPr>
        <w:footnoteRef/>
      </w:r>
      <w:r>
        <w:t xml:space="preserve"> </w:t>
      </w:r>
      <w:hyperlink r:id="rId1" w:history="1">
        <w:r w:rsidRPr="00964CF2">
          <w:rPr>
            <w:rStyle w:val="Hyperlink"/>
            <w:rFonts w:cs="Garamond"/>
            <w:sz w:val="17"/>
          </w:rPr>
          <w:t>http://www.comlaw.gov.au/ComLaw/legislation/act1.nsf/0/B102162DDE9537D2CA25752200036F07/$file/1532008.pdf</w:t>
        </w:r>
      </w:hyperlink>
    </w:p>
    <w:p w14:paraId="7F486E16" w14:textId="77777777" w:rsidR="000609B4" w:rsidRDefault="000609B4">
      <w:pPr>
        <w:pStyle w:val="FootnoteText"/>
      </w:pPr>
    </w:p>
  </w:footnote>
  <w:footnote w:id="3">
    <w:p w14:paraId="7F486E17" w14:textId="77777777" w:rsidR="000609B4" w:rsidRPr="00904283" w:rsidRDefault="000609B4" w:rsidP="0055132D">
      <w:pPr>
        <w:pStyle w:val="FootnoteText"/>
        <w:rPr>
          <w:rFonts w:asciiTheme="minorHAnsi" w:hAnsiTheme="minorHAnsi" w:cstheme="minorHAnsi"/>
          <w:sz w:val="17"/>
          <w:szCs w:val="17"/>
        </w:rPr>
      </w:pPr>
      <w:r w:rsidRPr="00904283">
        <w:rPr>
          <w:rStyle w:val="FootnoteReference"/>
          <w:rFonts w:asciiTheme="minorHAnsi" w:hAnsiTheme="minorHAnsi" w:cstheme="minorHAnsi"/>
          <w:sz w:val="17"/>
          <w:szCs w:val="17"/>
        </w:rPr>
        <w:footnoteRef/>
      </w:r>
      <w:r w:rsidRPr="00904283">
        <w:rPr>
          <w:rFonts w:asciiTheme="minorHAnsi" w:hAnsiTheme="minorHAnsi" w:cstheme="minorHAnsi"/>
          <w:sz w:val="17"/>
          <w:szCs w:val="17"/>
        </w:rPr>
        <w:t xml:space="preserve"> Paragraph (b) of the definition of </w:t>
      </w:r>
      <w:r w:rsidRPr="00904283">
        <w:rPr>
          <w:rFonts w:asciiTheme="minorHAnsi" w:hAnsiTheme="minorHAnsi" w:cstheme="minorHAnsi"/>
          <w:b/>
          <w:i/>
          <w:sz w:val="17"/>
          <w:szCs w:val="17"/>
        </w:rPr>
        <w:t>non-government school</w:t>
      </w:r>
      <w:r w:rsidRPr="00904283">
        <w:rPr>
          <w:rFonts w:asciiTheme="minorHAnsi" w:hAnsiTheme="minorHAnsi" w:cstheme="minorHAnsi"/>
          <w:sz w:val="17"/>
          <w:szCs w:val="17"/>
        </w:rPr>
        <w:t xml:space="preserve"> in section 4 of the Act.</w:t>
      </w:r>
    </w:p>
  </w:footnote>
  <w:footnote w:id="4">
    <w:p w14:paraId="7F486E18" w14:textId="77777777" w:rsidR="000609B4" w:rsidRPr="00904283" w:rsidRDefault="000609B4" w:rsidP="0055132D">
      <w:pPr>
        <w:pStyle w:val="FootnoteText"/>
        <w:rPr>
          <w:rFonts w:asciiTheme="minorHAnsi" w:hAnsiTheme="minorHAnsi" w:cstheme="minorHAnsi"/>
          <w:sz w:val="17"/>
          <w:szCs w:val="17"/>
        </w:rPr>
      </w:pPr>
      <w:r w:rsidRPr="00904283">
        <w:rPr>
          <w:rStyle w:val="FootnoteReference"/>
          <w:rFonts w:asciiTheme="minorHAnsi" w:hAnsiTheme="minorHAnsi" w:cstheme="minorHAnsi"/>
          <w:sz w:val="17"/>
          <w:szCs w:val="17"/>
        </w:rPr>
        <w:footnoteRef/>
      </w:r>
      <w:r w:rsidRPr="00904283">
        <w:rPr>
          <w:rFonts w:asciiTheme="minorHAnsi" w:hAnsiTheme="minorHAnsi" w:cstheme="minorHAnsi"/>
          <w:sz w:val="17"/>
          <w:szCs w:val="17"/>
        </w:rPr>
        <w:t xml:space="preserve"> Paragraph 108(c).</w:t>
      </w:r>
    </w:p>
  </w:footnote>
  <w:footnote w:id="5">
    <w:p w14:paraId="7F486E19" w14:textId="77777777" w:rsidR="000609B4" w:rsidRPr="00904283" w:rsidRDefault="000609B4" w:rsidP="0055132D">
      <w:pPr>
        <w:pStyle w:val="FootnoteText"/>
        <w:rPr>
          <w:rFonts w:asciiTheme="minorHAnsi" w:hAnsiTheme="minorHAnsi" w:cstheme="minorHAnsi"/>
          <w:sz w:val="17"/>
          <w:szCs w:val="17"/>
        </w:rPr>
      </w:pPr>
      <w:r w:rsidRPr="00904283">
        <w:rPr>
          <w:rStyle w:val="FootnoteReference"/>
          <w:rFonts w:asciiTheme="minorHAnsi" w:hAnsiTheme="minorHAnsi" w:cstheme="minorHAnsi"/>
          <w:sz w:val="17"/>
          <w:szCs w:val="17"/>
        </w:rPr>
        <w:footnoteRef/>
      </w:r>
      <w:r w:rsidRPr="00904283">
        <w:rPr>
          <w:rFonts w:asciiTheme="minorHAnsi" w:hAnsiTheme="minorHAnsi" w:cstheme="minorHAnsi"/>
          <w:sz w:val="17"/>
          <w:szCs w:val="17"/>
        </w:rPr>
        <w:t xml:space="preserve"> Paragraph 122(c).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6E0B" w14:textId="77777777" w:rsidR="000609B4" w:rsidRDefault="00060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6E0C" w14:textId="77777777" w:rsidR="000609B4" w:rsidRDefault="000609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6E0F" w14:textId="77777777" w:rsidR="000609B4" w:rsidRDefault="000609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6E11" w14:textId="77777777" w:rsidR="000609B4" w:rsidRDefault="000609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6E12" w14:textId="77777777" w:rsidR="000609B4" w:rsidRDefault="000609B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6E13" w14:textId="77777777" w:rsidR="000609B4" w:rsidRDefault="00060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C6E"/>
    <w:multiLevelType w:val="multilevel"/>
    <w:tmpl w:val="7F429FFC"/>
    <w:lvl w:ilvl="0">
      <w:start w:val="1"/>
      <w:numFmt w:val="decimal"/>
      <w:pStyle w:val="StyleNumberedParagraphAfter75ptLinespacingsingle"/>
      <w:lvlText w:val="%1."/>
      <w:lvlJc w:val="left"/>
      <w:pPr>
        <w:tabs>
          <w:tab w:val="num" w:pos="567"/>
        </w:tabs>
        <w:ind w:left="0" w:firstLine="0"/>
      </w:pPr>
      <w:rPr>
        <w:rFonts w:ascii="Calibri" w:hAnsi="Calibri" w:hint="default"/>
        <w:b w:val="0"/>
        <w:i w:val="0"/>
        <w:sz w:val="24"/>
        <w:u w:color="000000"/>
      </w:rPr>
    </w:lvl>
    <w:lvl w:ilvl="1">
      <w:start w:val="1"/>
      <w:numFmt w:val="lowerLetter"/>
      <w:lvlText w:val="%2."/>
      <w:lvlJc w:val="left"/>
      <w:pPr>
        <w:tabs>
          <w:tab w:val="num" w:pos="851"/>
        </w:tabs>
        <w:ind w:left="851" w:hanging="284"/>
      </w:pPr>
      <w:rPr>
        <w:rFonts w:ascii="Calibri" w:hAnsi="Calibri" w:cs="Helvetica" w:hint="default"/>
        <w:b w:val="0"/>
        <w:i w:val="0"/>
        <w:sz w:val="24"/>
      </w:rPr>
    </w:lvl>
    <w:lvl w:ilvl="2">
      <w:start w:val="1"/>
      <w:numFmt w:val="lowerRoman"/>
      <w:lvlText w:val="%3."/>
      <w:lvlJc w:val="left"/>
      <w:pPr>
        <w:tabs>
          <w:tab w:val="num" w:pos="1247"/>
        </w:tabs>
        <w:ind w:left="1247" w:hanging="396"/>
      </w:pPr>
      <w:rPr>
        <w:rFonts w:ascii="Calibri" w:hAnsi="Calibri" w:cs="Helvetica" w:hint="default"/>
        <w:b w:val="0"/>
        <w:i w:val="0"/>
        <w:sz w:val="24"/>
      </w:rPr>
    </w:lvl>
    <w:lvl w:ilvl="3">
      <w:start w:val="1"/>
      <w:numFmt w:val="decimal"/>
      <w:lvlText w:val="%4."/>
      <w:lvlJc w:val="left"/>
      <w:pPr>
        <w:tabs>
          <w:tab w:val="num" w:pos="567"/>
        </w:tabs>
        <w:ind w:left="2268" w:hanging="567"/>
      </w:pPr>
      <w:rPr>
        <w:rFonts w:cs="Helvetica" w:hint="default"/>
      </w:rPr>
    </w:lvl>
    <w:lvl w:ilvl="4">
      <w:start w:val="1"/>
      <w:numFmt w:val="bullet"/>
      <w:lvlText w:val=""/>
      <w:lvlJc w:val="left"/>
      <w:pPr>
        <w:tabs>
          <w:tab w:val="num" w:pos="4167"/>
        </w:tabs>
        <w:ind w:left="4167" w:hanging="360"/>
      </w:pPr>
      <w:rPr>
        <w:rFonts w:ascii="Symbol" w:hAnsi="Symbol" w:hint="default"/>
      </w:rPr>
    </w:lvl>
    <w:lvl w:ilvl="5">
      <w:start w:val="1"/>
      <w:numFmt w:val="lowerRoman"/>
      <w:lvlText w:val="%6."/>
      <w:lvlJc w:val="right"/>
      <w:pPr>
        <w:tabs>
          <w:tab w:val="num" w:pos="4887"/>
        </w:tabs>
        <w:ind w:left="4887" w:hanging="180"/>
      </w:pPr>
      <w:rPr>
        <w:rFonts w:cs="Helvetica" w:hint="default"/>
      </w:rPr>
    </w:lvl>
    <w:lvl w:ilvl="6">
      <w:start w:val="1"/>
      <w:numFmt w:val="decimal"/>
      <w:lvlText w:val="%7."/>
      <w:lvlJc w:val="left"/>
      <w:pPr>
        <w:tabs>
          <w:tab w:val="num" w:pos="5607"/>
        </w:tabs>
        <w:ind w:left="5607" w:hanging="360"/>
      </w:pPr>
      <w:rPr>
        <w:rFonts w:cs="Helvetica" w:hint="default"/>
      </w:rPr>
    </w:lvl>
    <w:lvl w:ilvl="7">
      <w:start w:val="1"/>
      <w:numFmt w:val="lowerLetter"/>
      <w:lvlText w:val="%8."/>
      <w:lvlJc w:val="left"/>
      <w:pPr>
        <w:tabs>
          <w:tab w:val="num" w:pos="6327"/>
        </w:tabs>
        <w:ind w:left="6327" w:hanging="360"/>
      </w:pPr>
      <w:rPr>
        <w:rFonts w:cs="Helvetica" w:hint="default"/>
      </w:rPr>
    </w:lvl>
    <w:lvl w:ilvl="8">
      <w:start w:val="1"/>
      <w:numFmt w:val="lowerRoman"/>
      <w:lvlText w:val="%9."/>
      <w:lvlJc w:val="right"/>
      <w:pPr>
        <w:tabs>
          <w:tab w:val="num" w:pos="7047"/>
        </w:tabs>
        <w:ind w:left="7047" w:hanging="180"/>
      </w:pPr>
      <w:rPr>
        <w:rFonts w:cs="Helvetica" w:hint="default"/>
      </w:rPr>
    </w:lvl>
  </w:abstractNum>
  <w:abstractNum w:abstractNumId="1">
    <w:nsid w:val="05925B60"/>
    <w:multiLevelType w:val="multilevel"/>
    <w:tmpl w:val="A344DCCC"/>
    <w:lvl w:ilvl="0">
      <w:start w:val="1"/>
      <w:numFmt w:val="lowerLetter"/>
      <w:pStyle w:val="AppendixBullet"/>
      <w:lvlText w:val="%1."/>
      <w:lvlJc w:val="left"/>
      <w:pPr>
        <w:tabs>
          <w:tab w:val="num" w:pos="851"/>
        </w:tabs>
        <w:ind w:left="851" w:hanging="284"/>
      </w:pPr>
      <w:rPr>
        <w:rFonts w:ascii="Calibri" w:hAnsi="Calibri" w:hint="default"/>
        <w:b w:val="0"/>
        <w:i w:val="0"/>
        <w:sz w:val="24"/>
      </w:rPr>
    </w:lvl>
    <w:lvl w:ilvl="1">
      <w:start w:val="1"/>
      <w:numFmt w:val="lowerLetter"/>
      <w:lvlText w:val="%2."/>
      <w:lvlJc w:val="left"/>
      <w:pPr>
        <w:tabs>
          <w:tab w:val="num" w:pos="1418"/>
        </w:tabs>
        <w:ind w:left="1418" w:hanging="284"/>
      </w:pPr>
      <w:rPr>
        <w:rFonts w:ascii="Calibri" w:hAnsi="Calibri" w:hint="default"/>
        <w:b w:val="0"/>
        <w:i w:val="0"/>
        <w:color w:val="auto"/>
        <w:sz w:val="24"/>
      </w:rPr>
    </w:lvl>
    <w:lvl w:ilvl="2">
      <w:start w:val="1"/>
      <w:numFmt w:val="lowerRoman"/>
      <w:lvlText w:val="%3."/>
      <w:lvlJc w:val="left"/>
      <w:pPr>
        <w:tabs>
          <w:tab w:val="num" w:pos="1814"/>
        </w:tabs>
        <w:ind w:left="1814" w:hanging="396"/>
      </w:pPr>
      <w:rPr>
        <w:rFonts w:ascii="Calibri" w:hAnsi="Calibri" w:hint="default"/>
        <w:b w:val="0"/>
        <w:i w:val="0"/>
        <w:color w:val="auto"/>
        <w:sz w:val="24"/>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
    <w:nsid w:val="0CEE2C5B"/>
    <w:multiLevelType w:val="hybridMultilevel"/>
    <w:tmpl w:val="1AA23A12"/>
    <w:lvl w:ilvl="0" w:tplc="10F83CE6">
      <w:start w:val="1"/>
      <w:numFmt w:val="decimal"/>
      <w:pStyle w:val="ParagraphStyle"/>
      <w:lvlText w:val="%1."/>
      <w:lvlJc w:val="left"/>
      <w:pPr>
        <w:tabs>
          <w:tab w:val="num" w:pos="360"/>
        </w:tabs>
        <w:ind w:left="360" w:hanging="360"/>
      </w:pPr>
      <w:rPr>
        <w:rFonts w:cs="Times New Roman"/>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0E8D5E3A"/>
    <w:multiLevelType w:val="hybridMultilevel"/>
    <w:tmpl w:val="E2D000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193308"/>
    <w:multiLevelType w:val="multilevel"/>
    <w:tmpl w:val="30AED12A"/>
    <w:lvl w:ilvl="0">
      <w:start w:val="15"/>
      <w:numFmt w:val="decimal"/>
      <w:lvlText w:val="%1."/>
      <w:lvlJc w:val="left"/>
      <w:pPr>
        <w:tabs>
          <w:tab w:val="num" w:pos="567"/>
        </w:tabs>
        <w:ind w:left="0" w:firstLine="0"/>
      </w:pPr>
      <w:rPr>
        <w:rFonts w:ascii="Calibri" w:hAnsi="Calibri" w:hint="default"/>
        <w:b w:val="0"/>
        <w:i w:val="0"/>
        <w:sz w:val="24"/>
      </w:rPr>
    </w:lvl>
    <w:lvl w:ilvl="1">
      <w:start w:val="1"/>
      <w:numFmt w:val="lowerLetter"/>
      <w:lvlText w:val="%2."/>
      <w:lvlJc w:val="left"/>
      <w:pPr>
        <w:tabs>
          <w:tab w:val="num" w:pos="851"/>
        </w:tabs>
        <w:ind w:left="851" w:hanging="284"/>
      </w:pPr>
      <w:rPr>
        <w:rFonts w:ascii="Calibri" w:hAnsi="Calibri" w:hint="default"/>
        <w:b w:val="0"/>
        <w:i w:val="0"/>
        <w:color w:val="auto"/>
        <w:sz w:val="24"/>
      </w:rPr>
    </w:lvl>
    <w:lvl w:ilvl="2">
      <w:start w:val="1"/>
      <w:numFmt w:val="lowerRoman"/>
      <w:lvlText w:val="%3."/>
      <w:lvlJc w:val="left"/>
      <w:pPr>
        <w:tabs>
          <w:tab w:val="num" w:pos="1247"/>
        </w:tabs>
        <w:ind w:left="1247" w:hanging="396"/>
      </w:pPr>
      <w:rPr>
        <w:rFonts w:ascii="Calibri" w:hAnsi="Calibri" w:hint="default"/>
        <w:b w:val="0"/>
        <w:i w:val="0"/>
        <w:color w:val="auto"/>
        <w:sz w:val="24"/>
      </w:rPr>
    </w:lvl>
    <w:lvl w:ilvl="3">
      <w:start w:val="1"/>
      <w:numFmt w:val="decimal"/>
      <w:lvlText w:val="%4."/>
      <w:lvlJc w:val="left"/>
      <w:pPr>
        <w:tabs>
          <w:tab w:val="num" w:pos="1531"/>
        </w:tabs>
        <w:ind w:left="1531" w:hanging="284"/>
      </w:pPr>
      <w:rPr>
        <w:rFonts w:ascii="Calibri" w:hAnsi="Calibri" w:hint="default"/>
        <w:b w:val="0"/>
        <w:i w:val="0"/>
        <w:sz w:val="24"/>
      </w:rPr>
    </w:lvl>
    <w:lvl w:ilvl="4">
      <w:start w:val="1"/>
      <w:numFmt w:val="lowerLetter"/>
      <w:lvlText w:val="(%5)"/>
      <w:lvlJc w:val="left"/>
      <w:pPr>
        <w:tabs>
          <w:tab w:val="num" w:pos="2134"/>
        </w:tabs>
        <w:ind w:left="2134" w:hanging="360"/>
      </w:pPr>
      <w:rPr>
        <w:rFonts w:hint="default"/>
      </w:rPr>
    </w:lvl>
    <w:lvl w:ilvl="5">
      <w:start w:val="1"/>
      <w:numFmt w:val="lowerRoman"/>
      <w:lvlText w:val="(%6)"/>
      <w:lvlJc w:val="left"/>
      <w:pPr>
        <w:tabs>
          <w:tab w:val="num" w:pos="2494"/>
        </w:tabs>
        <w:ind w:left="2494" w:hanging="360"/>
      </w:pPr>
      <w:rPr>
        <w:rFonts w:hint="default"/>
      </w:rPr>
    </w:lvl>
    <w:lvl w:ilvl="6">
      <w:start w:val="1"/>
      <w:numFmt w:val="decimal"/>
      <w:lvlText w:val="%7."/>
      <w:lvlJc w:val="left"/>
      <w:pPr>
        <w:tabs>
          <w:tab w:val="num" w:pos="2854"/>
        </w:tabs>
        <w:ind w:left="2854" w:hanging="360"/>
      </w:pPr>
      <w:rPr>
        <w:rFonts w:hint="default"/>
      </w:rPr>
    </w:lvl>
    <w:lvl w:ilvl="7">
      <w:start w:val="1"/>
      <w:numFmt w:val="lowerLetter"/>
      <w:lvlText w:val="%8."/>
      <w:lvlJc w:val="left"/>
      <w:pPr>
        <w:tabs>
          <w:tab w:val="num" w:pos="3214"/>
        </w:tabs>
        <w:ind w:left="3214" w:hanging="360"/>
      </w:pPr>
      <w:rPr>
        <w:rFonts w:hint="default"/>
      </w:rPr>
    </w:lvl>
    <w:lvl w:ilvl="8">
      <w:start w:val="1"/>
      <w:numFmt w:val="lowerRoman"/>
      <w:lvlText w:val="%9."/>
      <w:lvlJc w:val="left"/>
      <w:pPr>
        <w:tabs>
          <w:tab w:val="num" w:pos="3574"/>
        </w:tabs>
        <w:ind w:left="3574" w:hanging="360"/>
      </w:pPr>
      <w:rPr>
        <w:rFonts w:hint="default"/>
      </w:rPr>
    </w:lvl>
  </w:abstractNum>
  <w:abstractNum w:abstractNumId="5">
    <w:nsid w:val="10251AD4"/>
    <w:multiLevelType w:val="hybridMultilevel"/>
    <w:tmpl w:val="27C89D8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nsid w:val="15103A12"/>
    <w:multiLevelType w:val="hybridMultilevel"/>
    <w:tmpl w:val="F1641E94"/>
    <w:lvl w:ilvl="0" w:tplc="A004229C">
      <w:start w:val="1"/>
      <w:numFmt w:val="bullet"/>
      <w:lvlText w:val=""/>
      <w:lvlJc w:val="left"/>
      <w:pPr>
        <w:tabs>
          <w:tab w:val="num" w:pos="720"/>
        </w:tabs>
        <w:ind w:left="720" w:hanging="360"/>
      </w:pPr>
      <w:rPr>
        <w:rFonts w:ascii="Symbol" w:hAnsi="Symbol" w:hint="default"/>
        <w:b w:val="0"/>
        <w:i w:val="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5EE758E"/>
    <w:multiLevelType w:val="hybridMultilevel"/>
    <w:tmpl w:val="481810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67471A"/>
    <w:multiLevelType w:val="hybridMultilevel"/>
    <w:tmpl w:val="E012A0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1DE466C7"/>
    <w:multiLevelType w:val="hybridMultilevel"/>
    <w:tmpl w:val="70980E9E"/>
    <w:lvl w:ilvl="0" w:tplc="0C090001">
      <w:start w:val="1"/>
      <w:numFmt w:val="bullet"/>
      <w:lvlText w:val=""/>
      <w:lvlJc w:val="left"/>
      <w:pPr>
        <w:ind w:left="1600" w:hanging="360"/>
      </w:pPr>
      <w:rPr>
        <w:rFonts w:ascii="Symbol" w:hAnsi="Symbol" w:hint="default"/>
      </w:rPr>
    </w:lvl>
    <w:lvl w:ilvl="1" w:tplc="0C090003" w:tentative="1">
      <w:start w:val="1"/>
      <w:numFmt w:val="bullet"/>
      <w:lvlText w:val="o"/>
      <w:lvlJc w:val="left"/>
      <w:pPr>
        <w:ind w:left="2320" w:hanging="360"/>
      </w:pPr>
      <w:rPr>
        <w:rFonts w:ascii="Courier New" w:hAnsi="Courier New" w:cs="Courier New" w:hint="default"/>
      </w:rPr>
    </w:lvl>
    <w:lvl w:ilvl="2" w:tplc="0C090005" w:tentative="1">
      <w:start w:val="1"/>
      <w:numFmt w:val="bullet"/>
      <w:lvlText w:val=""/>
      <w:lvlJc w:val="left"/>
      <w:pPr>
        <w:ind w:left="3040" w:hanging="360"/>
      </w:pPr>
      <w:rPr>
        <w:rFonts w:ascii="Wingdings" w:hAnsi="Wingdings" w:hint="default"/>
      </w:rPr>
    </w:lvl>
    <w:lvl w:ilvl="3" w:tplc="0C090001" w:tentative="1">
      <w:start w:val="1"/>
      <w:numFmt w:val="bullet"/>
      <w:lvlText w:val=""/>
      <w:lvlJc w:val="left"/>
      <w:pPr>
        <w:ind w:left="3760" w:hanging="360"/>
      </w:pPr>
      <w:rPr>
        <w:rFonts w:ascii="Symbol" w:hAnsi="Symbol" w:hint="default"/>
      </w:rPr>
    </w:lvl>
    <w:lvl w:ilvl="4" w:tplc="0C090003" w:tentative="1">
      <w:start w:val="1"/>
      <w:numFmt w:val="bullet"/>
      <w:lvlText w:val="o"/>
      <w:lvlJc w:val="left"/>
      <w:pPr>
        <w:ind w:left="4480" w:hanging="360"/>
      </w:pPr>
      <w:rPr>
        <w:rFonts w:ascii="Courier New" w:hAnsi="Courier New" w:cs="Courier New" w:hint="default"/>
      </w:rPr>
    </w:lvl>
    <w:lvl w:ilvl="5" w:tplc="0C090005" w:tentative="1">
      <w:start w:val="1"/>
      <w:numFmt w:val="bullet"/>
      <w:lvlText w:val=""/>
      <w:lvlJc w:val="left"/>
      <w:pPr>
        <w:ind w:left="5200" w:hanging="360"/>
      </w:pPr>
      <w:rPr>
        <w:rFonts w:ascii="Wingdings" w:hAnsi="Wingdings" w:hint="default"/>
      </w:rPr>
    </w:lvl>
    <w:lvl w:ilvl="6" w:tplc="0C090001" w:tentative="1">
      <w:start w:val="1"/>
      <w:numFmt w:val="bullet"/>
      <w:lvlText w:val=""/>
      <w:lvlJc w:val="left"/>
      <w:pPr>
        <w:ind w:left="5920" w:hanging="360"/>
      </w:pPr>
      <w:rPr>
        <w:rFonts w:ascii="Symbol" w:hAnsi="Symbol" w:hint="default"/>
      </w:rPr>
    </w:lvl>
    <w:lvl w:ilvl="7" w:tplc="0C090003" w:tentative="1">
      <w:start w:val="1"/>
      <w:numFmt w:val="bullet"/>
      <w:lvlText w:val="o"/>
      <w:lvlJc w:val="left"/>
      <w:pPr>
        <w:ind w:left="6640" w:hanging="360"/>
      </w:pPr>
      <w:rPr>
        <w:rFonts w:ascii="Courier New" w:hAnsi="Courier New" w:cs="Courier New" w:hint="default"/>
      </w:rPr>
    </w:lvl>
    <w:lvl w:ilvl="8" w:tplc="0C090005" w:tentative="1">
      <w:start w:val="1"/>
      <w:numFmt w:val="bullet"/>
      <w:lvlText w:val=""/>
      <w:lvlJc w:val="left"/>
      <w:pPr>
        <w:ind w:left="7360" w:hanging="360"/>
      </w:pPr>
      <w:rPr>
        <w:rFonts w:ascii="Wingdings" w:hAnsi="Wingdings" w:hint="default"/>
      </w:rPr>
    </w:lvl>
  </w:abstractNum>
  <w:abstractNum w:abstractNumId="10">
    <w:nsid w:val="1FD7429F"/>
    <w:multiLevelType w:val="hybridMultilevel"/>
    <w:tmpl w:val="6F266AA6"/>
    <w:lvl w:ilvl="0" w:tplc="050C0260">
      <w:start w:val="1"/>
      <w:numFmt w:val="bullet"/>
      <w:pStyle w:val="StyleStyledotpointAfter75ptLinespacingsingle"/>
      <w:lvlText w:val=""/>
      <w:lvlJc w:val="left"/>
      <w:pPr>
        <w:tabs>
          <w:tab w:val="num" w:pos="567"/>
        </w:tabs>
        <w:ind w:left="567" w:hanging="283"/>
      </w:pPr>
      <w:rPr>
        <w:rFonts w:ascii="Symbol" w:hAnsi="Symbol" w:hint="default"/>
        <w:color w:val="16578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4F158C4"/>
    <w:multiLevelType w:val="multilevel"/>
    <w:tmpl w:val="E7BA50C2"/>
    <w:styleLink w:val="StyleNumbered10pt"/>
    <w:lvl w:ilvl="0">
      <w:start w:val="1"/>
      <w:numFmt w:val="decimal"/>
      <w:lvlText w:val="%1."/>
      <w:lvlJc w:val="left"/>
      <w:pPr>
        <w:tabs>
          <w:tab w:val="num" w:pos="3654"/>
        </w:tabs>
        <w:ind w:left="3087" w:firstLine="0"/>
      </w:pPr>
      <w:rPr>
        <w:rFonts w:ascii="Calibri" w:hAnsi="Calibri" w:hint="default"/>
        <w:sz w:val="22"/>
        <w:u w:color="000000"/>
      </w:rPr>
    </w:lvl>
    <w:lvl w:ilvl="1">
      <w:start w:val="1"/>
      <w:numFmt w:val="lowerLetter"/>
      <w:lvlText w:val="%2."/>
      <w:lvlJc w:val="left"/>
      <w:pPr>
        <w:tabs>
          <w:tab w:val="num" w:pos="3654"/>
        </w:tabs>
        <w:ind w:left="4788" w:hanging="567"/>
      </w:pPr>
      <w:rPr>
        <w:rFonts w:cs="Times New Roman" w:hint="default"/>
      </w:rPr>
    </w:lvl>
    <w:lvl w:ilvl="2">
      <w:start w:val="1"/>
      <w:numFmt w:val="lowerRoman"/>
      <w:lvlText w:val="%3."/>
      <w:lvlJc w:val="right"/>
      <w:pPr>
        <w:tabs>
          <w:tab w:val="num" w:pos="3654"/>
        </w:tabs>
        <w:ind w:left="5922" w:hanging="567"/>
      </w:pPr>
      <w:rPr>
        <w:rFonts w:cs="Times New Roman" w:hint="default"/>
      </w:rPr>
    </w:lvl>
    <w:lvl w:ilvl="3">
      <w:start w:val="1"/>
      <w:numFmt w:val="decimal"/>
      <w:lvlText w:val="%4."/>
      <w:lvlJc w:val="left"/>
      <w:pPr>
        <w:tabs>
          <w:tab w:val="num" w:pos="567"/>
        </w:tabs>
        <w:ind w:left="2835" w:hanging="567"/>
      </w:pPr>
      <w:rPr>
        <w:rFonts w:cs="Times New Roman" w:hint="default"/>
      </w:rPr>
    </w:lvl>
    <w:lvl w:ilvl="4">
      <w:start w:val="1"/>
      <w:numFmt w:val="bullet"/>
      <w:lvlText w:val=""/>
      <w:lvlJc w:val="left"/>
      <w:pPr>
        <w:tabs>
          <w:tab w:val="num" w:pos="7254"/>
        </w:tabs>
        <w:ind w:left="7254" w:hanging="360"/>
      </w:pPr>
      <w:rPr>
        <w:rFonts w:ascii="Symbol" w:hAnsi="Symbol" w:hint="default"/>
      </w:rPr>
    </w:lvl>
    <w:lvl w:ilvl="5">
      <w:start w:val="1"/>
      <w:numFmt w:val="lowerRoman"/>
      <w:lvlText w:val="%6."/>
      <w:lvlJc w:val="right"/>
      <w:pPr>
        <w:tabs>
          <w:tab w:val="num" w:pos="7974"/>
        </w:tabs>
        <w:ind w:left="7974" w:hanging="180"/>
      </w:pPr>
      <w:rPr>
        <w:rFonts w:cs="Times New Roman" w:hint="default"/>
      </w:rPr>
    </w:lvl>
    <w:lvl w:ilvl="6">
      <w:start w:val="1"/>
      <w:numFmt w:val="decimal"/>
      <w:lvlText w:val="%7."/>
      <w:lvlJc w:val="left"/>
      <w:pPr>
        <w:tabs>
          <w:tab w:val="num" w:pos="8694"/>
        </w:tabs>
        <w:ind w:left="8694" w:hanging="360"/>
      </w:pPr>
      <w:rPr>
        <w:rFonts w:cs="Times New Roman" w:hint="default"/>
      </w:rPr>
    </w:lvl>
    <w:lvl w:ilvl="7">
      <w:start w:val="1"/>
      <w:numFmt w:val="lowerLetter"/>
      <w:lvlText w:val="%8."/>
      <w:lvlJc w:val="left"/>
      <w:pPr>
        <w:tabs>
          <w:tab w:val="num" w:pos="9414"/>
        </w:tabs>
        <w:ind w:left="9414" w:hanging="360"/>
      </w:pPr>
      <w:rPr>
        <w:rFonts w:cs="Times New Roman" w:hint="default"/>
      </w:rPr>
    </w:lvl>
    <w:lvl w:ilvl="8">
      <w:start w:val="1"/>
      <w:numFmt w:val="lowerRoman"/>
      <w:lvlText w:val="%9."/>
      <w:lvlJc w:val="right"/>
      <w:pPr>
        <w:tabs>
          <w:tab w:val="num" w:pos="10134"/>
        </w:tabs>
        <w:ind w:left="10134" w:hanging="180"/>
      </w:pPr>
      <w:rPr>
        <w:rFonts w:cs="Times New Roman" w:hint="default"/>
      </w:rPr>
    </w:lvl>
  </w:abstractNum>
  <w:abstractNum w:abstractNumId="12">
    <w:nsid w:val="268331E4"/>
    <w:multiLevelType w:val="hybridMultilevel"/>
    <w:tmpl w:val="6916D312"/>
    <w:lvl w:ilvl="0" w:tplc="B8F63CF6">
      <w:start w:val="1"/>
      <w:numFmt w:val="bullet"/>
      <w:pStyle w:val="DotPoints"/>
      <w:lvlText w:val=""/>
      <w:lvlJc w:val="left"/>
      <w:pPr>
        <w:tabs>
          <w:tab w:val="num" w:pos="851"/>
        </w:tabs>
        <w:ind w:left="851" w:hanging="284"/>
      </w:pPr>
      <w:rPr>
        <w:rFonts w:ascii="Symbol" w:hAnsi="Symbol" w:hint="default"/>
        <w:b w:val="0"/>
        <w:i w:val="0"/>
        <w:sz w:val="20"/>
      </w:rPr>
    </w:lvl>
    <w:lvl w:ilvl="1" w:tplc="0AB403FA" w:tentative="1">
      <w:start w:val="1"/>
      <w:numFmt w:val="bullet"/>
      <w:lvlText w:val="o"/>
      <w:lvlJc w:val="left"/>
      <w:pPr>
        <w:tabs>
          <w:tab w:val="num" w:pos="1440"/>
        </w:tabs>
        <w:ind w:left="1440" w:hanging="360"/>
      </w:pPr>
      <w:rPr>
        <w:rFonts w:ascii="Courier New" w:hAnsi="Courier New" w:hint="default"/>
      </w:rPr>
    </w:lvl>
    <w:lvl w:ilvl="2" w:tplc="02C22488" w:tentative="1">
      <w:start w:val="1"/>
      <w:numFmt w:val="bullet"/>
      <w:lvlText w:val=""/>
      <w:lvlJc w:val="left"/>
      <w:pPr>
        <w:tabs>
          <w:tab w:val="num" w:pos="2160"/>
        </w:tabs>
        <w:ind w:left="2160" w:hanging="360"/>
      </w:pPr>
      <w:rPr>
        <w:rFonts w:ascii="Wingdings" w:hAnsi="Wingdings" w:hint="default"/>
      </w:rPr>
    </w:lvl>
    <w:lvl w:ilvl="3" w:tplc="CBA049B6" w:tentative="1">
      <w:start w:val="1"/>
      <w:numFmt w:val="bullet"/>
      <w:lvlText w:val=""/>
      <w:lvlJc w:val="left"/>
      <w:pPr>
        <w:tabs>
          <w:tab w:val="num" w:pos="2880"/>
        </w:tabs>
        <w:ind w:left="2880" w:hanging="360"/>
      </w:pPr>
      <w:rPr>
        <w:rFonts w:ascii="Symbol" w:hAnsi="Symbol" w:hint="default"/>
      </w:rPr>
    </w:lvl>
    <w:lvl w:ilvl="4" w:tplc="471A30E8" w:tentative="1">
      <w:start w:val="1"/>
      <w:numFmt w:val="bullet"/>
      <w:lvlText w:val="o"/>
      <w:lvlJc w:val="left"/>
      <w:pPr>
        <w:tabs>
          <w:tab w:val="num" w:pos="3600"/>
        </w:tabs>
        <w:ind w:left="3600" w:hanging="360"/>
      </w:pPr>
      <w:rPr>
        <w:rFonts w:ascii="Courier New" w:hAnsi="Courier New" w:hint="default"/>
      </w:rPr>
    </w:lvl>
    <w:lvl w:ilvl="5" w:tplc="B9EE661C" w:tentative="1">
      <w:start w:val="1"/>
      <w:numFmt w:val="bullet"/>
      <w:lvlText w:val=""/>
      <w:lvlJc w:val="left"/>
      <w:pPr>
        <w:tabs>
          <w:tab w:val="num" w:pos="4320"/>
        </w:tabs>
        <w:ind w:left="4320" w:hanging="360"/>
      </w:pPr>
      <w:rPr>
        <w:rFonts w:ascii="Wingdings" w:hAnsi="Wingdings" w:hint="default"/>
      </w:rPr>
    </w:lvl>
    <w:lvl w:ilvl="6" w:tplc="A3A6C6A4" w:tentative="1">
      <w:start w:val="1"/>
      <w:numFmt w:val="bullet"/>
      <w:lvlText w:val=""/>
      <w:lvlJc w:val="left"/>
      <w:pPr>
        <w:tabs>
          <w:tab w:val="num" w:pos="5040"/>
        </w:tabs>
        <w:ind w:left="5040" w:hanging="360"/>
      </w:pPr>
      <w:rPr>
        <w:rFonts w:ascii="Symbol" w:hAnsi="Symbol" w:hint="default"/>
      </w:rPr>
    </w:lvl>
    <w:lvl w:ilvl="7" w:tplc="FF00605A" w:tentative="1">
      <w:start w:val="1"/>
      <w:numFmt w:val="bullet"/>
      <w:lvlText w:val="o"/>
      <w:lvlJc w:val="left"/>
      <w:pPr>
        <w:tabs>
          <w:tab w:val="num" w:pos="5760"/>
        </w:tabs>
        <w:ind w:left="5760" w:hanging="360"/>
      </w:pPr>
      <w:rPr>
        <w:rFonts w:ascii="Courier New" w:hAnsi="Courier New" w:hint="default"/>
      </w:rPr>
    </w:lvl>
    <w:lvl w:ilvl="8" w:tplc="F9222D54" w:tentative="1">
      <w:start w:val="1"/>
      <w:numFmt w:val="bullet"/>
      <w:lvlText w:val=""/>
      <w:lvlJc w:val="left"/>
      <w:pPr>
        <w:tabs>
          <w:tab w:val="num" w:pos="6480"/>
        </w:tabs>
        <w:ind w:left="6480" w:hanging="360"/>
      </w:pPr>
      <w:rPr>
        <w:rFonts w:ascii="Wingdings" w:hAnsi="Wingdings" w:hint="default"/>
      </w:rPr>
    </w:lvl>
  </w:abstractNum>
  <w:abstractNum w:abstractNumId="13">
    <w:nsid w:val="28CF4FFE"/>
    <w:multiLevelType w:val="multilevel"/>
    <w:tmpl w:val="CB18E6C2"/>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
    <w:nsid w:val="2B6921F0"/>
    <w:multiLevelType w:val="hybridMultilevel"/>
    <w:tmpl w:val="38EC2C4E"/>
    <w:lvl w:ilvl="0" w:tplc="AEACA83E">
      <w:start w:val="1"/>
      <w:numFmt w:val="bullet"/>
      <w:lvlText w:val=""/>
      <w:lvlJc w:val="left"/>
      <w:pPr>
        <w:tabs>
          <w:tab w:val="num" w:pos="567"/>
        </w:tabs>
        <w:ind w:left="567" w:hanging="283"/>
      </w:pPr>
      <w:rPr>
        <w:rFonts w:ascii="Symbol" w:hAnsi="Symbol" w:hint="default"/>
        <w:b w:val="0"/>
        <w:i w:val="0"/>
        <w:color w:val="165788"/>
        <w:sz w:val="24"/>
      </w:rPr>
    </w:lvl>
    <w:lvl w:ilvl="1" w:tplc="58809C96" w:tentative="1">
      <w:start w:val="1"/>
      <w:numFmt w:val="bullet"/>
      <w:lvlText w:val="o"/>
      <w:lvlJc w:val="left"/>
      <w:pPr>
        <w:tabs>
          <w:tab w:val="num" w:pos="1440"/>
        </w:tabs>
        <w:ind w:left="1440" w:hanging="360"/>
      </w:pPr>
      <w:rPr>
        <w:rFonts w:ascii="Courier New" w:hAnsi="Courier New" w:hint="default"/>
      </w:rPr>
    </w:lvl>
    <w:lvl w:ilvl="2" w:tplc="AB28B8CE" w:tentative="1">
      <w:start w:val="1"/>
      <w:numFmt w:val="bullet"/>
      <w:lvlText w:val=""/>
      <w:lvlJc w:val="left"/>
      <w:pPr>
        <w:tabs>
          <w:tab w:val="num" w:pos="2160"/>
        </w:tabs>
        <w:ind w:left="2160" w:hanging="360"/>
      </w:pPr>
      <w:rPr>
        <w:rFonts w:ascii="Wingdings" w:hAnsi="Wingdings" w:hint="default"/>
      </w:rPr>
    </w:lvl>
    <w:lvl w:ilvl="3" w:tplc="4B24254E" w:tentative="1">
      <w:start w:val="1"/>
      <w:numFmt w:val="bullet"/>
      <w:lvlText w:val=""/>
      <w:lvlJc w:val="left"/>
      <w:pPr>
        <w:tabs>
          <w:tab w:val="num" w:pos="2880"/>
        </w:tabs>
        <w:ind w:left="2880" w:hanging="360"/>
      </w:pPr>
      <w:rPr>
        <w:rFonts w:ascii="Symbol" w:hAnsi="Symbol" w:hint="default"/>
      </w:rPr>
    </w:lvl>
    <w:lvl w:ilvl="4" w:tplc="AD74DB40" w:tentative="1">
      <w:start w:val="1"/>
      <w:numFmt w:val="bullet"/>
      <w:lvlText w:val="o"/>
      <w:lvlJc w:val="left"/>
      <w:pPr>
        <w:tabs>
          <w:tab w:val="num" w:pos="3600"/>
        </w:tabs>
        <w:ind w:left="3600" w:hanging="360"/>
      </w:pPr>
      <w:rPr>
        <w:rFonts w:ascii="Courier New" w:hAnsi="Courier New" w:hint="default"/>
      </w:rPr>
    </w:lvl>
    <w:lvl w:ilvl="5" w:tplc="AA924834" w:tentative="1">
      <w:start w:val="1"/>
      <w:numFmt w:val="bullet"/>
      <w:lvlText w:val=""/>
      <w:lvlJc w:val="left"/>
      <w:pPr>
        <w:tabs>
          <w:tab w:val="num" w:pos="4320"/>
        </w:tabs>
        <w:ind w:left="4320" w:hanging="360"/>
      </w:pPr>
      <w:rPr>
        <w:rFonts w:ascii="Wingdings" w:hAnsi="Wingdings" w:hint="default"/>
      </w:rPr>
    </w:lvl>
    <w:lvl w:ilvl="6" w:tplc="85047096" w:tentative="1">
      <w:start w:val="1"/>
      <w:numFmt w:val="bullet"/>
      <w:lvlText w:val=""/>
      <w:lvlJc w:val="left"/>
      <w:pPr>
        <w:tabs>
          <w:tab w:val="num" w:pos="5040"/>
        </w:tabs>
        <w:ind w:left="5040" w:hanging="360"/>
      </w:pPr>
      <w:rPr>
        <w:rFonts w:ascii="Symbol" w:hAnsi="Symbol" w:hint="default"/>
      </w:rPr>
    </w:lvl>
    <w:lvl w:ilvl="7" w:tplc="BBC64178" w:tentative="1">
      <w:start w:val="1"/>
      <w:numFmt w:val="bullet"/>
      <w:lvlText w:val="o"/>
      <w:lvlJc w:val="left"/>
      <w:pPr>
        <w:tabs>
          <w:tab w:val="num" w:pos="5760"/>
        </w:tabs>
        <w:ind w:left="5760" w:hanging="360"/>
      </w:pPr>
      <w:rPr>
        <w:rFonts w:ascii="Courier New" w:hAnsi="Courier New" w:hint="default"/>
      </w:rPr>
    </w:lvl>
    <w:lvl w:ilvl="8" w:tplc="FE08370C" w:tentative="1">
      <w:start w:val="1"/>
      <w:numFmt w:val="bullet"/>
      <w:lvlText w:val=""/>
      <w:lvlJc w:val="left"/>
      <w:pPr>
        <w:tabs>
          <w:tab w:val="num" w:pos="6480"/>
        </w:tabs>
        <w:ind w:left="6480" w:hanging="360"/>
      </w:pPr>
      <w:rPr>
        <w:rFonts w:ascii="Wingdings" w:hAnsi="Wingdings" w:hint="default"/>
      </w:rPr>
    </w:lvl>
  </w:abstractNum>
  <w:abstractNum w:abstractNumId="15">
    <w:nsid w:val="2C1973AF"/>
    <w:multiLevelType w:val="hybridMultilevel"/>
    <w:tmpl w:val="906868AE"/>
    <w:lvl w:ilvl="0" w:tplc="0C50A086">
      <w:start w:val="1"/>
      <w:numFmt w:val="bullet"/>
      <w:pStyle w:val="ListAlpha"/>
      <w:lvlText w:val=""/>
      <w:lvlJc w:val="left"/>
      <w:pPr>
        <w:tabs>
          <w:tab w:val="num" w:pos="1440"/>
        </w:tabs>
        <w:ind w:left="1440" w:hanging="360"/>
      </w:pPr>
      <w:rPr>
        <w:rFonts w:ascii="Symbol" w:hAnsi="Symbol" w:hint="default"/>
      </w:rPr>
    </w:lvl>
    <w:lvl w:ilvl="1" w:tplc="632AE150">
      <w:start w:val="1"/>
      <w:numFmt w:val="bullet"/>
      <w:lvlText w:val=""/>
      <w:lvlJc w:val="left"/>
      <w:pPr>
        <w:tabs>
          <w:tab w:val="num" w:pos="2557"/>
        </w:tabs>
        <w:ind w:left="2557" w:hanging="397"/>
      </w:pPr>
      <w:rPr>
        <w:rFonts w:ascii="Symbol" w:hAnsi="Symbol" w:hint="default"/>
      </w:rPr>
    </w:lvl>
    <w:lvl w:ilvl="2" w:tplc="F62A6C48">
      <w:start w:val="1"/>
      <w:numFmt w:val="lowerLetter"/>
      <w:lvlText w:val="%3)"/>
      <w:lvlJc w:val="left"/>
      <w:pPr>
        <w:tabs>
          <w:tab w:val="num" w:pos="3795"/>
        </w:tabs>
        <w:ind w:left="3795" w:hanging="735"/>
      </w:pPr>
      <w:rPr>
        <w:rFonts w:cs="Times New Roman" w:hint="default"/>
      </w:rPr>
    </w:lvl>
    <w:lvl w:ilvl="3" w:tplc="2912F1E0">
      <w:start w:val="1"/>
      <w:numFmt w:val="bullet"/>
      <w:lvlText w:val=""/>
      <w:lvlJc w:val="left"/>
      <w:pPr>
        <w:tabs>
          <w:tab w:val="num" w:pos="3960"/>
        </w:tabs>
        <w:ind w:left="3960" w:hanging="360"/>
      </w:pPr>
      <w:rPr>
        <w:rFonts w:ascii="Wingdings" w:hAnsi="Wingdings" w:hint="default"/>
      </w:rPr>
    </w:lvl>
    <w:lvl w:ilvl="4" w:tplc="0C090001">
      <w:start w:val="128"/>
      <w:numFmt w:val="decimal"/>
      <w:lvlText w:val="%5."/>
      <w:lvlJc w:val="left"/>
      <w:pPr>
        <w:tabs>
          <w:tab w:val="num" w:pos="4710"/>
        </w:tabs>
        <w:ind w:left="4710" w:hanging="390"/>
      </w:pPr>
      <w:rPr>
        <w:rFonts w:cs="Times New Roman" w:hint="default"/>
      </w:rPr>
    </w:lvl>
    <w:lvl w:ilvl="5" w:tplc="0C09001B">
      <w:start w:val="1"/>
      <w:numFmt w:val="lowerRoman"/>
      <w:lvlText w:val="%6."/>
      <w:lvlJc w:val="right"/>
      <w:pPr>
        <w:tabs>
          <w:tab w:val="num" w:pos="5400"/>
        </w:tabs>
        <w:ind w:left="5400" w:hanging="180"/>
      </w:pPr>
      <w:rPr>
        <w:rFonts w:cs="Times New Roman"/>
      </w:rPr>
    </w:lvl>
    <w:lvl w:ilvl="6" w:tplc="0C09000F">
      <w:start w:val="1"/>
      <w:numFmt w:val="decimal"/>
      <w:lvlText w:val="%7."/>
      <w:lvlJc w:val="left"/>
      <w:pPr>
        <w:tabs>
          <w:tab w:val="num" w:pos="6120"/>
        </w:tabs>
        <w:ind w:left="6120" w:hanging="360"/>
      </w:pPr>
      <w:rPr>
        <w:rFonts w:cs="Times New Roman"/>
      </w:rPr>
    </w:lvl>
    <w:lvl w:ilvl="7" w:tplc="0C090019">
      <w:start w:val="1"/>
      <w:numFmt w:val="lowerLetter"/>
      <w:lvlText w:val="%8."/>
      <w:lvlJc w:val="left"/>
      <w:pPr>
        <w:tabs>
          <w:tab w:val="num" w:pos="6840"/>
        </w:tabs>
        <w:ind w:left="6840" w:hanging="360"/>
      </w:pPr>
      <w:rPr>
        <w:rFonts w:cs="Times New Roman"/>
      </w:rPr>
    </w:lvl>
    <w:lvl w:ilvl="8" w:tplc="0C09001B">
      <w:start w:val="1"/>
      <w:numFmt w:val="lowerRoman"/>
      <w:lvlText w:val="%9."/>
      <w:lvlJc w:val="right"/>
      <w:pPr>
        <w:tabs>
          <w:tab w:val="num" w:pos="7560"/>
        </w:tabs>
        <w:ind w:left="7560" w:hanging="180"/>
      </w:pPr>
      <w:rPr>
        <w:rFonts w:cs="Times New Roman"/>
      </w:rPr>
    </w:lvl>
  </w:abstractNum>
  <w:abstractNum w:abstractNumId="16">
    <w:nsid w:val="2E8140C6"/>
    <w:multiLevelType w:val="hybridMultilevel"/>
    <w:tmpl w:val="3B22E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EF76558"/>
    <w:multiLevelType w:val="hybridMultilevel"/>
    <w:tmpl w:val="7D0468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1402EBE"/>
    <w:multiLevelType w:val="hybridMultilevel"/>
    <w:tmpl w:val="18FE1D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8D03408"/>
    <w:multiLevelType w:val="multilevel"/>
    <w:tmpl w:val="CB18E6C2"/>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
    <w:nsid w:val="42167B77"/>
    <w:multiLevelType w:val="hybridMultilevel"/>
    <w:tmpl w:val="576C386A"/>
    <w:lvl w:ilvl="0" w:tplc="9C7248A0">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nsid w:val="441B12B8"/>
    <w:multiLevelType w:val="multilevel"/>
    <w:tmpl w:val="0C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2">
    <w:nsid w:val="454E7D3E"/>
    <w:multiLevelType w:val="hybridMultilevel"/>
    <w:tmpl w:val="7CFC6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5755DDE"/>
    <w:multiLevelType w:val="hybridMultilevel"/>
    <w:tmpl w:val="4288DDAE"/>
    <w:lvl w:ilvl="0" w:tplc="A8544102">
      <w:start w:val="1"/>
      <w:numFmt w:val="bullet"/>
      <w:pStyle w:val="Bullet1"/>
      <w:lvlText w:val=""/>
      <w:lvlJc w:val="left"/>
      <w:pPr>
        <w:tabs>
          <w:tab w:val="num" w:pos="360"/>
        </w:tabs>
        <w:ind w:left="1134" w:hanging="567"/>
      </w:pPr>
      <w:rPr>
        <w:rFonts w:ascii="Symbol" w:hAnsi="Symbol" w:hint="default"/>
      </w:rPr>
    </w:lvl>
    <w:lvl w:ilvl="1" w:tplc="7DA23604">
      <w:start w:val="1"/>
      <w:numFmt w:val="bullet"/>
      <w:lvlText w:val="o"/>
      <w:lvlJc w:val="left"/>
      <w:pPr>
        <w:tabs>
          <w:tab w:val="num" w:pos="1440"/>
        </w:tabs>
        <w:ind w:left="1440" w:hanging="360"/>
      </w:pPr>
      <w:rPr>
        <w:rFonts w:ascii="Courier New" w:hAnsi="Courier New" w:cs="Courier New" w:hint="default"/>
      </w:rPr>
    </w:lvl>
    <w:lvl w:ilvl="2" w:tplc="8D16ED38">
      <w:start w:val="1"/>
      <w:numFmt w:val="bullet"/>
      <w:lvlText w:val=""/>
      <w:lvlJc w:val="left"/>
      <w:pPr>
        <w:tabs>
          <w:tab w:val="num" w:pos="2160"/>
        </w:tabs>
        <w:ind w:left="2160" w:hanging="360"/>
      </w:pPr>
      <w:rPr>
        <w:rFonts w:ascii="Wingdings" w:hAnsi="Wingdings" w:hint="default"/>
      </w:rPr>
    </w:lvl>
    <w:lvl w:ilvl="3" w:tplc="392A8C30" w:tentative="1">
      <w:start w:val="1"/>
      <w:numFmt w:val="bullet"/>
      <w:lvlText w:val=""/>
      <w:lvlJc w:val="left"/>
      <w:pPr>
        <w:tabs>
          <w:tab w:val="num" w:pos="2880"/>
        </w:tabs>
        <w:ind w:left="2880" w:hanging="360"/>
      </w:pPr>
      <w:rPr>
        <w:rFonts w:ascii="Symbol" w:hAnsi="Symbol" w:hint="default"/>
      </w:rPr>
    </w:lvl>
    <w:lvl w:ilvl="4" w:tplc="7714A3AE" w:tentative="1">
      <w:start w:val="1"/>
      <w:numFmt w:val="bullet"/>
      <w:lvlText w:val="o"/>
      <w:lvlJc w:val="left"/>
      <w:pPr>
        <w:tabs>
          <w:tab w:val="num" w:pos="3600"/>
        </w:tabs>
        <w:ind w:left="3600" w:hanging="360"/>
      </w:pPr>
      <w:rPr>
        <w:rFonts w:ascii="Courier New" w:hAnsi="Courier New" w:cs="Courier New" w:hint="default"/>
      </w:rPr>
    </w:lvl>
    <w:lvl w:ilvl="5" w:tplc="B56EB2C8" w:tentative="1">
      <w:start w:val="1"/>
      <w:numFmt w:val="bullet"/>
      <w:lvlText w:val=""/>
      <w:lvlJc w:val="left"/>
      <w:pPr>
        <w:tabs>
          <w:tab w:val="num" w:pos="4320"/>
        </w:tabs>
        <w:ind w:left="4320" w:hanging="360"/>
      </w:pPr>
      <w:rPr>
        <w:rFonts w:ascii="Wingdings" w:hAnsi="Wingdings" w:hint="default"/>
      </w:rPr>
    </w:lvl>
    <w:lvl w:ilvl="6" w:tplc="4CC493E8" w:tentative="1">
      <w:start w:val="1"/>
      <w:numFmt w:val="bullet"/>
      <w:lvlText w:val=""/>
      <w:lvlJc w:val="left"/>
      <w:pPr>
        <w:tabs>
          <w:tab w:val="num" w:pos="5040"/>
        </w:tabs>
        <w:ind w:left="5040" w:hanging="360"/>
      </w:pPr>
      <w:rPr>
        <w:rFonts w:ascii="Symbol" w:hAnsi="Symbol" w:hint="default"/>
      </w:rPr>
    </w:lvl>
    <w:lvl w:ilvl="7" w:tplc="BE9CE7DA" w:tentative="1">
      <w:start w:val="1"/>
      <w:numFmt w:val="bullet"/>
      <w:lvlText w:val="o"/>
      <w:lvlJc w:val="left"/>
      <w:pPr>
        <w:tabs>
          <w:tab w:val="num" w:pos="5760"/>
        </w:tabs>
        <w:ind w:left="5760" w:hanging="360"/>
      </w:pPr>
      <w:rPr>
        <w:rFonts w:ascii="Courier New" w:hAnsi="Courier New" w:cs="Courier New" w:hint="default"/>
      </w:rPr>
    </w:lvl>
    <w:lvl w:ilvl="8" w:tplc="3F1EF532" w:tentative="1">
      <w:start w:val="1"/>
      <w:numFmt w:val="bullet"/>
      <w:lvlText w:val=""/>
      <w:lvlJc w:val="left"/>
      <w:pPr>
        <w:tabs>
          <w:tab w:val="num" w:pos="6480"/>
        </w:tabs>
        <w:ind w:left="6480" w:hanging="360"/>
      </w:pPr>
      <w:rPr>
        <w:rFonts w:ascii="Wingdings" w:hAnsi="Wingdings" w:hint="default"/>
      </w:rPr>
    </w:lvl>
  </w:abstractNum>
  <w:abstractNum w:abstractNumId="24">
    <w:nsid w:val="45F62D36"/>
    <w:multiLevelType w:val="hybridMultilevel"/>
    <w:tmpl w:val="F558FC46"/>
    <w:lvl w:ilvl="0" w:tplc="27A68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7B812F6"/>
    <w:multiLevelType w:val="multilevel"/>
    <w:tmpl w:val="EAC2BBA2"/>
    <w:lvl w:ilvl="0">
      <w:start w:val="1"/>
      <w:numFmt w:val="bullet"/>
      <w:pStyle w:val="dotpoint2"/>
      <w:lvlText w:val="−"/>
      <w:lvlJc w:val="left"/>
      <w:pPr>
        <w:tabs>
          <w:tab w:val="num" w:pos="851"/>
        </w:tabs>
        <w:ind w:left="1134" w:hanging="283"/>
      </w:pPr>
      <w:rPr>
        <w:rFonts w:ascii="Garamond" w:hAnsi="Garamond" w:hint="default"/>
        <w:b w:val="0"/>
        <w:bCs w:val="0"/>
        <w:i w:val="0"/>
        <w:iCs w:val="0"/>
        <w:caps w:val="0"/>
        <w:smallCaps w:val="0"/>
        <w:strike w:val="0"/>
        <w:dstrike w:val="0"/>
        <w:vanish w:val="0"/>
        <w:color w:val="auto"/>
        <w:spacing w:val="0"/>
        <w:w w:val="100"/>
        <w:kern w:val="0"/>
        <w:position w:val="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54"/>
        </w:tabs>
        <w:ind w:left="4788" w:hanging="567"/>
      </w:pPr>
      <w:rPr>
        <w:rFonts w:cs="Times New Roman" w:hint="default"/>
      </w:rPr>
    </w:lvl>
    <w:lvl w:ilvl="2">
      <w:start w:val="1"/>
      <w:numFmt w:val="lowerRoman"/>
      <w:lvlText w:val="%3."/>
      <w:lvlJc w:val="right"/>
      <w:pPr>
        <w:tabs>
          <w:tab w:val="num" w:pos="3654"/>
        </w:tabs>
        <w:ind w:left="5922" w:hanging="567"/>
      </w:pPr>
      <w:rPr>
        <w:rFonts w:cs="Times New Roman" w:hint="default"/>
      </w:rPr>
    </w:lvl>
    <w:lvl w:ilvl="3">
      <w:start w:val="1"/>
      <w:numFmt w:val="decimal"/>
      <w:lvlText w:val="%4."/>
      <w:lvlJc w:val="left"/>
      <w:pPr>
        <w:tabs>
          <w:tab w:val="num" w:pos="3969"/>
        </w:tabs>
        <w:ind w:left="3969" w:hanging="567"/>
      </w:pPr>
      <w:rPr>
        <w:rFonts w:cs="Times New Roman" w:hint="default"/>
      </w:rPr>
    </w:lvl>
    <w:lvl w:ilvl="4">
      <w:start w:val="1"/>
      <w:numFmt w:val="bullet"/>
      <w:lvlText w:val=""/>
      <w:lvlJc w:val="left"/>
      <w:pPr>
        <w:tabs>
          <w:tab w:val="num" w:pos="7254"/>
        </w:tabs>
        <w:ind w:left="7254" w:hanging="360"/>
      </w:pPr>
      <w:rPr>
        <w:rFonts w:ascii="Symbol" w:hAnsi="Symbol" w:hint="default"/>
      </w:rPr>
    </w:lvl>
    <w:lvl w:ilvl="5">
      <w:start w:val="1"/>
      <w:numFmt w:val="lowerRoman"/>
      <w:lvlText w:val="%6."/>
      <w:lvlJc w:val="right"/>
      <w:pPr>
        <w:tabs>
          <w:tab w:val="num" w:pos="7974"/>
        </w:tabs>
        <w:ind w:left="7974" w:hanging="180"/>
      </w:pPr>
      <w:rPr>
        <w:rFonts w:cs="Times New Roman" w:hint="default"/>
      </w:rPr>
    </w:lvl>
    <w:lvl w:ilvl="6">
      <w:start w:val="1"/>
      <w:numFmt w:val="decimal"/>
      <w:lvlText w:val="%7."/>
      <w:lvlJc w:val="left"/>
      <w:pPr>
        <w:tabs>
          <w:tab w:val="num" w:pos="8694"/>
        </w:tabs>
        <w:ind w:left="8694" w:hanging="360"/>
      </w:pPr>
      <w:rPr>
        <w:rFonts w:cs="Times New Roman" w:hint="default"/>
      </w:rPr>
    </w:lvl>
    <w:lvl w:ilvl="7">
      <w:start w:val="1"/>
      <w:numFmt w:val="lowerLetter"/>
      <w:lvlText w:val="%8."/>
      <w:lvlJc w:val="left"/>
      <w:pPr>
        <w:tabs>
          <w:tab w:val="num" w:pos="9414"/>
        </w:tabs>
        <w:ind w:left="9414" w:hanging="360"/>
      </w:pPr>
      <w:rPr>
        <w:rFonts w:cs="Times New Roman" w:hint="default"/>
      </w:rPr>
    </w:lvl>
    <w:lvl w:ilvl="8">
      <w:start w:val="1"/>
      <w:numFmt w:val="lowerRoman"/>
      <w:lvlText w:val="%9."/>
      <w:lvlJc w:val="right"/>
      <w:pPr>
        <w:tabs>
          <w:tab w:val="num" w:pos="10134"/>
        </w:tabs>
        <w:ind w:left="10134" w:hanging="180"/>
      </w:pPr>
      <w:rPr>
        <w:rFonts w:cs="Times New Roman" w:hint="default"/>
      </w:rPr>
    </w:lvl>
  </w:abstractNum>
  <w:abstractNum w:abstractNumId="26">
    <w:nsid w:val="4B21636F"/>
    <w:multiLevelType w:val="hybridMultilevel"/>
    <w:tmpl w:val="481810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6B64D9E"/>
    <w:multiLevelType w:val="hybridMultilevel"/>
    <w:tmpl w:val="CEAE9074"/>
    <w:lvl w:ilvl="0" w:tplc="C02CF776">
      <w:start w:val="1"/>
      <w:numFmt w:val="lowerLetter"/>
      <w:pStyle w:val="StyleabcBulletsAfter6ptLinespacingsingle"/>
      <w:lvlText w:val="%1."/>
      <w:lvlJc w:val="left"/>
      <w:pPr>
        <w:tabs>
          <w:tab w:val="num" w:pos="1134"/>
        </w:tabs>
        <w:ind w:left="1134" w:hanging="567"/>
      </w:pPr>
      <w:rPr>
        <w:rFonts w:hint="default"/>
      </w:rPr>
    </w:lvl>
    <w:lvl w:ilvl="1" w:tplc="FFFFFFFF">
      <w:start w:val="1"/>
      <w:numFmt w:val="lowerRoman"/>
      <w:pStyle w:val="iiiiiiBullets"/>
      <w:lvlText w:val="%2."/>
      <w:lvlJc w:val="left"/>
      <w:pPr>
        <w:tabs>
          <w:tab w:val="num" w:pos="1701"/>
        </w:tabs>
        <w:ind w:left="1701" w:hanging="567"/>
      </w:pPr>
      <w:rPr>
        <w:rFonts w:hint="default"/>
      </w:rPr>
    </w:lvl>
    <w:lvl w:ilvl="2" w:tplc="FFFFFFFF">
      <w:start w:val="1"/>
      <w:numFmt w:val="bullet"/>
      <w:pStyle w:val="Bullet2"/>
      <w:lvlText w:val="-"/>
      <w:lvlJc w:val="left"/>
      <w:pPr>
        <w:tabs>
          <w:tab w:val="num" w:pos="1701"/>
        </w:tabs>
        <w:ind w:left="1701" w:hanging="567"/>
      </w:pPr>
      <w:rPr>
        <w:rFonts w:ascii="Courier New" w:hAnsi="Courier New"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3E233C9"/>
    <w:multiLevelType w:val="hybridMultilevel"/>
    <w:tmpl w:val="B94A0064"/>
    <w:lvl w:ilvl="0" w:tplc="0C090001">
      <w:start w:val="1"/>
      <w:numFmt w:val="bullet"/>
      <w:lvlText w:val=""/>
      <w:lvlJc w:val="left"/>
      <w:pPr>
        <w:ind w:left="1600" w:hanging="360"/>
      </w:pPr>
      <w:rPr>
        <w:rFonts w:ascii="Symbol" w:hAnsi="Symbol" w:hint="default"/>
      </w:rPr>
    </w:lvl>
    <w:lvl w:ilvl="1" w:tplc="0C090003" w:tentative="1">
      <w:start w:val="1"/>
      <w:numFmt w:val="bullet"/>
      <w:lvlText w:val="o"/>
      <w:lvlJc w:val="left"/>
      <w:pPr>
        <w:ind w:left="2320" w:hanging="360"/>
      </w:pPr>
      <w:rPr>
        <w:rFonts w:ascii="Courier New" w:hAnsi="Courier New" w:cs="Courier New" w:hint="default"/>
      </w:rPr>
    </w:lvl>
    <w:lvl w:ilvl="2" w:tplc="0C090005" w:tentative="1">
      <w:start w:val="1"/>
      <w:numFmt w:val="bullet"/>
      <w:lvlText w:val=""/>
      <w:lvlJc w:val="left"/>
      <w:pPr>
        <w:ind w:left="3040" w:hanging="360"/>
      </w:pPr>
      <w:rPr>
        <w:rFonts w:ascii="Wingdings" w:hAnsi="Wingdings" w:hint="default"/>
      </w:rPr>
    </w:lvl>
    <w:lvl w:ilvl="3" w:tplc="0C090001" w:tentative="1">
      <w:start w:val="1"/>
      <w:numFmt w:val="bullet"/>
      <w:lvlText w:val=""/>
      <w:lvlJc w:val="left"/>
      <w:pPr>
        <w:ind w:left="3760" w:hanging="360"/>
      </w:pPr>
      <w:rPr>
        <w:rFonts w:ascii="Symbol" w:hAnsi="Symbol" w:hint="default"/>
      </w:rPr>
    </w:lvl>
    <w:lvl w:ilvl="4" w:tplc="0C090003" w:tentative="1">
      <w:start w:val="1"/>
      <w:numFmt w:val="bullet"/>
      <w:lvlText w:val="o"/>
      <w:lvlJc w:val="left"/>
      <w:pPr>
        <w:ind w:left="4480" w:hanging="360"/>
      </w:pPr>
      <w:rPr>
        <w:rFonts w:ascii="Courier New" w:hAnsi="Courier New" w:cs="Courier New" w:hint="default"/>
      </w:rPr>
    </w:lvl>
    <w:lvl w:ilvl="5" w:tplc="0C090005" w:tentative="1">
      <w:start w:val="1"/>
      <w:numFmt w:val="bullet"/>
      <w:lvlText w:val=""/>
      <w:lvlJc w:val="left"/>
      <w:pPr>
        <w:ind w:left="5200" w:hanging="360"/>
      </w:pPr>
      <w:rPr>
        <w:rFonts w:ascii="Wingdings" w:hAnsi="Wingdings" w:hint="default"/>
      </w:rPr>
    </w:lvl>
    <w:lvl w:ilvl="6" w:tplc="0C090001" w:tentative="1">
      <w:start w:val="1"/>
      <w:numFmt w:val="bullet"/>
      <w:lvlText w:val=""/>
      <w:lvlJc w:val="left"/>
      <w:pPr>
        <w:ind w:left="5920" w:hanging="360"/>
      </w:pPr>
      <w:rPr>
        <w:rFonts w:ascii="Symbol" w:hAnsi="Symbol" w:hint="default"/>
      </w:rPr>
    </w:lvl>
    <w:lvl w:ilvl="7" w:tplc="0C090003" w:tentative="1">
      <w:start w:val="1"/>
      <w:numFmt w:val="bullet"/>
      <w:lvlText w:val="o"/>
      <w:lvlJc w:val="left"/>
      <w:pPr>
        <w:ind w:left="6640" w:hanging="360"/>
      </w:pPr>
      <w:rPr>
        <w:rFonts w:ascii="Courier New" w:hAnsi="Courier New" w:cs="Courier New" w:hint="default"/>
      </w:rPr>
    </w:lvl>
    <w:lvl w:ilvl="8" w:tplc="0C090005" w:tentative="1">
      <w:start w:val="1"/>
      <w:numFmt w:val="bullet"/>
      <w:lvlText w:val=""/>
      <w:lvlJc w:val="left"/>
      <w:pPr>
        <w:ind w:left="7360" w:hanging="360"/>
      </w:pPr>
      <w:rPr>
        <w:rFonts w:ascii="Wingdings" w:hAnsi="Wingdings" w:hint="default"/>
      </w:rPr>
    </w:lvl>
  </w:abstractNum>
  <w:abstractNum w:abstractNumId="29">
    <w:nsid w:val="66C42EB3"/>
    <w:multiLevelType w:val="hybridMultilevel"/>
    <w:tmpl w:val="481810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F042B29"/>
    <w:multiLevelType w:val="multilevel"/>
    <w:tmpl w:val="2C703A0A"/>
    <w:lvl w:ilvl="0">
      <w:start w:val="1"/>
      <w:numFmt w:val="decimal"/>
      <w:pStyle w:val="bodytextoutlinednumber"/>
      <w:lvlText w:val="%1."/>
      <w:lvlJc w:val="left"/>
      <w:pPr>
        <w:tabs>
          <w:tab w:val="num" w:pos="567"/>
        </w:tabs>
        <w:ind w:left="0" w:firstLine="0"/>
      </w:pPr>
      <w:rPr>
        <w:rFonts w:ascii="Calibri" w:hAnsi="Calibri" w:hint="default"/>
        <w:b w:val="0"/>
        <w:i w:val="0"/>
        <w:sz w:val="24"/>
      </w:rPr>
    </w:lvl>
    <w:lvl w:ilvl="1">
      <w:start w:val="1"/>
      <w:numFmt w:val="lowerLetter"/>
      <w:lvlText w:val="%2."/>
      <w:lvlJc w:val="left"/>
      <w:pPr>
        <w:tabs>
          <w:tab w:val="num" w:pos="851"/>
        </w:tabs>
        <w:ind w:left="851" w:hanging="284"/>
      </w:pPr>
      <w:rPr>
        <w:rFonts w:ascii="Calibri" w:hAnsi="Calibri" w:hint="default"/>
        <w:b w:val="0"/>
        <w:i w:val="0"/>
        <w:color w:val="auto"/>
        <w:sz w:val="24"/>
      </w:rPr>
    </w:lvl>
    <w:lvl w:ilvl="2">
      <w:start w:val="1"/>
      <w:numFmt w:val="lowerRoman"/>
      <w:lvlText w:val="%3."/>
      <w:lvlJc w:val="left"/>
      <w:pPr>
        <w:tabs>
          <w:tab w:val="num" w:pos="1247"/>
        </w:tabs>
        <w:ind w:left="1247" w:hanging="396"/>
      </w:pPr>
      <w:rPr>
        <w:rFonts w:ascii="Calibri" w:hAnsi="Calibri" w:hint="default"/>
        <w:b w:val="0"/>
        <w:i w:val="0"/>
        <w:color w:val="auto"/>
        <w:sz w:val="24"/>
      </w:rPr>
    </w:lvl>
    <w:lvl w:ilvl="3">
      <w:start w:val="1"/>
      <w:numFmt w:val="decimal"/>
      <w:lvlText w:val="%4."/>
      <w:lvlJc w:val="left"/>
      <w:pPr>
        <w:tabs>
          <w:tab w:val="num" w:pos="1531"/>
        </w:tabs>
        <w:ind w:left="1531" w:hanging="284"/>
      </w:pPr>
      <w:rPr>
        <w:rFonts w:hint="default"/>
        <w:b w:val="0"/>
        <w:i w:val="0"/>
        <w:sz w:val="22"/>
      </w:rPr>
    </w:lvl>
    <w:lvl w:ilvl="4">
      <w:start w:val="1"/>
      <w:numFmt w:val="lowerLetter"/>
      <w:lvlText w:val="(%5)"/>
      <w:lvlJc w:val="left"/>
      <w:pPr>
        <w:tabs>
          <w:tab w:val="num" w:pos="2134"/>
        </w:tabs>
        <w:ind w:left="2134" w:hanging="360"/>
      </w:pPr>
      <w:rPr>
        <w:rFonts w:hint="default"/>
      </w:rPr>
    </w:lvl>
    <w:lvl w:ilvl="5">
      <w:start w:val="1"/>
      <w:numFmt w:val="lowerRoman"/>
      <w:lvlText w:val="(%6)"/>
      <w:lvlJc w:val="left"/>
      <w:pPr>
        <w:tabs>
          <w:tab w:val="num" w:pos="2494"/>
        </w:tabs>
        <w:ind w:left="2494" w:hanging="360"/>
      </w:pPr>
      <w:rPr>
        <w:rFonts w:hint="default"/>
      </w:rPr>
    </w:lvl>
    <w:lvl w:ilvl="6">
      <w:start w:val="1"/>
      <w:numFmt w:val="decimal"/>
      <w:lvlText w:val="%7."/>
      <w:lvlJc w:val="left"/>
      <w:pPr>
        <w:tabs>
          <w:tab w:val="num" w:pos="2854"/>
        </w:tabs>
        <w:ind w:left="2854" w:hanging="360"/>
      </w:pPr>
      <w:rPr>
        <w:rFonts w:hint="default"/>
      </w:rPr>
    </w:lvl>
    <w:lvl w:ilvl="7">
      <w:start w:val="1"/>
      <w:numFmt w:val="lowerLetter"/>
      <w:lvlText w:val="%8."/>
      <w:lvlJc w:val="left"/>
      <w:pPr>
        <w:tabs>
          <w:tab w:val="num" w:pos="3214"/>
        </w:tabs>
        <w:ind w:left="3214" w:hanging="360"/>
      </w:pPr>
      <w:rPr>
        <w:rFonts w:hint="default"/>
      </w:rPr>
    </w:lvl>
    <w:lvl w:ilvl="8">
      <w:start w:val="1"/>
      <w:numFmt w:val="lowerRoman"/>
      <w:lvlText w:val="%9."/>
      <w:lvlJc w:val="left"/>
      <w:pPr>
        <w:tabs>
          <w:tab w:val="num" w:pos="3574"/>
        </w:tabs>
        <w:ind w:left="3574" w:hanging="360"/>
      </w:pPr>
      <w:rPr>
        <w:rFonts w:hint="default"/>
      </w:rPr>
    </w:lvl>
  </w:abstractNum>
  <w:abstractNum w:abstractNumId="31">
    <w:nsid w:val="70485B52"/>
    <w:multiLevelType w:val="hybridMultilevel"/>
    <w:tmpl w:val="5CB2A272"/>
    <w:lvl w:ilvl="0" w:tplc="68A4F920">
      <w:start w:val="6"/>
      <w:numFmt w:val="lowerLetter"/>
      <w:lvlText w:val="%1."/>
      <w:lvlJc w:val="left"/>
      <w:pPr>
        <w:ind w:left="128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6DD487F"/>
    <w:multiLevelType w:val="hybridMultilevel"/>
    <w:tmpl w:val="EEE09B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8D01FD0"/>
    <w:multiLevelType w:val="hybridMultilevel"/>
    <w:tmpl w:val="481810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DB7860"/>
    <w:multiLevelType w:val="hybridMultilevel"/>
    <w:tmpl w:val="99282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7219C6"/>
    <w:multiLevelType w:val="hybridMultilevel"/>
    <w:tmpl w:val="D25EF33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nsid w:val="7C4D7C05"/>
    <w:multiLevelType w:val="hybridMultilevel"/>
    <w:tmpl w:val="D9BEED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CF64868"/>
    <w:multiLevelType w:val="hybridMultilevel"/>
    <w:tmpl w:val="083AD63C"/>
    <w:lvl w:ilvl="0" w:tplc="314A57CE">
      <w:start w:val="1"/>
      <w:numFmt w:val="bullet"/>
      <w:pStyle w:val="dpi2"/>
      <w:lvlText w:val=""/>
      <w:lvlJc w:val="left"/>
      <w:pPr>
        <w:tabs>
          <w:tab w:val="num" w:pos="567"/>
        </w:tabs>
        <w:ind w:left="567" w:hanging="283"/>
      </w:pPr>
      <w:rPr>
        <w:rFonts w:ascii="Symbol" w:hAnsi="Symbol" w:hint="default"/>
        <w:b w:val="0"/>
        <w:i w:val="0"/>
        <w:color w:val="auto"/>
        <w:sz w:val="24"/>
      </w:rPr>
    </w:lvl>
    <w:lvl w:ilvl="1" w:tplc="58809C96" w:tentative="1">
      <w:start w:val="1"/>
      <w:numFmt w:val="bullet"/>
      <w:lvlText w:val="o"/>
      <w:lvlJc w:val="left"/>
      <w:pPr>
        <w:tabs>
          <w:tab w:val="num" w:pos="1440"/>
        </w:tabs>
        <w:ind w:left="1440" w:hanging="360"/>
      </w:pPr>
      <w:rPr>
        <w:rFonts w:ascii="Courier New" w:hAnsi="Courier New" w:hint="default"/>
      </w:rPr>
    </w:lvl>
    <w:lvl w:ilvl="2" w:tplc="AB28B8CE" w:tentative="1">
      <w:start w:val="1"/>
      <w:numFmt w:val="bullet"/>
      <w:lvlText w:val=""/>
      <w:lvlJc w:val="left"/>
      <w:pPr>
        <w:tabs>
          <w:tab w:val="num" w:pos="2160"/>
        </w:tabs>
        <w:ind w:left="2160" w:hanging="360"/>
      </w:pPr>
      <w:rPr>
        <w:rFonts w:ascii="Wingdings" w:hAnsi="Wingdings" w:hint="default"/>
      </w:rPr>
    </w:lvl>
    <w:lvl w:ilvl="3" w:tplc="4B24254E" w:tentative="1">
      <w:start w:val="1"/>
      <w:numFmt w:val="bullet"/>
      <w:lvlText w:val=""/>
      <w:lvlJc w:val="left"/>
      <w:pPr>
        <w:tabs>
          <w:tab w:val="num" w:pos="2880"/>
        </w:tabs>
        <w:ind w:left="2880" w:hanging="360"/>
      </w:pPr>
      <w:rPr>
        <w:rFonts w:ascii="Symbol" w:hAnsi="Symbol" w:hint="default"/>
      </w:rPr>
    </w:lvl>
    <w:lvl w:ilvl="4" w:tplc="AD74DB40" w:tentative="1">
      <w:start w:val="1"/>
      <w:numFmt w:val="bullet"/>
      <w:lvlText w:val="o"/>
      <w:lvlJc w:val="left"/>
      <w:pPr>
        <w:tabs>
          <w:tab w:val="num" w:pos="3600"/>
        </w:tabs>
        <w:ind w:left="3600" w:hanging="360"/>
      </w:pPr>
      <w:rPr>
        <w:rFonts w:ascii="Courier New" w:hAnsi="Courier New" w:hint="default"/>
      </w:rPr>
    </w:lvl>
    <w:lvl w:ilvl="5" w:tplc="AA924834" w:tentative="1">
      <w:start w:val="1"/>
      <w:numFmt w:val="bullet"/>
      <w:lvlText w:val=""/>
      <w:lvlJc w:val="left"/>
      <w:pPr>
        <w:tabs>
          <w:tab w:val="num" w:pos="4320"/>
        </w:tabs>
        <w:ind w:left="4320" w:hanging="360"/>
      </w:pPr>
      <w:rPr>
        <w:rFonts w:ascii="Wingdings" w:hAnsi="Wingdings" w:hint="default"/>
      </w:rPr>
    </w:lvl>
    <w:lvl w:ilvl="6" w:tplc="85047096" w:tentative="1">
      <w:start w:val="1"/>
      <w:numFmt w:val="bullet"/>
      <w:lvlText w:val=""/>
      <w:lvlJc w:val="left"/>
      <w:pPr>
        <w:tabs>
          <w:tab w:val="num" w:pos="5040"/>
        </w:tabs>
        <w:ind w:left="5040" w:hanging="360"/>
      </w:pPr>
      <w:rPr>
        <w:rFonts w:ascii="Symbol" w:hAnsi="Symbol" w:hint="default"/>
      </w:rPr>
    </w:lvl>
    <w:lvl w:ilvl="7" w:tplc="BBC64178" w:tentative="1">
      <w:start w:val="1"/>
      <w:numFmt w:val="bullet"/>
      <w:lvlText w:val="o"/>
      <w:lvlJc w:val="left"/>
      <w:pPr>
        <w:tabs>
          <w:tab w:val="num" w:pos="5760"/>
        </w:tabs>
        <w:ind w:left="5760" w:hanging="360"/>
      </w:pPr>
      <w:rPr>
        <w:rFonts w:ascii="Courier New" w:hAnsi="Courier New" w:hint="default"/>
      </w:rPr>
    </w:lvl>
    <w:lvl w:ilvl="8" w:tplc="FE08370C" w:tentative="1">
      <w:start w:val="1"/>
      <w:numFmt w:val="bullet"/>
      <w:lvlText w:val=""/>
      <w:lvlJc w:val="left"/>
      <w:pPr>
        <w:tabs>
          <w:tab w:val="num" w:pos="6480"/>
        </w:tabs>
        <w:ind w:left="6480" w:hanging="360"/>
      </w:pPr>
      <w:rPr>
        <w:rFonts w:ascii="Wingdings" w:hAnsi="Wingdings" w:hint="default"/>
      </w:rPr>
    </w:lvl>
  </w:abstractNum>
  <w:abstractNum w:abstractNumId="39">
    <w:nsid w:val="7FC327F9"/>
    <w:multiLevelType w:val="multilevel"/>
    <w:tmpl w:val="7D0229C0"/>
    <w:lvl w:ilvl="0">
      <w:start w:val="1"/>
      <w:numFmt w:val="bullet"/>
      <w:lvlText w:val=""/>
      <w:lvlJc w:val="left"/>
      <w:pPr>
        <w:tabs>
          <w:tab w:val="num" w:pos="567"/>
        </w:tabs>
        <w:ind w:left="0" w:firstLine="0"/>
      </w:pPr>
      <w:rPr>
        <w:rFonts w:ascii="Symbol" w:hAnsi="Symbol" w:hint="default"/>
        <w:b w:val="0"/>
        <w:i w:val="0"/>
        <w:sz w:val="24"/>
      </w:rPr>
    </w:lvl>
    <w:lvl w:ilvl="1">
      <w:start w:val="1"/>
      <w:numFmt w:val="lowerLetter"/>
      <w:lvlText w:val="%2."/>
      <w:lvlJc w:val="left"/>
      <w:pPr>
        <w:tabs>
          <w:tab w:val="num" w:pos="851"/>
        </w:tabs>
        <w:ind w:left="851" w:hanging="284"/>
      </w:pPr>
      <w:rPr>
        <w:rFonts w:ascii="Calibri" w:hAnsi="Calibri" w:hint="default"/>
        <w:b w:val="0"/>
        <w:i w:val="0"/>
        <w:color w:val="auto"/>
        <w:sz w:val="24"/>
      </w:rPr>
    </w:lvl>
    <w:lvl w:ilvl="2">
      <w:start w:val="1"/>
      <w:numFmt w:val="lowerRoman"/>
      <w:lvlText w:val="%3."/>
      <w:lvlJc w:val="left"/>
      <w:pPr>
        <w:tabs>
          <w:tab w:val="num" w:pos="1247"/>
        </w:tabs>
        <w:ind w:left="1247" w:hanging="396"/>
      </w:pPr>
      <w:rPr>
        <w:rFonts w:ascii="Calibri" w:hAnsi="Calibri" w:hint="default"/>
        <w:b w:val="0"/>
        <w:i w:val="0"/>
        <w:color w:val="auto"/>
        <w:sz w:val="24"/>
      </w:rPr>
    </w:lvl>
    <w:lvl w:ilvl="3">
      <w:start w:val="1"/>
      <w:numFmt w:val="decimal"/>
      <w:lvlText w:val="%4."/>
      <w:lvlJc w:val="left"/>
      <w:pPr>
        <w:tabs>
          <w:tab w:val="num" w:pos="1531"/>
        </w:tabs>
        <w:ind w:left="1531" w:hanging="284"/>
      </w:pPr>
      <w:rPr>
        <w:rFonts w:hint="default"/>
        <w:b w:val="0"/>
        <w:i w:val="0"/>
        <w:sz w:val="22"/>
      </w:rPr>
    </w:lvl>
    <w:lvl w:ilvl="4">
      <w:start w:val="1"/>
      <w:numFmt w:val="lowerLetter"/>
      <w:lvlText w:val="(%5)"/>
      <w:lvlJc w:val="left"/>
      <w:pPr>
        <w:tabs>
          <w:tab w:val="num" w:pos="2134"/>
        </w:tabs>
        <w:ind w:left="2134" w:hanging="360"/>
      </w:pPr>
      <w:rPr>
        <w:rFonts w:hint="default"/>
      </w:rPr>
    </w:lvl>
    <w:lvl w:ilvl="5">
      <w:start w:val="1"/>
      <w:numFmt w:val="lowerRoman"/>
      <w:lvlText w:val="(%6)"/>
      <w:lvlJc w:val="left"/>
      <w:pPr>
        <w:tabs>
          <w:tab w:val="num" w:pos="2494"/>
        </w:tabs>
        <w:ind w:left="2494" w:hanging="360"/>
      </w:pPr>
      <w:rPr>
        <w:rFonts w:hint="default"/>
      </w:rPr>
    </w:lvl>
    <w:lvl w:ilvl="6">
      <w:start w:val="1"/>
      <w:numFmt w:val="decimal"/>
      <w:lvlText w:val="%7."/>
      <w:lvlJc w:val="left"/>
      <w:pPr>
        <w:tabs>
          <w:tab w:val="num" w:pos="2854"/>
        </w:tabs>
        <w:ind w:left="2854" w:hanging="360"/>
      </w:pPr>
      <w:rPr>
        <w:rFonts w:hint="default"/>
      </w:rPr>
    </w:lvl>
    <w:lvl w:ilvl="7">
      <w:start w:val="1"/>
      <w:numFmt w:val="lowerLetter"/>
      <w:lvlText w:val="%8."/>
      <w:lvlJc w:val="left"/>
      <w:pPr>
        <w:tabs>
          <w:tab w:val="num" w:pos="3214"/>
        </w:tabs>
        <w:ind w:left="3214" w:hanging="360"/>
      </w:pPr>
      <w:rPr>
        <w:rFonts w:hint="default"/>
      </w:rPr>
    </w:lvl>
    <w:lvl w:ilvl="8">
      <w:start w:val="1"/>
      <w:numFmt w:val="lowerRoman"/>
      <w:lvlText w:val="%9."/>
      <w:lvlJc w:val="left"/>
      <w:pPr>
        <w:tabs>
          <w:tab w:val="num" w:pos="3574"/>
        </w:tabs>
        <w:ind w:left="3574" w:hanging="360"/>
      </w:pPr>
      <w:rPr>
        <w:rFonts w:hint="default"/>
      </w:rPr>
    </w:lvl>
  </w:abstractNum>
  <w:num w:numId="1">
    <w:abstractNumId w:val="6"/>
  </w:num>
  <w:num w:numId="2">
    <w:abstractNumId w:val="15"/>
  </w:num>
  <w:num w:numId="3">
    <w:abstractNumId w:val="2"/>
  </w:num>
  <w:num w:numId="4">
    <w:abstractNumId w:val="12"/>
  </w:num>
  <w:num w:numId="5">
    <w:abstractNumId w:val="27"/>
  </w:num>
  <w:num w:numId="6">
    <w:abstractNumId w:val="23"/>
  </w:num>
  <w:num w:numId="7">
    <w:abstractNumId w:val="11"/>
  </w:num>
  <w:num w:numId="8">
    <w:abstractNumId w:val="0"/>
  </w:num>
  <w:num w:numId="9">
    <w:abstractNumId w:val="33"/>
  </w:num>
  <w:num w:numId="10">
    <w:abstractNumId w:val="30"/>
  </w:num>
  <w:num w:numId="11">
    <w:abstractNumId w:val="10"/>
  </w:num>
  <w:num w:numId="12">
    <w:abstractNumId w:val="25"/>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7"/>
    <w:lvlOverride w:ilvl="0">
      <w:startOverride w:val="1"/>
    </w:lvlOverride>
  </w:num>
  <w:num w:numId="23">
    <w:abstractNumId w:val="27"/>
    <w:lvlOverride w:ilvl="0">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5"/>
  </w:num>
  <w:num w:numId="32">
    <w:abstractNumId w:val="30"/>
  </w:num>
  <w:num w:numId="33">
    <w:abstractNumId w:val="20"/>
  </w:num>
  <w:num w:numId="34">
    <w:abstractNumId w:val="9"/>
  </w:num>
  <w:num w:numId="35">
    <w:abstractNumId w:val="28"/>
  </w:num>
  <w:num w:numId="36">
    <w:abstractNumId w:val="8"/>
  </w:num>
  <w:num w:numId="37">
    <w:abstractNumId w:val="31"/>
  </w:num>
  <w:num w:numId="38">
    <w:abstractNumId w:val="10"/>
  </w:num>
  <w:num w:numId="39">
    <w:abstractNumId w:val="34"/>
  </w:num>
  <w:num w:numId="40">
    <w:abstractNumId w:val="7"/>
  </w:num>
  <w:num w:numId="41">
    <w:abstractNumId w:val="30"/>
  </w:num>
  <w:num w:numId="42">
    <w:abstractNumId w:val="30"/>
  </w:num>
  <w:num w:numId="43">
    <w:abstractNumId w:val="30"/>
  </w:num>
  <w:num w:numId="44">
    <w:abstractNumId w:val="30"/>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30"/>
  </w:num>
  <w:num w:numId="49">
    <w:abstractNumId w:val="30"/>
  </w:num>
  <w:num w:numId="50">
    <w:abstractNumId w:val="29"/>
  </w:num>
  <w:num w:numId="51">
    <w:abstractNumId w:val="26"/>
  </w:num>
  <w:num w:numId="52">
    <w:abstractNumId w:val="30"/>
  </w:num>
  <w:num w:numId="53">
    <w:abstractNumId w:val="23"/>
  </w:num>
  <w:num w:numId="54">
    <w:abstractNumId w:val="23"/>
  </w:num>
  <w:num w:numId="55">
    <w:abstractNumId w:val="23"/>
  </w:num>
  <w:num w:numId="56">
    <w:abstractNumId w:val="14"/>
  </w:num>
  <w:num w:numId="57">
    <w:abstractNumId w:val="14"/>
  </w:num>
  <w:num w:numId="58">
    <w:abstractNumId w:val="14"/>
  </w:num>
  <w:num w:numId="59">
    <w:abstractNumId w:val="38"/>
  </w:num>
  <w:num w:numId="60">
    <w:abstractNumId w:val="23"/>
  </w:num>
  <w:num w:numId="61">
    <w:abstractNumId w:val="23"/>
  </w:num>
  <w:num w:numId="62">
    <w:abstractNumId w:val="23"/>
  </w:num>
  <w:num w:numId="63">
    <w:abstractNumId w:val="23"/>
  </w:num>
  <w:num w:numId="64">
    <w:abstractNumId w:val="23"/>
  </w:num>
  <w:num w:numId="65">
    <w:abstractNumId w:val="30"/>
  </w:num>
  <w:num w:numId="66">
    <w:abstractNumId w:val="30"/>
  </w:num>
  <w:num w:numId="67">
    <w:abstractNumId w:val="30"/>
  </w:num>
  <w:num w:numId="68">
    <w:abstractNumId w:val="16"/>
  </w:num>
  <w:num w:numId="69">
    <w:abstractNumId w:val="21"/>
  </w:num>
  <w:num w:numId="70">
    <w:abstractNumId w:val="19"/>
  </w:num>
  <w:num w:numId="71">
    <w:abstractNumId w:val="13"/>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0"/>
  </w:num>
  <w:num w:numId="86">
    <w:abstractNumId w:val="30"/>
  </w:num>
  <w:num w:numId="87">
    <w:abstractNumId w:val="30"/>
  </w:num>
  <w:num w:numId="88">
    <w:abstractNumId w:val="30"/>
  </w:num>
  <w:num w:numId="89">
    <w:abstractNumId w:val="30"/>
  </w:num>
  <w:num w:numId="90">
    <w:abstractNumId w:val="30"/>
  </w:num>
  <w:num w:numId="91">
    <w:abstractNumId w:val="30"/>
  </w:num>
  <w:num w:numId="92">
    <w:abstractNumId w:val="30"/>
  </w:num>
  <w:num w:numId="93">
    <w:abstractNumId w:val="30"/>
  </w:num>
  <w:num w:numId="94">
    <w:abstractNumId w:val="30"/>
  </w:num>
  <w:num w:numId="95">
    <w:abstractNumId w:val="30"/>
  </w:num>
  <w:num w:numId="96">
    <w:abstractNumId w:val="30"/>
  </w:num>
  <w:num w:numId="97">
    <w:abstractNumId w:val="10"/>
  </w:num>
  <w:num w:numId="98">
    <w:abstractNumId w:val="10"/>
  </w:num>
  <w:num w:numId="99">
    <w:abstractNumId w:val="10"/>
  </w:num>
  <w:num w:numId="100">
    <w:abstractNumId w:val="10"/>
  </w:num>
  <w:num w:numId="101">
    <w:abstractNumId w:val="10"/>
  </w:num>
  <w:num w:numId="102">
    <w:abstractNumId w:val="10"/>
  </w:num>
  <w:num w:numId="103">
    <w:abstractNumId w:val="10"/>
  </w:num>
  <w:num w:numId="104">
    <w:abstractNumId w:val="10"/>
  </w:num>
  <w:num w:numId="105">
    <w:abstractNumId w:val="10"/>
  </w:num>
  <w:num w:numId="106">
    <w:abstractNumId w:val="10"/>
  </w:num>
  <w:num w:numId="107">
    <w:abstractNumId w:val="10"/>
  </w:num>
  <w:num w:numId="108">
    <w:abstractNumId w:val="10"/>
  </w:num>
  <w:num w:numId="109">
    <w:abstractNumId w:val="10"/>
  </w:num>
  <w:num w:numId="110">
    <w:abstractNumId w:val="10"/>
  </w:num>
  <w:num w:numId="111">
    <w:abstractNumId w:val="10"/>
  </w:num>
  <w:num w:numId="112">
    <w:abstractNumId w:val="10"/>
  </w:num>
  <w:num w:numId="113">
    <w:abstractNumId w:val="10"/>
  </w:num>
  <w:num w:numId="114">
    <w:abstractNumId w:val="10"/>
  </w:num>
  <w:num w:numId="115">
    <w:abstractNumId w:val="10"/>
  </w:num>
  <w:num w:numId="116">
    <w:abstractNumId w:val="10"/>
  </w:num>
  <w:num w:numId="117">
    <w:abstractNumId w:val="10"/>
  </w:num>
  <w:num w:numId="118">
    <w:abstractNumId w:val="10"/>
  </w:num>
  <w:num w:numId="119">
    <w:abstractNumId w:val="10"/>
  </w:num>
  <w:num w:numId="120">
    <w:abstractNumId w:val="10"/>
  </w:num>
  <w:num w:numId="121">
    <w:abstractNumId w:val="10"/>
  </w:num>
  <w:num w:numId="122">
    <w:abstractNumId w:val="10"/>
  </w:num>
  <w:num w:numId="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
  </w:num>
  <w:num w:numId="127">
    <w:abstractNumId w:val="32"/>
  </w:num>
  <w:num w:numId="128">
    <w:abstractNumId w:val="30"/>
  </w:num>
  <w:num w:numId="129">
    <w:abstractNumId w:val="30"/>
  </w:num>
  <w:num w:numId="130">
    <w:abstractNumId w:val="30"/>
  </w:num>
  <w:num w:numId="131">
    <w:abstractNumId w:val="30"/>
  </w:num>
  <w:num w:numId="132">
    <w:abstractNumId w:val="30"/>
  </w:num>
  <w:num w:numId="133">
    <w:abstractNumId w:val="30"/>
  </w:num>
  <w:num w:numId="134">
    <w:abstractNumId w:val="30"/>
  </w:num>
  <w:num w:numId="135">
    <w:abstractNumId w:val="30"/>
  </w:num>
  <w:num w:numId="136">
    <w:abstractNumId w:val="30"/>
  </w:num>
  <w:num w:numId="137">
    <w:abstractNumId w:val="24"/>
  </w:num>
  <w:num w:numId="138">
    <w:abstractNumId w:val="4"/>
  </w:num>
  <w:num w:numId="139">
    <w:abstractNumId w:val="3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5"/>
  </w:num>
  <w:num w:numId="141">
    <w:abstractNumId w:val="30"/>
  </w:num>
  <w:num w:numId="142">
    <w:abstractNumId w:val="30"/>
  </w:num>
  <w:num w:numId="143">
    <w:abstractNumId w:val="30"/>
  </w:num>
  <w:num w:numId="144">
    <w:abstractNumId w:val="30"/>
  </w:num>
  <w:num w:numId="145">
    <w:abstractNumId w:val="30"/>
  </w:num>
  <w:num w:numId="146">
    <w:abstractNumId w:val="30"/>
  </w:num>
  <w:num w:numId="147">
    <w:abstractNumId w:val="22"/>
  </w:num>
  <w:num w:numId="148">
    <w:abstractNumId w:val="30"/>
  </w:num>
  <w:num w:numId="149">
    <w:abstractNumId w:val="30"/>
  </w:num>
  <w:num w:numId="150">
    <w:abstractNumId w:val="30"/>
  </w:num>
  <w:num w:numId="151">
    <w:abstractNumId w:val="30"/>
  </w:num>
  <w:num w:numId="152">
    <w:abstractNumId w:val="30"/>
  </w:num>
  <w:num w:numId="153">
    <w:abstractNumId w:val="30"/>
  </w:num>
  <w:num w:numId="154">
    <w:abstractNumId w:val="30"/>
  </w:num>
  <w:num w:numId="155">
    <w:abstractNumId w:val="30"/>
  </w:num>
  <w:num w:numId="156">
    <w:abstractNumId w:val="30"/>
  </w:num>
  <w:num w:numId="157">
    <w:abstractNumId w:val="30"/>
  </w:num>
  <w:num w:numId="158">
    <w:abstractNumId w:val="30"/>
  </w:num>
  <w:num w:numId="159">
    <w:abstractNumId w:val="30"/>
  </w:num>
  <w:num w:numId="160">
    <w:abstractNumId w:val="30"/>
    <w:lvlOverride w:ilvl="0">
      <w:startOverride w:val="3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9"/>
  </w:num>
  <w:num w:numId="162">
    <w:abstractNumId w:val="18"/>
  </w:num>
  <w:num w:numId="163">
    <w:abstractNumId w:val="3"/>
  </w:num>
  <w:num w:numId="164">
    <w:abstractNumId w:val="37"/>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1F"/>
    <w:rsid w:val="00000151"/>
    <w:rsid w:val="00000796"/>
    <w:rsid w:val="0000086D"/>
    <w:rsid w:val="00000A55"/>
    <w:rsid w:val="00000C65"/>
    <w:rsid w:val="0000204F"/>
    <w:rsid w:val="000020D1"/>
    <w:rsid w:val="00002569"/>
    <w:rsid w:val="00002A8C"/>
    <w:rsid w:val="00003589"/>
    <w:rsid w:val="000038C2"/>
    <w:rsid w:val="000040B9"/>
    <w:rsid w:val="000043B9"/>
    <w:rsid w:val="00004574"/>
    <w:rsid w:val="00004948"/>
    <w:rsid w:val="00004961"/>
    <w:rsid w:val="00004A9F"/>
    <w:rsid w:val="00005198"/>
    <w:rsid w:val="000051E1"/>
    <w:rsid w:val="0000539C"/>
    <w:rsid w:val="000055EF"/>
    <w:rsid w:val="00005B10"/>
    <w:rsid w:val="00006533"/>
    <w:rsid w:val="00006903"/>
    <w:rsid w:val="00006C33"/>
    <w:rsid w:val="0000706C"/>
    <w:rsid w:val="0000727A"/>
    <w:rsid w:val="00007380"/>
    <w:rsid w:val="00007BC4"/>
    <w:rsid w:val="00010225"/>
    <w:rsid w:val="00010F1A"/>
    <w:rsid w:val="000110CB"/>
    <w:rsid w:val="000112AF"/>
    <w:rsid w:val="000116DA"/>
    <w:rsid w:val="00011A77"/>
    <w:rsid w:val="00011D4D"/>
    <w:rsid w:val="00011E13"/>
    <w:rsid w:val="00012889"/>
    <w:rsid w:val="00012DD4"/>
    <w:rsid w:val="00012DFE"/>
    <w:rsid w:val="00012F3A"/>
    <w:rsid w:val="000133A8"/>
    <w:rsid w:val="000138D2"/>
    <w:rsid w:val="0001397F"/>
    <w:rsid w:val="00013F63"/>
    <w:rsid w:val="0001410B"/>
    <w:rsid w:val="000142AE"/>
    <w:rsid w:val="00014CA4"/>
    <w:rsid w:val="0001510F"/>
    <w:rsid w:val="000158B3"/>
    <w:rsid w:val="00015A30"/>
    <w:rsid w:val="00016804"/>
    <w:rsid w:val="00016C8D"/>
    <w:rsid w:val="00016F25"/>
    <w:rsid w:val="0001716D"/>
    <w:rsid w:val="000175F7"/>
    <w:rsid w:val="00017724"/>
    <w:rsid w:val="00017E04"/>
    <w:rsid w:val="00020B3C"/>
    <w:rsid w:val="00020EA4"/>
    <w:rsid w:val="00021489"/>
    <w:rsid w:val="00021CEB"/>
    <w:rsid w:val="00021F93"/>
    <w:rsid w:val="000224EF"/>
    <w:rsid w:val="00022639"/>
    <w:rsid w:val="000226B1"/>
    <w:rsid w:val="000227AF"/>
    <w:rsid w:val="000228B3"/>
    <w:rsid w:val="0002315C"/>
    <w:rsid w:val="00023C89"/>
    <w:rsid w:val="00023F61"/>
    <w:rsid w:val="0002481F"/>
    <w:rsid w:val="000250EE"/>
    <w:rsid w:val="00025171"/>
    <w:rsid w:val="00025643"/>
    <w:rsid w:val="00025F13"/>
    <w:rsid w:val="00025FEE"/>
    <w:rsid w:val="00026633"/>
    <w:rsid w:val="0002668B"/>
    <w:rsid w:val="00026A4B"/>
    <w:rsid w:val="00026A54"/>
    <w:rsid w:val="00026A6D"/>
    <w:rsid w:val="000272BE"/>
    <w:rsid w:val="00027F84"/>
    <w:rsid w:val="0003071F"/>
    <w:rsid w:val="000314BA"/>
    <w:rsid w:val="000317BD"/>
    <w:rsid w:val="00031993"/>
    <w:rsid w:val="00031CEC"/>
    <w:rsid w:val="000321AE"/>
    <w:rsid w:val="000327BA"/>
    <w:rsid w:val="0003285D"/>
    <w:rsid w:val="00032B20"/>
    <w:rsid w:val="00033086"/>
    <w:rsid w:val="00033208"/>
    <w:rsid w:val="0003395C"/>
    <w:rsid w:val="00033C49"/>
    <w:rsid w:val="000342A8"/>
    <w:rsid w:val="00034663"/>
    <w:rsid w:val="000348CA"/>
    <w:rsid w:val="00034907"/>
    <w:rsid w:val="00034B81"/>
    <w:rsid w:val="000356CB"/>
    <w:rsid w:val="000359AE"/>
    <w:rsid w:val="0003633C"/>
    <w:rsid w:val="000364E4"/>
    <w:rsid w:val="00036504"/>
    <w:rsid w:val="00036BB1"/>
    <w:rsid w:val="00037402"/>
    <w:rsid w:val="000378EC"/>
    <w:rsid w:val="00040424"/>
    <w:rsid w:val="00041C1B"/>
    <w:rsid w:val="00042574"/>
    <w:rsid w:val="00042746"/>
    <w:rsid w:val="000428D9"/>
    <w:rsid w:val="00042928"/>
    <w:rsid w:val="00043062"/>
    <w:rsid w:val="00043399"/>
    <w:rsid w:val="000433F5"/>
    <w:rsid w:val="00043439"/>
    <w:rsid w:val="000441C1"/>
    <w:rsid w:val="000445C9"/>
    <w:rsid w:val="00044ABE"/>
    <w:rsid w:val="00045D4C"/>
    <w:rsid w:val="00046100"/>
    <w:rsid w:val="00046157"/>
    <w:rsid w:val="000463A7"/>
    <w:rsid w:val="00046C6C"/>
    <w:rsid w:val="00046E63"/>
    <w:rsid w:val="00046F55"/>
    <w:rsid w:val="000470A2"/>
    <w:rsid w:val="00047216"/>
    <w:rsid w:val="00047504"/>
    <w:rsid w:val="000505F3"/>
    <w:rsid w:val="00050C8A"/>
    <w:rsid w:val="00050CB8"/>
    <w:rsid w:val="000512C8"/>
    <w:rsid w:val="0005135F"/>
    <w:rsid w:val="00051712"/>
    <w:rsid w:val="00051FF0"/>
    <w:rsid w:val="00052406"/>
    <w:rsid w:val="0005245F"/>
    <w:rsid w:val="00053340"/>
    <w:rsid w:val="000533A7"/>
    <w:rsid w:val="00053629"/>
    <w:rsid w:val="00053697"/>
    <w:rsid w:val="00053F67"/>
    <w:rsid w:val="000542B6"/>
    <w:rsid w:val="00054426"/>
    <w:rsid w:val="000545EA"/>
    <w:rsid w:val="00054A48"/>
    <w:rsid w:val="0005500F"/>
    <w:rsid w:val="00056027"/>
    <w:rsid w:val="0005637E"/>
    <w:rsid w:val="00056B2E"/>
    <w:rsid w:val="00056B78"/>
    <w:rsid w:val="00056C15"/>
    <w:rsid w:val="000570F4"/>
    <w:rsid w:val="00057460"/>
    <w:rsid w:val="000576EC"/>
    <w:rsid w:val="000579F2"/>
    <w:rsid w:val="00057A5E"/>
    <w:rsid w:val="00060460"/>
    <w:rsid w:val="00060720"/>
    <w:rsid w:val="00060934"/>
    <w:rsid w:val="00060942"/>
    <w:rsid w:val="000609B4"/>
    <w:rsid w:val="00060B56"/>
    <w:rsid w:val="00061CF4"/>
    <w:rsid w:val="00061D40"/>
    <w:rsid w:val="00062494"/>
    <w:rsid w:val="00062852"/>
    <w:rsid w:val="00062DB5"/>
    <w:rsid w:val="00063797"/>
    <w:rsid w:val="000637F5"/>
    <w:rsid w:val="000639C8"/>
    <w:rsid w:val="00063DAA"/>
    <w:rsid w:val="0006438B"/>
    <w:rsid w:val="0006457D"/>
    <w:rsid w:val="00065A3D"/>
    <w:rsid w:val="000662F9"/>
    <w:rsid w:val="000664B9"/>
    <w:rsid w:val="000664CF"/>
    <w:rsid w:val="00066B03"/>
    <w:rsid w:val="00066EA5"/>
    <w:rsid w:val="00067304"/>
    <w:rsid w:val="000677F5"/>
    <w:rsid w:val="00067FF7"/>
    <w:rsid w:val="000703D7"/>
    <w:rsid w:val="00070662"/>
    <w:rsid w:val="00070D75"/>
    <w:rsid w:val="00070E93"/>
    <w:rsid w:val="00070FD5"/>
    <w:rsid w:val="000716DD"/>
    <w:rsid w:val="000717BD"/>
    <w:rsid w:val="00071E67"/>
    <w:rsid w:val="0007200F"/>
    <w:rsid w:val="00072107"/>
    <w:rsid w:val="0007234E"/>
    <w:rsid w:val="000723B1"/>
    <w:rsid w:val="00072828"/>
    <w:rsid w:val="00072D20"/>
    <w:rsid w:val="00072D74"/>
    <w:rsid w:val="00073E03"/>
    <w:rsid w:val="00073FD4"/>
    <w:rsid w:val="000741EC"/>
    <w:rsid w:val="000743D6"/>
    <w:rsid w:val="00074470"/>
    <w:rsid w:val="000749D6"/>
    <w:rsid w:val="00075619"/>
    <w:rsid w:val="000756AB"/>
    <w:rsid w:val="000762E6"/>
    <w:rsid w:val="00076440"/>
    <w:rsid w:val="00076584"/>
    <w:rsid w:val="000769D2"/>
    <w:rsid w:val="00076AD1"/>
    <w:rsid w:val="00076E58"/>
    <w:rsid w:val="00077420"/>
    <w:rsid w:val="00077634"/>
    <w:rsid w:val="00080191"/>
    <w:rsid w:val="000803C9"/>
    <w:rsid w:val="0008042B"/>
    <w:rsid w:val="0008071B"/>
    <w:rsid w:val="0008093E"/>
    <w:rsid w:val="000814C5"/>
    <w:rsid w:val="000815ED"/>
    <w:rsid w:val="0008182B"/>
    <w:rsid w:val="00081C06"/>
    <w:rsid w:val="000829EA"/>
    <w:rsid w:val="00082C9C"/>
    <w:rsid w:val="00083956"/>
    <w:rsid w:val="000841A1"/>
    <w:rsid w:val="0008454A"/>
    <w:rsid w:val="00084957"/>
    <w:rsid w:val="000849D6"/>
    <w:rsid w:val="00084C09"/>
    <w:rsid w:val="00084E2D"/>
    <w:rsid w:val="0008581D"/>
    <w:rsid w:val="00085A89"/>
    <w:rsid w:val="00085FCF"/>
    <w:rsid w:val="00086114"/>
    <w:rsid w:val="0008612F"/>
    <w:rsid w:val="0008614C"/>
    <w:rsid w:val="00086AE4"/>
    <w:rsid w:val="000870C7"/>
    <w:rsid w:val="000875CF"/>
    <w:rsid w:val="00087D41"/>
    <w:rsid w:val="00087E06"/>
    <w:rsid w:val="00090018"/>
    <w:rsid w:val="00090430"/>
    <w:rsid w:val="00090597"/>
    <w:rsid w:val="00091048"/>
    <w:rsid w:val="00091650"/>
    <w:rsid w:val="00091944"/>
    <w:rsid w:val="00091DC4"/>
    <w:rsid w:val="00092291"/>
    <w:rsid w:val="000928B0"/>
    <w:rsid w:val="00092FD3"/>
    <w:rsid w:val="0009322D"/>
    <w:rsid w:val="000942E9"/>
    <w:rsid w:val="000945C2"/>
    <w:rsid w:val="0009491D"/>
    <w:rsid w:val="00094934"/>
    <w:rsid w:val="00094B63"/>
    <w:rsid w:val="00094D6D"/>
    <w:rsid w:val="00094FB7"/>
    <w:rsid w:val="00095125"/>
    <w:rsid w:val="000957B7"/>
    <w:rsid w:val="00095D92"/>
    <w:rsid w:val="00095F61"/>
    <w:rsid w:val="00096340"/>
    <w:rsid w:val="00096902"/>
    <w:rsid w:val="0009789C"/>
    <w:rsid w:val="000A0071"/>
    <w:rsid w:val="000A0BED"/>
    <w:rsid w:val="000A12A5"/>
    <w:rsid w:val="000A1615"/>
    <w:rsid w:val="000A1751"/>
    <w:rsid w:val="000A17B5"/>
    <w:rsid w:val="000A2001"/>
    <w:rsid w:val="000A23E0"/>
    <w:rsid w:val="000A2B91"/>
    <w:rsid w:val="000A2DF5"/>
    <w:rsid w:val="000A3243"/>
    <w:rsid w:val="000A339B"/>
    <w:rsid w:val="000A3D1D"/>
    <w:rsid w:val="000A41C0"/>
    <w:rsid w:val="000A45FE"/>
    <w:rsid w:val="000A4C12"/>
    <w:rsid w:val="000A4F8A"/>
    <w:rsid w:val="000A5133"/>
    <w:rsid w:val="000A5EBA"/>
    <w:rsid w:val="000A6562"/>
    <w:rsid w:val="000A65CC"/>
    <w:rsid w:val="000A72CC"/>
    <w:rsid w:val="000A7586"/>
    <w:rsid w:val="000A77FE"/>
    <w:rsid w:val="000A786B"/>
    <w:rsid w:val="000A7883"/>
    <w:rsid w:val="000A791E"/>
    <w:rsid w:val="000B0496"/>
    <w:rsid w:val="000B064A"/>
    <w:rsid w:val="000B0708"/>
    <w:rsid w:val="000B0888"/>
    <w:rsid w:val="000B0C80"/>
    <w:rsid w:val="000B122C"/>
    <w:rsid w:val="000B15EB"/>
    <w:rsid w:val="000B1827"/>
    <w:rsid w:val="000B2620"/>
    <w:rsid w:val="000B26D2"/>
    <w:rsid w:val="000B2864"/>
    <w:rsid w:val="000B2D87"/>
    <w:rsid w:val="000B2DF5"/>
    <w:rsid w:val="000B3049"/>
    <w:rsid w:val="000B3207"/>
    <w:rsid w:val="000B3D6E"/>
    <w:rsid w:val="000B45B5"/>
    <w:rsid w:val="000B4A83"/>
    <w:rsid w:val="000B4F71"/>
    <w:rsid w:val="000B5166"/>
    <w:rsid w:val="000B57C1"/>
    <w:rsid w:val="000B6E87"/>
    <w:rsid w:val="000B7106"/>
    <w:rsid w:val="000B764C"/>
    <w:rsid w:val="000B77CA"/>
    <w:rsid w:val="000C0DE1"/>
    <w:rsid w:val="000C0FE5"/>
    <w:rsid w:val="000C115E"/>
    <w:rsid w:val="000C13F6"/>
    <w:rsid w:val="000C1B68"/>
    <w:rsid w:val="000C1BD3"/>
    <w:rsid w:val="000C30C3"/>
    <w:rsid w:val="000C3477"/>
    <w:rsid w:val="000C3BCF"/>
    <w:rsid w:val="000C535C"/>
    <w:rsid w:val="000C560C"/>
    <w:rsid w:val="000C576F"/>
    <w:rsid w:val="000C57EE"/>
    <w:rsid w:val="000C58F1"/>
    <w:rsid w:val="000C6BB2"/>
    <w:rsid w:val="000C6F30"/>
    <w:rsid w:val="000C70E3"/>
    <w:rsid w:val="000C752A"/>
    <w:rsid w:val="000C756B"/>
    <w:rsid w:val="000C757B"/>
    <w:rsid w:val="000C78F5"/>
    <w:rsid w:val="000C7E48"/>
    <w:rsid w:val="000D00C1"/>
    <w:rsid w:val="000D023B"/>
    <w:rsid w:val="000D0653"/>
    <w:rsid w:val="000D0683"/>
    <w:rsid w:val="000D08C9"/>
    <w:rsid w:val="000D1024"/>
    <w:rsid w:val="000D17EA"/>
    <w:rsid w:val="000D1D81"/>
    <w:rsid w:val="000D1DD8"/>
    <w:rsid w:val="000D2590"/>
    <w:rsid w:val="000D26AD"/>
    <w:rsid w:val="000D2927"/>
    <w:rsid w:val="000D2936"/>
    <w:rsid w:val="000D29FA"/>
    <w:rsid w:val="000D2AB4"/>
    <w:rsid w:val="000D2B9D"/>
    <w:rsid w:val="000D2DB5"/>
    <w:rsid w:val="000D300E"/>
    <w:rsid w:val="000D333F"/>
    <w:rsid w:val="000D3654"/>
    <w:rsid w:val="000D3908"/>
    <w:rsid w:val="000D4303"/>
    <w:rsid w:val="000D455E"/>
    <w:rsid w:val="000D4AF4"/>
    <w:rsid w:val="000D4D33"/>
    <w:rsid w:val="000D5917"/>
    <w:rsid w:val="000D5FDA"/>
    <w:rsid w:val="000D6A50"/>
    <w:rsid w:val="000D6B26"/>
    <w:rsid w:val="000D6EB2"/>
    <w:rsid w:val="000D7354"/>
    <w:rsid w:val="000D7437"/>
    <w:rsid w:val="000D75E5"/>
    <w:rsid w:val="000D7631"/>
    <w:rsid w:val="000D773D"/>
    <w:rsid w:val="000D777B"/>
    <w:rsid w:val="000E1AA1"/>
    <w:rsid w:val="000E1C18"/>
    <w:rsid w:val="000E1F90"/>
    <w:rsid w:val="000E2262"/>
    <w:rsid w:val="000E24B1"/>
    <w:rsid w:val="000E2D88"/>
    <w:rsid w:val="000E3412"/>
    <w:rsid w:val="000E34CC"/>
    <w:rsid w:val="000E3BD7"/>
    <w:rsid w:val="000E3D4E"/>
    <w:rsid w:val="000E3DA3"/>
    <w:rsid w:val="000E4349"/>
    <w:rsid w:val="000E45DC"/>
    <w:rsid w:val="000E4D5A"/>
    <w:rsid w:val="000E655A"/>
    <w:rsid w:val="000E6695"/>
    <w:rsid w:val="000E69F8"/>
    <w:rsid w:val="000E7069"/>
    <w:rsid w:val="000E72CC"/>
    <w:rsid w:val="000E7875"/>
    <w:rsid w:val="000E7D93"/>
    <w:rsid w:val="000E7EEC"/>
    <w:rsid w:val="000E7F47"/>
    <w:rsid w:val="000F0A4C"/>
    <w:rsid w:val="000F119A"/>
    <w:rsid w:val="000F13DC"/>
    <w:rsid w:val="000F154E"/>
    <w:rsid w:val="000F1FF7"/>
    <w:rsid w:val="000F2174"/>
    <w:rsid w:val="000F22AB"/>
    <w:rsid w:val="000F27AE"/>
    <w:rsid w:val="000F2B12"/>
    <w:rsid w:val="000F2FEF"/>
    <w:rsid w:val="000F30AC"/>
    <w:rsid w:val="000F31AA"/>
    <w:rsid w:val="000F3311"/>
    <w:rsid w:val="000F3325"/>
    <w:rsid w:val="000F352E"/>
    <w:rsid w:val="000F47B3"/>
    <w:rsid w:val="000F49F9"/>
    <w:rsid w:val="000F4AB2"/>
    <w:rsid w:val="000F4AC8"/>
    <w:rsid w:val="000F532C"/>
    <w:rsid w:val="000F537C"/>
    <w:rsid w:val="000F5786"/>
    <w:rsid w:val="000F5959"/>
    <w:rsid w:val="000F62BC"/>
    <w:rsid w:val="000F667B"/>
    <w:rsid w:val="000F66C3"/>
    <w:rsid w:val="000F6C1A"/>
    <w:rsid w:val="000F6C52"/>
    <w:rsid w:val="000F6DB5"/>
    <w:rsid w:val="000F7241"/>
    <w:rsid w:val="000F7A71"/>
    <w:rsid w:val="000F7BE2"/>
    <w:rsid w:val="000F7FA8"/>
    <w:rsid w:val="000F7FCA"/>
    <w:rsid w:val="001006BF"/>
    <w:rsid w:val="001008DB"/>
    <w:rsid w:val="00100FF3"/>
    <w:rsid w:val="00101715"/>
    <w:rsid w:val="001017C1"/>
    <w:rsid w:val="00102259"/>
    <w:rsid w:val="00102B3B"/>
    <w:rsid w:val="00102C6C"/>
    <w:rsid w:val="0010309F"/>
    <w:rsid w:val="001034BB"/>
    <w:rsid w:val="0010366A"/>
    <w:rsid w:val="00103739"/>
    <w:rsid w:val="00103749"/>
    <w:rsid w:val="00103787"/>
    <w:rsid w:val="00103A34"/>
    <w:rsid w:val="00103AA8"/>
    <w:rsid w:val="001047CA"/>
    <w:rsid w:val="00105419"/>
    <w:rsid w:val="00105923"/>
    <w:rsid w:val="001059C9"/>
    <w:rsid w:val="001061CE"/>
    <w:rsid w:val="00106C4B"/>
    <w:rsid w:val="001077BE"/>
    <w:rsid w:val="00107A07"/>
    <w:rsid w:val="00107EF6"/>
    <w:rsid w:val="0011052A"/>
    <w:rsid w:val="001107A4"/>
    <w:rsid w:val="00110F4B"/>
    <w:rsid w:val="001118F6"/>
    <w:rsid w:val="001122F5"/>
    <w:rsid w:val="001122F6"/>
    <w:rsid w:val="001129C5"/>
    <w:rsid w:val="00112A7D"/>
    <w:rsid w:val="00112F96"/>
    <w:rsid w:val="001137A1"/>
    <w:rsid w:val="0011391D"/>
    <w:rsid w:val="0011399E"/>
    <w:rsid w:val="00113DFD"/>
    <w:rsid w:val="001142BC"/>
    <w:rsid w:val="00114339"/>
    <w:rsid w:val="001158D4"/>
    <w:rsid w:val="00115909"/>
    <w:rsid w:val="00115B02"/>
    <w:rsid w:val="00115C2A"/>
    <w:rsid w:val="00115DE0"/>
    <w:rsid w:val="00115DF3"/>
    <w:rsid w:val="00115EBD"/>
    <w:rsid w:val="0011607C"/>
    <w:rsid w:val="0011642F"/>
    <w:rsid w:val="0011699B"/>
    <w:rsid w:val="00117CE1"/>
    <w:rsid w:val="0012040E"/>
    <w:rsid w:val="001211C6"/>
    <w:rsid w:val="00121BFC"/>
    <w:rsid w:val="00122182"/>
    <w:rsid w:val="001229BD"/>
    <w:rsid w:val="001229F7"/>
    <w:rsid w:val="00123155"/>
    <w:rsid w:val="001234A7"/>
    <w:rsid w:val="00123A0A"/>
    <w:rsid w:val="00123AF1"/>
    <w:rsid w:val="00123F66"/>
    <w:rsid w:val="001249B0"/>
    <w:rsid w:val="00124F5B"/>
    <w:rsid w:val="0012559E"/>
    <w:rsid w:val="0012631D"/>
    <w:rsid w:val="001264D5"/>
    <w:rsid w:val="0012699B"/>
    <w:rsid w:val="00126F56"/>
    <w:rsid w:val="00127385"/>
    <w:rsid w:val="0012776C"/>
    <w:rsid w:val="001279CF"/>
    <w:rsid w:val="00127FC9"/>
    <w:rsid w:val="00130065"/>
    <w:rsid w:val="00130697"/>
    <w:rsid w:val="001309C4"/>
    <w:rsid w:val="00131B09"/>
    <w:rsid w:val="00131C32"/>
    <w:rsid w:val="00131F7F"/>
    <w:rsid w:val="001328E3"/>
    <w:rsid w:val="00132A9E"/>
    <w:rsid w:val="00132EEF"/>
    <w:rsid w:val="00133726"/>
    <w:rsid w:val="00133976"/>
    <w:rsid w:val="00133AE9"/>
    <w:rsid w:val="001352D6"/>
    <w:rsid w:val="001354D1"/>
    <w:rsid w:val="00135C79"/>
    <w:rsid w:val="001363EE"/>
    <w:rsid w:val="00136699"/>
    <w:rsid w:val="00136DC5"/>
    <w:rsid w:val="00137289"/>
    <w:rsid w:val="001372A7"/>
    <w:rsid w:val="0013758B"/>
    <w:rsid w:val="00137882"/>
    <w:rsid w:val="001378C4"/>
    <w:rsid w:val="00137AEA"/>
    <w:rsid w:val="0014019B"/>
    <w:rsid w:val="001406BB"/>
    <w:rsid w:val="001406CC"/>
    <w:rsid w:val="001408CE"/>
    <w:rsid w:val="00140A9C"/>
    <w:rsid w:val="00140DD5"/>
    <w:rsid w:val="0014114F"/>
    <w:rsid w:val="00141498"/>
    <w:rsid w:val="00141606"/>
    <w:rsid w:val="001418A5"/>
    <w:rsid w:val="00141EE7"/>
    <w:rsid w:val="00142036"/>
    <w:rsid w:val="00143C24"/>
    <w:rsid w:val="00144497"/>
    <w:rsid w:val="00145115"/>
    <w:rsid w:val="00145148"/>
    <w:rsid w:val="00145E9F"/>
    <w:rsid w:val="001471E7"/>
    <w:rsid w:val="0014723D"/>
    <w:rsid w:val="0014738E"/>
    <w:rsid w:val="00147F68"/>
    <w:rsid w:val="00150474"/>
    <w:rsid w:val="0015057E"/>
    <w:rsid w:val="0015081C"/>
    <w:rsid w:val="00150B31"/>
    <w:rsid w:val="00151161"/>
    <w:rsid w:val="00151434"/>
    <w:rsid w:val="00151C8B"/>
    <w:rsid w:val="00151EE2"/>
    <w:rsid w:val="00151FB2"/>
    <w:rsid w:val="00152A7E"/>
    <w:rsid w:val="00152ACA"/>
    <w:rsid w:val="00153C97"/>
    <w:rsid w:val="0015481A"/>
    <w:rsid w:val="00155002"/>
    <w:rsid w:val="001559D4"/>
    <w:rsid w:val="00155B13"/>
    <w:rsid w:val="00155C3B"/>
    <w:rsid w:val="0015609D"/>
    <w:rsid w:val="00156728"/>
    <w:rsid w:val="00156A3F"/>
    <w:rsid w:val="00157A12"/>
    <w:rsid w:val="00157C15"/>
    <w:rsid w:val="00157EDE"/>
    <w:rsid w:val="00157FF3"/>
    <w:rsid w:val="00160B4E"/>
    <w:rsid w:val="00161201"/>
    <w:rsid w:val="0016136A"/>
    <w:rsid w:val="001618D8"/>
    <w:rsid w:val="00161B74"/>
    <w:rsid w:val="00161EBF"/>
    <w:rsid w:val="00162022"/>
    <w:rsid w:val="00162A60"/>
    <w:rsid w:val="00162B3E"/>
    <w:rsid w:val="00163344"/>
    <w:rsid w:val="0016375D"/>
    <w:rsid w:val="00163D27"/>
    <w:rsid w:val="00164159"/>
    <w:rsid w:val="001642C9"/>
    <w:rsid w:val="00164BCA"/>
    <w:rsid w:val="00164CA7"/>
    <w:rsid w:val="00164E4E"/>
    <w:rsid w:val="00164ED7"/>
    <w:rsid w:val="00165300"/>
    <w:rsid w:val="00165EC5"/>
    <w:rsid w:val="001667E9"/>
    <w:rsid w:val="00167A06"/>
    <w:rsid w:val="00170118"/>
    <w:rsid w:val="00170501"/>
    <w:rsid w:val="00170A4A"/>
    <w:rsid w:val="00170AA0"/>
    <w:rsid w:val="00170AAE"/>
    <w:rsid w:val="00171CB8"/>
    <w:rsid w:val="001721C8"/>
    <w:rsid w:val="00172614"/>
    <w:rsid w:val="001729D9"/>
    <w:rsid w:val="00173A80"/>
    <w:rsid w:val="00174679"/>
    <w:rsid w:val="001753C8"/>
    <w:rsid w:val="001756BE"/>
    <w:rsid w:val="00175A86"/>
    <w:rsid w:val="00176537"/>
    <w:rsid w:val="0017676F"/>
    <w:rsid w:val="00176A9B"/>
    <w:rsid w:val="00177174"/>
    <w:rsid w:val="00177F24"/>
    <w:rsid w:val="001808CC"/>
    <w:rsid w:val="00180F2C"/>
    <w:rsid w:val="00181197"/>
    <w:rsid w:val="00181462"/>
    <w:rsid w:val="001815E9"/>
    <w:rsid w:val="0018171A"/>
    <w:rsid w:val="00181D17"/>
    <w:rsid w:val="00182B4B"/>
    <w:rsid w:val="00182F8E"/>
    <w:rsid w:val="00182FB0"/>
    <w:rsid w:val="00183412"/>
    <w:rsid w:val="00183DDE"/>
    <w:rsid w:val="00183E75"/>
    <w:rsid w:val="001841F3"/>
    <w:rsid w:val="00184516"/>
    <w:rsid w:val="00184722"/>
    <w:rsid w:val="00184B54"/>
    <w:rsid w:val="001855BF"/>
    <w:rsid w:val="00185805"/>
    <w:rsid w:val="00185FE5"/>
    <w:rsid w:val="00186119"/>
    <w:rsid w:val="00186755"/>
    <w:rsid w:val="00186BB1"/>
    <w:rsid w:val="00187765"/>
    <w:rsid w:val="00187A86"/>
    <w:rsid w:val="00187F57"/>
    <w:rsid w:val="0019030A"/>
    <w:rsid w:val="00190AF1"/>
    <w:rsid w:val="00193B4F"/>
    <w:rsid w:val="00193CF8"/>
    <w:rsid w:val="00193D36"/>
    <w:rsid w:val="00193D87"/>
    <w:rsid w:val="0019400E"/>
    <w:rsid w:val="00194286"/>
    <w:rsid w:val="0019475C"/>
    <w:rsid w:val="00194F01"/>
    <w:rsid w:val="00194F4C"/>
    <w:rsid w:val="00195565"/>
    <w:rsid w:val="00195994"/>
    <w:rsid w:val="00195C91"/>
    <w:rsid w:val="00196371"/>
    <w:rsid w:val="001966C1"/>
    <w:rsid w:val="001968CA"/>
    <w:rsid w:val="0019696F"/>
    <w:rsid w:val="00196AB1"/>
    <w:rsid w:val="00196B7D"/>
    <w:rsid w:val="001979F5"/>
    <w:rsid w:val="00197DBF"/>
    <w:rsid w:val="001A11E0"/>
    <w:rsid w:val="001A1A84"/>
    <w:rsid w:val="001A1C9F"/>
    <w:rsid w:val="001A2084"/>
    <w:rsid w:val="001A2BA6"/>
    <w:rsid w:val="001A2F92"/>
    <w:rsid w:val="001A3196"/>
    <w:rsid w:val="001A3229"/>
    <w:rsid w:val="001A3254"/>
    <w:rsid w:val="001A39D1"/>
    <w:rsid w:val="001A3CE6"/>
    <w:rsid w:val="001A40AA"/>
    <w:rsid w:val="001A43CD"/>
    <w:rsid w:val="001A4A54"/>
    <w:rsid w:val="001A4D88"/>
    <w:rsid w:val="001A5B45"/>
    <w:rsid w:val="001A5BB5"/>
    <w:rsid w:val="001A5C59"/>
    <w:rsid w:val="001A5D02"/>
    <w:rsid w:val="001A6165"/>
    <w:rsid w:val="001A619B"/>
    <w:rsid w:val="001A61B7"/>
    <w:rsid w:val="001A67B9"/>
    <w:rsid w:val="001A6B81"/>
    <w:rsid w:val="001A6CF4"/>
    <w:rsid w:val="001A6F3C"/>
    <w:rsid w:val="001A72F5"/>
    <w:rsid w:val="001A7A4A"/>
    <w:rsid w:val="001B0006"/>
    <w:rsid w:val="001B1AFC"/>
    <w:rsid w:val="001B222D"/>
    <w:rsid w:val="001B2284"/>
    <w:rsid w:val="001B2777"/>
    <w:rsid w:val="001B2C4C"/>
    <w:rsid w:val="001B3366"/>
    <w:rsid w:val="001B35B2"/>
    <w:rsid w:val="001B3718"/>
    <w:rsid w:val="001B4214"/>
    <w:rsid w:val="001B43CA"/>
    <w:rsid w:val="001B4487"/>
    <w:rsid w:val="001B4E32"/>
    <w:rsid w:val="001B570A"/>
    <w:rsid w:val="001B5BC3"/>
    <w:rsid w:val="001B5D4E"/>
    <w:rsid w:val="001B5F70"/>
    <w:rsid w:val="001B6202"/>
    <w:rsid w:val="001B65B7"/>
    <w:rsid w:val="001B66FE"/>
    <w:rsid w:val="001B699D"/>
    <w:rsid w:val="001B7374"/>
    <w:rsid w:val="001C033E"/>
    <w:rsid w:val="001C1078"/>
    <w:rsid w:val="001C12CE"/>
    <w:rsid w:val="001C1D25"/>
    <w:rsid w:val="001C2024"/>
    <w:rsid w:val="001C2091"/>
    <w:rsid w:val="001C2325"/>
    <w:rsid w:val="001C2877"/>
    <w:rsid w:val="001C2C66"/>
    <w:rsid w:val="001C2FC7"/>
    <w:rsid w:val="001C36E8"/>
    <w:rsid w:val="001C3773"/>
    <w:rsid w:val="001C4261"/>
    <w:rsid w:val="001C4660"/>
    <w:rsid w:val="001C4CF3"/>
    <w:rsid w:val="001C5019"/>
    <w:rsid w:val="001C50C3"/>
    <w:rsid w:val="001C53FD"/>
    <w:rsid w:val="001C5979"/>
    <w:rsid w:val="001C5981"/>
    <w:rsid w:val="001C598D"/>
    <w:rsid w:val="001C5B4A"/>
    <w:rsid w:val="001C5CF2"/>
    <w:rsid w:val="001C5F81"/>
    <w:rsid w:val="001C675F"/>
    <w:rsid w:val="001C69D0"/>
    <w:rsid w:val="001C6D00"/>
    <w:rsid w:val="001C6E9A"/>
    <w:rsid w:val="001C7032"/>
    <w:rsid w:val="001C722D"/>
    <w:rsid w:val="001D01E6"/>
    <w:rsid w:val="001D0693"/>
    <w:rsid w:val="001D0963"/>
    <w:rsid w:val="001D09D3"/>
    <w:rsid w:val="001D102E"/>
    <w:rsid w:val="001D1406"/>
    <w:rsid w:val="001D18A4"/>
    <w:rsid w:val="001D1C89"/>
    <w:rsid w:val="001D2096"/>
    <w:rsid w:val="001D2141"/>
    <w:rsid w:val="001D260D"/>
    <w:rsid w:val="001D2CB1"/>
    <w:rsid w:val="001D2E43"/>
    <w:rsid w:val="001D30B5"/>
    <w:rsid w:val="001D3373"/>
    <w:rsid w:val="001D4493"/>
    <w:rsid w:val="001D4764"/>
    <w:rsid w:val="001D48F9"/>
    <w:rsid w:val="001D5022"/>
    <w:rsid w:val="001D51EA"/>
    <w:rsid w:val="001D5291"/>
    <w:rsid w:val="001D58EA"/>
    <w:rsid w:val="001D5937"/>
    <w:rsid w:val="001D60FE"/>
    <w:rsid w:val="001D631D"/>
    <w:rsid w:val="001D6CE5"/>
    <w:rsid w:val="001D777A"/>
    <w:rsid w:val="001D779F"/>
    <w:rsid w:val="001D78E6"/>
    <w:rsid w:val="001D7CB2"/>
    <w:rsid w:val="001E00DA"/>
    <w:rsid w:val="001E0127"/>
    <w:rsid w:val="001E0C67"/>
    <w:rsid w:val="001E12C6"/>
    <w:rsid w:val="001E165B"/>
    <w:rsid w:val="001E18F5"/>
    <w:rsid w:val="001E1A69"/>
    <w:rsid w:val="001E1C0B"/>
    <w:rsid w:val="001E22A1"/>
    <w:rsid w:val="001E22CB"/>
    <w:rsid w:val="001E2B5F"/>
    <w:rsid w:val="001E35A3"/>
    <w:rsid w:val="001E37D5"/>
    <w:rsid w:val="001E3980"/>
    <w:rsid w:val="001E3F51"/>
    <w:rsid w:val="001E42C1"/>
    <w:rsid w:val="001E4CF8"/>
    <w:rsid w:val="001E4EDD"/>
    <w:rsid w:val="001E4F1D"/>
    <w:rsid w:val="001E5146"/>
    <w:rsid w:val="001E5BC2"/>
    <w:rsid w:val="001E5E63"/>
    <w:rsid w:val="001E5F1D"/>
    <w:rsid w:val="001E5F2B"/>
    <w:rsid w:val="001E6D76"/>
    <w:rsid w:val="001E7152"/>
    <w:rsid w:val="001E78D6"/>
    <w:rsid w:val="001E7C94"/>
    <w:rsid w:val="001F0685"/>
    <w:rsid w:val="001F0B03"/>
    <w:rsid w:val="001F0F35"/>
    <w:rsid w:val="001F15F8"/>
    <w:rsid w:val="001F1624"/>
    <w:rsid w:val="001F1668"/>
    <w:rsid w:val="001F173E"/>
    <w:rsid w:val="001F19AC"/>
    <w:rsid w:val="001F1E46"/>
    <w:rsid w:val="001F1F98"/>
    <w:rsid w:val="001F2304"/>
    <w:rsid w:val="001F2480"/>
    <w:rsid w:val="001F28F8"/>
    <w:rsid w:val="001F294D"/>
    <w:rsid w:val="001F3079"/>
    <w:rsid w:val="001F34BB"/>
    <w:rsid w:val="001F39C8"/>
    <w:rsid w:val="001F3B28"/>
    <w:rsid w:val="001F46A8"/>
    <w:rsid w:val="001F4958"/>
    <w:rsid w:val="001F4E7D"/>
    <w:rsid w:val="001F5806"/>
    <w:rsid w:val="001F58CC"/>
    <w:rsid w:val="001F5B69"/>
    <w:rsid w:val="001F600F"/>
    <w:rsid w:val="001F76C5"/>
    <w:rsid w:val="001F7BC3"/>
    <w:rsid w:val="001F7CAD"/>
    <w:rsid w:val="002004B5"/>
    <w:rsid w:val="00200B70"/>
    <w:rsid w:val="00200B88"/>
    <w:rsid w:val="00200EA9"/>
    <w:rsid w:val="0020156B"/>
    <w:rsid w:val="002019D7"/>
    <w:rsid w:val="00201B7C"/>
    <w:rsid w:val="002020AA"/>
    <w:rsid w:val="00202348"/>
    <w:rsid w:val="00202FDD"/>
    <w:rsid w:val="0020324E"/>
    <w:rsid w:val="00203333"/>
    <w:rsid w:val="002039D0"/>
    <w:rsid w:val="00203B0B"/>
    <w:rsid w:val="00203D87"/>
    <w:rsid w:val="00203DDD"/>
    <w:rsid w:val="00204066"/>
    <w:rsid w:val="00204535"/>
    <w:rsid w:val="00204799"/>
    <w:rsid w:val="00204C5D"/>
    <w:rsid w:val="00204E2B"/>
    <w:rsid w:val="00204EDF"/>
    <w:rsid w:val="00205C79"/>
    <w:rsid w:val="00205DF8"/>
    <w:rsid w:val="00205FB1"/>
    <w:rsid w:val="002064D8"/>
    <w:rsid w:val="002066BE"/>
    <w:rsid w:val="00206974"/>
    <w:rsid w:val="00206C0E"/>
    <w:rsid w:val="00206EFA"/>
    <w:rsid w:val="00207296"/>
    <w:rsid w:val="0020777D"/>
    <w:rsid w:val="002078FE"/>
    <w:rsid w:val="00207A3F"/>
    <w:rsid w:val="00207AFF"/>
    <w:rsid w:val="0021115C"/>
    <w:rsid w:val="00211320"/>
    <w:rsid w:val="00211383"/>
    <w:rsid w:val="00211531"/>
    <w:rsid w:val="00211984"/>
    <w:rsid w:val="00211B5D"/>
    <w:rsid w:val="00211F8F"/>
    <w:rsid w:val="00212317"/>
    <w:rsid w:val="002127C2"/>
    <w:rsid w:val="00212BF5"/>
    <w:rsid w:val="00213207"/>
    <w:rsid w:val="0021350F"/>
    <w:rsid w:val="00213551"/>
    <w:rsid w:val="00213855"/>
    <w:rsid w:val="002139F1"/>
    <w:rsid w:val="00213A55"/>
    <w:rsid w:val="00213CEB"/>
    <w:rsid w:val="002144EF"/>
    <w:rsid w:val="0021457D"/>
    <w:rsid w:val="00214D51"/>
    <w:rsid w:val="0021559F"/>
    <w:rsid w:val="00215C32"/>
    <w:rsid w:val="00215DE6"/>
    <w:rsid w:val="00215DF8"/>
    <w:rsid w:val="00215EA2"/>
    <w:rsid w:val="0021623B"/>
    <w:rsid w:val="0021631F"/>
    <w:rsid w:val="00216C8B"/>
    <w:rsid w:val="002172D6"/>
    <w:rsid w:val="00217388"/>
    <w:rsid w:val="002175E8"/>
    <w:rsid w:val="00217F1E"/>
    <w:rsid w:val="002201ED"/>
    <w:rsid w:val="00220E16"/>
    <w:rsid w:val="002213FB"/>
    <w:rsid w:val="0022223B"/>
    <w:rsid w:val="0022259A"/>
    <w:rsid w:val="00222666"/>
    <w:rsid w:val="00222CC4"/>
    <w:rsid w:val="00222D26"/>
    <w:rsid w:val="00223093"/>
    <w:rsid w:val="00223149"/>
    <w:rsid w:val="0022316D"/>
    <w:rsid w:val="002239AD"/>
    <w:rsid w:val="00223E57"/>
    <w:rsid w:val="00224736"/>
    <w:rsid w:val="002249C2"/>
    <w:rsid w:val="00224BE2"/>
    <w:rsid w:val="00224C60"/>
    <w:rsid w:val="00224E6A"/>
    <w:rsid w:val="002252E4"/>
    <w:rsid w:val="002254C8"/>
    <w:rsid w:val="002256A7"/>
    <w:rsid w:val="002256E2"/>
    <w:rsid w:val="00225EF4"/>
    <w:rsid w:val="0022673F"/>
    <w:rsid w:val="002268EA"/>
    <w:rsid w:val="0022694B"/>
    <w:rsid w:val="0022700B"/>
    <w:rsid w:val="00227161"/>
    <w:rsid w:val="00227279"/>
    <w:rsid w:val="00227AA4"/>
    <w:rsid w:val="00227E7E"/>
    <w:rsid w:val="00227FF3"/>
    <w:rsid w:val="00230452"/>
    <w:rsid w:val="00230AC1"/>
    <w:rsid w:val="00231020"/>
    <w:rsid w:val="00231216"/>
    <w:rsid w:val="0023123B"/>
    <w:rsid w:val="0023195A"/>
    <w:rsid w:val="0023233B"/>
    <w:rsid w:val="00232953"/>
    <w:rsid w:val="00232AA4"/>
    <w:rsid w:val="002333C0"/>
    <w:rsid w:val="00233820"/>
    <w:rsid w:val="00233ABF"/>
    <w:rsid w:val="00234068"/>
    <w:rsid w:val="0023443D"/>
    <w:rsid w:val="0023450D"/>
    <w:rsid w:val="00234E8C"/>
    <w:rsid w:val="002351E9"/>
    <w:rsid w:val="002359E1"/>
    <w:rsid w:val="00235B39"/>
    <w:rsid w:val="00235B88"/>
    <w:rsid w:val="00235CFD"/>
    <w:rsid w:val="002362BF"/>
    <w:rsid w:val="002365A9"/>
    <w:rsid w:val="002366DD"/>
    <w:rsid w:val="00236754"/>
    <w:rsid w:val="00236C8B"/>
    <w:rsid w:val="00236DEC"/>
    <w:rsid w:val="00236EC9"/>
    <w:rsid w:val="00237014"/>
    <w:rsid w:val="002373D2"/>
    <w:rsid w:val="0023777E"/>
    <w:rsid w:val="00237DE6"/>
    <w:rsid w:val="002400DA"/>
    <w:rsid w:val="00241039"/>
    <w:rsid w:val="002412DF"/>
    <w:rsid w:val="00241D18"/>
    <w:rsid w:val="002421EA"/>
    <w:rsid w:val="00242329"/>
    <w:rsid w:val="002425A4"/>
    <w:rsid w:val="00242632"/>
    <w:rsid w:val="00242FF1"/>
    <w:rsid w:val="00243019"/>
    <w:rsid w:val="00243510"/>
    <w:rsid w:val="00243825"/>
    <w:rsid w:val="002439A2"/>
    <w:rsid w:val="00243B3D"/>
    <w:rsid w:val="002451AB"/>
    <w:rsid w:val="00245305"/>
    <w:rsid w:val="00245357"/>
    <w:rsid w:val="00245B99"/>
    <w:rsid w:val="00246634"/>
    <w:rsid w:val="002469D5"/>
    <w:rsid w:val="00246D01"/>
    <w:rsid w:val="00246E45"/>
    <w:rsid w:val="0024751E"/>
    <w:rsid w:val="00247E96"/>
    <w:rsid w:val="00250414"/>
    <w:rsid w:val="00250716"/>
    <w:rsid w:val="002509A2"/>
    <w:rsid w:val="00250F19"/>
    <w:rsid w:val="00251193"/>
    <w:rsid w:val="00251E66"/>
    <w:rsid w:val="0025228F"/>
    <w:rsid w:val="00252637"/>
    <w:rsid w:val="00252780"/>
    <w:rsid w:val="0025338C"/>
    <w:rsid w:val="0025366D"/>
    <w:rsid w:val="00253ECA"/>
    <w:rsid w:val="0025518A"/>
    <w:rsid w:val="0025523B"/>
    <w:rsid w:val="00255B4E"/>
    <w:rsid w:val="002566BD"/>
    <w:rsid w:val="00256E01"/>
    <w:rsid w:val="00256F8F"/>
    <w:rsid w:val="00256FBC"/>
    <w:rsid w:val="00257345"/>
    <w:rsid w:val="00257CD0"/>
    <w:rsid w:val="002605B8"/>
    <w:rsid w:val="00260780"/>
    <w:rsid w:val="002609B1"/>
    <w:rsid w:val="00260B14"/>
    <w:rsid w:val="002616AD"/>
    <w:rsid w:val="0026187B"/>
    <w:rsid w:val="00261A46"/>
    <w:rsid w:val="00261AA0"/>
    <w:rsid w:val="00261F93"/>
    <w:rsid w:val="002620EC"/>
    <w:rsid w:val="00262278"/>
    <w:rsid w:val="00262434"/>
    <w:rsid w:val="002626A9"/>
    <w:rsid w:val="00262B5A"/>
    <w:rsid w:val="00262BBE"/>
    <w:rsid w:val="0026308C"/>
    <w:rsid w:val="00263C46"/>
    <w:rsid w:val="00263C86"/>
    <w:rsid w:val="00263EE8"/>
    <w:rsid w:val="00263F6D"/>
    <w:rsid w:val="0026440C"/>
    <w:rsid w:val="002644FB"/>
    <w:rsid w:val="002654DB"/>
    <w:rsid w:val="00265F42"/>
    <w:rsid w:val="00265F93"/>
    <w:rsid w:val="00266034"/>
    <w:rsid w:val="0026636C"/>
    <w:rsid w:val="0026768C"/>
    <w:rsid w:val="002678C9"/>
    <w:rsid w:val="002701EA"/>
    <w:rsid w:val="00270432"/>
    <w:rsid w:val="00270A48"/>
    <w:rsid w:val="00271FC3"/>
    <w:rsid w:val="00271FC8"/>
    <w:rsid w:val="002721EC"/>
    <w:rsid w:val="002726EA"/>
    <w:rsid w:val="0027280A"/>
    <w:rsid w:val="0027310D"/>
    <w:rsid w:val="0027313C"/>
    <w:rsid w:val="00273207"/>
    <w:rsid w:val="0027366D"/>
    <w:rsid w:val="0027395A"/>
    <w:rsid w:val="002739B5"/>
    <w:rsid w:val="002739C6"/>
    <w:rsid w:val="002740DB"/>
    <w:rsid w:val="002746BB"/>
    <w:rsid w:val="002750AA"/>
    <w:rsid w:val="00275271"/>
    <w:rsid w:val="0027552A"/>
    <w:rsid w:val="00275D1E"/>
    <w:rsid w:val="00276097"/>
    <w:rsid w:val="002760F4"/>
    <w:rsid w:val="00276DE6"/>
    <w:rsid w:val="00276E89"/>
    <w:rsid w:val="00277528"/>
    <w:rsid w:val="00277D58"/>
    <w:rsid w:val="00277EB8"/>
    <w:rsid w:val="00280331"/>
    <w:rsid w:val="00280460"/>
    <w:rsid w:val="00280E4F"/>
    <w:rsid w:val="00281458"/>
    <w:rsid w:val="0028145E"/>
    <w:rsid w:val="00281B63"/>
    <w:rsid w:val="00281CA5"/>
    <w:rsid w:val="002823B0"/>
    <w:rsid w:val="002825C4"/>
    <w:rsid w:val="0028333D"/>
    <w:rsid w:val="002834A6"/>
    <w:rsid w:val="00283596"/>
    <w:rsid w:val="00283C9B"/>
    <w:rsid w:val="00283CA6"/>
    <w:rsid w:val="00284637"/>
    <w:rsid w:val="002849A1"/>
    <w:rsid w:val="00284DD8"/>
    <w:rsid w:val="00284E4A"/>
    <w:rsid w:val="00284F04"/>
    <w:rsid w:val="00285B50"/>
    <w:rsid w:val="002868AA"/>
    <w:rsid w:val="00286BF1"/>
    <w:rsid w:val="0028748F"/>
    <w:rsid w:val="00287551"/>
    <w:rsid w:val="00287C7A"/>
    <w:rsid w:val="002900C9"/>
    <w:rsid w:val="0029035D"/>
    <w:rsid w:val="002906BE"/>
    <w:rsid w:val="00290C2D"/>
    <w:rsid w:val="002918FE"/>
    <w:rsid w:val="00291FEB"/>
    <w:rsid w:val="00292228"/>
    <w:rsid w:val="002925EC"/>
    <w:rsid w:val="00292BF6"/>
    <w:rsid w:val="00292E10"/>
    <w:rsid w:val="002933D6"/>
    <w:rsid w:val="00293ECF"/>
    <w:rsid w:val="00294A0D"/>
    <w:rsid w:val="00294BCD"/>
    <w:rsid w:val="00294F44"/>
    <w:rsid w:val="0029572C"/>
    <w:rsid w:val="00295F0E"/>
    <w:rsid w:val="0029610D"/>
    <w:rsid w:val="002969D5"/>
    <w:rsid w:val="00296AAE"/>
    <w:rsid w:val="00296C35"/>
    <w:rsid w:val="002975F2"/>
    <w:rsid w:val="0029762F"/>
    <w:rsid w:val="0029788C"/>
    <w:rsid w:val="002979A2"/>
    <w:rsid w:val="002A0170"/>
    <w:rsid w:val="002A053F"/>
    <w:rsid w:val="002A111A"/>
    <w:rsid w:val="002A11B0"/>
    <w:rsid w:val="002A1316"/>
    <w:rsid w:val="002A13B4"/>
    <w:rsid w:val="002A15B0"/>
    <w:rsid w:val="002A1E38"/>
    <w:rsid w:val="002A2F12"/>
    <w:rsid w:val="002A2F91"/>
    <w:rsid w:val="002A34CE"/>
    <w:rsid w:val="002A3AC4"/>
    <w:rsid w:val="002A3E4A"/>
    <w:rsid w:val="002A4141"/>
    <w:rsid w:val="002A49D0"/>
    <w:rsid w:val="002A4AB8"/>
    <w:rsid w:val="002A4DA2"/>
    <w:rsid w:val="002A599B"/>
    <w:rsid w:val="002A6128"/>
    <w:rsid w:val="002A6221"/>
    <w:rsid w:val="002A624C"/>
    <w:rsid w:val="002A625D"/>
    <w:rsid w:val="002A7022"/>
    <w:rsid w:val="002A7026"/>
    <w:rsid w:val="002A7D87"/>
    <w:rsid w:val="002B0549"/>
    <w:rsid w:val="002B0AD2"/>
    <w:rsid w:val="002B0CDE"/>
    <w:rsid w:val="002B11BB"/>
    <w:rsid w:val="002B14F6"/>
    <w:rsid w:val="002B1BC2"/>
    <w:rsid w:val="002B22CF"/>
    <w:rsid w:val="002B2437"/>
    <w:rsid w:val="002B247D"/>
    <w:rsid w:val="002B26A8"/>
    <w:rsid w:val="002B2A10"/>
    <w:rsid w:val="002B3238"/>
    <w:rsid w:val="002B32EA"/>
    <w:rsid w:val="002B3FCD"/>
    <w:rsid w:val="002B4186"/>
    <w:rsid w:val="002B45C8"/>
    <w:rsid w:val="002B4658"/>
    <w:rsid w:val="002B4BCC"/>
    <w:rsid w:val="002B52DC"/>
    <w:rsid w:val="002B58BB"/>
    <w:rsid w:val="002B6546"/>
    <w:rsid w:val="002B659C"/>
    <w:rsid w:val="002B6695"/>
    <w:rsid w:val="002B76B4"/>
    <w:rsid w:val="002B7B41"/>
    <w:rsid w:val="002B7B8A"/>
    <w:rsid w:val="002B7F57"/>
    <w:rsid w:val="002B7FC9"/>
    <w:rsid w:val="002C0109"/>
    <w:rsid w:val="002C0287"/>
    <w:rsid w:val="002C05D6"/>
    <w:rsid w:val="002C1155"/>
    <w:rsid w:val="002C1937"/>
    <w:rsid w:val="002C1A8C"/>
    <w:rsid w:val="002C1D2B"/>
    <w:rsid w:val="002C1EDD"/>
    <w:rsid w:val="002C2044"/>
    <w:rsid w:val="002C208B"/>
    <w:rsid w:val="002C2388"/>
    <w:rsid w:val="002C28B9"/>
    <w:rsid w:val="002C2B15"/>
    <w:rsid w:val="002C2C77"/>
    <w:rsid w:val="002C3C79"/>
    <w:rsid w:val="002C3FE1"/>
    <w:rsid w:val="002C4478"/>
    <w:rsid w:val="002C4D9F"/>
    <w:rsid w:val="002C4FDE"/>
    <w:rsid w:val="002C56A8"/>
    <w:rsid w:val="002C57BE"/>
    <w:rsid w:val="002C5832"/>
    <w:rsid w:val="002C615E"/>
    <w:rsid w:val="002C63F0"/>
    <w:rsid w:val="002C649A"/>
    <w:rsid w:val="002C69EE"/>
    <w:rsid w:val="002C6F59"/>
    <w:rsid w:val="002C72FE"/>
    <w:rsid w:val="002C745A"/>
    <w:rsid w:val="002C7689"/>
    <w:rsid w:val="002C7EF0"/>
    <w:rsid w:val="002D0888"/>
    <w:rsid w:val="002D0F99"/>
    <w:rsid w:val="002D1101"/>
    <w:rsid w:val="002D1504"/>
    <w:rsid w:val="002D1DC6"/>
    <w:rsid w:val="002D2E55"/>
    <w:rsid w:val="002D3456"/>
    <w:rsid w:val="002D3522"/>
    <w:rsid w:val="002D3641"/>
    <w:rsid w:val="002D41D3"/>
    <w:rsid w:val="002D43B4"/>
    <w:rsid w:val="002D4747"/>
    <w:rsid w:val="002D5018"/>
    <w:rsid w:val="002D58A5"/>
    <w:rsid w:val="002D5FB2"/>
    <w:rsid w:val="002D639D"/>
    <w:rsid w:val="002D6752"/>
    <w:rsid w:val="002D68F5"/>
    <w:rsid w:val="002D6EDE"/>
    <w:rsid w:val="002D71A7"/>
    <w:rsid w:val="002D7294"/>
    <w:rsid w:val="002D72B0"/>
    <w:rsid w:val="002D75F0"/>
    <w:rsid w:val="002D77AE"/>
    <w:rsid w:val="002D7896"/>
    <w:rsid w:val="002D7A6E"/>
    <w:rsid w:val="002D7B87"/>
    <w:rsid w:val="002E0B1A"/>
    <w:rsid w:val="002E0CBE"/>
    <w:rsid w:val="002E0DE6"/>
    <w:rsid w:val="002E17CA"/>
    <w:rsid w:val="002E1981"/>
    <w:rsid w:val="002E1AA6"/>
    <w:rsid w:val="002E1C8C"/>
    <w:rsid w:val="002E1CBC"/>
    <w:rsid w:val="002E20BF"/>
    <w:rsid w:val="002E248C"/>
    <w:rsid w:val="002E251C"/>
    <w:rsid w:val="002E2B6A"/>
    <w:rsid w:val="002E3286"/>
    <w:rsid w:val="002E335C"/>
    <w:rsid w:val="002E3924"/>
    <w:rsid w:val="002E400D"/>
    <w:rsid w:val="002E453B"/>
    <w:rsid w:val="002E482A"/>
    <w:rsid w:val="002E48E0"/>
    <w:rsid w:val="002E4942"/>
    <w:rsid w:val="002E4F66"/>
    <w:rsid w:val="002E53C4"/>
    <w:rsid w:val="002E5504"/>
    <w:rsid w:val="002E5EB0"/>
    <w:rsid w:val="002E6571"/>
    <w:rsid w:val="002E65BD"/>
    <w:rsid w:val="002E6C6D"/>
    <w:rsid w:val="002F01B8"/>
    <w:rsid w:val="002F0D89"/>
    <w:rsid w:val="002F0F2D"/>
    <w:rsid w:val="002F0FB5"/>
    <w:rsid w:val="002F1559"/>
    <w:rsid w:val="002F1742"/>
    <w:rsid w:val="002F2430"/>
    <w:rsid w:val="002F3034"/>
    <w:rsid w:val="002F3260"/>
    <w:rsid w:val="002F3AF2"/>
    <w:rsid w:val="002F40D4"/>
    <w:rsid w:val="002F4168"/>
    <w:rsid w:val="002F4542"/>
    <w:rsid w:val="002F48A4"/>
    <w:rsid w:val="002F52BC"/>
    <w:rsid w:val="002F5633"/>
    <w:rsid w:val="002F59DC"/>
    <w:rsid w:val="002F64E3"/>
    <w:rsid w:val="002F6517"/>
    <w:rsid w:val="002F7532"/>
    <w:rsid w:val="002F7B92"/>
    <w:rsid w:val="002F7F1B"/>
    <w:rsid w:val="002F7FBA"/>
    <w:rsid w:val="003008CC"/>
    <w:rsid w:val="00300C6A"/>
    <w:rsid w:val="00300E8D"/>
    <w:rsid w:val="00301D3D"/>
    <w:rsid w:val="00302326"/>
    <w:rsid w:val="003026CD"/>
    <w:rsid w:val="003028F2"/>
    <w:rsid w:val="00302BDD"/>
    <w:rsid w:val="003033C2"/>
    <w:rsid w:val="00303A91"/>
    <w:rsid w:val="00303B89"/>
    <w:rsid w:val="00303DAC"/>
    <w:rsid w:val="003041CD"/>
    <w:rsid w:val="00304265"/>
    <w:rsid w:val="003045C8"/>
    <w:rsid w:val="003049C9"/>
    <w:rsid w:val="003054C0"/>
    <w:rsid w:val="003057D9"/>
    <w:rsid w:val="00305E5F"/>
    <w:rsid w:val="00305F16"/>
    <w:rsid w:val="00306076"/>
    <w:rsid w:val="003063CB"/>
    <w:rsid w:val="00306A5B"/>
    <w:rsid w:val="00306BEF"/>
    <w:rsid w:val="00306F00"/>
    <w:rsid w:val="00307140"/>
    <w:rsid w:val="00307A9B"/>
    <w:rsid w:val="00307BF5"/>
    <w:rsid w:val="00310702"/>
    <w:rsid w:val="00311088"/>
    <w:rsid w:val="0031169A"/>
    <w:rsid w:val="00311A47"/>
    <w:rsid w:val="003125B3"/>
    <w:rsid w:val="0031267B"/>
    <w:rsid w:val="003127C2"/>
    <w:rsid w:val="00312926"/>
    <w:rsid w:val="003132A4"/>
    <w:rsid w:val="0031390B"/>
    <w:rsid w:val="00313AE7"/>
    <w:rsid w:val="00313CE8"/>
    <w:rsid w:val="00313DE2"/>
    <w:rsid w:val="00313F9E"/>
    <w:rsid w:val="0031455B"/>
    <w:rsid w:val="0031504D"/>
    <w:rsid w:val="0031509B"/>
    <w:rsid w:val="003158B4"/>
    <w:rsid w:val="00315FFF"/>
    <w:rsid w:val="0031671D"/>
    <w:rsid w:val="0031684B"/>
    <w:rsid w:val="00316B42"/>
    <w:rsid w:val="00316CE9"/>
    <w:rsid w:val="00316D8B"/>
    <w:rsid w:val="003203AA"/>
    <w:rsid w:val="0032051B"/>
    <w:rsid w:val="0032052E"/>
    <w:rsid w:val="003207EA"/>
    <w:rsid w:val="00320E02"/>
    <w:rsid w:val="00321A8B"/>
    <w:rsid w:val="003228B6"/>
    <w:rsid w:val="0032297E"/>
    <w:rsid w:val="003233AF"/>
    <w:rsid w:val="00323621"/>
    <w:rsid w:val="00324163"/>
    <w:rsid w:val="00324317"/>
    <w:rsid w:val="00324CFA"/>
    <w:rsid w:val="00324DB3"/>
    <w:rsid w:val="00325570"/>
    <w:rsid w:val="003265C4"/>
    <w:rsid w:val="003267ED"/>
    <w:rsid w:val="00326ADF"/>
    <w:rsid w:val="00326D27"/>
    <w:rsid w:val="00326F28"/>
    <w:rsid w:val="00327159"/>
    <w:rsid w:val="003276A0"/>
    <w:rsid w:val="0032798B"/>
    <w:rsid w:val="00327B67"/>
    <w:rsid w:val="00327C42"/>
    <w:rsid w:val="00327E76"/>
    <w:rsid w:val="00330A8B"/>
    <w:rsid w:val="00330C6A"/>
    <w:rsid w:val="00330C87"/>
    <w:rsid w:val="00330EF9"/>
    <w:rsid w:val="00330F5D"/>
    <w:rsid w:val="003313FF"/>
    <w:rsid w:val="00331A2B"/>
    <w:rsid w:val="00332521"/>
    <w:rsid w:val="003326EA"/>
    <w:rsid w:val="0033271C"/>
    <w:rsid w:val="00332F57"/>
    <w:rsid w:val="00333343"/>
    <w:rsid w:val="00334723"/>
    <w:rsid w:val="0033481F"/>
    <w:rsid w:val="00334B87"/>
    <w:rsid w:val="0033529D"/>
    <w:rsid w:val="00335EA2"/>
    <w:rsid w:val="00336095"/>
    <w:rsid w:val="00336251"/>
    <w:rsid w:val="00336365"/>
    <w:rsid w:val="00336387"/>
    <w:rsid w:val="003365BB"/>
    <w:rsid w:val="00336849"/>
    <w:rsid w:val="00336E87"/>
    <w:rsid w:val="00336F19"/>
    <w:rsid w:val="003370CD"/>
    <w:rsid w:val="00337152"/>
    <w:rsid w:val="0033735E"/>
    <w:rsid w:val="00337CFC"/>
    <w:rsid w:val="00337FA8"/>
    <w:rsid w:val="00340417"/>
    <w:rsid w:val="00340BD8"/>
    <w:rsid w:val="00340DDD"/>
    <w:rsid w:val="00340FCD"/>
    <w:rsid w:val="00341017"/>
    <w:rsid w:val="0034103C"/>
    <w:rsid w:val="00341A3D"/>
    <w:rsid w:val="00341B75"/>
    <w:rsid w:val="00341C50"/>
    <w:rsid w:val="00341FB9"/>
    <w:rsid w:val="0034235B"/>
    <w:rsid w:val="0034239F"/>
    <w:rsid w:val="00342B5A"/>
    <w:rsid w:val="00343632"/>
    <w:rsid w:val="003436E6"/>
    <w:rsid w:val="00343CDD"/>
    <w:rsid w:val="00343E8C"/>
    <w:rsid w:val="00343FAA"/>
    <w:rsid w:val="003446D9"/>
    <w:rsid w:val="00344758"/>
    <w:rsid w:val="003447B7"/>
    <w:rsid w:val="00344967"/>
    <w:rsid w:val="00344E4B"/>
    <w:rsid w:val="00344FB2"/>
    <w:rsid w:val="00345245"/>
    <w:rsid w:val="0034567C"/>
    <w:rsid w:val="003458B2"/>
    <w:rsid w:val="00345CDF"/>
    <w:rsid w:val="00345DB4"/>
    <w:rsid w:val="003460D8"/>
    <w:rsid w:val="0034619A"/>
    <w:rsid w:val="003461CD"/>
    <w:rsid w:val="003467C5"/>
    <w:rsid w:val="00346A9C"/>
    <w:rsid w:val="00346D97"/>
    <w:rsid w:val="003479D0"/>
    <w:rsid w:val="00347C4D"/>
    <w:rsid w:val="00347DDF"/>
    <w:rsid w:val="003502A7"/>
    <w:rsid w:val="00350A07"/>
    <w:rsid w:val="00350DDB"/>
    <w:rsid w:val="00351012"/>
    <w:rsid w:val="003512FA"/>
    <w:rsid w:val="003513EE"/>
    <w:rsid w:val="00351A4E"/>
    <w:rsid w:val="00352A06"/>
    <w:rsid w:val="00352A1D"/>
    <w:rsid w:val="00353465"/>
    <w:rsid w:val="003539B3"/>
    <w:rsid w:val="00353D65"/>
    <w:rsid w:val="003543A9"/>
    <w:rsid w:val="003544C4"/>
    <w:rsid w:val="003544CD"/>
    <w:rsid w:val="003546A2"/>
    <w:rsid w:val="003549B0"/>
    <w:rsid w:val="00354C69"/>
    <w:rsid w:val="003552F4"/>
    <w:rsid w:val="003555F8"/>
    <w:rsid w:val="003559B5"/>
    <w:rsid w:val="00355CAB"/>
    <w:rsid w:val="00355E60"/>
    <w:rsid w:val="00355F10"/>
    <w:rsid w:val="0035624E"/>
    <w:rsid w:val="003564EC"/>
    <w:rsid w:val="00356B11"/>
    <w:rsid w:val="00356C3B"/>
    <w:rsid w:val="003572AF"/>
    <w:rsid w:val="00357CB8"/>
    <w:rsid w:val="00360549"/>
    <w:rsid w:val="00360561"/>
    <w:rsid w:val="0036087F"/>
    <w:rsid w:val="0036092B"/>
    <w:rsid w:val="00360A1E"/>
    <w:rsid w:val="0036105B"/>
    <w:rsid w:val="003617B7"/>
    <w:rsid w:val="003618F8"/>
    <w:rsid w:val="00362090"/>
    <w:rsid w:val="00362237"/>
    <w:rsid w:val="003622D8"/>
    <w:rsid w:val="003624A1"/>
    <w:rsid w:val="00362A36"/>
    <w:rsid w:val="00363885"/>
    <w:rsid w:val="00363C0E"/>
    <w:rsid w:val="00363CD2"/>
    <w:rsid w:val="00363E57"/>
    <w:rsid w:val="00364001"/>
    <w:rsid w:val="00364009"/>
    <w:rsid w:val="003641E6"/>
    <w:rsid w:val="003641E9"/>
    <w:rsid w:val="00364337"/>
    <w:rsid w:val="00364525"/>
    <w:rsid w:val="0036484E"/>
    <w:rsid w:val="00364C1D"/>
    <w:rsid w:val="00365632"/>
    <w:rsid w:val="0036622D"/>
    <w:rsid w:val="0036714A"/>
    <w:rsid w:val="003679A3"/>
    <w:rsid w:val="00367B9E"/>
    <w:rsid w:val="003709F0"/>
    <w:rsid w:val="00370B7B"/>
    <w:rsid w:val="00371972"/>
    <w:rsid w:val="00371CF1"/>
    <w:rsid w:val="00371E66"/>
    <w:rsid w:val="00371F36"/>
    <w:rsid w:val="00371F3E"/>
    <w:rsid w:val="00372965"/>
    <w:rsid w:val="00373AB9"/>
    <w:rsid w:val="00373DEE"/>
    <w:rsid w:val="00374089"/>
    <w:rsid w:val="0037452E"/>
    <w:rsid w:val="00374DF4"/>
    <w:rsid w:val="00374E3B"/>
    <w:rsid w:val="00375079"/>
    <w:rsid w:val="0037518E"/>
    <w:rsid w:val="0037542E"/>
    <w:rsid w:val="00375542"/>
    <w:rsid w:val="00375A33"/>
    <w:rsid w:val="00375F8A"/>
    <w:rsid w:val="003760CD"/>
    <w:rsid w:val="00376108"/>
    <w:rsid w:val="003766A3"/>
    <w:rsid w:val="00376DC0"/>
    <w:rsid w:val="00377DE1"/>
    <w:rsid w:val="00380317"/>
    <w:rsid w:val="0038033E"/>
    <w:rsid w:val="00380404"/>
    <w:rsid w:val="0038044B"/>
    <w:rsid w:val="0038054B"/>
    <w:rsid w:val="00381336"/>
    <w:rsid w:val="003814B4"/>
    <w:rsid w:val="003815F6"/>
    <w:rsid w:val="00381798"/>
    <w:rsid w:val="00381951"/>
    <w:rsid w:val="00381CA5"/>
    <w:rsid w:val="00381D56"/>
    <w:rsid w:val="00381DE8"/>
    <w:rsid w:val="00381F9C"/>
    <w:rsid w:val="00382081"/>
    <w:rsid w:val="00382459"/>
    <w:rsid w:val="003824F5"/>
    <w:rsid w:val="00382BA5"/>
    <w:rsid w:val="00382D21"/>
    <w:rsid w:val="00382FEB"/>
    <w:rsid w:val="003830E5"/>
    <w:rsid w:val="00383740"/>
    <w:rsid w:val="003837D7"/>
    <w:rsid w:val="00383DC3"/>
    <w:rsid w:val="003841B4"/>
    <w:rsid w:val="00384385"/>
    <w:rsid w:val="0038483A"/>
    <w:rsid w:val="00384B66"/>
    <w:rsid w:val="00384CA6"/>
    <w:rsid w:val="00385A56"/>
    <w:rsid w:val="00385E8F"/>
    <w:rsid w:val="00385EBA"/>
    <w:rsid w:val="003860E5"/>
    <w:rsid w:val="0038644E"/>
    <w:rsid w:val="003865AE"/>
    <w:rsid w:val="003876E0"/>
    <w:rsid w:val="003902DB"/>
    <w:rsid w:val="003909BA"/>
    <w:rsid w:val="00390D81"/>
    <w:rsid w:val="00391797"/>
    <w:rsid w:val="00391B23"/>
    <w:rsid w:val="00391BEA"/>
    <w:rsid w:val="00391C21"/>
    <w:rsid w:val="00391C78"/>
    <w:rsid w:val="00392099"/>
    <w:rsid w:val="0039226C"/>
    <w:rsid w:val="00392CC6"/>
    <w:rsid w:val="00392FFA"/>
    <w:rsid w:val="00393090"/>
    <w:rsid w:val="0039365E"/>
    <w:rsid w:val="003937C2"/>
    <w:rsid w:val="00393F6A"/>
    <w:rsid w:val="00393FE0"/>
    <w:rsid w:val="0039401C"/>
    <w:rsid w:val="00394361"/>
    <w:rsid w:val="00394FD4"/>
    <w:rsid w:val="0039628B"/>
    <w:rsid w:val="0039641F"/>
    <w:rsid w:val="003968B4"/>
    <w:rsid w:val="003975E1"/>
    <w:rsid w:val="00397609"/>
    <w:rsid w:val="00397D2C"/>
    <w:rsid w:val="003A1136"/>
    <w:rsid w:val="003A19EE"/>
    <w:rsid w:val="003A1F59"/>
    <w:rsid w:val="003A2E3F"/>
    <w:rsid w:val="003A385A"/>
    <w:rsid w:val="003A3B02"/>
    <w:rsid w:val="003A3C45"/>
    <w:rsid w:val="003A43F4"/>
    <w:rsid w:val="003A4551"/>
    <w:rsid w:val="003A4C95"/>
    <w:rsid w:val="003A4F8A"/>
    <w:rsid w:val="003A4FE4"/>
    <w:rsid w:val="003A521F"/>
    <w:rsid w:val="003A538A"/>
    <w:rsid w:val="003A5D59"/>
    <w:rsid w:val="003A5FDD"/>
    <w:rsid w:val="003A66D4"/>
    <w:rsid w:val="003A6F12"/>
    <w:rsid w:val="003A738A"/>
    <w:rsid w:val="003A78BF"/>
    <w:rsid w:val="003A7FC4"/>
    <w:rsid w:val="003B0640"/>
    <w:rsid w:val="003B06DA"/>
    <w:rsid w:val="003B0D5D"/>
    <w:rsid w:val="003B1652"/>
    <w:rsid w:val="003B1729"/>
    <w:rsid w:val="003B23FC"/>
    <w:rsid w:val="003B245E"/>
    <w:rsid w:val="003B275F"/>
    <w:rsid w:val="003B2792"/>
    <w:rsid w:val="003B2838"/>
    <w:rsid w:val="003B2994"/>
    <w:rsid w:val="003B2D23"/>
    <w:rsid w:val="003B2D2F"/>
    <w:rsid w:val="003B36D3"/>
    <w:rsid w:val="003B37B6"/>
    <w:rsid w:val="003B3875"/>
    <w:rsid w:val="003B3AF5"/>
    <w:rsid w:val="003B4123"/>
    <w:rsid w:val="003B47DA"/>
    <w:rsid w:val="003B4BC9"/>
    <w:rsid w:val="003B4C7E"/>
    <w:rsid w:val="003B4D34"/>
    <w:rsid w:val="003B61E3"/>
    <w:rsid w:val="003B6539"/>
    <w:rsid w:val="003B6603"/>
    <w:rsid w:val="003B67EF"/>
    <w:rsid w:val="003B6B3D"/>
    <w:rsid w:val="003B71D2"/>
    <w:rsid w:val="003B7A20"/>
    <w:rsid w:val="003B7D00"/>
    <w:rsid w:val="003C04A3"/>
    <w:rsid w:val="003C0821"/>
    <w:rsid w:val="003C0F37"/>
    <w:rsid w:val="003C17A3"/>
    <w:rsid w:val="003C17A5"/>
    <w:rsid w:val="003C23C3"/>
    <w:rsid w:val="003C2664"/>
    <w:rsid w:val="003C2AB6"/>
    <w:rsid w:val="003C38C4"/>
    <w:rsid w:val="003C39E0"/>
    <w:rsid w:val="003C3F2F"/>
    <w:rsid w:val="003C3F9C"/>
    <w:rsid w:val="003C40AC"/>
    <w:rsid w:val="003C42E1"/>
    <w:rsid w:val="003C45D9"/>
    <w:rsid w:val="003C4706"/>
    <w:rsid w:val="003C4DF4"/>
    <w:rsid w:val="003C511B"/>
    <w:rsid w:val="003C5CE9"/>
    <w:rsid w:val="003C5F71"/>
    <w:rsid w:val="003C5F88"/>
    <w:rsid w:val="003C6395"/>
    <w:rsid w:val="003C67A6"/>
    <w:rsid w:val="003C689B"/>
    <w:rsid w:val="003C6E34"/>
    <w:rsid w:val="003C70AD"/>
    <w:rsid w:val="003C79EF"/>
    <w:rsid w:val="003C7C0D"/>
    <w:rsid w:val="003C7D7D"/>
    <w:rsid w:val="003D04EE"/>
    <w:rsid w:val="003D0AF2"/>
    <w:rsid w:val="003D16A1"/>
    <w:rsid w:val="003D1BC5"/>
    <w:rsid w:val="003D1C34"/>
    <w:rsid w:val="003D1D63"/>
    <w:rsid w:val="003D1E64"/>
    <w:rsid w:val="003D2EFC"/>
    <w:rsid w:val="003D38F1"/>
    <w:rsid w:val="003D3A39"/>
    <w:rsid w:val="003D44BE"/>
    <w:rsid w:val="003D6110"/>
    <w:rsid w:val="003D61C0"/>
    <w:rsid w:val="003D639E"/>
    <w:rsid w:val="003D6505"/>
    <w:rsid w:val="003D6B76"/>
    <w:rsid w:val="003D6E1D"/>
    <w:rsid w:val="003D7704"/>
    <w:rsid w:val="003D7C48"/>
    <w:rsid w:val="003E00BF"/>
    <w:rsid w:val="003E016D"/>
    <w:rsid w:val="003E09CE"/>
    <w:rsid w:val="003E1D2B"/>
    <w:rsid w:val="003E23E3"/>
    <w:rsid w:val="003E24A4"/>
    <w:rsid w:val="003E2776"/>
    <w:rsid w:val="003E2996"/>
    <w:rsid w:val="003E35ED"/>
    <w:rsid w:val="003E3A78"/>
    <w:rsid w:val="003E42C0"/>
    <w:rsid w:val="003E4521"/>
    <w:rsid w:val="003E4CE3"/>
    <w:rsid w:val="003E4E56"/>
    <w:rsid w:val="003E51B0"/>
    <w:rsid w:val="003E51F9"/>
    <w:rsid w:val="003E529C"/>
    <w:rsid w:val="003E5C35"/>
    <w:rsid w:val="003E6585"/>
    <w:rsid w:val="003E667D"/>
    <w:rsid w:val="003E66FA"/>
    <w:rsid w:val="003E6A36"/>
    <w:rsid w:val="003E6C42"/>
    <w:rsid w:val="003E6D04"/>
    <w:rsid w:val="003E7288"/>
    <w:rsid w:val="003E75A5"/>
    <w:rsid w:val="003E7D77"/>
    <w:rsid w:val="003E7E43"/>
    <w:rsid w:val="003E7EFD"/>
    <w:rsid w:val="003F004C"/>
    <w:rsid w:val="003F0525"/>
    <w:rsid w:val="003F0AB2"/>
    <w:rsid w:val="003F0B32"/>
    <w:rsid w:val="003F0E96"/>
    <w:rsid w:val="003F10A1"/>
    <w:rsid w:val="003F1936"/>
    <w:rsid w:val="003F1D60"/>
    <w:rsid w:val="003F1D76"/>
    <w:rsid w:val="003F2000"/>
    <w:rsid w:val="003F2225"/>
    <w:rsid w:val="003F245D"/>
    <w:rsid w:val="003F2913"/>
    <w:rsid w:val="003F339E"/>
    <w:rsid w:val="003F39EB"/>
    <w:rsid w:val="003F421D"/>
    <w:rsid w:val="003F4F2B"/>
    <w:rsid w:val="003F50C3"/>
    <w:rsid w:val="003F51BD"/>
    <w:rsid w:val="003F54D6"/>
    <w:rsid w:val="003F5848"/>
    <w:rsid w:val="003F670F"/>
    <w:rsid w:val="0040098C"/>
    <w:rsid w:val="0040107A"/>
    <w:rsid w:val="00401178"/>
    <w:rsid w:val="004015EE"/>
    <w:rsid w:val="00401B58"/>
    <w:rsid w:val="00401BC7"/>
    <w:rsid w:val="004027A6"/>
    <w:rsid w:val="00402A58"/>
    <w:rsid w:val="00402D97"/>
    <w:rsid w:val="004038AE"/>
    <w:rsid w:val="004038AF"/>
    <w:rsid w:val="00403999"/>
    <w:rsid w:val="00403EC7"/>
    <w:rsid w:val="004045A7"/>
    <w:rsid w:val="004049BA"/>
    <w:rsid w:val="004056D9"/>
    <w:rsid w:val="00405960"/>
    <w:rsid w:val="00405D1E"/>
    <w:rsid w:val="004060A8"/>
    <w:rsid w:val="00406339"/>
    <w:rsid w:val="00406C53"/>
    <w:rsid w:val="00407279"/>
    <w:rsid w:val="004076F7"/>
    <w:rsid w:val="00407C9E"/>
    <w:rsid w:val="004100C6"/>
    <w:rsid w:val="00410839"/>
    <w:rsid w:val="00410C4E"/>
    <w:rsid w:val="004111B0"/>
    <w:rsid w:val="0041166C"/>
    <w:rsid w:val="00411E09"/>
    <w:rsid w:val="00411ECA"/>
    <w:rsid w:val="004121A5"/>
    <w:rsid w:val="0041252B"/>
    <w:rsid w:val="0041295A"/>
    <w:rsid w:val="00412AAF"/>
    <w:rsid w:val="00412B01"/>
    <w:rsid w:val="00412EF1"/>
    <w:rsid w:val="00413269"/>
    <w:rsid w:val="004135D5"/>
    <w:rsid w:val="00413777"/>
    <w:rsid w:val="004138F0"/>
    <w:rsid w:val="00413A05"/>
    <w:rsid w:val="00413B05"/>
    <w:rsid w:val="00413C9C"/>
    <w:rsid w:val="004143DA"/>
    <w:rsid w:val="004145E0"/>
    <w:rsid w:val="004148D1"/>
    <w:rsid w:val="0041497A"/>
    <w:rsid w:val="00414FDA"/>
    <w:rsid w:val="004150A7"/>
    <w:rsid w:val="00415365"/>
    <w:rsid w:val="004154C8"/>
    <w:rsid w:val="00415710"/>
    <w:rsid w:val="00415E1C"/>
    <w:rsid w:val="00415F0D"/>
    <w:rsid w:val="00416546"/>
    <w:rsid w:val="00416CAC"/>
    <w:rsid w:val="00416D18"/>
    <w:rsid w:val="00416D75"/>
    <w:rsid w:val="00417292"/>
    <w:rsid w:val="00417907"/>
    <w:rsid w:val="00417FEC"/>
    <w:rsid w:val="00420019"/>
    <w:rsid w:val="00420277"/>
    <w:rsid w:val="004203A1"/>
    <w:rsid w:val="00420E3A"/>
    <w:rsid w:val="00420F22"/>
    <w:rsid w:val="0042116C"/>
    <w:rsid w:val="004212F0"/>
    <w:rsid w:val="004213F5"/>
    <w:rsid w:val="00421570"/>
    <w:rsid w:val="004215CF"/>
    <w:rsid w:val="004217BF"/>
    <w:rsid w:val="004218C6"/>
    <w:rsid w:val="00421903"/>
    <w:rsid w:val="004219BA"/>
    <w:rsid w:val="00421A2D"/>
    <w:rsid w:val="00421C6C"/>
    <w:rsid w:val="00421F22"/>
    <w:rsid w:val="00422044"/>
    <w:rsid w:val="004225B6"/>
    <w:rsid w:val="00422CAD"/>
    <w:rsid w:val="00423F73"/>
    <w:rsid w:val="00424271"/>
    <w:rsid w:val="00424603"/>
    <w:rsid w:val="00424EC5"/>
    <w:rsid w:val="00425497"/>
    <w:rsid w:val="00425A52"/>
    <w:rsid w:val="00425A79"/>
    <w:rsid w:val="00425D99"/>
    <w:rsid w:val="00426A7A"/>
    <w:rsid w:val="00426A80"/>
    <w:rsid w:val="00426ECC"/>
    <w:rsid w:val="00427087"/>
    <w:rsid w:val="00427E01"/>
    <w:rsid w:val="00427F02"/>
    <w:rsid w:val="0043002A"/>
    <w:rsid w:val="00430258"/>
    <w:rsid w:val="004304CC"/>
    <w:rsid w:val="0043055A"/>
    <w:rsid w:val="00430A6D"/>
    <w:rsid w:val="00430EF3"/>
    <w:rsid w:val="004311CA"/>
    <w:rsid w:val="00431B77"/>
    <w:rsid w:val="00431C25"/>
    <w:rsid w:val="00431E9F"/>
    <w:rsid w:val="00432193"/>
    <w:rsid w:val="004323BC"/>
    <w:rsid w:val="00432403"/>
    <w:rsid w:val="0043297A"/>
    <w:rsid w:val="00432AC4"/>
    <w:rsid w:val="00433A10"/>
    <w:rsid w:val="00433A12"/>
    <w:rsid w:val="00433D53"/>
    <w:rsid w:val="0043413F"/>
    <w:rsid w:val="004341D3"/>
    <w:rsid w:val="00434D9E"/>
    <w:rsid w:val="00434F3C"/>
    <w:rsid w:val="004355D3"/>
    <w:rsid w:val="00435E07"/>
    <w:rsid w:val="004367AC"/>
    <w:rsid w:val="00436919"/>
    <w:rsid w:val="00436A50"/>
    <w:rsid w:val="00436A6A"/>
    <w:rsid w:val="00436BF4"/>
    <w:rsid w:val="00436F18"/>
    <w:rsid w:val="0043704B"/>
    <w:rsid w:val="0043707F"/>
    <w:rsid w:val="00437418"/>
    <w:rsid w:val="004376A1"/>
    <w:rsid w:val="00437D45"/>
    <w:rsid w:val="0044069F"/>
    <w:rsid w:val="004409F6"/>
    <w:rsid w:val="00440BCE"/>
    <w:rsid w:val="00440BE5"/>
    <w:rsid w:val="00440D51"/>
    <w:rsid w:val="0044109B"/>
    <w:rsid w:val="004412A3"/>
    <w:rsid w:val="0044257D"/>
    <w:rsid w:val="00442A11"/>
    <w:rsid w:val="00442C82"/>
    <w:rsid w:val="00443668"/>
    <w:rsid w:val="00443ABC"/>
    <w:rsid w:val="00444309"/>
    <w:rsid w:val="0044491E"/>
    <w:rsid w:val="0044552D"/>
    <w:rsid w:val="00445DC9"/>
    <w:rsid w:val="004469D5"/>
    <w:rsid w:val="00447549"/>
    <w:rsid w:val="00447EA8"/>
    <w:rsid w:val="004500E6"/>
    <w:rsid w:val="0045019A"/>
    <w:rsid w:val="00451253"/>
    <w:rsid w:val="00451405"/>
    <w:rsid w:val="00451B87"/>
    <w:rsid w:val="00451FC7"/>
    <w:rsid w:val="00452BA7"/>
    <w:rsid w:val="00452C0F"/>
    <w:rsid w:val="00452D36"/>
    <w:rsid w:val="00452D73"/>
    <w:rsid w:val="004530D9"/>
    <w:rsid w:val="00453141"/>
    <w:rsid w:val="004538A7"/>
    <w:rsid w:val="004538BC"/>
    <w:rsid w:val="00453C68"/>
    <w:rsid w:val="0045403E"/>
    <w:rsid w:val="004541DD"/>
    <w:rsid w:val="0045448F"/>
    <w:rsid w:val="00455094"/>
    <w:rsid w:val="00455502"/>
    <w:rsid w:val="004555F7"/>
    <w:rsid w:val="00455E1B"/>
    <w:rsid w:val="00457001"/>
    <w:rsid w:val="00457290"/>
    <w:rsid w:val="004575FD"/>
    <w:rsid w:val="00457805"/>
    <w:rsid w:val="0045789F"/>
    <w:rsid w:val="00457DE2"/>
    <w:rsid w:val="0046080A"/>
    <w:rsid w:val="00461D3C"/>
    <w:rsid w:val="00461FE2"/>
    <w:rsid w:val="0046226E"/>
    <w:rsid w:val="00462A2C"/>
    <w:rsid w:val="00462A81"/>
    <w:rsid w:val="00463225"/>
    <w:rsid w:val="00463503"/>
    <w:rsid w:val="00463821"/>
    <w:rsid w:val="00463AAD"/>
    <w:rsid w:val="00463E77"/>
    <w:rsid w:val="0046403E"/>
    <w:rsid w:val="00464160"/>
    <w:rsid w:val="00464171"/>
    <w:rsid w:val="00465644"/>
    <w:rsid w:val="004656E1"/>
    <w:rsid w:val="00465865"/>
    <w:rsid w:val="004660EE"/>
    <w:rsid w:val="00466158"/>
    <w:rsid w:val="0046622E"/>
    <w:rsid w:val="004664FB"/>
    <w:rsid w:val="004667EC"/>
    <w:rsid w:val="004669AB"/>
    <w:rsid w:val="00466A07"/>
    <w:rsid w:val="00466A1A"/>
    <w:rsid w:val="00466B74"/>
    <w:rsid w:val="00466BEE"/>
    <w:rsid w:val="00466C04"/>
    <w:rsid w:val="00467085"/>
    <w:rsid w:val="004671C0"/>
    <w:rsid w:val="004673F8"/>
    <w:rsid w:val="00467533"/>
    <w:rsid w:val="00467A82"/>
    <w:rsid w:val="00470755"/>
    <w:rsid w:val="00470DA2"/>
    <w:rsid w:val="00471235"/>
    <w:rsid w:val="004712BD"/>
    <w:rsid w:val="004713E7"/>
    <w:rsid w:val="00471766"/>
    <w:rsid w:val="00471BB8"/>
    <w:rsid w:val="00471C15"/>
    <w:rsid w:val="00471C4E"/>
    <w:rsid w:val="00472A1E"/>
    <w:rsid w:val="00472CEE"/>
    <w:rsid w:val="00472DC6"/>
    <w:rsid w:val="00472E1B"/>
    <w:rsid w:val="00473AF6"/>
    <w:rsid w:val="00473C98"/>
    <w:rsid w:val="004740E4"/>
    <w:rsid w:val="0047459F"/>
    <w:rsid w:val="004749E1"/>
    <w:rsid w:val="00475DCA"/>
    <w:rsid w:val="00475E87"/>
    <w:rsid w:val="00475FBF"/>
    <w:rsid w:val="00477200"/>
    <w:rsid w:val="0047725B"/>
    <w:rsid w:val="00477553"/>
    <w:rsid w:val="004777A0"/>
    <w:rsid w:val="00477D08"/>
    <w:rsid w:val="00477DE4"/>
    <w:rsid w:val="00477F1A"/>
    <w:rsid w:val="004804C8"/>
    <w:rsid w:val="0048106E"/>
    <w:rsid w:val="00481F3E"/>
    <w:rsid w:val="00482D0D"/>
    <w:rsid w:val="00483407"/>
    <w:rsid w:val="00483B3F"/>
    <w:rsid w:val="00483BB6"/>
    <w:rsid w:val="00483E9F"/>
    <w:rsid w:val="00484270"/>
    <w:rsid w:val="0048437B"/>
    <w:rsid w:val="004849DF"/>
    <w:rsid w:val="00485108"/>
    <w:rsid w:val="004852CE"/>
    <w:rsid w:val="00485A67"/>
    <w:rsid w:val="00485B66"/>
    <w:rsid w:val="0048632F"/>
    <w:rsid w:val="0048636D"/>
    <w:rsid w:val="00486CFC"/>
    <w:rsid w:val="00487779"/>
    <w:rsid w:val="00487EC6"/>
    <w:rsid w:val="00487F79"/>
    <w:rsid w:val="0049064F"/>
    <w:rsid w:val="004906F0"/>
    <w:rsid w:val="0049080E"/>
    <w:rsid w:val="0049117D"/>
    <w:rsid w:val="004923C1"/>
    <w:rsid w:val="004935DE"/>
    <w:rsid w:val="00494038"/>
    <w:rsid w:val="00494450"/>
    <w:rsid w:val="00494534"/>
    <w:rsid w:val="00494902"/>
    <w:rsid w:val="004956AD"/>
    <w:rsid w:val="004959DC"/>
    <w:rsid w:val="00496019"/>
    <w:rsid w:val="0049643E"/>
    <w:rsid w:val="00496574"/>
    <w:rsid w:val="0049694A"/>
    <w:rsid w:val="00496D82"/>
    <w:rsid w:val="00496EBC"/>
    <w:rsid w:val="00497024"/>
    <w:rsid w:val="004973C9"/>
    <w:rsid w:val="00497525"/>
    <w:rsid w:val="0049769F"/>
    <w:rsid w:val="00497B81"/>
    <w:rsid w:val="004A01A7"/>
    <w:rsid w:val="004A053E"/>
    <w:rsid w:val="004A07D6"/>
    <w:rsid w:val="004A140B"/>
    <w:rsid w:val="004A2157"/>
    <w:rsid w:val="004A21B5"/>
    <w:rsid w:val="004A3073"/>
    <w:rsid w:val="004A3E90"/>
    <w:rsid w:val="004A3EF5"/>
    <w:rsid w:val="004A45AF"/>
    <w:rsid w:val="004A54DD"/>
    <w:rsid w:val="004A5522"/>
    <w:rsid w:val="004A5574"/>
    <w:rsid w:val="004A5664"/>
    <w:rsid w:val="004A5D8D"/>
    <w:rsid w:val="004A5E7D"/>
    <w:rsid w:val="004A67EF"/>
    <w:rsid w:val="004A7036"/>
    <w:rsid w:val="004A79D9"/>
    <w:rsid w:val="004A7F2B"/>
    <w:rsid w:val="004B0216"/>
    <w:rsid w:val="004B0A19"/>
    <w:rsid w:val="004B0BF8"/>
    <w:rsid w:val="004B0D56"/>
    <w:rsid w:val="004B2170"/>
    <w:rsid w:val="004B28FE"/>
    <w:rsid w:val="004B2CCB"/>
    <w:rsid w:val="004B2DE1"/>
    <w:rsid w:val="004B319C"/>
    <w:rsid w:val="004B34B6"/>
    <w:rsid w:val="004B34DF"/>
    <w:rsid w:val="004B36CC"/>
    <w:rsid w:val="004B3733"/>
    <w:rsid w:val="004B38DF"/>
    <w:rsid w:val="004B3A97"/>
    <w:rsid w:val="004B4434"/>
    <w:rsid w:val="004B471B"/>
    <w:rsid w:val="004B4A8A"/>
    <w:rsid w:val="004B4E94"/>
    <w:rsid w:val="004B5373"/>
    <w:rsid w:val="004B70A7"/>
    <w:rsid w:val="004B7AF9"/>
    <w:rsid w:val="004C0683"/>
    <w:rsid w:val="004C0691"/>
    <w:rsid w:val="004C0ACA"/>
    <w:rsid w:val="004C10B4"/>
    <w:rsid w:val="004C14B7"/>
    <w:rsid w:val="004C179A"/>
    <w:rsid w:val="004C1852"/>
    <w:rsid w:val="004C2430"/>
    <w:rsid w:val="004C256E"/>
    <w:rsid w:val="004C2D2E"/>
    <w:rsid w:val="004C2EDF"/>
    <w:rsid w:val="004C3068"/>
    <w:rsid w:val="004C3EF6"/>
    <w:rsid w:val="004C48B0"/>
    <w:rsid w:val="004C4996"/>
    <w:rsid w:val="004C4BB7"/>
    <w:rsid w:val="004C4EB0"/>
    <w:rsid w:val="004C520B"/>
    <w:rsid w:val="004C5210"/>
    <w:rsid w:val="004C53BF"/>
    <w:rsid w:val="004C58CE"/>
    <w:rsid w:val="004C591E"/>
    <w:rsid w:val="004C5DCE"/>
    <w:rsid w:val="004C5FE2"/>
    <w:rsid w:val="004C6048"/>
    <w:rsid w:val="004C6557"/>
    <w:rsid w:val="004C664D"/>
    <w:rsid w:val="004C66EC"/>
    <w:rsid w:val="004C66F8"/>
    <w:rsid w:val="004C6FDE"/>
    <w:rsid w:val="004C746E"/>
    <w:rsid w:val="004C79B1"/>
    <w:rsid w:val="004C7B4D"/>
    <w:rsid w:val="004C7C89"/>
    <w:rsid w:val="004D026F"/>
    <w:rsid w:val="004D0895"/>
    <w:rsid w:val="004D0AAA"/>
    <w:rsid w:val="004D0E2E"/>
    <w:rsid w:val="004D162E"/>
    <w:rsid w:val="004D1B92"/>
    <w:rsid w:val="004D1FB0"/>
    <w:rsid w:val="004D2192"/>
    <w:rsid w:val="004D23C8"/>
    <w:rsid w:val="004D35EF"/>
    <w:rsid w:val="004D3937"/>
    <w:rsid w:val="004D3EF6"/>
    <w:rsid w:val="004D4208"/>
    <w:rsid w:val="004D484C"/>
    <w:rsid w:val="004D4C48"/>
    <w:rsid w:val="004D582C"/>
    <w:rsid w:val="004D5852"/>
    <w:rsid w:val="004D5E5E"/>
    <w:rsid w:val="004D6F14"/>
    <w:rsid w:val="004D7817"/>
    <w:rsid w:val="004D7D3F"/>
    <w:rsid w:val="004D7E00"/>
    <w:rsid w:val="004D7F35"/>
    <w:rsid w:val="004E0162"/>
    <w:rsid w:val="004E096B"/>
    <w:rsid w:val="004E0BFE"/>
    <w:rsid w:val="004E1375"/>
    <w:rsid w:val="004E14D1"/>
    <w:rsid w:val="004E1C83"/>
    <w:rsid w:val="004E2100"/>
    <w:rsid w:val="004E286E"/>
    <w:rsid w:val="004E2D6A"/>
    <w:rsid w:val="004E2EB8"/>
    <w:rsid w:val="004E318B"/>
    <w:rsid w:val="004E33B1"/>
    <w:rsid w:val="004E3562"/>
    <w:rsid w:val="004E3830"/>
    <w:rsid w:val="004E405F"/>
    <w:rsid w:val="004E49CE"/>
    <w:rsid w:val="004E4B84"/>
    <w:rsid w:val="004E523F"/>
    <w:rsid w:val="004E5405"/>
    <w:rsid w:val="004E541A"/>
    <w:rsid w:val="004E5554"/>
    <w:rsid w:val="004E577D"/>
    <w:rsid w:val="004E58BC"/>
    <w:rsid w:val="004E5E02"/>
    <w:rsid w:val="004E61CF"/>
    <w:rsid w:val="004E6911"/>
    <w:rsid w:val="004E6943"/>
    <w:rsid w:val="004E70A3"/>
    <w:rsid w:val="004E7686"/>
    <w:rsid w:val="004F12B1"/>
    <w:rsid w:val="004F17EA"/>
    <w:rsid w:val="004F19E1"/>
    <w:rsid w:val="004F19F9"/>
    <w:rsid w:val="004F261D"/>
    <w:rsid w:val="004F2CF2"/>
    <w:rsid w:val="004F2D2B"/>
    <w:rsid w:val="004F3430"/>
    <w:rsid w:val="004F410B"/>
    <w:rsid w:val="004F4320"/>
    <w:rsid w:val="004F435C"/>
    <w:rsid w:val="004F46E2"/>
    <w:rsid w:val="004F47FE"/>
    <w:rsid w:val="004F49EE"/>
    <w:rsid w:val="004F4E6F"/>
    <w:rsid w:val="004F4F3F"/>
    <w:rsid w:val="004F520B"/>
    <w:rsid w:val="004F53BE"/>
    <w:rsid w:val="004F5486"/>
    <w:rsid w:val="004F5C82"/>
    <w:rsid w:val="004F5E56"/>
    <w:rsid w:val="004F73F5"/>
    <w:rsid w:val="004F7611"/>
    <w:rsid w:val="004F79F7"/>
    <w:rsid w:val="004F7FEB"/>
    <w:rsid w:val="0050020D"/>
    <w:rsid w:val="0050042B"/>
    <w:rsid w:val="00500718"/>
    <w:rsid w:val="00500B1D"/>
    <w:rsid w:val="005010A7"/>
    <w:rsid w:val="0050176F"/>
    <w:rsid w:val="00501B40"/>
    <w:rsid w:val="00501BCD"/>
    <w:rsid w:val="005023EC"/>
    <w:rsid w:val="0050280A"/>
    <w:rsid w:val="00503692"/>
    <w:rsid w:val="00503A23"/>
    <w:rsid w:val="00503EFF"/>
    <w:rsid w:val="00504275"/>
    <w:rsid w:val="00504360"/>
    <w:rsid w:val="005046DA"/>
    <w:rsid w:val="00505393"/>
    <w:rsid w:val="005053F4"/>
    <w:rsid w:val="00505ABD"/>
    <w:rsid w:val="00505B59"/>
    <w:rsid w:val="00505F5A"/>
    <w:rsid w:val="005062D9"/>
    <w:rsid w:val="00506322"/>
    <w:rsid w:val="00506406"/>
    <w:rsid w:val="00506457"/>
    <w:rsid w:val="005075E9"/>
    <w:rsid w:val="00507729"/>
    <w:rsid w:val="00507DFD"/>
    <w:rsid w:val="00510463"/>
    <w:rsid w:val="00510529"/>
    <w:rsid w:val="005108E0"/>
    <w:rsid w:val="00510D2F"/>
    <w:rsid w:val="00511341"/>
    <w:rsid w:val="0051136C"/>
    <w:rsid w:val="0051245F"/>
    <w:rsid w:val="00512505"/>
    <w:rsid w:val="005126F0"/>
    <w:rsid w:val="00512B7F"/>
    <w:rsid w:val="00512CE6"/>
    <w:rsid w:val="00513347"/>
    <w:rsid w:val="0051497C"/>
    <w:rsid w:val="00514C9E"/>
    <w:rsid w:val="005157FE"/>
    <w:rsid w:val="00515A9D"/>
    <w:rsid w:val="00515ADF"/>
    <w:rsid w:val="0051600C"/>
    <w:rsid w:val="00516368"/>
    <w:rsid w:val="00516A67"/>
    <w:rsid w:val="00517226"/>
    <w:rsid w:val="0051726C"/>
    <w:rsid w:val="00517452"/>
    <w:rsid w:val="00517691"/>
    <w:rsid w:val="005179BD"/>
    <w:rsid w:val="00517B69"/>
    <w:rsid w:val="00520185"/>
    <w:rsid w:val="00520449"/>
    <w:rsid w:val="00520FE8"/>
    <w:rsid w:val="00521129"/>
    <w:rsid w:val="00521636"/>
    <w:rsid w:val="005218BF"/>
    <w:rsid w:val="005222EE"/>
    <w:rsid w:val="00522350"/>
    <w:rsid w:val="005224F9"/>
    <w:rsid w:val="00523AE2"/>
    <w:rsid w:val="00524154"/>
    <w:rsid w:val="00524781"/>
    <w:rsid w:val="00524E30"/>
    <w:rsid w:val="0052574C"/>
    <w:rsid w:val="00525770"/>
    <w:rsid w:val="005258CB"/>
    <w:rsid w:val="00525AE5"/>
    <w:rsid w:val="00526398"/>
    <w:rsid w:val="00526B55"/>
    <w:rsid w:val="0052701B"/>
    <w:rsid w:val="0052709F"/>
    <w:rsid w:val="00527704"/>
    <w:rsid w:val="005277BC"/>
    <w:rsid w:val="00527B7E"/>
    <w:rsid w:val="00530088"/>
    <w:rsid w:val="005310F8"/>
    <w:rsid w:val="005311EC"/>
    <w:rsid w:val="005314EC"/>
    <w:rsid w:val="00531A32"/>
    <w:rsid w:val="005324A2"/>
    <w:rsid w:val="005328F8"/>
    <w:rsid w:val="00532946"/>
    <w:rsid w:val="00532B20"/>
    <w:rsid w:val="00532FE5"/>
    <w:rsid w:val="00533434"/>
    <w:rsid w:val="00533FD5"/>
    <w:rsid w:val="00534003"/>
    <w:rsid w:val="00534007"/>
    <w:rsid w:val="005342E9"/>
    <w:rsid w:val="0053485A"/>
    <w:rsid w:val="00535867"/>
    <w:rsid w:val="00535D0E"/>
    <w:rsid w:val="00536565"/>
    <w:rsid w:val="00536869"/>
    <w:rsid w:val="00536A58"/>
    <w:rsid w:val="00537249"/>
    <w:rsid w:val="00540771"/>
    <w:rsid w:val="005408BB"/>
    <w:rsid w:val="00540BF2"/>
    <w:rsid w:val="00541451"/>
    <w:rsid w:val="00541D22"/>
    <w:rsid w:val="00541F53"/>
    <w:rsid w:val="005421FE"/>
    <w:rsid w:val="0054254F"/>
    <w:rsid w:val="005437F2"/>
    <w:rsid w:val="00543E76"/>
    <w:rsid w:val="00544966"/>
    <w:rsid w:val="00544AA7"/>
    <w:rsid w:val="00544B93"/>
    <w:rsid w:val="00545654"/>
    <w:rsid w:val="00546151"/>
    <w:rsid w:val="0054627C"/>
    <w:rsid w:val="00546367"/>
    <w:rsid w:val="0054666F"/>
    <w:rsid w:val="005466E7"/>
    <w:rsid w:val="00546D30"/>
    <w:rsid w:val="00546D9F"/>
    <w:rsid w:val="00547152"/>
    <w:rsid w:val="005473B2"/>
    <w:rsid w:val="00547B8E"/>
    <w:rsid w:val="00547DD6"/>
    <w:rsid w:val="0055052A"/>
    <w:rsid w:val="00550959"/>
    <w:rsid w:val="0055097D"/>
    <w:rsid w:val="005509C2"/>
    <w:rsid w:val="005510B0"/>
    <w:rsid w:val="0055132D"/>
    <w:rsid w:val="005514DA"/>
    <w:rsid w:val="005514EA"/>
    <w:rsid w:val="005520A6"/>
    <w:rsid w:val="005524CF"/>
    <w:rsid w:val="005528AD"/>
    <w:rsid w:val="00552D83"/>
    <w:rsid w:val="00553008"/>
    <w:rsid w:val="00553340"/>
    <w:rsid w:val="00553AD8"/>
    <w:rsid w:val="00553E87"/>
    <w:rsid w:val="005544A1"/>
    <w:rsid w:val="00554801"/>
    <w:rsid w:val="00554E9A"/>
    <w:rsid w:val="005550C0"/>
    <w:rsid w:val="00557029"/>
    <w:rsid w:val="005570D9"/>
    <w:rsid w:val="005573C5"/>
    <w:rsid w:val="005578C4"/>
    <w:rsid w:val="00557DB8"/>
    <w:rsid w:val="00557EE8"/>
    <w:rsid w:val="00557F68"/>
    <w:rsid w:val="005600BD"/>
    <w:rsid w:val="0056039B"/>
    <w:rsid w:val="005606B6"/>
    <w:rsid w:val="00560AA4"/>
    <w:rsid w:val="00560C52"/>
    <w:rsid w:val="00561006"/>
    <w:rsid w:val="00561078"/>
    <w:rsid w:val="00561A33"/>
    <w:rsid w:val="00561BF5"/>
    <w:rsid w:val="005622BE"/>
    <w:rsid w:val="00562478"/>
    <w:rsid w:val="00562C7B"/>
    <w:rsid w:val="0056301D"/>
    <w:rsid w:val="005632EB"/>
    <w:rsid w:val="005632FA"/>
    <w:rsid w:val="00563988"/>
    <w:rsid w:val="005639CB"/>
    <w:rsid w:val="005644BA"/>
    <w:rsid w:val="005645F3"/>
    <w:rsid w:val="00564802"/>
    <w:rsid w:val="00564A86"/>
    <w:rsid w:val="00564B48"/>
    <w:rsid w:val="00564C42"/>
    <w:rsid w:val="00564C5B"/>
    <w:rsid w:val="00564F27"/>
    <w:rsid w:val="00564FCE"/>
    <w:rsid w:val="0056502E"/>
    <w:rsid w:val="00565B77"/>
    <w:rsid w:val="00565EF2"/>
    <w:rsid w:val="00566B62"/>
    <w:rsid w:val="00566EE2"/>
    <w:rsid w:val="00567A39"/>
    <w:rsid w:val="00570200"/>
    <w:rsid w:val="00570320"/>
    <w:rsid w:val="00570E88"/>
    <w:rsid w:val="00571378"/>
    <w:rsid w:val="00571843"/>
    <w:rsid w:val="00572338"/>
    <w:rsid w:val="0057313C"/>
    <w:rsid w:val="00573D76"/>
    <w:rsid w:val="00573F3A"/>
    <w:rsid w:val="00574368"/>
    <w:rsid w:val="00574862"/>
    <w:rsid w:val="00574D05"/>
    <w:rsid w:val="0057528D"/>
    <w:rsid w:val="00575369"/>
    <w:rsid w:val="005756F4"/>
    <w:rsid w:val="00575D9B"/>
    <w:rsid w:val="00575E3F"/>
    <w:rsid w:val="00575EC8"/>
    <w:rsid w:val="00576343"/>
    <w:rsid w:val="005769B7"/>
    <w:rsid w:val="00576BD7"/>
    <w:rsid w:val="00576D39"/>
    <w:rsid w:val="00576DDC"/>
    <w:rsid w:val="0057729F"/>
    <w:rsid w:val="00577476"/>
    <w:rsid w:val="00577B50"/>
    <w:rsid w:val="00577C8E"/>
    <w:rsid w:val="00577FDA"/>
    <w:rsid w:val="005808B2"/>
    <w:rsid w:val="00580C84"/>
    <w:rsid w:val="00580FAC"/>
    <w:rsid w:val="00581234"/>
    <w:rsid w:val="0058160D"/>
    <w:rsid w:val="005819BF"/>
    <w:rsid w:val="00581B00"/>
    <w:rsid w:val="00582097"/>
    <w:rsid w:val="00582559"/>
    <w:rsid w:val="005825AA"/>
    <w:rsid w:val="005826AD"/>
    <w:rsid w:val="005828E9"/>
    <w:rsid w:val="00582B64"/>
    <w:rsid w:val="00582F87"/>
    <w:rsid w:val="00583329"/>
    <w:rsid w:val="005835A0"/>
    <w:rsid w:val="00583734"/>
    <w:rsid w:val="005837C3"/>
    <w:rsid w:val="00583A06"/>
    <w:rsid w:val="00583F03"/>
    <w:rsid w:val="00584058"/>
    <w:rsid w:val="00584276"/>
    <w:rsid w:val="00584994"/>
    <w:rsid w:val="0058530B"/>
    <w:rsid w:val="00585397"/>
    <w:rsid w:val="00585D50"/>
    <w:rsid w:val="00585F83"/>
    <w:rsid w:val="0058629E"/>
    <w:rsid w:val="00586850"/>
    <w:rsid w:val="005870EE"/>
    <w:rsid w:val="005873AD"/>
    <w:rsid w:val="00587715"/>
    <w:rsid w:val="00587D20"/>
    <w:rsid w:val="0059078F"/>
    <w:rsid w:val="00590D01"/>
    <w:rsid w:val="00590FCA"/>
    <w:rsid w:val="00592246"/>
    <w:rsid w:val="005924A2"/>
    <w:rsid w:val="005926FF"/>
    <w:rsid w:val="00592E70"/>
    <w:rsid w:val="00593FEE"/>
    <w:rsid w:val="00594086"/>
    <w:rsid w:val="0059416F"/>
    <w:rsid w:val="00594170"/>
    <w:rsid w:val="00594868"/>
    <w:rsid w:val="00594A3A"/>
    <w:rsid w:val="00594BAF"/>
    <w:rsid w:val="00594C83"/>
    <w:rsid w:val="0059539F"/>
    <w:rsid w:val="005955C2"/>
    <w:rsid w:val="0059575B"/>
    <w:rsid w:val="005958FF"/>
    <w:rsid w:val="00595D20"/>
    <w:rsid w:val="00595E65"/>
    <w:rsid w:val="005962D5"/>
    <w:rsid w:val="0059645D"/>
    <w:rsid w:val="00596506"/>
    <w:rsid w:val="005967E3"/>
    <w:rsid w:val="005967F2"/>
    <w:rsid w:val="0059749F"/>
    <w:rsid w:val="00597AC3"/>
    <w:rsid w:val="005A08BE"/>
    <w:rsid w:val="005A0944"/>
    <w:rsid w:val="005A0FFB"/>
    <w:rsid w:val="005A1369"/>
    <w:rsid w:val="005A2711"/>
    <w:rsid w:val="005A28CE"/>
    <w:rsid w:val="005A2C48"/>
    <w:rsid w:val="005A2DEE"/>
    <w:rsid w:val="005A3001"/>
    <w:rsid w:val="005A3044"/>
    <w:rsid w:val="005A320E"/>
    <w:rsid w:val="005A33D1"/>
    <w:rsid w:val="005A38D0"/>
    <w:rsid w:val="005A38E5"/>
    <w:rsid w:val="005A414C"/>
    <w:rsid w:val="005A448C"/>
    <w:rsid w:val="005A48B5"/>
    <w:rsid w:val="005A4DE2"/>
    <w:rsid w:val="005A4ED7"/>
    <w:rsid w:val="005A538D"/>
    <w:rsid w:val="005A542B"/>
    <w:rsid w:val="005A5A78"/>
    <w:rsid w:val="005A6419"/>
    <w:rsid w:val="005A6E46"/>
    <w:rsid w:val="005A70F3"/>
    <w:rsid w:val="005A7106"/>
    <w:rsid w:val="005A7A42"/>
    <w:rsid w:val="005B0065"/>
    <w:rsid w:val="005B0190"/>
    <w:rsid w:val="005B09CB"/>
    <w:rsid w:val="005B1E5D"/>
    <w:rsid w:val="005B20D5"/>
    <w:rsid w:val="005B2176"/>
    <w:rsid w:val="005B25C9"/>
    <w:rsid w:val="005B25E6"/>
    <w:rsid w:val="005B29AE"/>
    <w:rsid w:val="005B3869"/>
    <w:rsid w:val="005B4519"/>
    <w:rsid w:val="005B457E"/>
    <w:rsid w:val="005B4A39"/>
    <w:rsid w:val="005B4EE9"/>
    <w:rsid w:val="005B50D0"/>
    <w:rsid w:val="005B52C5"/>
    <w:rsid w:val="005B57A7"/>
    <w:rsid w:val="005B58B4"/>
    <w:rsid w:val="005B5F22"/>
    <w:rsid w:val="005B6445"/>
    <w:rsid w:val="005B650D"/>
    <w:rsid w:val="005B66F1"/>
    <w:rsid w:val="005B694A"/>
    <w:rsid w:val="005B7495"/>
    <w:rsid w:val="005B7B2A"/>
    <w:rsid w:val="005B7B62"/>
    <w:rsid w:val="005B7E39"/>
    <w:rsid w:val="005C0017"/>
    <w:rsid w:val="005C092A"/>
    <w:rsid w:val="005C0938"/>
    <w:rsid w:val="005C0E59"/>
    <w:rsid w:val="005C188C"/>
    <w:rsid w:val="005C3111"/>
    <w:rsid w:val="005C339B"/>
    <w:rsid w:val="005C35EB"/>
    <w:rsid w:val="005C3930"/>
    <w:rsid w:val="005C3A68"/>
    <w:rsid w:val="005C4271"/>
    <w:rsid w:val="005C4626"/>
    <w:rsid w:val="005C498B"/>
    <w:rsid w:val="005C49C2"/>
    <w:rsid w:val="005C4FB1"/>
    <w:rsid w:val="005C5189"/>
    <w:rsid w:val="005C51B0"/>
    <w:rsid w:val="005C5260"/>
    <w:rsid w:val="005C52FE"/>
    <w:rsid w:val="005C5A6A"/>
    <w:rsid w:val="005C6FAD"/>
    <w:rsid w:val="005C73D6"/>
    <w:rsid w:val="005C7A65"/>
    <w:rsid w:val="005D04E0"/>
    <w:rsid w:val="005D0BF4"/>
    <w:rsid w:val="005D0D7D"/>
    <w:rsid w:val="005D100E"/>
    <w:rsid w:val="005D10FD"/>
    <w:rsid w:val="005D169C"/>
    <w:rsid w:val="005D16CC"/>
    <w:rsid w:val="005D186E"/>
    <w:rsid w:val="005D1A10"/>
    <w:rsid w:val="005D1D0C"/>
    <w:rsid w:val="005D236C"/>
    <w:rsid w:val="005D37A7"/>
    <w:rsid w:val="005D4260"/>
    <w:rsid w:val="005D460A"/>
    <w:rsid w:val="005D4BF2"/>
    <w:rsid w:val="005D5254"/>
    <w:rsid w:val="005D552D"/>
    <w:rsid w:val="005D576F"/>
    <w:rsid w:val="005D62E2"/>
    <w:rsid w:val="005D6B6F"/>
    <w:rsid w:val="005D6C75"/>
    <w:rsid w:val="005D70ED"/>
    <w:rsid w:val="005D72F1"/>
    <w:rsid w:val="005D7568"/>
    <w:rsid w:val="005D7817"/>
    <w:rsid w:val="005D7EAD"/>
    <w:rsid w:val="005E02B9"/>
    <w:rsid w:val="005E04FE"/>
    <w:rsid w:val="005E0F22"/>
    <w:rsid w:val="005E13A8"/>
    <w:rsid w:val="005E1846"/>
    <w:rsid w:val="005E1C6D"/>
    <w:rsid w:val="005E1D3E"/>
    <w:rsid w:val="005E2EF4"/>
    <w:rsid w:val="005E3515"/>
    <w:rsid w:val="005E3D2C"/>
    <w:rsid w:val="005E3D2D"/>
    <w:rsid w:val="005E3E3B"/>
    <w:rsid w:val="005E4257"/>
    <w:rsid w:val="005E4498"/>
    <w:rsid w:val="005E456D"/>
    <w:rsid w:val="005E4918"/>
    <w:rsid w:val="005E4BD4"/>
    <w:rsid w:val="005E4E53"/>
    <w:rsid w:val="005E4F0D"/>
    <w:rsid w:val="005E580E"/>
    <w:rsid w:val="005E5972"/>
    <w:rsid w:val="005E5A95"/>
    <w:rsid w:val="005E60CB"/>
    <w:rsid w:val="005E613D"/>
    <w:rsid w:val="005E62A2"/>
    <w:rsid w:val="005E66E6"/>
    <w:rsid w:val="005E735D"/>
    <w:rsid w:val="005E79B3"/>
    <w:rsid w:val="005E7A08"/>
    <w:rsid w:val="005E7C38"/>
    <w:rsid w:val="005E7F08"/>
    <w:rsid w:val="005F011B"/>
    <w:rsid w:val="005F03DE"/>
    <w:rsid w:val="005F065D"/>
    <w:rsid w:val="005F1A18"/>
    <w:rsid w:val="005F22BE"/>
    <w:rsid w:val="005F2467"/>
    <w:rsid w:val="005F27A6"/>
    <w:rsid w:val="005F291B"/>
    <w:rsid w:val="005F30CD"/>
    <w:rsid w:val="005F387C"/>
    <w:rsid w:val="005F3BE1"/>
    <w:rsid w:val="005F40AA"/>
    <w:rsid w:val="005F41E2"/>
    <w:rsid w:val="005F42E5"/>
    <w:rsid w:val="005F4FF9"/>
    <w:rsid w:val="005F5A06"/>
    <w:rsid w:val="005F6339"/>
    <w:rsid w:val="005F6447"/>
    <w:rsid w:val="005F6DB2"/>
    <w:rsid w:val="005F6DC8"/>
    <w:rsid w:val="005F7193"/>
    <w:rsid w:val="006010C3"/>
    <w:rsid w:val="0060199B"/>
    <w:rsid w:val="00601B5A"/>
    <w:rsid w:val="00601E53"/>
    <w:rsid w:val="006022E8"/>
    <w:rsid w:val="00602777"/>
    <w:rsid w:val="00602C9C"/>
    <w:rsid w:val="006034D7"/>
    <w:rsid w:val="006037E7"/>
    <w:rsid w:val="0060386C"/>
    <w:rsid w:val="00603A3A"/>
    <w:rsid w:val="00605250"/>
    <w:rsid w:val="006053C2"/>
    <w:rsid w:val="006055A7"/>
    <w:rsid w:val="00605B0C"/>
    <w:rsid w:val="00605C56"/>
    <w:rsid w:val="006065F9"/>
    <w:rsid w:val="006067EC"/>
    <w:rsid w:val="00606F73"/>
    <w:rsid w:val="00607426"/>
    <w:rsid w:val="006078C5"/>
    <w:rsid w:val="00607EC9"/>
    <w:rsid w:val="006100F1"/>
    <w:rsid w:val="006103D7"/>
    <w:rsid w:val="0061098F"/>
    <w:rsid w:val="00610BB7"/>
    <w:rsid w:val="00610D20"/>
    <w:rsid w:val="006119FD"/>
    <w:rsid w:val="00611A2B"/>
    <w:rsid w:val="00612228"/>
    <w:rsid w:val="0061232C"/>
    <w:rsid w:val="0061271D"/>
    <w:rsid w:val="00612D05"/>
    <w:rsid w:val="00613263"/>
    <w:rsid w:val="0061350D"/>
    <w:rsid w:val="006135E3"/>
    <w:rsid w:val="0061536A"/>
    <w:rsid w:val="0061569E"/>
    <w:rsid w:val="00615995"/>
    <w:rsid w:val="00615A89"/>
    <w:rsid w:val="00615E05"/>
    <w:rsid w:val="00616023"/>
    <w:rsid w:val="0061604A"/>
    <w:rsid w:val="006161B1"/>
    <w:rsid w:val="0061697C"/>
    <w:rsid w:val="00616D49"/>
    <w:rsid w:val="00616F90"/>
    <w:rsid w:val="00616FF0"/>
    <w:rsid w:val="00617015"/>
    <w:rsid w:val="00617315"/>
    <w:rsid w:val="00617DB3"/>
    <w:rsid w:val="00623673"/>
    <w:rsid w:val="00623E83"/>
    <w:rsid w:val="00624635"/>
    <w:rsid w:val="00624B75"/>
    <w:rsid w:val="00624C1D"/>
    <w:rsid w:val="00624F53"/>
    <w:rsid w:val="0062553D"/>
    <w:rsid w:val="0062561A"/>
    <w:rsid w:val="0062597E"/>
    <w:rsid w:val="006264ED"/>
    <w:rsid w:val="00626636"/>
    <w:rsid w:val="00626E78"/>
    <w:rsid w:val="00627149"/>
    <w:rsid w:val="006271E4"/>
    <w:rsid w:val="00627334"/>
    <w:rsid w:val="00627639"/>
    <w:rsid w:val="00627B6D"/>
    <w:rsid w:val="00630090"/>
    <w:rsid w:val="006300B3"/>
    <w:rsid w:val="00630248"/>
    <w:rsid w:val="006305E8"/>
    <w:rsid w:val="006307B3"/>
    <w:rsid w:val="00630805"/>
    <w:rsid w:val="00630B6C"/>
    <w:rsid w:val="00630D48"/>
    <w:rsid w:val="0063189C"/>
    <w:rsid w:val="006325E7"/>
    <w:rsid w:val="006326F7"/>
    <w:rsid w:val="00632888"/>
    <w:rsid w:val="00632ED9"/>
    <w:rsid w:val="006333BB"/>
    <w:rsid w:val="00633B14"/>
    <w:rsid w:val="00634048"/>
    <w:rsid w:val="00634C5B"/>
    <w:rsid w:val="00634FB1"/>
    <w:rsid w:val="0063502E"/>
    <w:rsid w:val="006358B6"/>
    <w:rsid w:val="00635E1D"/>
    <w:rsid w:val="0063665A"/>
    <w:rsid w:val="00636EA1"/>
    <w:rsid w:val="00637A2B"/>
    <w:rsid w:val="00637D07"/>
    <w:rsid w:val="00637E87"/>
    <w:rsid w:val="0064016E"/>
    <w:rsid w:val="00640186"/>
    <w:rsid w:val="006405B6"/>
    <w:rsid w:val="00640A89"/>
    <w:rsid w:val="00640D8C"/>
    <w:rsid w:val="00640E27"/>
    <w:rsid w:val="006419E5"/>
    <w:rsid w:val="00642482"/>
    <w:rsid w:val="006427A1"/>
    <w:rsid w:val="00642C6A"/>
    <w:rsid w:val="00643070"/>
    <w:rsid w:val="00643852"/>
    <w:rsid w:val="006438E8"/>
    <w:rsid w:val="006447A2"/>
    <w:rsid w:val="006448CC"/>
    <w:rsid w:val="00644A2C"/>
    <w:rsid w:val="00644C92"/>
    <w:rsid w:val="006455DC"/>
    <w:rsid w:val="006457B5"/>
    <w:rsid w:val="00645D65"/>
    <w:rsid w:val="006460BC"/>
    <w:rsid w:val="006461C4"/>
    <w:rsid w:val="006468DC"/>
    <w:rsid w:val="006475E3"/>
    <w:rsid w:val="0064789D"/>
    <w:rsid w:val="00647CA2"/>
    <w:rsid w:val="00647CEE"/>
    <w:rsid w:val="0065028A"/>
    <w:rsid w:val="006506B4"/>
    <w:rsid w:val="00650801"/>
    <w:rsid w:val="00650C76"/>
    <w:rsid w:val="00651E76"/>
    <w:rsid w:val="006521C5"/>
    <w:rsid w:val="006526A7"/>
    <w:rsid w:val="00652AA8"/>
    <w:rsid w:val="00652CE2"/>
    <w:rsid w:val="0065300F"/>
    <w:rsid w:val="006531A1"/>
    <w:rsid w:val="00653881"/>
    <w:rsid w:val="00653917"/>
    <w:rsid w:val="00653C77"/>
    <w:rsid w:val="00653D35"/>
    <w:rsid w:val="00653E4C"/>
    <w:rsid w:val="0065471F"/>
    <w:rsid w:val="00654841"/>
    <w:rsid w:val="00655A6B"/>
    <w:rsid w:val="00656066"/>
    <w:rsid w:val="00656CE9"/>
    <w:rsid w:val="00656DE6"/>
    <w:rsid w:val="00657226"/>
    <w:rsid w:val="0065756C"/>
    <w:rsid w:val="006578C9"/>
    <w:rsid w:val="00660A22"/>
    <w:rsid w:val="00660A38"/>
    <w:rsid w:val="00660C00"/>
    <w:rsid w:val="006615FD"/>
    <w:rsid w:val="00661B6C"/>
    <w:rsid w:val="00661E23"/>
    <w:rsid w:val="00662887"/>
    <w:rsid w:val="00662BD5"/>
    <w:rsid w:val="006633DC"/>
    <w:rsid w:val="0066384D"/>
    <w:rsid w:val="00663EAC"/>
    <w:rsid w:val="0066412D"/>
    <w:rsid w:val="00664261"/>
    <w:rsid w:val="0066492B"/>
    <w:rsid w:val="00664B56"/>
    <w:rsid w:val="00664C7C"/>
    <w:rsid w:val="00665336"/>
    <w:rsid w:val="0066581B"/>
    <w:rsid w:val="00665F31"/>
    <w:rsid w:val="006663F7"/>
    <w:rsid w:val="0066666A"/>
    <w:rsid w:val="00667045"/>
    <w:rsid w:val="00667061"/>
    <w:rsid w:val="00667088"/>
    <w:rsid w:val="0066752C"/>
    <w:rsid w:val="00667DFF"/>
    <w:rsid w:val="006701E5"/>
    <w:rsid w:val="006702EE"/>
    <w:rsid w:val="006703B5"/>
    <w:rsid w:val="00670639"/>
    <w:rsid w:val="00670964"/>
    <w:rsid w:val="00670F16"/>
    <w:rsid w:val="006719AF"/>
    <w:rsid w:val="00671B8A"/>
    <w:rsid w:val="00671BC7"/>
    <w:rsid w:val="00671C76"/>
    <w:rsid w:val="00671FDE"/>
    <w:rsid w:val="0067256E"/>
    <w:rsid w:val="006725E7"/>
    <w:rsid w:val="00672707"/>
    <w:rsid w:val="00672828"/>
    <w:rsid w:val="00672C1F"/>
    <w:rsid w:val="00672C59"/>
    <w:rsid w:val="00672E70"/>
    <w:rsid w:val="00673FD1"/>
    <w:rsid w:val="00674267"/>
    <w:rsid w:val="00675377"/>
    <w:rsid w:val="006758EE"/>
    <w:rsid w:val="00675AA6"/>
    <w:rsid w:val="006761D0"/>
    <w:rsid w:val="00676F01"/>
    <w:rsid w:val="00676FE5"/>
    <w:rsid w:val="006773CE"/>
    <w:rsid w:val="00677A77"/>
    <w:rsid w:val="00677B5D"/>
    <w:rsid w:val="0068060A"/>
    <w:rsid w:val="0068096C"/>
    <w:rsid w:val="00680AF7"/>
    <w:rsid w:val="00680B3E"/>
    <w:rsid w:val="00680BC8"/>
    <w:rsid w:val="00680CF5"/>
    <w:rsid w:val="00680E65"/>
    <w:rsid w:val="00680E71"/>
    <w:rsid w:val="00681250"/>
    <w:rsid w:val="006813A3"/>
    <w:rsid w:val="00681A98"/>
    <w:rsid w:val="00682264"/>
    <w:rsid w:val="00682A94"/>
    <w:rsid w:val="00682ACB"/>
    <w:rsid w:val="00682C6A"/>
    <w:rsid w:val="00683081"/>
    <w:rsid w:val="00683121"/>
    <w:rsid w:val="00683134"/>
    <w:rsid w:val="00683191"/>
    <w:rsid w:val="0068325C"/>
    <w:rsid w:val="00683263"/>
    <w:rsid w:val="00683E78"/>
    <w:rsid w:val="0068433D"/>
    <w:rsid w:val="00684C13"/>
    <w:rsid w:val="00684FAB"/>
    <w:rsid w:val="00685199"/>
    <w:rsid w:val="0068544B"/>
    <w:rsid w:val="00685792"/>
    <w:rsid w:val="00685E16"/>
    <w:rsid w:val="00685E99"/>
    <w:rsid w:val="006865DA"/>
    <w:rsid w:val="00687037"/>
    <w:rsid w:val="006903AF"/>
    <w:rsid w:val="00690570"/>
    <w:rsid w:val="006908CE"/>
    <w:rsid w:val="0069094B"/>
    <w:rsid w:val="00690ADD"/>
    <w:rsid w:val="00690AFE"/>
    <w:rsid w:val="00690C4A"/>
    <w:rsid w:val="00690F07"/>
    <w:rsid w:val="00691350"/>
    <w:rsid w:val="00691353"/>
    <w:rsid w:val="00691367"/>
    <w:rsid w:val="006913A1"/>
    <w:rsid w:val="006919B4"/>
    <w:rsid w:val="00691B01"/>
    <w:rsid w:val="00691CD6"/>
    <w:rsid w:val="00691CF9"/>
    <w:rsid w:val="0069289A"/>
    <w:rsid w:val="006928D5"/>
    <w:rsid w:val="006930C1"/>
    <w:rsid w:val="0069317B"/>
    <w:rsid w:val="0069371A"/>
    <w:rsid w:val="00693ADD"/>
    <w:rsid w:val="00694903"/>
    <w:rsid w:val="006949C7"/>
    <w:rsid w:val="00694B41"/>
    <w:rsid w:val="00694C5E"/>
    <w:rsid w:val="00694F2B"/>
    <w:rsid w:val="00695104"/>
    <w:rsid w:val="006951D1"/>
    <w:rsid w:val="0069541F"/>
    <w:rsid w:val="00695DCF"/>
    <w:rsid w:val="0069609A"/>
    <w:rsid w:val="00696121"/>
    <w:rsid w:val="00696F9F"/>
    <w:rsid w:val="00697001"/>
    <w:rsid w:val="00697119"/>
    <w:rsid w:val="00697DB2"/>
    <w:rsid w:val="00697F1D"/>
    <w:rsid w:val="006A0219"/>
    <w:rsid w:val="006A03C3"/>
    <w:rsid w:val="006A0D4D"/>
    <w:rsid w:val="006A1065"/>
    <w:rsid w:val="006A1103"/>
    <w:rsid w:val="006A1605"/>
    <w:rsid w:val="006A1A3C"/>
    <w:rsid w:val="006A2414"/>
    <w:rsid w:val="006A27F2"/>
    <w:rsid w:val="006A2944"/>
    <w:rsid w:val="006A34CC"/>
    <w:rsid w:val="006A3950"/>
    <w:rsid w:val="006A408E"/>
    <w:rsid w:val="006A4CC8"/>
    <w:rsid w:val="006A4D0D"/>
    <w:rsid w:val="006A4EA0"/>
    <w:rsid w:val="006A4F3E"/>
    <w:rsid w:val="006A52AE"/>
    <w:rsid w:val="006A56E7"/>
    <w:rsid w:val="006A586B"/>
    <w:rsid w:val="006A5D2E"/>
    <w:rsid w:val="006A6227"/>
    <w:rsid w:val="006A6384"/>
    <w:rsid w:val="006A6B64"/>
    <w:rsid w:val="006A6C42"/>
    <w:rsid w:val="006A784B"/>
    <w:rsid w:val="006A787C"/>
    <w:rsid w:val="006A7BEC"/>
    <w:rsid w:val="006B02FA"/>
    <w:rsid w:val="006B0E02"/>
    <w:rsid w:val="006B0F96"/>
    <w:rsid w:val="006B118B"/>
    <w:rsid w:val="006B1DD0"/>
    <w:rsid w:val="006B260A"/>
    <w:rsid w:val="006B266D"/>
    <w:rsid w:val="006B26F0"/>
    <w:rsid w:val="006B2909"/>
    <w:rsid w:val="006B41A4"/>
    <w:rsid w:val="006B4783"/>
    <w:rsid w:val="006B4F3F"/>
    <w:rsid w:val="006B54EC"/>
    <w:rsid w:val="006B555C"/>
    <w:rsid w:val="006B6171"/>
    <w:rsid w:val="006B6193"/>
    <w:rsid w:val="006B634B"/>
    <w:rsid w:val="006B6587"/>
    <w:rsid w:val="006B6AAF"/>
    <w:rsid w:val="006B6C87"/>
    <w:rsid w:val="006B70E1"/>
    <w:rsid w:val="006B712E"/>
    <w:rsid w:val="006B7184"/>
    <w:rsid w:val="006B723A"/>
    <w:rsid w:val="006B7EF2"/>
    <w:rsid w:val="006C052B"/>
    <w:rsid w:val="006C0812"/>
    <w:rsid w:val="006C0ECB"/>
    <w:rsid w:val="006C0FCE"/>
    <w:rsid w:val="006C10BB"/>
    <w:rsid w:val="006C13BF"/>
    <w:rsid w:val="006C2574"/>
    <w:rsid w:val="006C26FC"/>
    <w:rsid w:val="006C2CC0"/>
    <w:rsid w:val="006C2CEF"/>
    <w:rsid w:val="006C2D67"/>
    <w:rsid w:val="006C3E7F"/>
    <w:rsid w:val="006C43E8"/>
    <w:rsid w:val="006C4C29"/>
    <w:rsid w:val="006C4F00"/>
    <w:rsid w:val="006C4F7B"/>
    <w:rsid w:val="006C5354"/>
    <w:rsid w:val="006C58A4"/>
    <w:rsid w:val="006C5BD5"/>
    <w:rsid w:val="006C602D"/>
    <w:rsid w:val="006C6252"/>
    <w:rsid w:val="006C625A"/>
    <w:rsid w:val="006C6357"/>
    <w:rsid w:val="006C6500"/>
    <w:rsid w:val="006C68E3"/>
    <w:rsid w:val="006C6948"/>
    <w:rsid w:val="006C6A0D"/>
    <w:rsid w:val="006C6B05"/>
    <w:rsid w:val="006C6DEC"/>
    <w:rsid w:val="006C6FC9"/>
    <w:rsid w:val="006C7104"/>
    <w:rsid w:val="006C73BF"/>
    <w:rsid w:val="006C7451"/>
    <w:rsid w:val="006C7459"/>
    <w:rsid w:val="006C7877"/>
    <w:rsid w:val="006D02D5"/>
    <w:rsid w:val="006D0E96"/>
    <w:rsid w:val="006D1624"/>
    <w:rsid w:val="006D264E"/>
    <w:rsid w:val="006D2824"/>
    <w:rsid w:val="006D2E2E"/>
    <w:rsid w:val="006D2E8B"/>
    <w:rsid w:val="006D346C"/>
    <w:rsid w:val="006D35E5"/>
    <w:rsid w:val="006D3650"/>
    <w:rsid w:val="006D39A3"/>
    <w:rsid w:val="006D3F18"/>
    <w:rsid w:val="006D4CA6"/>
    <w:rsid w:val="006D5209"/>
    <w:rsid w:val="006D53AA"/>
    <w:rsid w:val="006D5517"/>
    <w:rsid w:val="006D58DD"/>
    <w:rsid w:val="006D639A"/>
    <w:rsid w:val="006D63B8"/>
    <w:rsid w:val="006D6458"/>
    <w:rsid w:val="006D67B0"/>
    <w:rsid w:val="006D6ED8"/>
    <w:rsid w:val="006D7316"/>
    <w:rsid w:val="006D75CE"/>
    <w:rsid w:val="006D7C30"/>
    <w:rsid w:val="006D7CF3"/>
    <w:rsid w:val="006E02CE"/>
    <w:rsid w:val="006E02D7"/>
    <w:rsid w:val="006E0744"/>
    <w:rsid w:val="006E07FF"/>
    <w:rsid w:val="006E090C"/>
    <w:rsid w:val="006E0ECD"/>
    <w:rsid w:val="006E15D4"/>
    <w:rsid w:val="006E16C8"/>
    <w:rsid w:val="006E17BD"/>
    <w:rsid w:val="006E197E"/>
    <w:rsid w:val="006E1AC5"/>
    <w:rsid w:val="006E1B25"/>
    <w:rsid w:val="006E1D27"/>
    <w:rsid w:val="006E29E4"/>
    <w:rsid w:val="006E2A41"/>
    <w:rsid w:val="006E30C4"/>
    <w:rsid w:val="006E39C0"/>
    <w:rsid w:val="006E39CD"/>
    <w:rsid w:val="006E39E9"/>
    <w:rsid w:val="006E3F5C"/>
    <w:rsid w:val="006E5D1D"/>
    <w:rsid w:val="006E5E60"/>
    <w:rsid w:val="006E6685"/>
    <w:rsid w:val="006E6A48"/>
    <w:rsid w:val="006E6AEC"/>
    <w:rsid w:val="006E6E31"/>
    <w:rsid w:val="006E6E64"/>
    <w:rsid w:val="006E73D1"/>
    <w:rsid w:val="006E7446"/>
    <w:rsid w:val="006E7B3A"/>
    <w:rsid w:val="006F01EA"/>
    <w:rsid w:val="006F0286"/>
    <w:rsid w:val="006F0ADF"/>
    <w:rsid w:val="006F0E77"/>
    <w:rsid w:val="006F1A78"/>
    <w:rsid w:val="006F2DD4"/>
    <w:rsid w:val="006F2F49"/>
    <w:rsid w:val="006F3648"/>
    <w:rsid w:val="006F3851"/>
    <w:rsid w:val="006F3EC6"/>
    <w:rsid w:val="006F3F02"/>
    <w:rsid w:val="006F43A4"/>
    <w:rsid w:val="006F475E"/>
    <w:rsid w:val="006F5E64"/>
    <w:rsid w:val="006F60DC"/>
    <w:rsid w:val="006F633B"/>
    <w:rsid w:val="006F64FE"/>
    <w:rsid w:val="006F695A"/>
    <w:rsid w:val="006F6D19"/>
    <w:rsid w:val="006F6FB5"/>
    <w:rsid w:val="006F75FB"/>
    <w:rsid w:val="006F7816"/>
    <w:rsid w:val="006F7B16"/>
    <w:rsid w:val="006F7B80"/>
    <w:rsid w:val="006F7D61"/>
    <w:rsid w:val="007002E3"/>
    <w:rsid w:val="00700504"/>
    <w:rsid w:val="007006ED"/>
    <w:rsid w:val="00700928"/>
    <w:rsid w:val="007009AD"/>
    <w:rsid w:val="0070192C"/>
    <w:rsid w:val="00701C7B"/>
    <w:rsid w:val="00702073"/>
    <w:rsid w:val="0070221D"/>
    <w:rsid w:val="0070297B"/>
    <w:rsid w:val="00703263"/>
    <w:rsid w:val="00703B45"/>
    <w:rsid w:val="00703BC1"/>
    <w:rsid w:val="007040DE"/>
    <w:rsid w:val="00704E27"/>
    <w:rsid w:val="00704E82"/>
    <w:rsid w:val="007050B8"/>
    <w:rsid w:val="007053EF"/>
    <w:rsid w:val="007059DA"/>
    <w:rsid w:val="00705B4D"/>
    <w:rsid w:val="007063CB"/>
    <w:rsid w:val="00707226"/>
    <w:rsid w:val="00707762"/>
    <w:rsid w:val="00707A29"/>
    <w:rsid w:val="00707BD9"/>
    <w:rsid w:val="00707DFC"/>
    <w:rsid w:val="00707E2D"/>
    <w:rsid w:val="00707E73"/>
    <w:rsid w:val="0071005D"/>
    <w:rsid w:val="0071016D"/>
    <w:rsid w:val="007104E5"/>
    <w:rsid w:val="00710D92"/>
    <w:rsid w:val="00711B79"/>
    <w:rsid w:val="007127E9"/>
    <w:rsid w:val="0071282C"/>
    <w:rsid w:val="00712A5C"/>
    <w:rsid w:val="00713923"/>
    <w:rsid w:val="00713A82"/>
    <w:rsid w:val="00713E4B"/>
    <w:rsid w:val="0071405D"/>
    <w:rsid w:val="007144D6"/>
    <w:rsid w:val="00714CE4"/>
    <w:rsid w:val="00714EC7"/>
    <w:rsid w:val="0071551A"/>
    <w:rsid w:val="00715593"/>
    <w:rsid w:val="007156E4"/>
    <w:rsid w:val="00715E18"/>
    <w:rsid w:val="00715E47"/>
    <w:rsid w:val="00715EE4"/>
    <w:rsid w:val="00716E9A"/>
    <w:rsid w:val="007172CD"/>
    <w:rsid w:val="0071769B"/>
    <w:rsid w:val="0071771A"/>
    <w:rsid w:val="00717821"/>
    <w:rsid w:val="0072034C"/>
    <w:rsid w:val="007205E1"/>
    <w:rsid w:val="00720662"/>
    <w:rsid w:val="00720EA3"/>
    <w:rsid w:val="00721102"/>
    <w:rsid w:val="00721AB0"/>
    <w:rsid w:val="00721B9D"/>
    <w:rsid w:val="0072292C"/>
    <w:rsid w:val="00723597"/>
    <w:rsid w:val="00723B0F"/>
    <w:rsid w:val="0072435F"/>
    <w:rsid w:val="007245B0"/>
    <w:rsid w:val="0072498E"/>
    <w:rsid w:val="00724D2F"/>
    <w:rsid w:val="0072570B"/>
    <w:rsid w:val="007258BA"/>
    <w:rsid w:val="00726012"/>
    <w:rsid w:val="0072622F"/>
    <w:rsid w:val="00726362"/>
    <w:rsid w:val="00726365"/>
    <w:rsid w:val="00726B03"/>
    <w:rsid w:val="00726B27"/>
    <w:rsid w:val="00726CFD"/>
    <w:rsid w:val="00726DEC"/>
    <w:rsid w:val="00726E12"/>
    <w:rsid w:val="00727B3D"/>
    <w:rsid w:val="0073033A"/>
    <w:rsid w:val="00730639"/>
    <w:rsid w:val="00730779"/>
    <w:rsid w:val="00730A50"/>
    <w:rsid w:val="0073103B"/>
    <w:rsid w:val="00731314"/>
    <w:rsid w:val="007314BE"/>
    <w:rsid w:val="0073169F"/>
    <w:rsid w:val="0073208F"/>
    <w:rsid w:val="0073215A"/>
    <w:rsid w:val="007325D9"/>
    <w:rsid w:val="007325DB"/>
    <w:rsid w:val="0073265D"/>
    <w:rsid w:val="007328C5"/>
    <w:rsid w:val="00732B2B"/>
    <w:rsid w:val="00732E91"/>
    <w:rsid w:val="0073364A"/>
    <w:rsid w:val="0073374C"/>
    <w:rsid w:val="007338CE"/>
    <w:rsid w:val="00733CFB"/>
    <w:rsid w:val="00733D59"/>
    <w:rsid w:val="00733F97"/>
    <w:rsid w:val="0073405E"/>
    <w:rsid w:val="007345E4"/>
    <w:rsid w:val="00734A9B"/>
    <w:rsid w:val="00734B37"/>
    <w:rsid w:val="00734DAA"/>
    <w:rsid w:val="00734E81"/>
    <w:rsid w:val="007352A2"/>
    <w:rsid w:val="007353CC"/>
    <w:rsid w:val="007355DF"/>
    <w:rsid w:val="007362E6"/>
    <w:rsid w:val="00737AB0"/>
    <w:rsid w:val="00737ABB"/>
    <w:rsid w:val="00737B6D"/>
    <w:rsid w:val="00737DB6"/>
    <w:rsid w:val="00740141"/>
    <w:rsid w:val="0074046B"/>
    <w:rsid w:val="00740A47"/>
    <w:rsid w:val="007414F1"/>
    <w:rsid w:val="0074205B"/>
    <w:rsid w:val="007438F5"/>
    <w:rsid w:val="00743B61"/>
    <w:rsid w:val="00743C7F"/>
    <w:rsid w:val="007446AD"/>
    <w:rsid w:val="0074470F"/>
    <w:rsid w:val="007447C7"/>
    <w:rsid w:val="00744A3B"/>
    <w:rsid w:val="007457CF"/>
    <w:rsid w:val="00745BB9"/>
    <w:rsid w:val="00745BE7"/>
    <w:rsid w:val="007462D2"/>
    <w:rsid w:val="0074690B"/>
    <w:rsid w:val="007473F2"/>
    <w:rsid w:val="00747469"/>
    <w:rsid w:val="007476FC"/>
    <w:rsid w:val="007501B9"/>
    <w:rsid w:val="00750383"/>
    <w:rsid w:val="007507CE"/>
    <w:rsid w:val="007507EC"/>
    <w:rsid w:val="00750A75"/>
    <w:rsid w:val="00750AF2"/>
    <w:rsid w:val="00750D59"/>
    <w:rsid w:val="007512A9"/>
    <w:rsid w:val="00751B81"/>
    <w:rsid w:val="00752180"/>
    <w:rsid w:val="00752571"/>
    <w:rsid w:val="00752D8E"/>
    <w:rsid w:val="007533F4"/>
    <w:rsid w:val="007534FF"/>
    <w:rsid w:val="0075384A"/>
    <w:rsid w:val="00753B28"/>
    <w:rsid w:val="00753BC1"/>
    <w:rsid w:val="00753E69"/>
    <w:rsid w:val="00753F18"/>
    <w:rsid w:val="00754313"/>
    <w:rsid w:val="0075448F"/>
    <w:rsid w:val="00754AFC"/>
    <w:rsid w:val="00754E4F"/>
    <w:rsid w:val="00755157"/>
    <w:rsid w:val="0075627E"/>
    <w:rsid w:val="0075662F"/>
    <w:rsid w:val="00756A27"/>
    <w:rsid w:val="00756B17"/>
    <w:rsid w:val="00756D80"/>
    <w:rsid w:val="0075770B"/>
    <w:rsid w:val="00757E0E"/>
    <w:rsid w:val="00761BED"/>
    <w:rsid w:val="00761DB1"/>
    <w:rsid w:val="0076205D"/>
    <w:rsid w:val="00762911"/>
    <w:rsid w:val="00762C68"/>
    <w:rsid w:val="00762E9B"/>
    <w:rsid w:val="007632E2"/>
    <w:rsid w:val="00763556"/>
    <w:rsid w:val="00763759"/>
    <w:rsid w:val="007638B8"/>
    <w:rsid w:val="00763D57"/>
    <w:rsid w:val="007648D8"/>
    <w:rsid w:val="007649FA"/>
    <w:rsid w:val="00764EC3"/>
    <w:rsid w:val="0076512F"/>
    <w:rsid w:val="007655FC"/>
    <w:rsid w:val="00765AEF"/>
    <w:rsid w:val="00765C78"/>
    <w:rsid w:val="00765C8E"/>
    <w:rsid w:val="00765CD2"/>
    <w:rsid w:val="00766184"/>
    <w:rsid w:val="00767BC3"/>
    <w:rsid w:val="00767C54"/>
    <w:rsid w:val="00770105"/>
    <w:rsid w:val="0077066D"/>
    <w:rsid w:val="00770906"/>
    <w:rsid w:val="00770980"/>
    <w:rsid w:val="00770CA8"/>
    <w:rsid w:val="0077114A"/>
    <w:rsid w:val="007711D6"/>
    <w:rsid w:val="00771421"/>
    <w:rsid w:val="00771630"/>
    <w:rsid w:val="007716B1"/>
    <w:rsid w:val="007716E1"/>
    <w:rsid w:val="00771A44"/>
    <w:rsid w:val="00771BC8"/>
    <w:rsid w:val="00771F56"/>
    <w:rsid w:val="0077208D"/>
    <w:rsid w:val="00772331"/>
    <w:rsid w:val="007725E1"/>
    <w:rsid w:val="007726C8"/>
    <w:rsid w:val="007737FB"/>
    <w:rsid w:val="0077405C"/>
    <w:rsid w:val="00774D06"/>
    <w:rsid w:val="00774D91"/>
    <w:rsid w:val="0077531C"/>
    <w:rsid w:val="00775578"/>
    <w:rsid w:val="00775686"/>
    <w:rsid w:val="00775A94"/>
    <w:rsid w:val="00775C69"/>
    <w:rsid w:val="00775FF8"/>
    <w:rsid w:val="0077617E"/>
    <w:rsid w:val="00776215"/>
    <w:rsid w:val="0077623A"/>
    <w:rsid w:val="007762AC"/>
    <w:rsid w:val="007764A2"/>
    <w:rsid w:val="00776863"/>
    <w:rsid w:val="00776A4F"/>
    <w:rsid w:val="00776E05"/>
    <w:rsid w:val="00777697"/>
    <w:rsid w:val="00777941"/>
    <w:rsid w:val="00780246"/>
    <w:rsid w:val="00780391"/>
    <w:rsid w:val="007804BA"/>
    <w:rsid w:val="007809D8"/>
    <w:rsid w:val="00780C94"/>
    <w:rsid w:val="00780DA7"/>
    <w:rsid w:val="0078121F"/>
    <w:rsid w:val="007819D7"/>
    <w:rsid w:val="00782094"/>
    <w:rsid w:val="0078227E"/>
    <w:rsid w:val="007826D9"/>
    <w:rsid w:val="00782FD2"/>
    <w:rsid w:val="00783481"/>
    <w:rsid w:val="007834EB"/>
    <w:rsid w:val="00783517"/>
    <w:rsid w:val="00784AA2"/>
    <w:rsid w:val="00784C6B"/>
    <w:rsid w:val="00784EBA"/>
    <w:rsid w:val="00785256"/>
    <w:rsid w:val="00785904"/>
    <w:rsid w:val="00785AC8"/>
    <w:rsid w:val="00785F50"/>
    <w:rsid w:val="007860FB"/>
    <w:rsid w:val="00786C82"/>
    <w:rsid w:val="00786F07"/>
    <w:rsid w:val="00787060"/>
    <w:rsid w:val="00787080"/>
    <w:rsid w:val="0078757D"/>
    <w:rsid w:val="007876CD"/>
    <w:rsid w:val="00787934"/>
    <w:rsid w:val="007902CF"/>
    <w:rsid w:val="0079095A"/>
    <w:rsid w:val="00790B67"/>
    <w:rsid w:val="00790F56"/>
    <w:rsid w:val="0079115A"/>
    <w:rsid w:val="00791777"/>
    <w:rsid w:val="007918CE"/>
    <w:rsid w:val="00792BE0"/>
    <w:rsid w:val="0079317B"/>
    <w:rsid w:val="007931B8"/>
    <w:rsid w:val="00793713"/>
    <w:rsid w:val="00793942"/>
    <w:rsid w:val="00793A87"/>
    <w:rsid w:val="007942B4"/>
    <w:rsid w:val="007944F1"/>
    <w:rsid w:val="00794EA7"/>
    <w:rsid w:val="00795192"/>
    <w:rsid w:val="0079585E"/>
    <w:rsid w:val="00795A64"/>
    <w:rsid w:val="00795E90"/>
    <w:rsid w:val="00796C77"/>
    <w:rsid w:val="00796C9F"/>
    <w:rsid w:val="00796D42"/>
    <w:rsid w:val="007974D5"/>
    <w:rsid w:val="0079752E"/>
    <w:rsid w:val="007977E4"/>
    <w:rsid w:val="007A00A1"/>
    <w:rsid w:val="007A0748"/>
    <w:rsid w:val="007A084A"/>
    <w:rsid w:val="007A085A"/>
    <w:rsid w:val="007A0904"/>
    <w:rsid w:val="007A0941"/>
    <w:rsid w:val="007A0AE5"/>
    <w:rsid w:val="007A14E0"/>
    <w:rsid w:val="007A1507"/>
    <w:rsid w:val="007A2853"/>
    <w:rsid w:val="007A2C11"/>
    <w:rsid w:val="007A30DE"/>
    <w:rsid w:val="007A34BD"/>
    <w:rsid w:val="007A3D50"/>
    <w:rsid w:val="007A3D5E"/>
    <w:rsid w:val="007A4618"/>
    <w:rsid w:val="007A52CF"/>
    <w:rsid w:val="007A52E8"/>
    <w:rsid w:val="007A54BA"/>
    <w:rsid w:val="007A584D"/>
    <w:rsid w:val="007A5B82"/>
    <w:rsid w:val="007A5D7D"/>
    <w:rsid w:val="007A5F21"/>
    <w:rsid w:val="007A5FFD"/>
    <w:rsid w:val="007A62A0"/>
    <w:rsid w:val="007A69DA"/>
    <w:rsid w:val="007A6C37"/>
    <w:rsid w:val="007A6CC8"/>
    <w:rsid w:val="007A717D"/>
    <w:rsid w:val="007A7184"/>
    <w:rsid w:val="007A7255"/>
    <w:rsid w:val="007A728C"/>
    <w:rsid w:val="007A74B3"/>
    <w:rsid w:val="007A75B8"/>
    <w:rsid w:val="007A790F"/>
    <w:rsid w:val="007A79E0"/>
    <w:rsid w:val="007A7A35"/>
    <w:rsid w:val="007A7E1A"/>
    <w:rsid w:val="007B07E5"/>
    <w:rsid w:val="007B097A"/>
    <w:rsid w:val="007B09D8"/>
    <w:rsid w:val="007B1735"/>
    <w:rsid w:val="007B2829"/>
    <w:rsid w:val="007B344D"/>
    <w:rsid w:val="007B3FC3"/>
    <w:rsid w:val="007B44BE"/>
    <w:rsid w:val="007B45E1"/>
    <w:rsid w:val="007B489A"/>
    <w:rsid w:val="007B4A98"/>
    <w:rsid w:val="007B51BD"/>
    <w:rsid w:val="007B5377"/>
    <w:rsid w:val="007B54FD"/>
    <w:rsid w:val="007B60CA"/>
    <w:rsid w:val="007B60F2"/>
    <w:rsid w:val="007B6BCD"/>
    <w:rsid w:val="007B6EEB"/>
    <w:rsid w:val="007B7286"/>
    <w:rsid w:val="007B74FC"/>
    <w:rsid w:val="007B758C"/>
    <w:rsid w:val="007B783C"/>
    <w:rsid w:val="007B7937"/>
    <w:rsid w:val="007B7EAB"/>
    <w:rsid w:val="007B7FB0"/>
    <w:rsid w:val="007C027C"/>
    <w:rsid w:val="007C08B2"/>
    <w:rsid w:val="007C0A4E"/>
    <w:rsid w:val="007C12CD"/>
    <w:rsid w:val="007C2B06"/>
    <w:rsid w:val="007C2B64"/>
    <w:rsid w:val="007C340B"/>
    <w:rsid w:val="007C3B6B"/>
    <w:rsid w:val="007C3F72"/>
    <w:rsid w:val="007C4194"/>
    <w:rsid w:val="007C4814"/>
    <w:rsid w:val="007C4A9B"/>
    <w:rsid w:val="007C4B8D"/>
    <w:rsid w:val="007C5002"/>
    <w:rsid w:val="007C5020"/>
    <w:rsid w:val="007C585C"/>
    <w:rsid w:val="007C5A6D"/>
    <w:rsid w:val="007C63CC"/>
    <w:rsid w:val="007C68C9"/>
    <w:rsid w:val="007C6A42"/>
    <w:rsid w:val="007C6D4D"/>
    <w:rsid w:val="007C6E65"/>
    <w:rsid w:val="007C6FCD"/>
    <w:rsid w:val="007C7024"/>
    <w:rsid w:val="007C76EE"/>
    <w:rsid w:val="007C79C1"/>
    <w:rsid w:val="007D081B"/>
    <w:rsid w:val="007D0D0A"/>
    <w:rsid w:val="007D0F06"/>
    <w:rsid w:val="007D140D"/>
    <w:rsid w:val="007D144A"/>
    <w:rsid w:val="007D222F"/>
    <w:rsid w:val="007D2287"/>
    <w:rsid w:val="007D2344"/>
    <w:rsid w:val="007D2530"/>
    <w:rsid w:val="007D26CC"/>
    <w:rsid w:val="007D2A4F"/>
    <w:rsid w:val="007D2BC4"/>
    <w:rsid w:val="007D3971"/>
    <w:rsid w:val="007D3CD5"/>
    <w:rsid w:val="007D4033"/>
    <w:rsid w:val="007D440F"/>
    <w:rsid w:val="007D4509"/>
    <w:rsid w:val="007D4B95"/>
    <w:rsid w:val="007D5657"/>
    <w:rsid w:val="007D5A75"/>
    <w:rsid w:val="007D64F9"/>
    <w:rsid w:val="007D6692"/>
    <w:rsid w:val="007D6746"/>
    <w:rsid w:val="007D6C8C"/>
    <w:rsid w:val="007D716B"/>
    <w:rsid w:val="007D71B6"/>
    <w:rsid w:val="007D7CF8"/>
    <w:rsid w:val="007E02B7"/>
    <w:rsid w:val="007E040E"/>
    <w:rsid w:val="007E04D4"/>
    <w:rsid w:val="007E04DF"/>
    <w:rsid w:val="007E074F"/>
    <w:rsid w:val="007E0DF5"/>
    <w:rsid w:val="007E149E"/>
    <w:rsid w:val="007E1A79"/>
    <w:rsid w:val="007E1F31"/>
    <w:rsid w:val="007E24DD"/>
    <w:rsid w:val="007E26B0"/>
    <w:rsid w:val="007E2C4C"/>
    <w:rsid w:val="007E31AC"/>
    <w:rsid w:val="007E36A9"/>
    <w:rsid w:val="007E3DF7"/>
    <w:rsid w:val="007E442F"/>
    <w:rsid w:val="007E4A42"/>
    <w:rsid w:val="007E4A87"/>
    <w:rsid w:val="007E4BB5"/>
    <w:rsid w:val="007E4DA9"/>
    <w:rsid w:val="007E4FF3"/>
    <w:rsid w:val="007E50DA"/>
    <w:rsid w:val="007E55BC"/>
    <w:rsid w:val="007E6587"/>
    <w:rsid w:val="007E6818"/>
    <w:rsid w:val="007E69AC"/>
    <w:rsid w:val="007E77C7"/>
    <w:rsid w:val="007E78DF"/>
    <w:rsid w:val="007F0178"/>
    <w:rsid w:val="007F05F8"/>
    <w:rsid w:val="007F0AFA"/>
    <w:rsid w:val="007F0B1C"/>
    <w:rsid w:val="007F14D3"/>
    <w:rsid w:val="007F1531"/>
    <w:rsid w:val="007F1960"/>
    <w:rsid w:val="007F2AC0"/>
    <w:rsid w:val="007F2BC6"/>
    <w:rsid w:val="007F2C40"/>
    <w:rsid w:val="007F2D9D"/>
    <w:rsid w:val="007F3AF6"/>
    <w:rsid w:val="007F46A8"/>
    <w:rsid w:val="007F48F0"/>
    <w:rsid w:val="007F49E8"/>
    <w:rsid w:val="007F5AD4"/>
    <w:rsid w:val="007F5B2F"/>
    <w:rsid w:val="007F5E71"/>
    <w:rsid w:val="007F647C"/>
    <w:rsid w:val="007F68C9"/>
    <w:rsid w:val="007F6B00"/>
    <w:rsid w:val="007F71B7"/>
    <w:rsid w:val="007F75CB"/>
    <w:rsid w:val="007F79B0"/>
    <w:rsid w:val="007F7CF7"/>
    <w:rsid w:val="007F7D8D"/>
    <w:rsid w:val="007F7EFB"/>
    <w:rsid w:val="007F7F55"/>
    <w:rsid w:val="008000C3"/>
    <w:rsid w:val="00800147"/>
    <w:rsid w:val="0080024C"/>
    <w:rsid w:val="00800307"/>
    <w:rsid w:val="008003A7"/>
    <w:rsid w:val="008005FA"/>
    <w:rsid w:val="0080081B"/>
    <w:rsid w:val="008015AB"/>
    <w:rsid w:val="008026CA"/>
    <w:rsid w:val="008029FA"/>
    <w:rsid w:val="00803380"/>
    <w:rsid w:val="008038D0"/>
    <w:rsid w:val="00803B89"/>
    <w:rsid w:val="00804FFC"/>
    <w:rsid w:val="0080549F"/>
    <w:rsid w:val="00805545"/>
    <w:rsid w:val="008055FE"/>
    <w:rsid w:val="00805A6F"/>
    <w:rsid w:val="00805C9B"/>
    <w:rsid w:val="008061C1"/>
    <w:rsid w:val="008067F6"/>
    <w:rsid w:val="00806B41"/>
    <w:rsid w:val="00806B78"/>
    <w:rsid w:val="00806C68"/>
    <w:rsid w:val="008073FD"/>
    <w:rsid w:val="00807B9D"/>
    <w:rsid w:val="00807BB3"/>
    <w:rsid w:val="0081071B"/>
    <w:rsid w:val="00810EC3"/>
    <w:rsid w:val="00810F4B"/>
    <w:rsid w:val="008110B2"/>
    <w:rsid w:val="008112DD"/>
    <w:rsid w:val="008112FD"/>
    <w:rsid w:val="00811E67"/>
    <w:rsid w:val="008122CF"/>
    <w:rsid w:val="00812301"/>
    <w:rsid w:val="00812899"/>
    <w:rsid w:val="008128A8"/>
    <w:rsid w:val="00812BEC"/>
    <w:rsid w:val="00813414"/>
    <w:rsid w:val="00813A9A"/>
    <w:rsid w:val="00813AB7"/>
    <w:rsid w:val="00813B1F"/>
    <w:rsid w:val="008141A0"/>
    <w:rsid w:val="00814463"/>
    <w:rsid w:val="008149FA"/>
    <w:rsid w:val="00814E6C"/>
    <w:rsid w:val="008152E5"/>
    <w:rsid w:val="0081552D"/>
    <w:rsid w:val="008159F3"/>
    <w:rsid w:val="00815E19"/>
    <w:rsid w:val="00816681"/>
    <w:rsid w:val="00816BFA"/>
    <w:rsid w:val="00817843"/>
    <w:rsid w:val="008209CB"/>
    <w:rsid w:val="00820DB6"/>
    <w:rsid w:val="0082107F"/>
    <w:rsid w:val="0082133F"/>
    <w:rsid w:val="0082157F"/>
    <w:rsid w:val="00821819"/>
    <w:rsid w:val="008219AF"/>
    <w:rsid w:val="0082254A"/>
    <w:rsid w:val="00822664"/>
    <w:rsid w:val="008226C9"/>
    <w:rsid w:val="00822A28"/>
    <w:rsid w:val="00822A4A"/>
    <w:rsid w:val="00822CCF"/>
    <w:rsid w:val="0082360F"/>
    <w:rsid w:val="0082365D"/>
    <w:rsid w:val="00823D2C"/>
    <w:rsid w:val="00824399"/>
    <w:rsid w:val="008245A1"/>
    <w:rsid w:val="008252C5"/>
    <w:rsid w:val="00825750"/>
    <w:rsid w:val="008258E8"/>
    <w:rsid w:val="00825B04"/>
    <w:rsid w:val="00826140"/>
    <w:rsid w:val="0082626F"/>
    <w:rsid w:val="008262D5"/>
    <w:rsid w:val="00826435"/>
    <w:rsid w:val="00826EBE"/>
    <w:rsid w:val="00827BC9"/>
    <w:rsid w:val="00827C7E"/>
    <w:rsid w:val="00827F01"/>
    <w:rsid w:val="0083013E"/>
    <w:rsid w:val="00830F62"/>
    <w:rsid w:val="00831373"/>
    <w:rsid w:val="00831759"/>
    <w:rsid w:val="008319DF"/>
    <w:rsid w:val="00831D18"/>
    <w:rsid w:val="008322FB"/>
    <w:rsid w:val="0083252C"/>
    <w:rsid w:val="00832CC7"/>
    <w:rsid w:val="008330EB"/>
    <w:rsid w:val="00833C5A"/>
    <w:rsid w:val="00833DE3"/>
    <w:rsid w:val="0083406D"/>
    <w:rsid w:val="00834168"/>
    <w:rsid w:val="00834182"/>
    <w:rsid w:val="008349A3"/>
    <w:rsid w:val="00834B76"/>
    <w:rsid w:val="00834EC3"/>
    <w:rsid w:val="00835127"/>
    <w:rsid w:val="008353FC"/>
    <w:rsid w:val="00835977"/>
    <w:rsid w:val="00835F6E"/>
    <w:rsid w:val="0083685F"/>
    <w:rsid w:val="00837463"/>
    <w:rsid w:val="00837709"/>
    <w:rsid w:val="00837E65"/>
    <w:rsid w:val="0084013D"/>
    <w:rsid w:val="008407F1"/>
    <w:rsid w:val="008409CA"/>
    <w:rsid w:val="00840B5A"/>
    <w:rsid w:val="00840FA8"/>
    <w:rsid w:val="0084208D"/>
    <w:rsid w:val="00842461"/>
    <w:rsid w:val="0084293B"/>
    <w:rsid w:val="008432B1"/>
    <w:rsid w:val="00843B66"/>
    <w:rsid w:val="00843C40"/>
    <w:rsid w:val="00843F33"/>
    <w:rsid w:val="008444EA"/>
    <w:rsid w:val="00844DDB"/>
    <w:rsid w:val="0084576C"/>
    <w:rsid w:val="00845AF6"/>
    <w:rsid w:val="00846A73"/>
    <w:rsid w:val="00846B71"/>
    <w:rsid w:val="00846B88"/>
    <w:rsid w:val="00846EA0"/>
    <w:rsid w:val="00847ADA"/>
    <w:rsid w:val="00847F74"/>
    <w:rsid w:val="00850115"/>
    <w:rsid w:val="008511CB"/>
    <w:rsid w:val="00852081"/>
    <w:rsid w:val="00852082"/>
    <w:rsid w:val="00852250"/>
    <w:rsid w:val="00852F76"/>
    <w:rsid w:val="0085309B"/>
    <w:rsid w:val="00853EE8"/>
    <w:rsid w:val="00854649"/>
    <w:rsid w:val="00854E54"/>
    <w:rsid w:val="00854F03"/>
    <w:rsid w:val="008551CE"/>
    <w:rsid w:val="00855229"/>
    <w:rsid w:val="00855CC5"/>
    <w:rsid w:val="00855E01"/>
    <w:rsid w:val="00855F94"/>
    <w:rsid w:val="00857466"/>
    <w:rsid w:val="00857B50"/>
    <w:rsid w:val="00857B6A"/>
    <w:rsid w:val="0086001D"/>
    <w:rsid w:val="008600C5"/>
    <w:rsid w:val="0086042C"/>
    <w:rsid w:val="0086052F"/>
    <w:rsid w:val="00860691"/>
    <w:rsid w:val="00860800"/>
    <w:rsid w:val="00860BBA"/>
    <w:rsid w:val="00860C8B"/>
    <w:rsid w:val="0086109C"/>
    <w:rsid w:val="0086135F"/>
    <w:rsid w:val="0086169F"/>
    <w:rsid w:val="00861712"/>
    <w:rsid w:val="00861747"/>
    <w:rsid w:val="00861970"/>
    <w:rsid w:val="00861D8D"/>
    <w:rsid w:val="00861EAF"/>
    <w:rsid w:val="008621E8"/>
    <w:rsid w:val="008622D8"/>
    <w:rsid w:val="0086298C"/>
    <w:rsid w:val="008629F5"/>
    <w:rsid w:val="00862D24"/>
    <w:rsid w:val="00863A74"/>
    <w:rsid w:val="00864AAC"/>
    <w:rsid w:val="00864E80"/>
    <w:rsid w:val="0086514B"/>
    <w:rsid w:val="00865585"/>
    <w:rsid w:val="00865A1C"/>
    <w:rsid w:val="00865B02"/>
    <w:rsid w:val="0086612D"/>
    <w:rsid w:val="00866692"/>
    <w:rsid w:val="008666A7"/>
    <w:rsid w:val="008669FA"/>
    <w:rsid w:val="00866F13"/>
    <w:rsid w:val="00870103"/>
    <w:rsid w:val="00871065"/>
    <w:rsid w:val="00871C8F"/>
    <w:rsid w:val="00871FDA"/>
    <w:rsid w:val="008721BE"/>
    <w:rsid w:val="00872433"/>
    <w:rsid w:val="00872488"/>
    <w:rsid w:val="00872B2E"/>
    <w:rsid w:val="00872C0B"/>
    <w:rsid w:val="00872DFF"/>
    <w:rsid w:val="008730C5"/>
    <w:rsid w:val="0087336D"/>
    <w:rsid w:val="00873D7B"/>
    <w:rsid w:val="00874169"/>
    <w:rsid w:val="0087527C"/>
    <w:rsid w:val="008755FA"/>
    <w:rsid w:val="00875B96"/>
    <w:rsid w:val="00875BBF"/>
    <w:rsid w:val="0087601E"/>
    <w:rsid w:val="00876845"/>
    <w:rsid w:val="00876887"/>
    <w:rsid w:val="00876DB4"/>
    <w:rsid w:val="00877760"/>
    <w:rsid w:val="00877AFC"/>
    <w:rsid w:val="00877C43"/>
    <w:rsid w:val="00880121"/>
    <w:rsid w:val="008813C8"/>
    <w:rsid w:val="008815DE"/>
    <w:rsid w:val="00881A8F"/>
    <w:rsid w:val="00881B45"/>
    <w:rsid w:val="00881C70"/>
    <w:rsid w:val="00881FCB"/>
    <w:rsid w:val="008820B5"/>
    <w:rsid w:val="008822AD"/>
    <w:rsid w:val="00882F28"/>
    <w:rsid w:val="008834B9"/>
    <w:rsid w:val="0088389B"/>
    <w:rsid w:val="00883D5E"/>
    <w:rsid w:val="008841C3"/>
    <w:rsid w:val="00884275"/>
    <w:rsid w:val="0088442E"/>
    <w:rsid w:val="008845BB"/>
    <w:rsid w:val="008853BD"/>
    <w:rsid w:val="00885A57"/>
    <w:rsid w:val="008861A5"/>
    <w:rsid w:val="008863D0"/>
    <w:rsid w:val="00886459"/>
    <w:rsid w:val="00886996"/>
    <w:rsid w:val="00886AD0"/>
    <w:rsid w:val="00886D33"/>
    <w:rsid w:val="008875F7"/>
    <w:rsid w:val="00887634"/>
    <w:rsid w:val="00887778"/>
    <w:rsid w:val="00887864"/>
    <w:rsid w:val="00887CE8"/>
    <w:rsid w:val="00890313"/>
    <w:rsid w:val="008903DD"/>
    <w:rsid w:val="008906F7"/>
    <w:rsid w:val="0089112D"/>
    <w:rsid w:val="00891216"/>
    <w:rsid w:val="00891594"/>
    <w:rsid w:val="008917D5"/>
    <w:rsid w:val="0089195A"/>
    <w:rsid w:val="00891A22"/>
    <w:rsid w:val="00891D33"/>
    <w:rsid w:val="00891DD3"/>
    <w:rsid w:val="00892392"/>
    <w:rsid w:val="00892BD3"/>
    <w:rsid w:val="00893052"/>
    <w:rsid w:val="00893E72"/>
    <w:rsid w:val="00894F84"/>
    <w:rsid w:val="00895117"/>
    <w:rsid w:val="008955E5"/>
    <w:rsid w:val="008956E8"/>
    <w:rsid w:val="008958AB"/>
    <w:rsid w:val="00895AE5"/>
    <w:rsid w:val="008969CA"/>
    <w:rsid w:val="00896A34"/>
    <w:rsid w:val="00896B2C"/>
    <w:rsid w:val="00896CF9"/>
    <w:rsid w:val="00896EA1"/>
    <w:rsid w:val="00896F05"/>
    <w:rsid w:val="00896FBC"/>
    <w:rsid w:val="008974CE"/>
    <w:rsid w:val="00897C1F"/>
    <w:rsid w:val="00897C60"/>
    <w:rsid w:val="00897E98"/>
    <w:rsid w:val="008A068C"/>
    <w:rsid w:val="008A08C8"/>
    <w:rsid w:val="008A08CB"/>
    <w:rsid w:val="008A0CB0"/>
    <w:rsid w:val="008A1298"/>
    <w:rsid w:val="008A15A2"/>
    <w:rsid w:val="008A1713"/>
    <w:rsid w:val="008A1F2C"/>
    <w:rsid w:val="008A1FB8"/>
    <w:rsid w:val="008A2055"/>
    <w:rsid w:val="008A2704"/>
    <w:rsid w:val="008A3820"/>
    <w:rsid w:val="008A3B3B"/>
    <w:rsid w:val="008A3CED"/>
    <w:rsid w:val="008A40F8"/>
    <w:rsid w:val="008A46FA"/>
    <w:rsid w:val="008A4E1B"/>
    <w:rsid w:val="008A50EE"/>
    <w:rsid w:val="008A5112"/>
    <w:rsid w:val="008A5175"/>
    <w:rsid w:val="008A57BF"/>
    <w:rsid w:val="008A5A7C"/>
    <w:rsid w:val="008A5DA6"/>
    <w:rsid w:val="008A642B"/>
    <w:rsid w:val="008A7453"/>
    <w:rsid w:val="008B0224"/>
    <w:rsid w:val="008B0BF7"/>
    <w:rsid w:val="008B0F41"/>
    <w:rsid w:val="008B1C0C"/>
    <w:rsid w:val="008B21EB"/>
    <w:rsid w:val="008B24E8"/>
    <w:rsid w:val="008B302A"/>
    <w:rsid w:val="008B30A8"/>
    <w:rsid w:val="008B36A6"/>
    <w:rsid w:val="008B3C3D"/>
    <w:rsid w:val="008B3D3A"/>
    <w:rsid w:val="008B3E72"/>
    <w:rsid w:val="008B3E93"/>
    <w:rsid w:val="008B3F54"/>
    <w:rsid w:val="008B40C2"/>
    <w:rsid w:val="008B48D6"/>
    <w:rsid w:val="008B490A"/>
    <w:rsid w:val="008B4CE7"/>
    <w:rsid w:val="008B52D4"/>
    <w:rsid w:val="008B5CEA"/>
    <w:rsid w:val="008B6042"/>
    <w:rsid w:val="008B6208"/>
    <w:rsid w:val="008B6264"/>
    <w:rsid w:val="008B6491"/>
    <w:rsid w:val="008B6531"/>
    <w:rsid w:val="008B6F7D"/>
    <w:rsid w:val="008B71EB"/>
    <w:rsid w:val="008B7488"/>
    <w:rsid w:val="008B76A6"/>
    <w:rsid w:val="008B7791"/>
    <w:rsid w:val="008C01C7"/>
    <w:rsid w:val="008C045F"/>
    <w:rsid w:val="008C04D8"/>
    <w:rsid w:val="008C10CE"/>
    <w:rsid w:val="008C16CF"/>
    <w:rsid w:val="008C2942"/>
    <w:rsid w:val="008C2DFA"/>
    <w:rsid w:val="008C3160"/>
    <w:rsid w:val="008C38E1"/>
    <w:rsid w:val="008C3B31"/>
    <w:rsid w:val="008C4117"/>
    <w:rsid w:val="008C41BB"/>
    <w:rsid w:val="008C43C8"/>
    <w:rsid w:val="008C4816"/>
    <w:rsid w:val="008C4AC3"/>
    <w:rsid w:val="008C5289"/>
    <w:rsid w:val="008C54AD"/>
    <w:rsid w:val="008C561B"/>
    <w:rsid w:val="008C5A39"/>
    <w:rsid w:val="008C6103"/>
    <w:rsid w:val="008C62E9"/>
    <w:rsid w:val="008C66A7"/>
    <w:rsid w:val="008C6E55"/>
    <w:rsid w:val="008C733A"/>
    <w:rsid w:val="008C7C20"/>
    <w:rsid w:val="008C7D43"/>
    <w:rsid w:val="008D04C9"/>
    <w:rsid w:val="008D0624"/>
    <w:rsid w:val="008D0A1C"/>
    <w:rsid w:val="008D0C9E"/>
    <w:rsid w:val="008D0CC9"/>
    <w:rsid w:val="008D107E"/>
    <w:rsid w:val="008D19B3"/>
    <w:rsid w:val="008D1A95"/>
    <w:rsid w:val="008D1B0F"/>
    <w:rsid w:val="008D1C62"/>
    <w:rsid w:val="008D1F71"/>
    <w:rsid w:val="008D22F2"/>
    <w:rsid w:val="008D23C5"/>
    <w:rsid w:val="008D248C"/>
    <w:rsid w:val="008D282A"/>
    <w:rsid w:val="008D301E"/>
    <w:rsid w:val="008D340C"/>
    <w:rsid w:val="008D3440"/>
    <w:rsid w:val="008D3AC7"/>
    <w:rsid w:val="008D3D1D"/>
    <w:rsid w:val="008D4121"/>
    <w:rsid w:val="008D42FA"/>
    <w:rsid w:val="008D45D9"/>
    <w:rsid w:val="008D4FC0"/>
    <w:rsid w:val="008D5277"/>
    <w:rsid w:val="008D54B2"/>
    <w:rsid w:val="008D583B"/>
    <w:rsid w:val="008D588F"/>
    <w:rsid w:val="008D5F11"/>
    <w:rsid w:val="008D602B"/>
    <w:rsid w:val="008D63E4"/>
    <w:rsid w:val="008D64D7"/>
    <w:rsid w:val="008D67B0"/>
    <w:rsid w:val="008D6982"/>
    <w:rsid w:val="008D6AAD"/>
    <w:rsid w:val="008D6BDB"/>
    <w:rsid w:val="008D722D"/>
    <w:rsid w:val="008D72C0"/>
    <w:rsid w:val="008D750D"/>
    <w:rsid w:val="008D7980"/>
    <w:rsid w:val="008D79FB"/>
    <w:rsid w:val="008D7B3E"/>
    <w:rsid w:val="008E0113"/>
    <w:rsid w:val="008E0C4B"/>
    <w:rsid w:val="008E14E7"/>
    <w:rsid w:val="008E189F"/>
    <w:rsid w:val="008E19EA"/>
    <w:rsid w:val="008E1B72"/>
    <w:rsid w:val="008E1C8B"/>
    <w:rsid w:val="008E1E2B"/>
    <w:rsid w:val="008E2071"/>
    <w:rsid w:val="008E2413"/>
    <w:rsid w:val="008E33D3"/>
    <w:rsid w:val="008E43B3"/>
    <w:rsid w:val="008E445F"/>
    <w:rsid w:val="008E4462"/>
    <w:rsid w:val="008E49D3"/>
    <w:rsid w:val="008E4BEB"/>
    <w:rsid w:val="008E4C06"/>
    <w:rsid w:val="008E4F7D"/>
    <w:rsid w:val="008E5662"/>
    <w:rsid w:val="008E5ABB"/>
    <w:rsid w:val="008E5AE8"/>
    <w:rsid w:val="008E5E24"/>
    <w:rsid w:val="008E60C5"/>
    <w:rsid w:val="008E6384"/>
    <w:rsid w:val="008E64FF"/>
    <w:rsid w:val="008E65F5"/>
    <w:rsid w:val="008E6755"/>
    <w:rsid w:val="008E7094"/>
    <w:rsid w:val="008E71A5"/>
    <w:rsid w:val="008F0250"/>
    <w:rsid w:val="008F058F"/>
    <w:rsid w:val="008F0E76"/>
    <w:rsid w:val="008F1108"/>
    <w:rsid w:val="008F1704"/>
    <w:rsid w:val="008F1D24"/>
    <w:rsid w:val="008F21E8"/>
    <w:rsid w:val="008F2202"/>
    <w:rsid w:val="008F2435"/>
    <w:rsid w:val="008F27E3"/>
    <w:rsid w:val="008F282D"/>
    <w:rsid w:val="008F29F4"/>
    <w:rsid w:val="008F3890"/>
    <w:rsid w:val="008F4232"/>
    <w:rsid w:val="008F4AF5"/>
    <w:rsid w:val="008F4D3E"/>
    <w:rsid w:val="008F4EF8"/>
    <w:rsid w:val="008F50EF"/>
    <w:rsid w:val="008F596E"/>
    <w:rsid w:val="008F5C0E"/>
    <w:rsid w:val="008F5C7A"/>
    <w:rsid w:val="008F5CBB"/>
    <w:rsid w:val="008F6106"/>
    <w:rsid w:val="008F7873"/>
    <w:rsid w:val="008F7EBD"/>
    <w:rsid w:val="00900158"/>
    <w:rsid w:val="00900553"/>
    <w:rsid w:val="00900A49"/>
    <w:rsid w:val="00900CFE"/>
    <w:rsid w:val="00901602"/>
    <w:rsid w:val="00901E78"/>
    <w:rsid w:val="00901EF8"/>
    <w:rsid w:val="0090273D"/>
    <w:rsid w:val="00903469"/>
    <w:rsid w:val="00903470"/>
    <w:rsid w:val="00903769"/>
    <w:rsid w:val="00903C6C"/>
    <w:rsid w:val="00903EE1"/>
    <w:rsid w:val="00904213"/>
    <w:rsid w:val="00904283"/>
    <w:rsid w:val="00904749"/>
    <w:rsid w:val="00904769"/>
    <w:rsid w:val="009050E7"/>
    <w:rsid w:val="009066C7"/>
    <w:rsid w:val="00906819"/>
    <w:rsid w:val="00906CA8"/>
    <w:rsid w:val="0090798B"/>
    <w:rsid w:val="00907E2B"/>
    <w:rsid w:val="0091031B"/>
    <w:rsid w:val="00910460"/>
    <w:rsid w:val="00910BCA"/>
    <w:rsid w:val="00910C88"/>
    <w:rsid w:val="00910EA3"/>
    <w:rsid w:val="00911208"/>
    <w:rsid w:val="0091141A"/>
    <w:rsid w:val="00911876"/>
    <w:rsid w:val="0091198A"/>
    <w:rsid w:val="00911DBD"/>
    <w:rsid w:val="009120A9"/>
    <w:rsid w:val="00912267"/>
    <w:rsid w:val="00913415"/>
    <w:rsid w:val="00913715"/>
    <w:rsid w:val="00913CB8"/>
    <w:rsid w:val="00914AC1"/>
    <w:rsid w:val="00914ADA"/>
    <w:rsid w:val="009158D1"/>
    <w:rsid w:val="00915BC8"/>
    <w:rsid w:val="009162FB"/>
    <w:rsid w:val="00916FCF"/>
    <w:rsid w:val="009173F6"/>
    <w:rsid w:val="00917451"/>
    <w:rsid w:val="009179CC"/>
    <w:rsid w:val="00917B95"/>
    <w:rsid w:val="00917CC9"/>
    <w:rsid w:val="00920187"/>
    <w:rsid w:val="009203CA"/>
    <w:rsid w:val="00920B7D"/>
    <w:rsid w:val="00921098"/>
    <w:rsid w:val="009211A8"/>
    <w:rsid w:val="009213B4"/>
    <w:rsid w:val="00921FC4"/>
    <w:rsid w:val="009221E4"/>
    <w:rsid w:val="0092247F"/>
    <w:rsid w:val="0092264F"/>
    <w:rsid w:val="00923519"/>
    <w:rsid w:val="0092456C"/>
    <w:rsid w:val="009248C1"/>
    <w:rsid w:val="00924AE1"/>
    <w:rsid w:val="00924CAD"/>
    <w:rsid w:val="00925309"/>
    <w:rsid w:val="00925A3F"/>
    <w:rsid w:val="00925CC3"/>
    <w:rsid w:val="0092607C"/>
    <w:rsid w:val="009272A9"/>
    <w:rsid w:val="0092733B"/>
    <w:rsid w:val="00927387"/>
    <w:rsid w:val="0092742C"/>
    <w:rsid w:val="00927499"/>
    <w:rsid w:val="00927991"/>
    <w:rsid w:val="00927CB4"/>
    <w:rsid w:val="00927E6C"/>
    <w:rsid w:val="009301CA"/>
    <w:rsid w:val="0093176B"/>
    <w:rsid w:val="0093215C"/>
    <w:rsid w:val="009323F7"/>
    <w:rsid w:val="0093287B"/>
    <w:rsid w:val="0093335A"/>
    <w:rsid w:val="00933553"/>
    <w:rsid w:val="00933593"/>
    <w:rsid w:val="009335F0"/>
    <w:rsid w:val="00933DA9"/>
    <w:rsid w:val="009345CA"/>
    <w:rsid w:val="00934816"/>
    <w:rsid w:val="0093547F"/>
    <w:rsid w:val="00935625"/>
    <w:rsid w:val="00935EF0"/>
    <w:rsid w:val="00936263"/>
    <w:rsid w:val="00936E65"/>
    <w:rsid w:val="00936EC4"/>
    <w:rsid w:val="009374C3"/>
    <w:rsid w:val="00937EC4"/>
    <w:rsid w:val="00937F6B"/>
    <w:rsid w:val="00940662"/>
    <w:rsid w:val="00940FD2"/>
    <w:rsid w:val="009410D0"/>
    <w:rsid w:val="0094129C"/>
    <w:rsid w:val="009412BE"/>
    <w:rsid w:val="009415B4"/>
    <w:rsid w:val="00941A9E"/>
    <w:rsid w:val="009421BD"/>
    <w:rsid w:val="0094228A"/>
    <w:rsid w:val="00943AE6"/>
    <w:rsid w:val="00943FD0"/>
    <w:rsid w:val="00944069"/>
    <w:rsid w:val="00944B81"/>
    <w:rsid w:val="00944CCD"/>
    <w:rsid w:val="00945504"/>
    <w:rsid w:val="009455B4"/>
    <w:rsid w:val="009458D7"/>
    <w:rsid w:val="009461ED"/>
    <w:rsid w:val="00946403"/>
    <w:rsid w:val="009466A2"/>
    <w:rsid w:val="00946970"/>
    <w:rsid w:val="00947495"/>
    <w:rsid w:val="009478E6"/>
    <w:rsid w:val="00947AA5"/>
    <w:rsid w:val="00950086"/>
    <w:rsid w:val="0095071D"/>
    <w:rsid w:val="009509B2"/>
    <w:rsid w:val="00950F3C"/>
    <w:rsid w:val="009519EA"/>
    <w:rsid w:val="00952513"/>
    <w:rsid w:val="009528FC"/>
    <w:rsid w:val="00952B94"/>
    <w:rsid w:val="00954629"/>
    <w:rsid w:val="00954751"/>
    <w:rsid w:val="009548FC"/>
    <w:rsid w:val="00954A4E"/>
    <w:rsid w:val="00954D3D"/>
    <w:rsid w:val="00955176"/>
    <w:rsid w:val="009552B6"/>
    <w:rsid w:val="009553E0"/>
    <w:rsid w:val="00955750"/>
    <w:rsid w:val="009563AE"/>
    <w:rsid w:val="0095676F"/>
    <w:rsid w:val="00956801"/>
    <w:rsid w:val="0095687F"/>
    <w:rsid w:val="0095689F"/>
    <w:rsid w:val="00957870"/>
    <w:rsid w:val="009603D8"/>
    <w:rsid w:val="0096078A"/>
    <w:rsid w:val="009608ED"/>
    <w:rsid w:val="009611DB"/>
    <w:rsid w:val="00961643"/>
    <w:rsid w:val="0096198A"/>
    <w:rsid w:val="00961CE5"/>
    <w:rsid w:val="00962019"/>
    <w:rsid w:val="00962113"/>
    <w:rsid w:val="00962730"/>
    <w:rsid w:val="00962DF7"/>
    <w:rsid w:val="00963135"/>
    <w:rsid w:val="00963340"/>
    <w:rsid w:val="009634E6"/>
    <w:rsid w:val="00963694"/>
    <w:rsid w:val="00963B19"/>
    <w:rsid w:val="00963FE5"/>
    <w:rsid w:val="00964144"/>
    <w:rsid w:val="009646C0"/>
    <w:rsid w:val="009654EC"/>
    <w:rsid w:val="0096575F"/>
    <w:rsid w:val="00965A30"/>
    <w:rsid w:val="00965F2C"/>
    <w:rsid w:val="00966794"/>
    <w:rsid w:val="00966E1D"/>
    <w:rsid w:val="00967066"/>
    <w:rsid w:val="009674B5"/>
    <w:rsid w:val="00967855"/>
    <w:rsid w:val="00967E37"/>
    <w:rsid w:val="00967E76"/>
    <w:rsid w:val="009700E4"/>
    <w:rsid w:val="00970A2B"/>
    <w:rsid w:val="00971516"/>
    <w:rsid w:val="00971BD6"/>
    <w:rsid w:val="009720D9"/>
    <w:rsid w:val="00972671"/>
    <w:rsid w:val="00973365"/>
    <w:rsid w:val="009733DF"/>
    <w:rsid w:val="009742D0"/>
    <w:rsid w:val="009747A4"/>
    <w:rsid w:val="009748C3"/>
    <w:rsid w:val="00974992"/>
    <w:rsid w:val="00974CBE"/>
    <w:rsid w:val="009753BC"/>
    <w:rsid w:val="009756A0"/>
    <w:rsid w:val="00975DC8"/>
    <w:rsid w:val="00976018"/>
    <w:rsid w:val="00976234"/>
    <w:rsid w:val="009763B3"/>
    <w:rsid w:val="00976F6F"/>
    <w:rsid w:val="009772EA"/>
    <w:rsid w:val="0097798F"/>
    <w:rsid w:val="00977FD2"/>
    <w:rsid w:val="009804EE"/>
    <w:rsid w:val="00980568"/>
    <w:rsid w:val="0098076F"/>
    <w:rsid w:val="0098091E"/>
    <w:rsid w:val="0098107F"/>
    <w:rsid w:val="0098188B"/>
    <w:rsid w:val="00981D25"/>
    <w:rsid w:val="00982E64"/>
    <w:rsid w:val="00983147"/>
    <w:rsid w:val="00983A2C"/>
    <w:rsid w:val="00983FE8"/>
    <w:rsid w:val="0098483F"/>
    <w:rsid w:val="00984A96"/>
    <w:rsid w:val="009850E7"/>
    <w:rsid w:val="00985AE0"/>
    <w:rsid w:val="00985E16"/>
    <w:rsid w:val="00986099"/>
    <w:rsid w:val="00986481"/>
    <w:rsid w:val="00986511"/>
    <w:rsid w:val="00986FED"/>
    <w:rsid w:val="009877B3"/>
    <w:rsid w:val="00987CC6"/>
    <w:rsid w:val="00987F2B"/>
    <w:rsid w:val="009905BF"/>
    <w:rsid w:val="00990919"/>
    <w:rsid w:val="0099099B"/>
    <w:rsid w:val="00990EB4"/>
    <w:rsid w:val="00990F0E"/>
    <w:rsid w:val="009911C7"/>
    <w:rsid w:val="009911C9"/>
    <w:rsid w:val="009911FB"/>
    <w:rsid w:val="009914E7"/>
    <w:rsid w:val="009915A4"/>
    <w:rsid w:val="00991765"/>
    <w:rsid w:val="00991CAD"/>
    <w:rsid w:val="00991F25"/>
    <w:rsid w:val="00991FC1"/>
    <w:rsid w:val="009924C1"/>
    <w:rsid w:val="00992589"/>
    <w:rsid w:val="00992843"/>
    <w:rsid w:val="00992EA6"/>
    <w:rsid w:val="0099304F"/>
    <w:rsid w:val="009935FD"/>
    <w:rsid w:val="00993672"/>
    <w:rsid w:val="00993768"/>
    <w:rsid w:val="00993C36"/>
    <w:rsid w:val="00993C76"/>
    <w:rsid w:val="00993EBA"/>
    <w:rsid w:val="00993F9F"/>
    <w:rsid w:val="009942E4"/>
    <w:rsid w:val="00994585"/>
    <w:rsid w:val="00994635"/>
    <w:rsid w:val="00994CC7"/>
    <w:rsid w:val="00994E37"/>
    <w:rsid w:val="00994ED6"/>
    <w:rsid w:val="00994F4D"/>
    <w:rsid w:val="00995129"/>
    <w:rsid w:val="009955AA"/>
    <w:rsid w:val="0099588E"/>
    <w:rsid w:val="00995A96"/>
    <w:rsid w:val="00995E91"/>
    <w:rsid w:val="009960BD"/>
    <w:rsid w:val="009964CC"/>
    <w:rsid w:val="00996674"/>
    <w:rsid w:val="009973E7"/>
    <w:rsid w:val="00997863"/>
    <w:rsid w:val="00997FBF"/>
    <w:rsid w:val="009A026B"/>
    <w:rsid w:val="009A028A"/>
    <w:rsid w:val="009A0603"/>
    <w:rsid w:val="009A074B"/>
    <w:rsid w:val="009A0783"/>
    <w:rsid w:val="009A0B94"/>
    <w:rsid w:val="009A1332"/>
    <w:rsid w:val="009A196D"/>
    <w:rsid w:val="009A1A3A"/>
    <w:rsid w:val="009A241D"/>
    <w:rsid w:val="009A246F"/>
    <w:rsid w:val="009A27B7"/>
    <w:rsid w:val="009A28DC"/>
    <w:rsid w:val="009A2F49"/>
    <w:rsid w:val="009A34D9"/>
    <w:rsid w:val="009A3B29"/>
    <w:rsid w:val="009A4088"/>
    <w:rsid w:val="009A4FEB"/>
    <w:rsid w:val="009A5569"/>
    <w:rsid w:val="009A5679"/>
    <w:rsid w:val="009A571A"/>
    <w:rsid w:val="009A5BAD"/>
    <w:rsid w:val="009A6A37"/>
    <w:rsid w:val="009A7078"/>
    <w:rsid w:val="009A73F5"/>
    <w:rsid w:val="009A7BE8"/>
    <w:rsid w:val="009A7C4E"/>
    <w:rsid w:val="009A7EE8"/>
    <w:rsid w:val="009B0557"/>
    <w:rsid w:val="009B0713"/>
    <w:rsid w:val="009B0C9F"/>
    <w:rsid w:val="009B11B1"/>
    <w:rsid w:val="009B19EE"/>
    <w:rsid w:val="009B1FE5"/>
    <w:rsid w:val="009B2230"/>
    <w:rsid w:val="009B23F9"/>
    <w:rsid w:val="009B286C"/>
    <w:rsid w:val="009B2928"/>
    <w:rsid w:val="009B2BF9"/>
    <w:rsid w:val="009B2F76"/>
    <w:rsid w:val="009B3327"/>
    <w:rsid w:val="009B3346"/>
    <w:rsid w:val="009B39A8"/>
    <w:rsid w:val="009B5076"/>
    <w:rsid w:val="009B580F"/>
    <w:rsid w:val="009B5D26"/>
    <w:rsid w:val="009B64E9"/>
    <w:rsid w:val="009B6729"/>
    <w:rsid w:val="009B6B48"/>
    <w:rsid w:val="009B6FE2"/>
    <w:rsid w:val="009B74E6"/>
    <w:rsid w:val="009B7D99"/>
    <w:rsid w:val="009C0395"/>
    <w:rsid w:val="009C04AE"/>
    <w:rsid w:val="009C13C0"/>
    <w:rsid w:val="009C25A6"/>
    <w:rsid w:val="009C2D64"/>
    <w:rsid w:val="009C2E06"/>
    <w:rsid w:val="009C307A"/>
    <w:rsid w:val="009C338D"/>
    <w:rsid w:val="009C35F3"/>
    <w:rsid w:val="009C3752"/>
    <w:rsid w:val="009C3AF8"/>
    <w:rsid w:val="009C3ED7"/>
    <w:rsid w:val="009C47C2"/>
    <w:rsid w:val="009C4870"/>
    <w:rsid w:val="009C4B58"/>
    <w:rsid w:val="009C53E6"/>
    <w:rsid w:val="009C561E"/>
    <w:rsid w:val="009C5727"/>
    <w:rsid w:val="009C5BBC"/>
    <w:rsid w:val="009C5E2E"/>
    <w:rsid w:val="009C64D5"/>
    <w:rsid w:val="009C73A1"/>
    <w:rsid w:val="009C74A3"/>
    <w:rsid w:val="009C74E9"/>
    <w:rsid w:val="009C759C"/>
    <w:rsid w:val="009C7698"/>
    <w:rsid w:val="009C7741"/>
    <w:rsid w:val="009D0324"/>
    <w:rsid w:val="009D0879"/>
    <w:rsid w:val="009D0BB9"/>
    <w:rsid w:val="009D1105"/>
    <w:rsid w:val="009D141F"/>
    <w:rsid w:val="009D188A"/>
    <w:rsid w:val="009D1B5C"/>
    <w:rsid w:val="009D26B4"/>
    <w:rsid w:val="009D2902"/>
    <w:rsid w:val="009D36B5"/>
    <w:rsid w:val="009D3C56"/>
    <w:rsid w:val="009D405B"/>
    <w:rsid w:val="009D46AB"/>
    <w:rsid w:val="009D4E1F"/>
    <w:rsid w:val="009D6265"/>
    <w:rsid w:val="009D64CA"/>
    <w:rsid w:val="009D69CF"/>
    <w:rsid w:val="009D6E99"/>
    <w:rsid w:val="009D6F91"/>
    <w:rsid w:val="009D70BF"/>
    <w:rsid w:val="009D7150"/>
    <w:rsid w:val="009D71AA"/>
    <w:rsid w:val="009D7469"/>
    <w:rsid w:val="009D76F4"/>
    <w:rsid w:val="009D779A"/>
    <w:rsid w:val="009D77F7"/>
    <w:rsid w:val="009D7A47"/>
    <w:rsid w:val="009D7ACC"/>
    <w:rsid w:val="009D7C78"/>
    <w:rsid w:val="009E0145"/>
    <w:rsid w:val="009E0358"/>
    <w:rsid w:val="009E049F"/>
    <w:rsid w:val="009E08ED"/>
    <w:rsid w:val="009E0C19"/>
    <w:rsid w:val="009E152E"/>
    <w:rsid w:val="009E1539"/>
    <w:rsid w:val="009E1A34"/>
    <w:rsid w:val="009E1B56"/>
    <w:rsid w:val="009E1F8C"/>
    <w:rsid w:val="009E1FDB"/>
    <w:rsid w:val="009E202E"/>
    <w:rsid w:val="009E2120"/>
    <w:rsid w:val="009E2353"/>
    <w:rsid w:val="009E2907"/>
    <w:rsid w:val="009E2C60"/>
    <w:rsid w:val="009E2CCB"/>
    <w:rsid w:val="009E2E6B"/>
    <w:rsid w:val="009E385F"/>
    <w:rsid w:val="009E425D"/>
    <w:rsid w:val="009E426B"/>
    <w:rsid w:val="009E42BF"/>
    <w:rsid w:val="009E510F"/>
    <w:rsid w:val="009E54C8"/>
    <w:rsid w:val="009E5576"/>
    <w:rsid w:val="009E57CF"/>
    <w:rsid w:val="009E5AFA"/>
    <w:rsid w:val="009E5FD2"/>
    <w:rsid w:val="009E69B1"/>
    <w:rsid w:val="009E6A01"/>
    <w:rsid w:val="009E6D1B"/>
    <w:rsid w:val="009E6D80"/>
    <w:rsid w:val="009E6E52"/>
    <w:rsid w:val="009E74DA"/>
    <w:rsid w:val="009E7D08"/>
    <w:rsid w:val="009F04C4"/>
    <w:rsid w:val="009F06ED"/>
    <w:rsid w:val="009F0EC9"/>
    <w:rsid w:val="009F1211"/>
    <w:rsid w:val="009F1BAD"/>
    <w:rsid w:val="009F1CBA"/>
    <w:rsid w:val="009F241D"/>
    <w:rsid w:val="009F24C4"/>
    <w:rsid w:val="009F2C6B"/>
    <w:rsid w:val="009F34B3"/>
    <w:rsid w:val="009F3C7D"/>
    <w:rsid w:val="009F3D83"/>
    <w:rsid w:val="009F4566"/>
    <w:rsid w:val="009F45EA"/>
    <w:rsid w:val="009F4D35"/>
    <w:rsid w:val="009F5064"/>
    <w:rsid w:val="009F55B2"/>
    <w:rsid w:val="009F55B6"/>
    <w:rsid w:val="009F5601"/>
    <w:rsid w:val="009F56C3"/>
    <w:rsid w:val="009F5703"/>
    <w:rsid w:val="009F5BA1"/>
    <w:rsid w:val="009F5BF0"/>
    <w:rsid w:val="009F5E4D"/>
    <w:rsid w:val="009F643C"/>
    <w:rsid w:val="009F6AAA"/>
    <w:rsid w:val="009F79EC"/>
    <w:rsid w:val="00A0062E"/>
    <w:rsid w:val="00A00BDD"/>
    <w:rsid w:val="00A00C94"/>
    <w:rsid w:val="00A01173"/>
    <w:rsid w:val="00A015C1"/>
    <w:rsid w:val="00A02024"/>
    <w:rsid w:val="00A0227A"/>
    <w:rsid w:val="00A0243B"/>
    <w:rsid w:val="00A02697"/>
    <w:rsid w:val="00A030CE"/>
    <w:rsid w:val="00A03CD9"/>
    <w:rsid w:val="00A04527"/>
    <w:rsid w:val="00A0461E"/>
    <w:rsid w:val="00A047AC"/>
    <w:rsid w:val="00A047C3"/>
    <w:rsid w:val="00A04C0E"/>
    <w:rsid w:val="00A05511"/>
    <w:rsid w:val="00A0556B"/>
    <w:rsid w:val="00A062EB"/>
    <w:rsid w:val="00A06834"/>
    <w:rsid w:val="00A06966"/>
    <w:rsid w:val="00A06EE4"/>
    <w:rsid w:val="00A07679"/>
    <w:rsid w:val="00A07857"/>
    <w:rsid w:val="00A07B13"/>
    <w:rsid w:val="00A07E2E"/>
    <w:rsid w:val="00A1025B"/>
    <w:rsid w:val="00A107A3"/>
    <w:rsid w:val="00A1139C"/>
    <w:rsid w:val="00A1164A"/>
    <w:rsid w:val="00A122A9"/>
    <w:rsid w:val="00A1290A"/>
    <w:rsid w:val="00A1305E"/>
    <w:rsid w:val="00A130D0"/>
    <w:rsid w:val="00A13CB1"/>
    <w:rsid w:val="00A13CE0"/>
    <w:rsid w:val="00A14558"/>
    <w:rsid w:val="00A14653"/>
    <w:rsid w:val="00A14A0D"/>
    <w:rsid w:val="00A14B25"/>
    <w:rsid w:val="00A14FDF"/>
    <w:rsid w:val="00A1520E"/>
    <w:rsid w:val="00A15982"/>
    <w:rsid w:val="00A15DAC"/>
    <w:rsid w:val="00A15F17"/>
    <w:rsid w:val="00A169E5"/>
    <w:rsid w:val="00A16BE5"/>
    <w:rsid w:val="00A171EB"/>
    <w:rsid w:val="00A179C7"/>
    <w:rsid w:val="00A17D9D"/>
    <w:rsid w:val="00A2075D"/>
    <w:rsid w:val="00A2089D"/>
    <w:rsid w:val="00A208EC"/>
    <w:rsid w:val="00A2093D"/>
    <w:rsid w:val="00A2113F"/>
    <w:rsid w:val="00A2119D"/>
    <w:rsid w:val="00A21261"/>
    <w:rsid w:val="00A21456"/>
    <w:rsid w:val="00A2161E"/>
    <w:rsid w:val="00A21C2E"/>
    <w:rsid w:val="00A21FE9"/>
    <w:rsid w:val="00A22017"/>
    <w:rsid w:val="00A222A7"/>
    <w:rsid w:val="00A22412"/>
    <w:rsid w:val="00A22A1B"/>
    <w:rsid w:val="00A22DFA"/>
    <w:rsid w:val="00A22F11"/>
    <w:rsid w:val="00A23217"/>
    <w:rsid w:val="00A2361D"/>
    <w:rsid w:val="00A23B40"/>
    <w:rsid w:val="00A24330"/>
    <w:rsid w:val="00A24883"/>
    <w:rsid w:val="00A24C00"/>
    <w:rsid w:val="00A2505F"/>
    <w:rsid w:val="00A2539C"/>
    <w:rsid w:val="00A256FD"/>
    <w:rsid w:val="00A257B0"/>
    <w:rsid w:val="00A257C2"/>
    <w:rsid w:val="00A25A87"/>
    <w:rsid w:val="00A26210"/>
    <w:rsid w:val="00A2692C"/>
    <w:rsid w:val="00A26C09"/>
    <w:rsid w:val="00A26D07"/>
    <w:rsid w:val="00A26D36"/>
    <w:rsid w:val="00A27711"/>
    <w:rsid w:val="00A277E3"/>
    <w:rsid w:val="00A27D69"/>
    <w:rsid w:val="00A3009A"/>
    <w:rsid w:val="00A303E6"/>
    <w:rsid w:val="00A30E45"/>
    <w:rsid w:val="00A3266D"/>
    <w:rsid w:val="00A32BB9"/>
    <w:rsid w:val="00A32CEB"/>
    <w:rsid w:val="00A32DBB"/>
    <w:rsid w:val="00A3314C"/>
    <w:rsid w:val="00A33548"/>
    <w:rsid w:val="00A33740"/>
    <w:rsid w:val="00A33CB8"/>
    <w:rsid w:val="00A33E65"/>
    <w:rsid w:val="00A3409C"/>
    <w:rsid w:val="00A34635"/>
    <w:rsid w:val="00A348F2"/>
    <w:rsid w:val="00A34EB0"/>
    <w:rsid w:val="00A34F60"/>
    <w:rsid w:val="00A3592A"/>
    <w:rsid w:val="00A35BAC"/>
    <w:rsid w:val="00A35D76"/>
    <w:rsid w:val="00A35F9B"/>
    <w:rsid w:val="00A3679A"/>
    <w:rsid w:val="00A36974"/>
    <w:rsid w:val="00A371A5"/>
    <w:rsid w:val="00A371BC"/>
    <w:rsid w:val="00A37373"/>
    <w:rsid w:val="00A37778"/>
    <w:rsid w:val="00A37A4A"/>
    <w:rsid w:val="00A37EA9"/>
    <w:rsid w:val="00A400F0"/>
    <w:rsid w:val="00A40304"/>
    <w:rsid w:val="00A40695"/>
    <w:rsid w:val="00A406C3"/>
    <w:rsid w:val="00A408A7"/>
    <w:rsid w:val="00A408ED"/>
    <w:rsid w:val="00A40A72"/>
    <w:rsid w:val="00A40B58"/>
    <w:rsid w:val="00A40C35"/>
    <w:rsid w:val="00A40FC8"/>
    <w:rsid w:val="00A4151E"/>
    <w:rsid w:val="00A41845"/>
    <w:rsid w:val="00A41E13"/>
    <w:rsid w:val="00A4200F"/>
    <w:rsid w:val="00A4214A"/>
    <w:rsid w:val="00A42192"/>
    <w:rsid w:val="00A423F1"/>
    <w:rsid w:val="00A42802"/>
    <w:rsid w:val="00A4323A"/>
    <w:rsid w:val="00A434DC"/>
    <w:rsid w:val="00A439AC"/>
    <w:rsid w:val="00A43DD4"/>
    <w:rsid w:val="00A4424F"/>
    <w:rsid w:val="00A44293"/>
    <w:rsid w:val="00A44755"/>
    <w:rsid w:val="00A44B12"/>
    <w:rsid w:val="00A44B49"/>
    <w:rsid w:val="00A44EC7"/>
    <w:rsid w:val="00A450A0"/>
    <w:rsid w:val="00A45716"/>
    <w:rsid w:val="00A457DF"/>
    <w:rsid w:val="00A45F38"/>
    <w:rsid w:val="00A466E4"/>
    <w:rsid w:val="00A470B7"/>
    <w:rsid w:val="00A471E4"/>
    <w:rsid w:val="00A471F7"/>
    <w:rsid w:val="00A47574"/>
    <w:rsid w:val="00A47BE5"/>
    <w:rsid w:val="00A5001A"/>
    <w:rsid w:val="00A5001E"/>
    <w:rsid w:val="00A5053E"/>
    <w:rsid w:val="00A50B45"/>
    <w:rsid w:val="00A516BC"/>
    <w:rsid w:val="00A525CF"/>
    <w:rsid w:val="00A52CBF"/>
    <w:rsid w:val="00A5354A"/>
    <w:rsid w:val="00A54474"/>
    <w:rsid w:val="00A54528"/>
    <w:rsid w:val="00A549E3"/>
    <w:rsid w:val="00A55146"/>
    <w:rsid w:val="00A55F5E"/>
    <w:rsid w:val="00A5605E"/>
    <w:rsid w:val="00A560BA"/>
    <w:rsid w:val="00A57057"/>
    <w:rsid w:val="00A5788D"/>
    <w:rsid w:val="00A57AA4"/>
    <w:rsid w:val="00A57E56"/>
    <w:rsid w:val="00A604AC"/>
    <w:rsid w:val="00A60529"/>
    <w:rsid w:val="00A608EB"/>
    <w:rsid w:val="00A613A4"/>
    <w:rsid w:val="00A61895"/>
    <w:rsid w:val="00A618FE"/>
    <w:rsid w:val="00A61C7C"/>
    <w:rsid w:val="00A62558"/>
    <w:rsid w:val="00A63342"/>
    <w:rsid w:val="00A63839"/>
    <w:rsid w:val="00A63882"/>
    <w:rsid w:val="00A6439D"/>
    <w:rsid w:val="00A648DE"/>
    <w:rsid w:val="00A64ADD"/>
    <w:rsid w:val="00A6500E"/>
    <w:rsid w:val="00A651AC"/>
    <w:rsid w:val="00A65371"/>
    <w:rsid w:val="00A6551E"/>
    <w:rsid w:val="00A6560B"/>
    <w:rsid w:val="00A6601E"/>
    <w:rsid w:val="00A661D0"/>
    <w:rsid w:val="00A664BB"/>
    <w:rsid w:val="00A66D20"/>
    <w:rsid w:val="00A66D97"/>
    <w:rsid w:val="00A6700C"/>
    <w:rsid w:val="00A6707D"/>
    <w:rsid w:val="00A67440"/>
    <w:rsid w:val="00A67772"/>
    <w:rsid w:val="00A67924"/>
    <w:rsid w:val="00A679C9"/>
    <w:rsid w:val="00A67C9B"/>
    <w:rsid w:val="00A700C1"/>
    <w:rsid w:val="00A7047B"/>
    <w:rsid w:val="00A706B1"/>
    <w:rsid w:val="00A7107B"/>
    <w:rsid w:val="00A71307"/>
    <w:rsid w:val="00A7199A"/>
    <w:rsid w:val="00A71B15"/>
    <w:rsid w:val="00A71F3E"/>
    <w:rsid w:val="00A727EA"/>
    <w:rsid w:val="00A7281E"/>
    <w:rsid w:val="00A72C58"/>
    <w:rsid w:val="00A72D7E"/>
    <w:rsid w:val="00A72F92"/>
    <w:rsid w:val="00A73517"/>
    <w:rsid w:val="00A739C6"/>
    <w:rsid w:val="00A73E0D"/>
    <w:rsid w:val="00A7441F"/>
    <w:rsid w:val="00A74AEB"/>
    <w:rsid w:val="00A75E51"/>
    <w:rsid w:val="00A75E55"/>
    <w:rsid w:val="00A76121"/>
    <w:rsid w:val="00A76310"/>
    <w:rsid w:val="00A764CA"/>
    <w:rsid w:val="00A777F0"/>
    <w:rsid w:val="00A7795F"/>
    <w:rsid w:val="00A77AF6"/>
    <w:rsid w:val="00A77B32"/>
    <w:rsid w:val="00A77B79"/>
    <w:rsid w:val="00A77B99"/>
    <w:rsid w:val="00A8084A"/>
    <w:rsid w:val="00A809ED"/>
    <w:rsid w:val="00A80B67"/>
    <w:rsid w:val="00A811DD"/>
    <w:rsid w:val="00A81295"/>
    <w:rsid w:val="00A813DD"/>
    <w:rsid w:val="00A816EB"/>
    <w:rsid w:val="00A81BA0"/>
    <w:rsid w:val="00A81C29"/>
    <w:rsid w:val="00A81D5C"/>
    <w:rsid w:val="00A81E74"/>
    <w:rsid w:val="00A82390"/>
    <w:rsid w:val="00A82501"/>
    <w:rsid w:val="00A8262D"/>
    <w:rsid w:val="00A82715"/>
    <w:rsid w:val="00A82986"/>
    <w:rsid w:val="00A82AC8"/>
    <w:rsid w:val="00A82C17"/>
    <w:rsid w:val="00A82D5E"/>
    <w:rsid w:val="00A8343F"/>
    <w:rsid w:val="00A83C50"/>
    <w:rsid w:val="00A83F67"/>
    <w:rsid w:val="00A84136"/>
    <w:rsid w:val="00A842A2"/>
    <w:rsid w:val="00A84A6D"/>
    <w:rsid w:val="00A84BF4"/>
    <w:rsid w:val="00A84BFE"/>
    <w:rsid w:val="00A84EC9"/>
    <w:rsid w:val="00A84FF1"/>
    <w:rsid w:val="00A85317"/>
    <w:rsid w:val="00A853EE"/>
    <w:rsid w:val="00A8541F"/>
    <w:rsid w:val="00A85770"/>
    <w:rsid w:val="00A858BA"/>
    <w:rsid w:val="00A8618D"/>
    <w:rsid w:val="00A8658B"/>
    <w:rsid w:val="00A86D9F"/>
    <w:rsid w:val="00A8720D"/>
    <w:rsid w:val="00A8760D"/>
    <w:rsid w:val="00A87B2D"/>
    <w:rsid w:val="00A90409"/>
    <w:rsid w:val="00A90490"/>
    <w:rsid w:val="00A91012"/>
    <w:rsid w:val="00A91DA5"/>
    <w:rsid w:val="00A923D4"/>
    <w:rsid w:val="00A926F9"/>
    <w:rsid w:val="00A9274F"/>
    <w:rsid w:val="00A92885"/>
    <w:rsid w:val="00A92FD8"/>
    <w:rsid w:val="00A931E9"/>
    <w:rsid w:val="00A93FA5"/>
    <w:rsid w:val="00A953DE"/>
    <w:rsid w:val="00A9547B"/>
    <w:rsid w:val="00A95BF4"/>
    <w:rsid w:val="00A95FF9"/>
    <w:rsid w:val="00A96378"/>
    <w:rsid w:val="00A96460"/>
    <w:rsid w:val="00A96549"/>
    <w:rsid w:val="00A966CA"/>
    <w:rsid w:val="00A96C78"/>
    <w:rsid w:val="00A96CE2"/>
    <w:rsid w:val="00A96E35"/>
    <w:rsid w:val="00A970AA"/>
    <w:rsid w:val="00A97D05"/>
    <w:rsid w:val="00A97EB1"/>
    <w:rsid w:val="00AA01E2"/>
    <w:rsid w:val="00AA02F2"/>
    <w:rsid w:val="00AA0F29"/>
    <w:rsid w:val="00AA1D34"/>
    <w:rsid w:val="00AA1D73"/>
    <w:rsid w:val="00AA2A91"/>
    <w:rsid w:val="00AA2BE3"/>
    <w:rsid w:val="00AA33E9"/>
    <w:rsid w:val="00AA3B0B"/>
    <w:rsid w:val="00AA4AE9"/>
    <w:rsid w:val="00AA54E2"/>
    <w:rsid w:val="00AA56B9"/>
    <w:rsid w:val="00AA56F8"/>
    <w:rsid w:val="00AA5BCA"/>
    <w:rsid w:val="00AA674C"/>
    <w:rsid w:val="00AA6BA2"/>
    <w:rsid w:val="00AA6DFA"/>
    <w:rsid w:val="00AA6F2F"/>
    <w:rsid w:val="00AA7189"/>
    <w:rsid w:val="00AA7230"/>
    <w:rsid w:val="00AA72AC"/>
    <w:rsid w:val="00AA7377"/>
    <w:rsid w:val="00AA73B6"/>
    <w:rsid w:val="00AA7981"/>
    <w:rsid w:val="00AB0BCC"/>
    <w:rsid w:val="00AB1255"/>
    <w:rsid w:val="00AB154A"/>
    <w:rsid w:val="00AB1653"/>
    <w:rsid w:val="00AB173B"/>
    <w:rsid w:val="00AB2133"/>
    <w:rsid w:val="00AB25BD"/>
    <w:rsid w:val="00AB2714"/>
    <w:rsid w:val="00AB274E"/>
    <w:rsid w:val="00AB2EFD"/>
    <w:rsid w:val="00AB3757"/>
    <w:rsid w:val="00AB3C77"/>
    <w:rsid w:val="00AB3F43"/>
    <w:rsid w:val="00AB4117"/>
    <w:rsid w:val="00AB4FC8"/>
    <w:rsid w:val="00AB4FFE"/>
    <w:rsid w:val="00AB537D"/>
    <w:rsid w:val="00AB5732"/>
    <w:rsid w:val="00AB5E30"/>
    <w:rsid w:val="00AB6BAA"/>
    <w:rsid w:val="00AB6F2D"/>
    <w:rsid w:val="00AB701F"/>
    <w:rsid w:val="00AB77B5"/>
    <w:rsid w:val="00AB78E4"/>
    <w:rsid w:val="00AB7998"/>
    <w:rsid w:val="00AB7A2A"/>
    <w:rsid w:val="00AC01F4"/>
    <w:rsid w:val="00AC0275"/>
    <w:rsid w:val="00AC0B7A"/>
    <w:rsid w:val="00AC0C09"/>
    <w:rsid w:val="00AC0C7B"/>
    <w:rsid w:val="00AC147F"/>
    <w:rsid w:val="00AC1547"/>
    <w:rsid w:val="00AC1576"/>
    <w:rsid w:val="00AC1715"/>
    <w:rsid w:val="00AC1D96"/>
    <w:rsid w:val="00AC298E"/>
    <w:rsid w:val="00AC2E5C"/>
    <w:rsid w:val="00AC2E84"/>
    <w:rsid w:val="00AC30F9"/>
    <w:rsid w:val="00AC33CD"/>
    <w:rsid w:val="00AC4684"/>
    <w:rsid w:val="00AC46CA"/>
    <w:rsid w:val="00AC491A"/>
    <w:rsid w:val="00AC4A2E"/>
    <w:rsid w:val="00AC5003"/>
    <w:rsid w:val="00AC50E9"/>
    <w:rsid w:val="00AC5394"/>
    <w:rsid w:val="00AC54F0"/>
    <w:rsid w:val="00AC5AB4"/>
    <w:rsid w:val="00AC6130"/>
    <w:rsid w:val="00AC6AB1"/>
    <w:rsid w:val="00AC7553"/>
    <w:rsid w:val="00AC7968"/>
    <w:rsid w:val="00AC7EBB"/>
    <w:rsid w:val="00AC7F60"/>
    <w:rsid w:val="00AD0010"/>
    <w:rsid w:val="00AD02AE"/>
    <w:rsid w:val="00AD0BFE"/>
    <w:rsid w:val="00AD1175"/>
    <w:rsid w:val="00AD1362"/>
    <w:rsid w:val="00AD162E"/>
    <w:rsid w:val="00AD1AE4"/>
    <w:rsid w:val="00AD1F4E"/>
    <w:rsid w:val="00AD210D"/>
    <w:rsid w:val="00AD2147"/>
    <w:rsid w:val="00AD218F"/>
    <w:rsid w:val="00AD26F1"/>
    <w:rsid w:val="00AD2718"/>
    <w:rsid w:val="00AD2B87"/>
    <w:rsid w:val="00AD2EFE"/>
    <w:rsid w:val="00AD3113"/>
    <w:rsid w:val="00AD3315"/>
    <w:rsid w:val="00AD3513"/>
    <w:rsid w:val="00AD370E"/>
    <w:rsid w:val="00AD3815"/>
    <w:rsid w:val="00AD3852"/>
    <w:rsid w:val="00AD3F39"/>
    <w:rsid w:val="00AD4120"/>
    <w:rsid w:val="00AD48C5"/>
    <w:rsid w:val="00AD5197"/>
    <w:rsid w:val="00AD521B"/>
    <w:rsid w:val="00AD529A"/>
    <w:rsid w:val="00AD5373"/>
    <w:rsid w:val="00AD5577"/>
    <w:rsid w:val="00AD56AF"/>
    <w:rsid w:val="00AD5811"/>
    <w:rsid w:val="00AD59B1"/>
    <w:rsid w:val="00AD5B41"/>
    <w:rsid w:val="00AD5F7D"/>
    <w:rsid w:val="00AD5FBA"/>
    <w:rsid w:val="00AD65F4"/>
    <w:rsid w:val="00AD6770"/>
    <w:rsid w:val="00AD6FFB"/>
    <w:rsid w:val="00AD719E"/>
    <w:rsid w:val="00AD7FD8"/>
    <w:rsid w:val="00AE1181"/>
    <w:rsid w:val="00AE124B"/>
    <w:rsid w:val="00AE1DBF"/>
    <w:rsid w:val="00AE252B"/>
    <w:rsid w:val="00AE26A5"/>
    <w:rsid w:val="00AE2DC7"/>
    <w:rsid w:val="00AE3165"/>
    <w:rsid w:val="00AE32E5"/>
    <w:rsid w:val="00AE3717"/>
    <w:rsid w:val="00AE3739"/>
    <w:rsid w:val="00AE38A5"/>
    <w:rsid w:val="00AE394B"/>
    <w:rsid w:val="00AE3A49"/>
    <w:rsid w:val="00AE3D49"/>
    <w:rsid w:val="00AE3D69"/>
    <w:rsid w:val="00AE43B1"/>
    <w:rsid w:val="00AE4A3E"/>
    <w:rsid w:val="00AE4F7F"/>
    <w:rsid w:val="00AE59A2"/>
    <w:rsid w:val="00AE5ADC"/>
    <w:rsid w:val="00AE5F26"/>
    <w:rsid w:val="00AE6180"/>
    <w:rsid w:val="00AE651E"/>
    <w:rsid w:val="00AE6D08"/>
    <w:rsid w:val="00AE6E84"/>
    <w:rsid w:val="00AE7023"/>
    <w:rsid w:val="00AE712A"/>
    <w:rsid w:val="00AE7938"/>
    <w:rsid w:val="00AE7971"/>
    <w:rsid w:val="00AF01AF"/>
    <w:rsid w:val="00AF0347"/>
    <w:rsid w:val="00AF03BD"/>
    <w:rsid w:val="00AF0BDC"/>
    <w:rsid w:val="00AF1246"/>
    <w:rsid w:val="00AF15BE"/>
    <w:rsid w:val="00AF1BDF"/>
    <w:rsid w:val="00AF232A"/>
    <w:rsid w:val="00AF33C4"/>
    <w:rsid w:val="00AF35FC"/>
    <w:rsid w:val="00AF3CFA"/>
    <w:rsid w:val="00AF3D83"/>
    <w:rsid w:val="00AF41D4"/>
    <w:rsid w:val="00AF5064"/>
    <w:rsid w:val="00AF5781"/>
    <w:rsid w:val="00AF5D5B"/>
    <w:rsid w:val="00AF5FCF"/>
    <w:rsid w:val="00AF65BA"/>
    <w:rsid w:val="00AF6B7C"/>
    <w:rsid w:val="00AF6C7A"/>
    <w:rsid w:val="00AF7E33"/>
    <w:rsid w:val="00B00147"/>
    <w:rsid w:val="00B004F0"/>
    <w:rsid w:val="00B00A34"/>
    <w:rsid w:val="00B00D39"/>
    <w:rsid w:val="00B00E01"/>
    <w:rsid w:val="00B01020"/>
    <w:rsid w:val="00B01517"/>
    <w:rsid w:val="00B01624"/>
    <w:rsid w:val="00B018B5"/>
    <w:rsid w:val="00B01C9B"/>
    <w:rsid w:val="00B01D8E"/>
    <w:rsid w:val="00B020F0"/>
    <w:rsid w:val="00B023D1"/>
    <w:rsid w:val="00B02C21"/>
    <w:rsid w:val="00B04388"/>
    <w:rsid w:val="00B047EE"/>
    <w:rsid w:val="00B04836"/>
    <w:rsid w:val="00B04F69"/>
    <w:rsid w:val="00B05015"/>
    <w:rsid w:val="00B052A6"/>
    <w:rsid w:val="00B05753"/>
    <w:rsid w:val="00B05826"/>
    <w:rsid w:val="00B05D40"/>
    <w:rsid w:val="00B05FB8"/>
    <w:rsid w:val="00B0620C"/>
    <w:rsid w:val="00B0636A"/>
    <w:rsid w:val="00B0653E"/>
    <w:rsid w:val="00B0672C"/>
    <w:rsid w:val="00B06A5A"/>
    <w:rsid w:val="00B06DB1"/>
    <w:rsid w:val="00B07895"/>
    <w:rsid w:val="00B07F24"/>
    <w:rsid w:val="00B107A0"/>
    <w:rsid w:val="00B1150F"/>
    <w:rsid w:val="00B117A3"/>
    <w:rsid w:val="00B1186E"/>
    <w:rsid w:val="00B118B3"/>
    <w:rsid w:val="00B11951"/>
    <w:rsid w:val="00B124E9"/>
    <w:rsid w:val="00B125EF"/>
    <w:rsid w:val="00B125FE"/>
    <w:rsid w:val="00B12A81"/>
    <w:rsid w:val="00B12B48"/>
    <w:rsid w:val="00B12CCA"/>
    <w:rsid w:val="00B13398"/>
    <w:rsid w:val="00B13633"/>
    <w:rsid w:val="00B13D68"/>
    <w:rsid w:val="00B13E0F"/>
    <w:rsid w:val="00B14815"/>
    <w:rsid w:val="00B1492E"/>
    <w:rsid w:val="00B1545A"/>
    <w:rsid w:val="00B15564"/>
    <w:rsid w:val="00B156C2"/>
    <w:rsid w:val="00B15BF7"/>
    <w:rsid w:val="00B168DC"/>
    <w:rsid w:val="00B168FE"/>
    <w:rsid w:val="00B16B50"/>
    <w:rsid w:val="00B16DD0"/>
    <w:rsid w:val="00B17957"/>
    <w:rsid w:val="00B17B62"/>
    <w:rsid w:val="00B17E76"/>
    <w:rsid w:val="00B17ED3"/>
    <w:rsid w:val="00B20167"/>
    <w:rsid w:val="00B210BF"/>
    <w:rsid w:val="00B21405"/>
    <w:rsid w:val="00B21BB6"/>
    <w:rsid w:val="00B21C76"/>
    <w:rsid w:val="00B21C8F"/>
    <w:rsid w:val="00B22403"/>
    <w:rsid w:val="00B23001"/>
    <w:rsid w:val="00B23870"/>
    <w:rsid w:val="00B24544"/>
    <w:rsid w:val="00B24F6A"/>
    <w:rsid w:val="00B253C0"/>
    <w:rsid w:val="00B25468"/>
    <w:rsid w:val="00B254CD"/>
    <w:rsid w:val="00B25A55"/>
    <w:rsid w:val="00B25AE6"/>
    <w:rsid w:val="00B25D60"/>
    <w:rsid w:val="00B25EAA"/>
    <w:rsid w:val="00B25EFC"/>
    <w:rsid w:val="00B262B8"/>
    <w:rsid w:val="00B26580"/>
    <w:rsid w:val="00B26C7D"/>
    <w:rsid w:val="00B26E19"/>
    <w:rsid w:val="00B27558"/>
    <w:rsid w:val="00B27746"/>
    <w:rsid w:val="00B27B5D"/>
    <w:rsid w:val="00B27D0F"/>
    <w:rsid w:val="00B30323"/>
    <w:rsid w:val="00B30AC7"/>
    <w:rsid w:val="00B3168E"/>
    <w:rsid w:val="00B31811"/>
    <w:rsid w:val="00B31A77"/>
    <w:rsid w:val="00B321F9"/>
    <w:rsid w:val="00B324BE"/>
    <w:rsid w:val="00B325F6"/>
    <w:rsid w:val="00B329B5"/>
    <w:rsid w:val="00B33644"/>
    <w:rsid w:val="00B3396B"/>
    <w:rsid w:val="00B33AE1"/>
    <w:rsid w:val="00B33E3E"/>
    <w:rsid w:val="00B34ABE"/>
    <w:rsid w:val="00B351FE"/>
    <w:rsid w:val="00B35C73"/>
    <w:rsid w:val="00B362DC"/>
    <w:rsid w:val="00B36583"/>
    <w:rsid w:val="00B36688"/>
    <w:rsid w:val="00B36F74"/>
    <w:rsid w:val="00B3768E"/>
    <w:rsid w:val="00B4063A"/>
    <w:rsid w:val="00B40C3E"/>
    <w:rsid w:val="00B40CB4"/>
    <w:rsid w:val="00B40F57"/>
    <w:rsid w:val="00B4185B"/>
    <w:rsid w:val="00B41BE5"/>
    <w:rsid w:val="00B41CFE"/>
    <w:rsid w:val="00B41E46"/>
    <w:rsid w:val="00B42022"/>
    <w:rsid w:val="00B42178"/>
    <w:rsid w:val="00B4236C"/>
    <w:rsid w:val="00B42B30"/>
    <w:rsid w:val="00B431D2"/>
    <w:rsid w:val="00B4392A"/>
    <w:rsid w:val="00B43D73"/>
    <w:rsid w:val="00B4410E"/>
    <w:rsid w:val="00B44513"/>
    <w:rsid w:val="00B445D3"/>
    <w:rsid w:val="00B44E27"/>
    <w:rsid w:val="00B45852"/>
    <w:rsid w:val="00B467A6"/>
    <w:rsid w:val="00B46C27"/>
    <w:rsid w:val="00B475CF"/>
    <w:rsid w:val="00B501E1"/>
    <w:rsid w:val="00B509F1"/>
    <w:rsid w:val="00B50C2F"/>
    <w:rsid w:val="00B51160"/>
    <w:rsid w:val="00B515A3"/>
    <w:rsid w:val="00B51611"/>
    <w:rsid w:val="00B517E1"/>
    <w:rsid w:val="00B51B86"/>
    <w:rsid w:val="00B52662"/>
    <w:rsid w:val="00B52844"/>
    <w:rsid w:val="00B52A27"/>
    <w:rsid w:val="00B52B27"/>
    <w:rsid w:val="00B52C36"/>
    <w:rsid w:val="00B5312D"/>
    <w:rsid w:val="00B53AD4"/>
    <w:rsid w:val="00B53B66"/>
    <w:rsid w:val="00B53BCF"/>
    <w:rsid w:val="00B53EA8"/>
    <w:rsid w:val="00B53EB5"/>
    <w:rsid w:val="00B5593E"/>
    <w:rsid w:val="00B55A2D"/>
    <w:rsid w:val="00B55B83"/>
    <w:rsid w:val="00B5659C"/>
    <w:rsid w:val="00B567CF"/>
    <w:rsid w:val="00B56A01"/>
    <w:rsid w:val="00B56DD6"/>
    <w:rsid w:val="00B6024E"/>
    <w:rsid w:val="00B607FB"/>
    <w:rsid w:val="00B60A42"/>
    <w:rsid w:val="00B60A6D"/>
    <w:rsid w:val="00B60EE0"/>
    <w:rsid w:val="00B611B3"/>
    <w:rsid w:val="00B61274"/>
    <w:rsid w:val="00B6151B"/>
    <w:rsid w:val="00B61AFE"/>
    <w:rsid w:val="00B61B14"/>
    <w:rsid w:val="00B61BB9"/>
    <w:rsid w:val="00B61DCB"/>
    <w:rsid w:val="00B62385"/>
    <w:rsid w:val="00B62A8A"/>
    <w:rsid w:val="00B62EE0"/>
    <w:rsid w:val="00B636DC"/>
    <w:rsid w:val="00B638F3"/>
    <w:rsid w:val="00B63E80"/>
    <w:rsid w:val="00B64303"/>
    <w:rsid w:val="00B6476A"/>
    <w:rsid w:val="00B64BEA"/>
    <w:rsid w:val="00B64CD2"/>
    <w:rsid w:val="00B64D52"/>
    <w:rsid w:val="00B65159"/>
    <w:rsid w:val="00B651C1"/>
    <w:rsid w:val="00B6563A"/>
    <w:rsid w:val="00B65AAD"/>
    <w:rsid w:val="00B65C4B"/>
    <w:rsid w:val="00B65C79"/>
    <w:rsid w:val="00B65DBE"/>
    <w:rsid w:val="00B65F66"/>
    <w:rsid w:val="00B66143"/>
    <w:rsid w:val="00B6642D"/>
    <w:rsid w:val="00B66584"/>
    <w:rsid w:val="00B66655"/>
    <w:rsid w:val="00B66A0A"/>
    <w:rsid w:val="00B66AA7"/>
    <w:rsid w:val="00B66C47"/>
    <w:rsid w:val="00B66EF3"/>
    <w:rsid w:val="00B66FFD"/>
    <w:rsid w:val="00B67601"/>
    <w:rsid w:val="00B67C60"/>
    <w:rsid w:val="00B701E7"/>
    <w:rsid w:val="00B7032B"/>
    <w:rsid w:val="00B704E2"/>
    <w:rsid w:val="00B705B0"/>
    <w:rsid w:val="00B70FA3"/>
    <w:rsid w:val="00B7172A"/>
    <w:rsid w:val="00B71E9E"/>
    <w:rsid w:val="00B71EC9"/>
    <w:rsid w:val="00B720B7"/>
    <w:rsid w:val="00B725E3"/>
    <w:rsid w:val="00B72645"/>
    <w:rsid w:val="00B7287F"/>
    <w:rsid w:val="00B72999"/>
    <w:rsid w:val="00B73362"/>
    <w:rsid w:val="00B734DD"/>
    <w:rsid w:val="00B73E6F"/>
    <w:rsid w:val="00B74268"/>
    <w:rsid w:val="00B748A7"/>
    <w:rsid w:val="00B74A0B"/>
    <w:rsid w:val="00B74A7A"/>
    <w:rsid w:val="00B74CC1"/>
    <w:rsid w:val="00B755A2"/>
    <w:rsid w:val="00B75BB1"/>
    <w:rsid w:val="00B75E58"/>
    <w:rsid w:val="00B75F9A"/>
    <w:rsid w:val="00B75FB6"/>
    <w:rsid w:val="00B7608E"/>
    <w:rsid w:val="00B763C9"/>
    <w:rsid w:val="00B764BF"/>
    <w:rsid w:val="00B76CF6"/>
    <w:rsid w:val="00B7701E"/>
    <w:rsid w:val="00B77818"/>
    <w:rsid w:val="00B77B2D"/>
    <w:rsid w:val="00B80A9F"/>
    <w:rsid w:val="00B8112B"/>
    <w:rsid w:val="00B81243"/>
    <w:rsid w:val="00B81855"/>
    <w:rsid w:val="00B81A27"/>
    <w:rsid w:val="00B81BAF"/>
    <w:rsid w:val="00B83342"/>
    <w:rsid w:val="00B833C8"/>
    <w:rsid w:val="00B83A91"/>
    <w:rsid w:val="00B83E06"/>
    <w:rsid w:val="00B8400E"/>
    <w:rsid w:val="00B84901"/>
    <w:rsid w:val="00B84A0F"/>
    <w:rsid w:val="00B8504C"/>
    <w:rsid w:val="00B856CA"/>
    <w:rsid w:val="00B8687A"/>
    <w:rsid w:val="00B86A19"/>
    <w:rsid w:val="00B86B90"/>
    <w:rsid w:val="00B86F54"/>
    <w:rsid w:val="00B86F7C"/>
    <w:rsid w:val="00B87BC3"/>
    <w:rsid w:val="00B87D5C"/>
    <w:rsid w:val="00B87EB3"/>
    <w:rsid w:val="00B90701"/>
    <w:rsid w:val="00B90836"/>
    <w:rsid w:val="00B90DE5"/>
    <w:rsid w:val="00B91451"/>
    <w:rsid w:val="00B917B6"/>
    <w:rsid w:val="00B91970"/>
    <w:rsid w:val="00B91E28"/>
    <w:rsid w:val="00B91EFA"/>
    <w:rsid w:val="00B92E32"/>
    <w:rsid w:val="00B92F6C"/>
    <w:rsid w:val="00B9349D"/>
    <w:rsid w:val="00B934BE"/>
    <w:rsid w:val="00B934D3"/>
    <w:rsid w:val="00B93538"/>
    <w:rsid w:val="00B94152"/>
    <w:rsid w:val="00B94276"/>
    <w:rsid w:val="00B9461B"/>
    <w:rsid w:val="00B9496F"/>
    <w:rsid w:val="00B94992"/>
    <w:rsid w:val="00B94BA2"/>
    <w:rsid w:val="00B95731"/>
    <w:rsid w:val="00B95BD4"/>
    <w:rsid w:val="00B95F01"/>
    <w:rsid w:val="00B9643B"/>
    <w:rsid w:val="00B964D3"/>
    <w:rsid w:val="00B96BA6"/>
    <w:rsid w:val="00B96EEC"/>
    <w:rsid w:val="00B976F2"/>
    <w:rsid w:val="00B97D16"/>
    <w:rsid w:val="00B97DE8"/>
    <w:rsid w:val="00B97FB6"/>
    <w:rsid w:val="00BA0323"/>
    <w:rsid w:val="00BA0F6E"/>
    <w:rsid w:val="00BA12EA"/>
    <w:rsid w:val="00BA1452"/>
    <w:rsid w:val="00BA158C"/>
    <w:rsid w:val="00BA16D1"/>
    <w:rsid w:val="00BA1E4B"/>
    <w:rsid w:val="00BA1ED1"/>
    <w:rsid w:val="00BA206B"/>
    <w:rsid w:val="00BA30E5"/>
    <w:rsid w:val="00BA3410"/>
    <w:rsid w:val="00BA3944"/>
    <w:rsid w:val="00BA39EB"/>
    <w:rsid w:val="00BA4CF8"/>
    <w:rsid w:val="00BA5029"/>
    <w:rsid w:val="00BA53A5"/>
    <w:rsid w:val="00BA55B4"/>
    <w:rsid w:val="00BA6959"/>
    <w:rsid w:val="00BA71E2"/>
    <w:rsid w:val="00BA7B63"/>
    <w:rsid w:val="00BA7DE6"/>
    <w:rsid w:val="00BA7EA9"/>
    <w:rsid w:val="00BB0A12"/>
    <w:rsid w:val="00BB0CCC"/>
    <w:rsid w:val="00BB0FB6"/>
    <w:rsid w:val="00BB10FB"/>
    <w:rsid w:val="00BB1FA2"/>
    <w:rsid w:val="00BB2209"/>
    <w:rsid w:val="00BB29D4"/>
    <w:rsid w:val="00BB2A0B"/>
    <w:rsid w:val="00BB2F8F"/>
    <w:rsid w:val="00BB3509"/>
    <w:rsid w:val="00BB3893"/>
    <w:rsid w:val="00BB42A6"/>
    <w:rsid w:val="00BB43CF"/>
    <w:rsid w:val="00BB4B0A"/>
    <w:rsid w:val="00BB4CFC"/>
    <w:rsid w:val="00BB6555"/>
    <w:rsid w:val="00BB6BF1"/>
    <w:rsid w:val="00BB6C14"/>
    <w:rsid w:val="00BB6E65"/>
    <w:rsid w:val="00BB6F94"/>
    <w:rsid w:val="00BB767F"/>
    <w:rsid w:val="00BB7B70"/>
    <w:rsid w:val="00BC03C0"/>
    <w:rsid w:val="00BC0511"/>
    <w:rsid w:val="00BC08F7"/>
    <w:rsid w:val="00BC105E"/>
    <w:rsid w:val="00BC1460"/>
    <w:rsid w:val="00BC147D"/>
    <w:rsid w:val="00BC1A79"/>
    <w:rsid w:val="00BC1D12"/>
    <w:rsid w:val="00BC2506"/>
    <w:rsid w:val="00BC2B9A"/>
    <w:rsid w:val="00BC2F5C"/>
    <w:rsid w:val="00BC3AB2"/>
    <w:rsid w:val="00BC4081"/>
    <w:rsid w:val="00BC4121"/>
    <w:rsid w:val="00BC4184"/>
    <w:rsid w:val="00BC4185"/>
    <w:rsid w:val="00BC4DDC"/>
    <w:rsid w:val="00BC4DF4"/>
    <w:rsid w:val="00BC53C3"/>
    <w:rsid w:val="00BC53F4"/>
    <w:rsid w:val="00BC547E"/>
    <w:rsid w:val="00BC5AF1"/>
    <w:rsid w:val="00BC6170"/>
    <w:rsid w:val="00BC65AF"/>
    <w:rsid w:val="00BC65F3"/>
    <w:rsid w:val="00BC6C3E"/>
    <w:rsid w:val="00BC6EC4"/>
    <w:rsid w:val="00BC767F"/>
    <w:rsid w:val="00BC778C"/>
    <w:rsid w:val="00BC79E4"/>
    <w:rsid w:val="00BC7D2A"/>
    <w:rsid w:val="00BD0200"/>
    <w:rsid w:val="00BD067D"/>
    <w:rsid w:val="00BD0989"/>
    <w:rsid w:val="00BD0BD5"/>
    <w:rsid w:val="00BD1237"/>
    <w:rsid w:val="00BD1D0C"/>
    <w:rsid w:val="00BD1D1C"/>
    <w:rsid w:val="00BD28ED"/>
    <w:rsid w:val="00BD3092"/>
    <w:rsid w:val="00BD3E67"/>
    <w:rsid w:val="00BD3ECA"/>
    <w:rsid w:val="00BD3F1F"/>
    <w:rsid w:val="00BD45CD"/>
    <w:rsid w:val="00BD478E"/>
    <w:rsid w:val="00BD4A9A"/>
    <w:rsid w:val="00BD4DB0"/>
    <w:rsid w:val="00BD536A"/>
    <w:rsid w:val="00BD5F78"/>
    <w:rsid w:val="00BD6143"/>
    <w:rsid w:val="00BD61DC"/>
    <w:rsid w:val="00BD6660"/>
    <w:rsid w:val="00BD6976"/>
    <w:rsid w:val="00BD6BEE"/>
    <w:rsid w:val="00BD7362"/>
    <w:rsid w:val="00BD7500"/>
    <w:rsid w:val="00BD7EA2"/>
    <w:rsid w:val="00BD7F5D"/>
    <w:rsid w:val="00BE00C9"/>
    <w:rsid w:val="00BE04A0"/>
    <w:rsid w:val="00BE0763"/>
    <w:rsid w:val="00BE0E4B"/>
    <w:rsid w:val="00BE1303"/>
    <w:rsid w:val="00BE13FD"/>
    <w:rsid w:val="00BE17F6"/>
    <w:rsid w:val="00BE1CCE"/>
    <w:rsid w:val="00BE2975"/>
    <w:rsid w:val="00BE2D70"/>
    <w:rsid w:val="00BE3376"/>
    <w:rsid w:val="00BE35CC"/>
    <w:rsid w:val="00BE3A80"/>
    <w:rsid w:val="00BE4690"/>
    <w:rsid w:val="00BE4A93"/>
    <w:rsid w:val="00BE4F83"/>
    <w:rsid w:val="00BE518F"/>
    <w:rsid w:val="00BE5232"/>
    <w:rsid w:val="00BE5628"/>
    <w:rsid w:val="00BE599B"/>
    <w:rsid w:val="00BE5A8D"/>
    <w:rsid w:val="00BE5F80"/>
    <w:rsid w:val="00BE5FB3"/>
    <w:rsid w:val="00BE658D"/>
    <w:rsid w:val="00BE68B8"/>
    <w:rsid w:val="00BE6C01"/>
    <w:rsid w:val="00BE6CFB"/>
    <w:rsid w:val="00BE7018"/>
    <w:rsid w:val="00BE790A"/>
    <w:rsid w:val="00BE79A1"/>
    <w:rsid w:val="00BE7AAD"/>
    <w:rsid w:val="00BF1871"/>
    <w:rsid w:val="00BF1F32"/>
    <w:rsid w:val="00BF3253"/>
    <w:rsid w:val="00BF331F"/>
    <w:rsid w:val="00BF3350"/>
    <w:rsid w:val="00BF3457"/>
    <w:rsid w:val="00BF36CB"/>
    <w:rsid w:val="00BF430E"/>
    <w:rsid w:val="00BF4546"/>
    <w:rsid w:val="00BF45B0"/>
    <w:rsid w:val="00BF5215"/>
    <w:rsid w:val="00BF6512"/>
    <w:rsid w:val="00BF659F"/>
    <w:rsid w:val="00BF65D3"/>
    <w:rsid w:val="00BF678C"/>
    <w:rsid w:val="00BF6AC3"/>
    <w:rsid w:val="00BF772C"/>
    <w:rsid w:val="00BF7BC2"/>
    <w:rsid w:val="00BF7E99"/>
    <w:rsid w:val="00C00164"/>
    <w:rsid w:val="00C0042D"/>
    <w:rsid w:val="00C00980"/>
    <w:rsid w:val="00C01495"/>
    <w:rsid w:val="00C016F4"/>
    <w:rsid w:val="00C01D07"/>
    <w:rsid w:val="00C01F31"/>
    <w:rsid w:val="00C01F47"/>
    <w:rsid w:val="00C025C9"/>
    <w:rsid w:val="00C02A68"/>
    <w:rsid w:val="00C02CAC"/>
    <w:rsid w:val="00C03508"/>
    <w:rsid w:val="00C03FBA"/>
    <w:rsid w:val="00C041BB"/>
    <w:rsid w:val="00C041E4"/>
    <w:rsid w:val="00C04471"/>
    <w:rsid w:val="00C04955"/>
    <w:rsid w:val="00C04D79"/>
    <w:rsid w:val="00C051EA"/>
    <w:rsid w:val="00C05E7C"/>
    <w:rsid w:val="00C0684A"/>
    <w:rsid w:val="00C068EC"/>
    <w:rsid w:val="00C06E41"/>
    <w:rsid w:val="00C074BC"/>
    <w:rsid w:val="00C07E04"/>
    <w:rsid w:val="00C1030F"/>
    <w:rsid w:val="00C1042D"/>
    <w:rsid w:val="00C10859"/>
    <w:rsid w:val="00C10EBB"/>
    <w:rsid w:val="00C110ED"/>
    <w:rsid w:val="00C1132E"/>
    <w:rsid w:val="00C11D80"/>
    <w:rsid w:val="00C11EBA"/>
    <w:rsid w:val="00C11F3F"/>
    <w:rsid w:val="00C12065"/>
    <w:rsid w:val="00C124D2"/>
    <w:rsid w:val="00C12783"/>
    <w:rsid w:val="00C13579"/>
    <w:rsid w:val="00C13654"/>
    <w:rsid w:val="00C13821"/>
    <w:rsid w:val="00C13830"/>
    <w:rsid w:val="00C13987"/>
    <w:rsid w:val="00C13DC2"/>
    <w:rsid w:val="00C14823"/>
    <w:rsid w:val="00C14DD6"/>
    <w:rsid w:val="00C15E0A"/>
    <w:rsid w:val="00C1606B"/>
    <w:rsid w:val="00C16459"/>
    <w:rsid w:val="00C1679A"/>
    <w:rsid w:val="00C17285"/>
    <w:rsid w:val="00C173A4"/>
    <w:rsid w:val="00C17405"/>
    <w:rsid w:val="00C175D2"/>
    <w:rsid w:val="00C178D2"/>
    <w:rsid w:val="00C17E6C"/>
    <w:rsid w:val="00C20002"/>
    <w:rsid w:val="00C20435"/>
    <w:rsid w:val="00C20C18"/>
    <w:rsid w:val="00C210BA"/>
    <w:rsid w:val="00C2173F"/>
    <w:rsid w:val="00C22247"/>
    <w:rsid w:val="00C22297"/>
    <w:rsid w:val="00C222FD"/>
    <w:rsid w:val="00C223F5"/>
    <w:rsid w:val="00C2305B"/>
    <w:rsid w:val="00C23183"/>
    <w:rsid w:val="00C23199"/>
    <w:rsid w:val="00C23793"/>
    <w:rsid w:val="00C23B76"/>
    <w:rsid w:val="00C24B6A"/>
    <w:rsid w:val="00C24CD8"/>
    <w:rsid w:val="00C24E67"/>
    <w:rsid w:val="00C252E7"/>
    <w:rsid w:val="00C2573D"/>
    <w:rsid w:val="00C26013"/>
    <w:rsid w:val="00C26681"/>
    <w:rsid w:val="00C26AD3"/>
    <w:rsid w:val="00C26DD2"/>
    <w:rsid w:val="00C272F0"/>
    <w:rsid w:val="00C27420"/>
    <w:rsid w:val="00C279AB"/>
    <w:rsid w:val="00C30212"/>
    <w:rsid w:val="00C303B9"/>
    <w:rsid w:val="00C305E8"/>
    <w:rsid w:val="00C3087B"/>
    <w:rsid w:val="00C30F26"/>
    <w:rsid w:val="00C3143B"/>
    <w:rsid w:val="00C3158C"/>
    <w:rsid w:val="00C32EE3"/>
    <w:rsid w:val="00C33058"/>
    <w:rsid w:val="00C33AEA"/>
    <w:rsid w:val="00C3486E"/>
    <w:rsid w:val="00C359CD"/>
    <w:rsid w:val="00C35B9D"/>
    <w:rsid w:val="00C35BEC"/>
    <w:rsid w:val="00C35E27"/>
    <w:rsid w:val="00C35E70"/>
    <w:rsid w:val="00C35FAE"/>
    <w:rsid w:val="00C3618F"/>
    <w:rsid w:val="00C366C5"/>
    <w:rsid w:val="00C36C6C"/>
    <w:rsid w:val="00C37116"/>
    <w:rsid w:val="00C37150"/>
    <w:rsid w:val="00C372A7"/>
    <w:rsid w:val="00C37444"/>
    <w:rsid w:val="00C40333"/>
    <w:rsid w:val="00C4070A"/>
    <w:rsid w:val="00C417EE"/>
    <w:rsid w:val="00C41994"/>
    <w:rsid w:val="00C41B8E"/>
    <w:rsid w:val="00C41B99"/>
    <w:rsid w:val="00C42170"/>
    <w:rsid w:val="00C4269A"/>
    <w:rsid w:val="00C4370D"/>
    <w:rsid w:val="00C43985"/>
    <w:rsid w:val="00C43A60"/>
    <w:rsid w:val="00C44219"/>
    <w:rsid w:val="00C44268"/>
    <w:rsid w:val="00C450A9"/>
    <w:rsid w:val="00C45289"/>
    <w:rsid w:val="00C454B8"/>
    <w:rsid w:val="00C4584C"/>
    <w:rsid w:val="00C4586B"/>
    <w:rsid w:val="00C46539"/>
    <w:rsid w:val="00C46F75"/>
    <w:rsid w:val="00C46FBD"/>
    <w:rsid w:val="00C470BA"/>
    <w:rsid w:val="00C47677"/>
    <w:rsid w:val="00C50257"/>
    <w:rsid w:val="00C502E2"/>
    <w:rsid w:val="00C508A2"/>
    <w:rsid w:val="00C50CBF"/>
    <w:rsid w:val="00C51468"/>
    <w:rsid w:val="00C515FF"/>
    <w:rsid w:val="00C516D3"/>
    <w:rsid w:val="00C5171A"/>
    <w:rsid w:val="00C51805"/>
    <w:rsid w:val="00C51AB7"/>
    <w:rsid w:val="00C51E64"/>
    <w:rsid w:val="00C51F66"/>
    <w:rsid w:val="00C528A7"/>
    <w:rsid w:val="00C53256"/>
    <w:rsid w:val="00C53DDE"/>
    <w:rsid w:val="00C540B1"/>
    <w:rsid w:val="00C54777"/>
    <w:rsid w:val="00C55047"/>
    <w:rsid w:val="00C5554D"/>
    <w:rsid w:val="00C555FC"/>
    <w:rsid w:val="00C556CF"/>
    <w:rsid w:val="00C55899"/>
    <w:rsid w:val="00C5593B"/>
    <w:rsid w:val="00C559F1"/>
    <w:rsid w:val="00C55EB9"/>
    <w:rsid w:val="00C56363"/>
    <w:rsid w:val="00C567FD"/>
    <w:rsid w:val="00C56DFA"/>
    <w:rsid w:val="00C56EF6"/>
    <w:rsid w:val="00C6026A"/>
    <w:rsid w:val="00C60DA9"/>
    <w:rsid w:val="00C61362"/>
    <w:rsid w:val="00C614A6"/>
    <w:rsid w:val="00C614AA"/>
    <w:rsid w:val="00C619DB"/>
    <w:rsid w:val="00C624DA"/>
    <w:rsid w:val="00C62F43"/>
    <w:rsid w:val="00C630BC"/>
    <w:rsid w:val="00C6324E"/>
    <w:rsid w:val="00C635CB"/>
    <w:rsid w:val="00C63931"/>
    <w:rsid w:val="00C63C8C"/>
    <w:rsid w:val="00C64328"/>
    <w:rsid w:val="00C64608"/>
    <w:rsid w:val="00C64AAE"/>
    <w:rsid w:val="00C64D34"/>
    <w:rsid w:val="00C65081"/>
    <w:rsid w:val="00C650A8"/>
    <w:rsid w:val="00C652AE"/>
    <w:rsid w:val="00C656B7"/>
    <w:rsid w:val="00C65936"/>
    <w:rsid w:val="00C65A7F"/>
    <w:rsid w:val="00C66037"/>
    <w:rsid w:val="00C66539"/>
    <w:rsid w:val="00C66BBD"/>
    <w:rsid w:val="00C678C4"/>
    <w:rsid w:val="00C6795D"/>
    <w:rsid w:val="00C67BD8"/>
    <w:rsid w:val="00C67F1B"/>
    <w:rsid w:val="00C70117"/>
    <w:rsid w:val="00C70D43"/>
    <w:rsid w:val="00C7102C"/>
    <w:rsid w:val="00C712A4"/>
    <w:rsid w:val="00C71779"/>
    <w:rsid w:val="00C71B26"/>
    <w:rsid w:val="00C71E82"/>
    <w:rsid w:val="00C72620"/>
    <w:rsid w:val="00C72739"/>
    <w:rsid w:val="00C73555"/>
    <w:rsid w:val="00C73641"/>
    <w:rsid w:val="00C7369E"/>
    <w:rsid w:val="00C7394E"/>
    <w:rsid w:val="00C73C98"/>
    <w:rsid w:val="00C73D8D"/>
    <w:rsid w:val="00C743C2"/>
    <w:rsid w:val="00C74737"/>
    <w:rsid w:val="00C74D4D"/>
    <w:rsid w:val="00C75A62"/>
    <w:rsid w:val="00C75AE7"/>
    <w:rsid w:val="00C75D4E"/>
    <w:rsid w:val="00C76306"/>
    <w:rsid w:val="00C76509"/>
    <w:rsid w:val="00C76803"/>
    <w:rsid w:val="00C80384"/>
    <w:rsid w:val="00C80480"/>
    <w:rsid w:val="00C80760"/>
    <w:rsid w:val="00C80F9A"/>
    <w:rsid w:val="00C8190E"/>
    <w:rsid w:val="00C8217B"/>
    <w:rsid w:val="00C83060"/>
    <w:rsid w:val="00C830F0"/>
    <w:rsid w:val="00C83619"/>
    <w:rsid w:val="00C836BF"/>
    <w:rsid w:val="00C83969"/>
    <w:rsid w:val="00C83A41"/>
    <w:rsid w:val="00C83C2D"/>
    <w:rsid w:val="00C83FD2"/>
    <w:rsid w:val="00C84441"/>
    <w:rsid w:val="00C84FBC"/>
    <w:rsid w:val="00C85693"/>
    <w:rsid w:val="00C85D48"/>
    <w:rsid w:val="00C85FCE"/>
    <w:rsid w:val="00C86442"/>
    <w:rsid w:val="00C8670A"/>
    <w:rsid w:val="00C86CF2"/>
    <w:rsid w:val="00C8764C"/>
    <w:rsid w:val="00C8768A"/>
    <w:rsid w:val="00C87AC0"/>
    <w:rsid w:val="00C90001"/>
    <w:rsid w:val="00C90DD5"/>
    <w:rsid w:val="00C91105"/>
    <w:rsid w:val="00C9119D"/>
    <w:rsid w:val="00C9237B"/>
    <w:rsid w:val="00C9258A"/>
    <w:rsid w:val="00C928D2"/>
    <w:rsid w:val="00C92CA8"/>
    <w:rsid w:val="00C92CE8"/>
    <w:rsid w:val="00C92FC6"/>
    <w:rsid w:val="00C933A0"/>
    <w:rsid w:val="00C933FA"/>
    <w:rsid w:val="00C93407"/>
    <w:rsid w:val="00C94167"/>
    <w:rsid w:val="00C94358"/>
    <w:rsid w:val="00C943AD"/>
    <w:rsid w:val="00C947FC"/>
    <w:rsid w:val="00C95102"/>
    <w:rsid w:val="00C955C5"/>
    <w:rsid w:val="00C95AFC"/>
    <w:rsid w:val="00C95F1F"/>
    <w:rsid w:val="00C96BC3"/>
    <w:rsid w:val="00C96D3D"/>
    <w:rsid w:val="00C96DCA"/>
    <w:rsid w:val="00C975CD"/>
    <w:rsid w:val="00C97A84"/>
    <w:rsid w:val="00C97B21"/>
    <w:rsid w:val="00CA0BAF"/>
    <w:rsid w:val="00CA1831"/>
    <w:rsid w:val="00CA201F"/>
    <w:rsid w:val="00CA23CF"/>
    <w:rsid w:val="00CA3DF1"/>
    <w:rsid w:val="00CA3E5B"/>
    <w:rsid w:val="00CA3F73"/>
    <w:rsid w:val="00CA4149"/>
    <w:rsid w:val="00CA47FA"/>
    <w:rsid w:val="00CA4857"/>
    <w:rsid w:val="00CA5304"/>
    <w:rsid w:val="00CA5675"/>
    <w:rsid w:val="00CA585C"/>
    <w:rsid w:val="00CA58BA"/>
    <w:rsid w:val="00CA5963"/>
    <w:rsid w:val="00CA5F1D"/>
    <w:rsid w:val="00CA6265"/>
    <w:rsid w:val="00CA67BB"/>
    <w:rsid w:val="00CA6D02"/>
    <w:rsid w:val="00CA6DC3"/>
    <w:rsid w:val="00CA737A"/>
    <w:rsid w:val="00CA76AF"/>
    <w:rsid w:val="00CA776F"/>
    <w:rsid w:val="00CA7B46"/>
    <w:rsid w:val="00CA7F32"/>
    <w:rsid w:val="00CB00C5"/>
    <w:rsid w:val="00CB0B7C"/>
    <w:rsid w:val="00CB1C9C"/>
    <w:rsid w:val="00CB2366"/>
    <w:rsid w:val="00CB294C"/>
    <w:rsid w:val="00CB29E2"/>
    <w:rsid w:val="00CB2AF1"/>
    <w:rsid w:val="00CB2C39"/>
    <w:rsid w:val="00CB33F5"/>
    <w:rsid w:val="00CB368D"/>
    <w:rsid w:val="00CB3F6A"/>
    <w:rsid w:val="00CB3F86"/>
    <w:rsid w:val="00CB414F"/>
    <w:rsid w:val="00CB470F"/>
    <w:rsid w:val="00CB4B88"/>
    <w:rsid w:val="00CB4C6C"/>
    <w:rsid w:val="00CB4DDD"/>
    <w:rsid w:val="00CB4EAF"/>
    <w:rsid w:val="00CB4FA2"/>
    <w:rsid w:val="00CB5CCA"/>
    <w:rsid w:val="00CB5DBD"/>
    <w:rsid w:val="00CB5FFE"/>
    <w:rsid w:val="00CB68DF"/>
    <w:rsid w:val="00CB68E3"/>
    <w:rsid w:val="00CB7284"/>
    <w:rsid w:val="00CB7423"/>
    <w:rsid w:val="00CB74D9"/>
    <w:rsid w:val="00CB7D5C"/>
    <w:rsid w:val="00CB7DEA"/>
    <w:rsid w:val="00CC0209"/>
    <w:rsid w:val="00CC1026"/>
    <w:rsid w:val="00CC15D0"/>
    <w:rsid w:val="00CC1A3C"/>
    <w:rsid w:val="00CC1F45"/>
    <w:rsid w:val="00CC2783"/>
    <w:rsid w:val="00CC2AE0"/>
    <w:rsid w:val="00CC2AE7"/>
    <w:rsid w:val="00CC2AFB"/>
    <w:rsid w:val="00CC2B13"/>
    <w:rsid w:val="00CC2EF6"/>
    <w:rsid w:val="00CC3221"/>
    <w:rsid w:val="00CC34CA"/>
    <w:rsid w:val="00CC3AA3"/>
    <w:rsid w:val="00CC3C5F"/>
    <w:rsid w:val="00CC3FBB"/>
    <w:rsid w:val="00CC4116"/>
    <w:rsid w:val="00CC4AE2"/>
    <w:rsid w:val="00CC4C65"/>
    <w:rsid w:val="00CC50DB"/>
    <w:rsid w:val="00CC5508"/>
    <w:rsid w:val="00CC56D7"/>
    <w:rsid w:val="00CC5D0A"/>
    <w:rsid w:val="00CC61D4"/>
    <w:rsid w:val="00CC62B6"/>
    <w:rsid w:val="00CC68BB"/>
    <w:rsid w:val="00CC765F"/>
    <w:rsid w:val="00CC78EE"/>
    <w:rsid w:val="00CC791D"/>
    <w:rsid w:val="00CC7A2A"/>
    <w:rsid w:val="00CC7D75"/>
    <w:rsid w:val="00CC7F8C"/>
    <w:rsid w:val="00CD0208"/>
    <w:rsid w:val="00CD0531"/>
    <w:rsid w:val="00CD07D5"/>
    <w:rsid w:val="00CD15DA"/>
    <w:rsid w:val="00CD1FA1"/>
    <w:rsid w:val="00CD2EE4"/>
    <w:rsid w:val="00CD3C64"/>
    <w:rsid w:val="00CD424F"/>
    <w:rsid w:val="00CD429E"/>
    <w:rsid w:val="00CD4986"/>
    <w:rsid w:val="00CD4B21"/>
    <w:rsid w:val="00CD4E00"/>
    <w:rsid w:val="00CD5292"/>
    <w:rsid w:val="00CD6869"/>
    <w:rsid w:val="00CD6D71"/>
    <w:rsid w:val="00CD6FAA"/>
    <w:rsid w:val="00CD73F1"/>
    <w:rsid w:val="00CD7667"/>
    <w:rsid w:val="00CD796A"/>
    <w:rsid w:val="00CE01F7"/>
    <w:rsid w:val="00CE09B6"/>
    <w:rsid w:val="00CE0B26"/>
    <w:rsid w:val="00CE0BB2"/>
    <w:rsid w:val="00CE0D61"/>
    <w:rsid w:val="00CE0EC8"/>
    <w:rsid w:val="00CE137D"/>
    <w:rsid w:val="00CE1398"/>
    <w:rsid w:val="00CE1499"/>
    <w:rsid w:val="00CE15B9"/>
    <w:rsid w:val="00CE1A7C"/>
    <w:rsid w:val="00CE2752"/>
    <w:rsid w:val="00CE3434"/>
    <w:rsid w:val="00CE3A4F"/>
    <w:rsid w:val="00CE3EC3"/>
    <w:rsid w:val="00CE4382"/>
    <w:rsid w:val="00CE48E5"/>
    <w:rsid w:val="00CE4975"/>
    <w:rsid w:val="00CE4998"/>
    <w:rsid w:val="00CE49A3"/>
    <w:rsid w:val="00CE4A22"/>
    <w:rsid w:val="00CE4A85"/>
    <w:rsid w:val="00CE521C"/>
    <w:rsid w:val="00CE5EEB"/>
    <w:rsid w:val="00CE6174"/>
    <w:rsid w:val="00CE672C"/>
    <w:rsid w:val="00CE68CA"/>
    <w:rsid w:val="00CE6C37"/>
    <w:rsid w:val="00CE7AA6"/>
    <w:rsid w:val="00CF0867"/>
    <w:rsid w:val="00CF098C"/>
    <w:rsid w:val="00CF1D8A"/>
    <w:rsid w:val="00CF2620"/>
    <w:rsid w:val="00CF2C57"/>
    <w:rsid w:val="00CF2F31"/>
    <w:rsid w:val="00CF3390"/>
    <w:rsid w:val="00CF3F17"/>
    <w:rsid w:val="00CF43EB"/>
    <w:rsid w:val="00CF4779"/>
    <w:rsid w:val="00CF4CA9"/>
    <w:rsid w:val="00CF50C0"/>
    <w:rsid w:val="00CF5EFD"/>
    <w:rsid w:val="00CF6842"/>
    <w:rsid w:val="00CF72BB"/>
    <w:rsid w:val="00CF7387"/>
    <w:rsid w:val="00CF7834"/>
    <w:rsid w:val="00CF783C"/>
    <w:rsid w:val="00D0088F"/>
    <w:rsid w:val="00D00DBE"/>
    <w:rsid w:val="00D014E4"/>
    <w:rsid w:val="00D01639"/>
    <w:rsid w:val="00D01B3B"/>
    <w:rsid w:val="00D01CCA"/>
    <w:rsid w:val="00D01CEF"/>
    <w:rsid w:val="00D02488"/>
    <w:rsid w:val="00D028DF"/>
    <w:rsid w:val="00D02B77"/>
    <w:rsid w:val="00D03A50"/>
    <w:rsid w:val="00D04778"/>
    <w:rsid w:val="00D04916"/>
    <w:rsid w:val="00D05227"/>
    <w:rsid w:val="00D052AF"/>
    <w:rsid w:val="00D052B4"/>
    <w:rsid w:val="00D055F8"/>
    <w:rsid w:val="00D057BC"/>
    <w:rsid w:val="00D05FBA"/>
    <w:rsid w:val="00D06355"/>
    <w:rsid w:val="00D0678A"/>
    <w:rsid w:val="00D07109"/>
    <w:rsid w:val="00D073FB"/>
    <w:rsid w:val="00D07E62"/>
    <w:rsid w:val="00D07EEB"/>
    <w:rsid w:val="00D07F46"/>
    <w:rsid w:val="00D07FFA"/>
    <w:rsid w:val="00D101B7"/>
    <w:rsid w:val="00D1091E"/>
    <w:rsid w:val="00D11314"/>
    <w:rsid w:val="00D1147E"/>
    <w:rsid w:val="00D11666"/>
    <w:rsid w:val="00D118C9"/>
    <w:rsid w:val="00D12481"/>
    <w:rsid w:val="00D1324B"/>
    <w:rsid w:val="00D1343C"/>
    <w:rsid w:val="00D1399A"/>
    <w:rsid w:val="00D13AAD"/>
    <w:rsid w:val="00D13D30"/>
    <w:rsid w:val="00D1401E"/>
    <w:rsid w:val="00D14111"/>
    <w:rsid w:val="00D143DB"/>
    <w:rsid w:val="00D149BD"/>
    <w:rsid w:val="00D14DDB"/>
    <w:rsid w:val="00D154F4"/>
    <w:rsid w:val="00D156F2"/>
    <w:rsid w:val="00D15779"/>
    <w:rsid w:val="00D15A54"/>
    <w:rsid w:val="00D1605D"/>
    <w:rsid w:val="00D1676D"/>
    <w:rsid w:val="00D167BC"/>
    <w:rsid w:val="00D16A5C"/>
    <w:rsid w:val="00D16C44"/>
    <w:rsid w:val="00D17250"/>
    <w:rsid w:val="00D17C51"/>
    <w:rsid w:val="00D20865"/>
    <w:rsid w:val="00D20880"/>
    <w:rsid w:val="00D20A79"/>
    <w:rsid w:val="00D20DE6"/>
    <w:rsid w:val="00D2117F"/>
    <w:rsid w:val="00D22035"/>
    <w:rsid w:val="00D22AE6"/>
    <w:rsid w:val="00D22FBB"/>
    <w:rsid w:val="00D23029"/>
    <w:rsid w:val="00D2337E"/>
    <w:rsid w:val="00D2408B"/>
    <w:rsid w:val="00D242A2"/>
    <w:rsid w:val="00D24B1B"/>
    <w:rsid w:val="00D24EEB"/>
    <w:rsid w:val="00D259CA"/>
    <w:rsid w:val="00D262F4"/>
    <w:rsid w:val="00D272EC"/>
    <w:rsid w:val="00D273A4"/>
    <w:rsid w:val="00D27594"/>
    <w:rsid w:val="00D27879"/>
    <w:rsid w:val="00D27AC8"/>
    <w:rsid w:val="00D27CC0"/>
    <w:rsid w:val="00D27D0E"/>
    <w:rsid w:val="00D27D41"/>
    <w:rsid w:val="00D27EAD"/>
    <w:rsid w:val="00D3049B"/>
    <w:rsid w:val="00D30B96"/>
    <w:rsid w:val="00D30C3B"/>
    <w:rsid w:val="00D30F2E"/>
    <w:rsid w:val="00D31A35"/>
    <w:rsid w:val="00D31C02"/>
    <w:rsid w:val="00D31C64"/>
    <w:rsid w:val="00D31CC4"/>
    <w:rsid w:val="00D32016"/>
    <w:rsid w:val="00D320B3"/>
    <w:rsid w:val="00D3295A"/>
    <w:rsid w:val="00D32B9F"/>
    <w:rsid w:val="00D32E17"/>
    <w:rsid w:val="00D334A0"/>
    <w:rsid w:val="00D336A9"/>
    <w:rsid w:val="00D33AD0"/>
    <w:rsid w:val="00D34610"/>
    <w:rsid w:val="00D34AE1"/>
    <w:rsid w:val="00D3529E"/>
    <w:rsid w:val="00D35E95"/>
    <w:rsid w:val="00D36125"/>
    <w:rsid w:val="00D36179"/>
    <w:rsid w:val="00D365D3"/>
    <w:rsid w:val="00D366CB"/>
    <w:rsid w:val="00D36998"/>
    <w:rsid w:val="00D36A7E"/>
    <w:rsid w:val="00D36CA2"/>
    <w:rsid w:val="00D375F4"/>
    <w:rsid w:val="00D37B2E"/>
    <w:rsid w:val="00D40120"/>
    <w:rsid w:val="00D40145"/>
    <w:rsid w:val="00D401A5"/>
    <w:rsid w:val="00D40506"/>
    <w:rsid w:val="00D4067B"/>
    <w:rsid w:val="00D40874"/>
    <w:rsid w:val="00D40B0C"/>
    <w:rsid w:val="00D40D5E"/>
    <w:rsid w:val="00D40FBC"/>
    <w:rsid w:val="00D41532"/>
    <w:rsid w:val="00D415F0"/>
    <w:rsid w:val="00D4186F"/>
    <w:rsid w:val="00D41878"/>
    <w:rsid w:val="00D4209A"/>
    <w:rsid w:val="00D427E3"/>
    <w:rsid w:val="00D42961"/>
    <w:rsid w:val="00D434AF"/>
    <w:rsid w:val="00D43A68"/>
    <w:rsid w:val="00D447E5"/>
    <w:rsid w:val="00D44D9C"/>
    <w:rsid w:val="00D44E25"/>
    <w:rsid w:val="00D4527C"/>
    <w:rsid w:val="00D459DB"/>
    <w:rsid w:val="00D45D5C"/>
    <w:rsid w:val="00D46697"/>
    <w:rsid w:val="00D46861"/>
    <w:rsid w:val="00D46A24"/>
    <w:rsid w:val="00D46AF2"/>
    <w:rsid w:val="00D46BFA"/>
    <w:rsid w:val="00D47047"/>
    <w:rsid w:val="00D477D1"/>
    <w:rsid w:val="00D500B2"/>
    <w:rsid w:val="00D50280"/>
    <w:rsid w:val="00D502FF"/>
    <w:rsid w:val="00D504FB"/>
    <w:rsid w:val="00D506B4"/>
    <w:rsid w:val="00D50A66"/>
    <w:rsid w:val="00D51164"/>
    <w:rsid w:val="00D5130A"/>
    <w:rsid w:val="00D51901"/>
    <w:rsid w:val="00D51CB1"/>
    <w:rsid w:val="00D51FFD"/>
    <w:rsid w:val="00D5250A"/>
    <w:rsid w:val="00D52CF5"/>
    <w:rsid w:val="00D5327E"/>
    <w:rsid w:val="00D53B2C"/>
    <w:rsid w:val="00D53D4C"/>
    <w:rsid w:val="00D5423E"/>
    <w:rsid w:val="00D54FCB"/>
    <w:rsid w:val="00D55041"/>
    <w:rsid w:val="00D55DC3"/>
    <w:rsid w:val="00D56031"/>
    <w:rsid w:val="00D56093"/>
    <w:rsid w:val="00D56378"/>
    <w:rsid w:val="00D566EB"/>
    <w:rsid w:val="00D570DA"/>
    <w:rsid w:val="00D57516"/>
    <w:rsid w:val="00D57A19"/>
    <w:rsid w:val="00D60290"/>
    <w:rsid w:val="00D60528"/>
    <w:rsid w:val="00D60BEE"/>
    <w:rsid w:val="00D60C1C"/>
    <w:rsid w:val="00D6163A"/>
    <w:rsid w:val="00D61A5E"/>
    <w:rsid w:val="00D61E9F"/>
    <w:rsid w:val="00D62C5C"/>
    <w:rsid w:val="00D62C67"/>
    <w:rsid w:val="00D63EE2"/>
    <w:rsid w:val="00D63F3E"/>
    <w:rsid w:val="00D6420A"/>
    <w:rsid w:val="00D64603"/>
    <w:rsid w:val="00D64AAA"/>
    <w:rsid w:val="00D6516C"/>
    <w:rsid w:val="00D6528F"/>
    <w:rsid w:val="00D652D5"/>
    <w:rsid w:val="00D655CD"/>
    <w:rsid w:val="00D65B29"/>
    <w:rsid w:val="00D66109"/>
    <w:rsid w:val="00D66F19"/>
    <w:rsid w:val="00D679BA"/>
    <w:rsid w:val="00D71284"/>
    <w:rsid w:val="00D71333"/>
    <w:rsid w:val="00D7147D"/>
    <w:rsid w:val="00D7151F"/>
    <w:rsid w:val="00D71A8E"/>
    <w:rsid w:val="00D72584"/>
    <w:rsid w:val="00D726D1"/>
    <w:rsid w:val="00D72889"/>
    <w:rsid w:val="00D72BA8"/>
    <w:rsid w:val="00D72F2E"/>
    <w:rsid w:val="00D73250"/>
    <w:rsid w:val="00D73287"/>
    <w:rsid w:val="00D7393E"/>
    <w:rsid w:val="00D74675"/>
    <w:rsid w:val="00D74AAF"/>
    <w:rsid w:val="00D74BD8"/>
    <w:rsid w:val="00D74D68"/>
    <w:rsid w:val="00D74D86"/>
    <w:rsid w:val="00D75A00"/>
    <w:rsid w:val="00D75BA1"/>
    <w:rsid w:val="00D76646"/>
    <w:rsid w:val="00D7771D"/>
    <w:rsid w:val="00D77929"/>
    <w:rsid w:val="00D77CA5"/>
    <w:rsid w:val="00D77DE5"/>
    <w:rsid w:val="00D800A2"/>
    <w:rsid w:val="00D80473"/>
    <w:rsid w:val="00D80786"/>
    <w:rsid w:val="00D81125"/>
    <w:rsid w:val="00D81BD0"/>
    <w:rsid w:val="00D820A5"/>
    <w:rsid w:val="00D828A2"/>
    <w:rsid w:val="00D828C8"/>
    <w:rsid w:val="00D82ABA"/>
    <w:rsid w:val="00D82CD8"/>
    <w:rsid w:val="00D8364B"/>
    <w:rsid w:val="00D8383F"/>
    <w:rsid w:val="00D83ED7"/>
    <w:rsid w:val="00D84B71"/>
    <w:rsid w:val="00D85774"/>
    <w:rsid w:val="00D85CBB"/>
    <w:rsid w:val="00D862E9"/>
    <w:rsid w:val="00D863DC"/>
    <w:rsid w:val="00D86476"/>
    <w:rsid w:val="00D86626"/>
    <w:rsid w:val="00D8675F"/>
    <w:rsid w:val="00D86ACB"/>
    <w:rsid w:val="00D86D79"/>
    <w:rsid w:val="00D86E09"/>
    <w:rsid w:val="00D86EC4"/>
    <w:rsid w:val="00D872D9"/>
    <w:rsid w:val="00D87803"/>
    <w:rsid w:val="00D87DA6"/>
    <w:rsid w:val="00D87F1E"/>
    <w:rsid w:val="00D87FEF"/>
    <w:rsid w:val="00D90580"/>
    <w:rsid w:val="00D90C40"/>
    <w:rsid w:val="00D90C98"/>
    <w:rsid w:val="00D91263"/>
    <w:rsid w:val="00D91730"/>
    <w:rsid w:val="00D91AC2"/>
    <w:rsid w:val="00D9232C"/>
    <w:rsid w:val="00D92602"/>
    <w:rsid w:val="00D9267D"/>
    <w:rsid w:val="00D926B0"/>
    <w:rsid w:val="00D92E1F"/>
    <w:rsid w:val="00D940F3"/>
    <w:rsid w:val="00D943F1"/>
    <w:rsid w:val="00D945D4"/>
    <w:rsid w:val="00D948AE"/>
    <w:rsid w:val="00D94BD5"/>
    <w:rsid w:val="00D94F56"/>
    <w:rsid w:val="00D95161"/>
    <w:rsid w:val="00D95642"/>
    <w:rsid w:val="00D95A64"/>
    <w:rsid w:val="00D95F01"/>
    <w:rsid w:val="00D961A4"/>
    <w:rsid w:val="00D9642B"/>
    <w:rsid w:val="00D9678B"/>
    <w:rsid w:val="00D96D13"/>
    <w:rsid w:val="00D97733"/>
    <w:rsid w:val="00D97B6A"/>
    <w:rsid w:val="00D97C7B"/>
    <w:rsid w:val="00DA01DE"/>
    <w:rsid w:val="00DA01E5"/>
    <w:rsid w:val="00DA02FE"/>
    <w:rsid w:val="00DA0309"/>
    <w:rsid w:val="00DA05A3"/>
    <w:rsid w:val="00DA06E6"/>
    <w:rsid w:val="00DA08AA"/>
    <w:rsid w:val="00DA0DB2"/>
    <w:rsid w:val="00DA0DB4"/>
    <w:rsid w:val="00DA0FF1"/>
    <w:rsid w:val="00DA1CDD"/>
    <w:rsid w:val="00DA223E"/>
    <w:rsid w:val="00DA2D28"/>
    <w:rsid w:val="00DA327E"/>
    <w:rsid w:val="00DA3B19"/>
    <w:rsid w:val="00DA3BA7"/>
    <w:rsid w:val="00DA3EB1"/>
    <w:rsid w:val="00DA43AF"/>
    <w:rsid w:val="00DA4653"/>
    <w:rsid w:val="00DA4AFB"/>
    <w:rsid w:val="00DA52C1"/>
    <w:rsid w:val="00DA55F3"/>
    <w:rsid w:val="00DA583F"/>
    <w:rsid w:val="00DA5978"/>
    <w:rsid w:val="00DA5E31"/>
    <w:rsid w:val="00DA6877"/>
    <w:rsid w:val="00DA6FC6"/>
    <w:rsid w:val="00DA7741"/>
    <w:rsid w:val="00DA7794"/>
    <w:rsid w:val="00DA7843"/>
    <w:rsid w:val="00DA7A7C"/>
    <w:rsid w:val="00DA7C45"/>
    <w:rsid w:val="00DB03F7"/>
    <w:rsid w:val="00DB0458"/>
    <w:rsid w:val="00DB0B8E"/>
    <w:rsid w:val="00DB0FD6"/>
    <w:rsid w:val="00DB1299"/>
    <w:rsid w:val="00DB3318"/>
    <w:rsid w:val="00DB35A0"/>
    <w:rsid w:val="00DB3C44"/>
    <w:rsid w:val="00DB3D5F"/>
    <w:rsid w:val="00DB4239"/>
    <w:rsid w:val="00DB4398"/>
    <w:rsid w:val="00DB43B7"/>
    <w:rsid w:val="00DB448C"/>
    <w:rsid w:val="00DB47A6"/>
    <w:rsid w:val="00DB4AF6"/>
    <w:rsid w:val="00DB4C43"/>
    <w:rsid w:val="00DB4FCC"/>
    <w:rsid w:val="00DB56D6"/>
    <w:rsid w:val="00DB62C3"/>
    <w:rsid w:val="00DB7086"/>
    <w:rsid w:val="00DB7194"/>
    <w:rsid w:val="00DB7201"/>
    <w:rsid w:val="00DB7E83"/>
    <w:rsid w:val="00DB7F1E"/>
    <w:rsid w:val="00DC011A"/>
    <w:rsid w:val="00DC049D"/>
    <w:rsid w:val="00DC1335"/>
    <w:rsid w:val="00DC1377"/>
    <w:rsid w:val="00DC14A6"/>
    <w:rsid w:val="00DC18D0"/>
    <w:rsid w:val="00DC1A94"/>
    <w:rsid w:val="00DC1BAE"/>
    <w:rsid w:val="00DC2A7E"/>
    <w:rsid w:val="00DC3B9E"/>
    <w:rsid w:val="00DC46A3"/>
    <w:rsid w:val="00DC4E9C"/>
    <w:rsid w:val="00DC4EDD"/>
    <w:rsid w:val="00DC500F"/>
    <w:rsid w:val="00DC52DC"/>
    <w:rsid w:val="00DC56F8"/>
    <w:rsid w:val="00DC5AED"/>
    <w:rsid w:val="00DC5B2C"/>
    <w:rsid w:val="00DC5EA0"/>
    <w:rsid w:val="00DC6063"/>
    <w:rsid w:val="00DC63F5"/>
    <w:rsid w:val="00DC65F2"/>
    <w:rsid w:val="00DC680C"/>
    <w:rsid w:val="00DC7036"/>
    <w:rsid w:val="00DC7880"/>
    <w:rsid w:val="00DC792C"/>
    <w:rsid w:val="00DC7C7B"/>
    <w:rsid w:val="00DC7DD1"/>
    <w:rsid w:val="00DD00F2"/>
    <w:rsid w:val="00DD0160"/>
    <w:rsid w:val="00DD025B"/>
    <w:rsid w:val="00DD0C80"/>
    <w:rsid w:val="00DD0E96"/>
    <w:rsid w:val="00DD0F45"/>
    <w:rsid w:val="00DD164D"/>
    <w:rsid w:val="00DD1C62"/>
    <w:rsid w:val="00DD2442"/>
    <w:rsid w:val="00DD247D"/>
    <w:rsid w:val="00DD291C"/>
    <w:rsid w:val="00DD2F59"/>
    <w:rsid w:val="00DD2F74"/>
    <w:rsid w:val="00DD3074"/>
    <w:rsid w:val="00DD3666"/>
    <w:rsid w:val="00DD3A73"/>
    <w:rsid w:val="00DD41AC"/>
    <w:rsid w:val="00DD44DB"/>
    <w:rsid w:val="00DD44F2"/>
    <w:rsid w:val="00DD45F0"/>
    <w:rsid w:val="00DD4911"/>
    <w:rsid w:val="00DD4F0B"/>
    <w:rsid w:val="00DD4FBA"/>
    <w:rsid w:val="00DD5140"/>
    <w:rsid w:val="00DD57CF"/>
    <w:rsid w:val="00DD58D8"/>
    <w:rsid w:val="00DD5BC1"/>
    <w:rsid w:val="00DD620D"/>
    <w:rsid w:val="00DD6833"/>
    <w:rsid w:val="00DD6848"/>
    <w:rsid w:val="00DD6C46"/>
    <w:rsid w:val="00DD6E89"/>
    <w:rsid w:val="00DD73CB"/>
    <w:rsid w:val="00DD7AEC"/>
    <w:rsid w:val="00DE00C7"/>
    <w:rsid w:val="00DE0428"/>
    <w:rsid w:val="00DE046D"/>
    <w:rsid w:val="00DE0EC0"/>
    <w:rsid w:val="00DE0FAC"/>
    <w:rsid w:val="00DE1458"/>
    <w:rsid w:val="00DE1745"/>
    <w:rsid w:val="00DE1790"/>
    <w:rsid w:val="00DE1A1D"/>
    <w:rsid w:val="00DE2111"/>
    <w:rsid w:val="00DE2A48"/>
    <w:rsid w:val="00DE2AB3"/>
    <w:rsid w:val="00DE2AE8"/>
    <w:rsid w:val="00DE2FA2"/>
    <w:rsid w:val="00DE318E"/>
    <w:rsid w:val="00DE3355"/>
    <w:rsid w:val="00DE3477"/>
    <w:rsid w:val="00DE4538"/>
    <w:rsid w:val="00DE4838"/>
    <w:rsid w:val="00DE4887"/>
    <w:rsid w:val="00DE4A0A"/>
    <w:rsid w:val="00DE4FF1"/>
    <w:rsid w:val="00DE507A"/>
    <w:rsid w:val="00DE522E"/>
    <w:rsid w:val="00DE52F5"/>
    <w:rsid w:val="00DE5303"/>
    <w:rsid w:val="00DE64F7"/>
    <w:rsid w:val="00DE6866"/>
    <w:rsid w:val="00DE6A73"/>
    <w:rsid w:val="00DE6E29"/>
    <w:rsid w:val="00DE6ED3"/>
    <w:rsid w:val="00DE7245"/>
    <w:rsid w:val="00DE7D43"/>
    <w:rsid w:val="00DF093B"/>
    <w:rsid w:val="00DF0E8A"/>
    <w:rsid w:val="00DF11BC"/>
    <w:rsid w:val="00DF1960"/>
    <w:rsid w:val="00DF19D0"/>
    <w:rsid w:val="00DF1DA8"/>
    <w:rsid w:val="00DF21D3"/>
    <w:rsid w:val="00DF28F7"/>
    <w:rsid w:val="00DF2B32"/>
    <w:rsid w:val="00DF306D"/>
    <w:rsid w:val="00DF33D3"/>
    <w:rsid w:val="00DF3A8F"/>
    <w:rsid w:val="00DF3B14"/>
    <w:rsid w:val="00DF3C1F"/>
    <w:rsid w:val="00DF3D49"/>
    <w:rsid w:val="00DF3D50"/>
    <w:rsid w:val="00DF3F23"/>
    <w:rsid w:val="00DF4109"/>
    <w:rsid w:val="00DF444B"/>
    <w:rsid w:val="00DF45A1"/>
    <w:rsid w:val="00DF4B97"/>
    <w:rsid w:val="00DF5219"/>
    <w:rsid w:val="00DF54F2"/>
    <w:rsid w:val="00DF5CDC"/>
    <w:rsid w:val="00DF5EF5"/>
    <w:rsid w:val="00DF60F5"/>
    <w:rsid w:val="00DF6472"/>
    <w:rsid w:val="00DF650C"/>
    <w:rsid w:val="00DF6A11"/>
    <w:rsid w:val="00DF6C0E"/>
    <w:rsid w:val="00DF71DD"/>
    <w:rsid w:val="00DF7B60"/>
    <w:rsid w:val="00DF7DC9"/>
    <w:rsid w:val="00E00248"/>
    <w:rsid w:val="00E00354"/>
    <w:rsid w:val="00E00564"/>
    <w:rsid w:val="00E00585"/>
    <w:rsid w:val="00E005E5"/>
    <w:rsid w:val="00E015A7"/>
    <w:rsid w:val="00E015B6"/>
    <w:rsid w:val="00E01649"/>
    <w:rsid w:val="00E0166D"/>
    <w:rsid w:val="00E01BD2"/>
    <w:rsid w:val="00E01CCF"/>
    <w:rsid w:val="00E02390"/>
    <w:rsid w:val="00E02517"/>
    <w:rsid w:val="00E02602"/>
    <w:rsid w:val="00E028E6"/>
    <w:rsid w:val="00E02A79"/>
    <w:rsid w:val="00E0305E"/>
    <w:rsid w:val="00E03408"/>
    <w:rsid w:val="00E04432"/>
    <w:rsid w:val="00E04909"/>
    <w:rsid w:val="00E04AEB"/>
    <w:rsid w:val="00E04D92"/>
    <w:rsid w:val="00E050C7"/>
    <w:rsid w:val="00E05F38"/>
    <w:rsid w:val="00E05F67"/>
    <w:rsid w:val="00E0603F"/>
    <w:rsid w:val="00E06105"/>
    <w:rsid w:val="00E069A2"/>
    <w:rsid w:val="00E06CDA"/>
    <w:rsid w:val="00E071BE"/>
    <w:rsid w:val="00E07319"/>
    <w:rsid w:val="00E0791B"/>
    <w:rsid w:val="00E1032B"/>
    <w:rsid w:val="00E104C3"/>
    <w:rsid w:val="00E10807"/>
    <w:rsid w:val="00E111FF"/>
    <w:rsid w:val="00E119B4"/>
    <w:rsid w:val="00E11C29"/>
    <w:rsid w:val="00E12ABC"/>
    <w:rsid w:val="00E12BD5"/>
    <w:rsid w:val="00E12C7E"/>
    <w:rsid w:val="00E12D20"/>
    <w:rsid w:val="00E12D2F"/>
    <w:rsid w:val="00E13D77"/>
    <w:rsid w:val="00E14B5B"/>
    <w:rsid w:val="00E15263"/>
    <w:rsid w:val="00E156B7"/>
    <w:rsid w:val="00E1584B"/>
    <w:rsid w:val="00E15E2D"/>
    <w:rsid w:val="00E16CF5"/>
    <w:rsid w:val="00E16FF2"/>
    <w:rsid w:val="00E171FF"/>
    <w:rsid w:val="00E17A36"/>
    <w:rsid w:val="00E200CA"/>
    <w:rsid w:val="00E20395"/>
    <w:rsid w:val="00E205E9"/>
    <w:rsid w:val="00E206E2"/>
    <w:rsid w:val="00E2092B"/>
    <w:rsid w:val="00E20C1E"/>
    <w:rsid w:val="00E217F7"/>
    <w:rsid w:val="00E21A90"/>
    <w:rsid w:val="00E21C28"/>
    <w:rsid w:val="00E21CDF"/>
    <w:rsid w:val="00E21E2A"/>
    <w:rsid w:val="00E21F4A"/>
    <w:rsid w:val="00E22482"/>
    <w:rsid w:val="00E22D6E"/>
    <w:rsid w:val="00E22EE6"/>
    <w:rsid w:val="00E22FE1"/>
    <w:rsid w:val="00E23DB1"/>
    <w:rsid w:val="00E23FCD"/>
    <w:rsid w:val="00E24181"/>
    <w:rsid w:val="00E24EB7"/>
    <w:rsid w:val="00E26A28"/>
    <w:rsid w:val="00E26C49"/>
    <w:rsid w:val="00E26E31"/>
    <w:rsid w:val="00E27331"/>
    <w:rsid w:val="00E2742A"/>
    <w:rsid w:val="00E27BC2"/>
    <w:rsid w:val="00E306A1"/>
    <w:rsid w:val="00E311C6"/>
    <w:rsid w:val="00E31416"/>
    <w:rsid w:val="00E315DF"/>
    <w:rsid w:val="00E318F7"/>
    <w:rsid w:val="00E3212E"/>
    <w:rsid w:val="00E32172"/>
    <w:rsid w:val="00E328FC"/>
    <w:rsid w:val="00E32ACF"/>
    <w:rsid w:val="00E32AE5"/>
    <w:rsid w:val="00E32DCF"/>
    <w:rsid w:val="00E3326A"/>
    <w:rsid w:val="00E337DF"/>
    <w:rsid w:val="00E33957"/>
    <w:rsid w:val="00E3396A"/>
    <w:rsid w:val="00E33C09"/>
    <w:rsid w:val="00E33F4B"/>
    <w:rsid w:val="00E34179"/>
    <w:rsid w:val="00E3437B"/>
    <w:rsid w:val="00E34A13"/>
    <w:rsid w:val="00E34A32"/>
    <w:rsid w:val="00E358A0"/>
    <w:rsid w:val="00E36CF5"/>
    <w:rsid w:val="00E36FC1"/>
    <w:rsid w:val="00E37091"/>
    <w:rsid w:val="00E37C89"/>
    <w:rsid w:val="00E401DC"/>
    <w:rsid w:val="00E40AFD"/>
    <w:rsid w:val="00E40D2D"/>
    <w:rsid w:val="00E40D7E"/>
    <w:rsid w:val="00E417B5"/>
    <w:rsid w:val="00E4186E"/>
    <w:rsid w:val="00E41FE2"/>
    <w:rsid w:val="00E420D2"/>
    <w:rsid w:val="00E42640"/>
    <w:rsid w:val="00E43085"/>
    <w:rsid w:val="00E43102"/>
    <w:rsid w:val="00E43117"/>
    <w:rsid w:val="00E43C40"/>
    <w:rsid w:val="00E44285"/>
    <w:rsid w:val="00E44327"/>
    <w:rsid w:val="00E44454"/>
    <w:rsid w:val="00E444B9"/>
    <w:rsid w:val="00E4465C"/>
    <w:rsid w:val="00E449A3"/>
    <w:rsid w:val="00E44DD3"/>
    <w:rsid w:val="00E44E82"/>
    <w:rsid w:val="00E44FFF"/>
    <w:rsid w:val="00E4544F"/>
    <w:rsid w:val="00E45510"/>
    <w:rsid w:val="00E458C3"/>
    <w:rsid w:val="00E460C7"/>
    <w:rsid w:val="00E46838"/>
    <w:rsid w:val="00E4685E"/>
    <w:rsid w:val="00E46B85"/>
    <w:rsid w:val="00E46BD9"/>
    <w:rsid w:val="00E46DE5"/>
    <w:rsid w:val="00E46F95"/>
    <w:rsid w:val="00E47608"/>
    <w:rsid w:val="00E47DCD"/>
    <w:rsid w:val="00E47EF2"/>
    <w:rsid w:val="00E500A0"/>
    <w:rsid w:val="00E500BB"/>
    <w:rsid w:val="00E50323"/>
    <w:rsid w:val="00E50AD7"/>
    <w:rsid w:val="00E51042"/>
    <w:rsid w:val="00E511A6"/>
    <w:rsid w:val="00E513C9"/>
    <w:rsid w:val="00E5188F"/>
    <w:rsid w:val="00E5190F"/>
    <w:rsid w:val="00E52411"/>
    <w:rsid w:val="00E52515"/>
    <w:rsid w:val="00E52613"/>
    <w:rsid w:val="00E5298E"/>
    <w:rsid w:val="00E52F2A"/>
    <w:rsid w:val="00E532DA"/>
    <w:rsid w:val="00E538C3"/>
    <w:rsid w:val="00E53B4E"/>
    <w:rsid w:val="00E53F40"/>
    <w:rsid w:val="00E53FB2"/>
    <w:rsid w:val="00E5462B"/>
    <w:rsid w:val="00E5473A"/>
    <w:rsid w:val="00E548A4"/>
    <w:rsid w:val="00E54E13"/>
    <w:rsid w:val="00E555F8"/>
    <w:rsid w:val="00E561B7"/>
    <w:rsid w:val="00E564E5"/>
    <w:rsid w:val="00E564F0"/>
    <w:rsid w:val="00E56B21"/>
    <w:rsid w:val="00E5718E"/>
    <w:rsid w:val="00E57B62"/>
    <w:rsid w:val="00E612C0"/>
    <w:rsid w:val="00E61C1B"/>
    <w:rsid w:val="00E61EBE"/>
    <w:rsid w:val="00E61FE4"/>
    <w:rsid w:val="00E62053"/>
    <w:rsid w:val="00E62C78"/>
    <w:rsid w:val="00E634D1"/>
    <w:rsid w:val="00E63533"/>
    <w:rsid w:val="00E636C5"/>
    <w:rsid w:val="00E63A07"/>
    <w:rsid w:val="00E63E13"/>
    <w:rsid w:val="00E6403C"/>
    <w:rsid w:val="00E642BC"/>
    <w:rsid w:val="00E64D1F"/>
    <w:rsid w:val="00E659CE"/>
    <w:rsid w:val="00E65A2D"/>
    <w:rsid w:val="00E65C3F"/>
    <w:rsid w:val="00E65DE5"/>
    <w:rsid w:val="00E6639B"/>
    <w:rsid w:val="00E6658D"/>
    <w:rsid w:val="00E66753"/>
    <w:rsid w:val="00E66816"/>
    <w:rsid w:val="00E66EB6"/>
    <w:rsid w:val="00E66F40"/>
    <w:rsid w:val="00E67533"/>
    <w:rsid w:val="00E675E4"/>
    <w:rsid w:val="00E67792"/>
    <w:rsid w:val="00E67E17"/>
    <w:rsid w:val="00E7019C"/>
    <w:rsid w:val="00E70F40"/>
    <w:rsid w:val="00E7200A"/>
    <w:rsid w:val="00E720FE"/>
    <w:rsid w:val="00E72174"/>
    <w:rsid w:val="00E72337"/>
    <w:rsid w:val="00E72344"/>
    <w:rsid w:val="00E723E9"/>
    <w:rsid w:val="00E726F4"/>
    <w:rsid w:val="00E72AAE"/>
    <w:rsid w:val="00E72B81"/>
    <w:rsid w:val="00E72F17"/>
    <w:rsid w:val="00E73290"/>
    <w:rsid w:val="00E733D3"/>
    <w:rsid w:val="00E733F4"/>
    <w:rsid w:val="00E73A10"/>
    <w:rsid w:val="00E73A1C"/>
    <w:rsid w:val="00E73A35"/>
    <w:rsid w:val="00E744C2"/>
    <w:rsid w:val="00E745B7"/>
    <w:rsid w:val="00E74B53"/>
    <w:rsid w:val="00E74E7E"/>
    <w:rsid w:val="00E75336"/>
    <w:rsid w:val="00E75C81"/>
    <w:rsid w:val="00E765E4"/>
    <w:rsid w:val="00E7666F"/>
    <w:rsid w:val="00E766B6"/>
    <w:rsid w:val="00E7690B"/>
    <w:rsid w:val="00E77D71"/>
    <w:rsid w:val="00E804D9"/>
    <w:rsid w:val="00E807C9"/>
    <w:rsid w:val="00E80AC1"/>
    <w:rsid w:val="00E813D1"/>
    <w:rsid w:val="00E815AA"/>
    <w:rsid w:val="00E828A4"/>
    <w:rsid w:val="00E82DDC"/>
    <w:rsid w:val="00E83675"/>
    <w:rsid w:val="00E83B5C"/>
    <w:rsid w:val="00E83C60"/>
    <w:rsid w:val="00E83F1B"/>
    <w:rsid w:val="00E840BA"/>
    <w:rsid w:val="00E84367"/>
    <w:rsid w:val="00E843D7"/>
    <w:rsid w:val="00E844B1"/>
    <w:rsid w:val="00E846C3"/>
    <w:rsid w:val="00E8498A"/>
    <w:rsid w:val="00E84A19"/>
    <w:rsid w:val="00E84C11"/>
    <w:rsid w:val="00E8531D"/>
    <w:rsid w:val="00E8548B"/>
    <w:rsid w:val="00E8575F"/>
    <w:rsid w:val="00E8597F"/>
    <w:rsid w:val="00E86219"/>
    <w:rsid w:val="00E87312"/>
    <w:rsid w:val="00E87492"/>
    <w:rsid w:val="00E8781B"/>
    <w:rsid w:val="00E8795B"/>
    <w:rsid w:val="00E87CA3"/>
    <w:rsid w:val="00E90260"/>
    <w:rsid w:val="00E904C5"/>
    <w:rsid w:val="00E90923"/>
    <w:rsid w:val="00E90A35"/>
    <w:rsid w:val="00E90C3C"/>
    <w:rsid w:val="00E90D45"/>
    <w:rsid w:val="00E90F2A"/>
    <w:rsid w:val="00E912C1"/>
    <w:rsid w:val="00E9171D"/>
    <w:rsid w:val="00E91EE7"/>
    <w:rsid w:val="00E9226A"/>
    <w:rsid w:val="00E9251D"/>
    <w:rsid w:val="00E9262E"/>
    <w:rsid w:val="00E92736"/>
    <w:rsid w:val="00E928DE"/>
    <w:rsid w:val="00E92FF4"/>
    <w:rsid w:val="00E932EB"/>
    <w:rsid w:val="00E93542"/>
    <w:rsid w:val="00E93858"/>
    <w:rsid w:val="00E938B6"/>
    <w:rsid w:val="00E93D05"/>
    <w:rsid w:val="00E93F5C"/>
    <w:rsid w:val="00E943AE"/>
    <w:rsid w:val="00E95280"/>
    <w:rsid w:val="00E95374"/>
    <w:rsid w:val="00E95B04"/>
    <w:rsid w:val="00E966B3"/>
    <w:rsid w:val="00E9678E"/>
    <w:rsid w:val="00E96997"/>
    <w:rsid w:val="00E96CB5"/>
    <w:rsid w:val="00EA01B2"/>
    <w:rsid w:val="00EA0C24"/>
    <w:rsid w:val="00EA0FB0"/>
    <w:rsid w:val="00EA152D"/>
    <w:rsid w:val="00EA1C15"/>
    <w:rsid w:val="00EA2037"/>
    <w:rsid w:val="00EA2178"/>
    <w:rsid w:val="00EA2845"/>
    <w:rsid w:val="00EA2A56"/>
    <w:rsid w:val="00EA31E0"/>
    <w:rsid w:val="00EA36BD"/>
    <w:rsid w:val="00EA49DF"/>
    <w:rsid w:val="00EA4AE7"/>
    <w:rsid w:val="00EA52CF"/>
    <w:rsid w:val="00EA58B0"/>
    <w:rsid w:val="00EA591D"/>
    <w:rsid w:val="00EA5A25"/>
    <w:rsid w:val="00EA636B"/>
    <w:rsid w:val="00EA64E3"/>
    <w:rsid w:val="00EA693E"/>
    <w:rsid w:val="00EA6E8F"/>
    <w:rsid w:val="00EA72A7"/>
    <w:rsid w:val="00EA736D"/>
    <w:rsid w:val="00EA7ABD"/>
    <w:rsid w:val="00EB0107"/>
    <w:rsid w:val="00EB0276"/>
    <w:rsid w:val="00EB034B"/>
    <w:rsid w:val="00EB0AA7"/>
    <w:rsid w:val="00EB0B72"/>
    <w:rsid w:val="00EB0CF9"/>
    <w:rsid w:val="00EB0DD3"/>
    <w:rsid w:val="00EB143D"/>
    <w:rsid w:val="00EB1B20"/>
    <w:rsid w:val="00EB1B4F"/>
    <w:rsid w:val="00EB1D7C"/>
    <w:rsid w:val="00EB1F56"/>
    <w:rsid w:val="00EB2288"/>
    <w:rsid w:val="00EB2433"/>
    <w:rsid w:val="00EB2EE2"/>
    <w:rsid w:val="00EB31C4"/>
    <w:rsid w:val="00EB31EC"/>
    <w:rsid w:val="00EB3F7C"/>
    <w:rsid w:val="00EB4424"/>
    <w:rsid w:val="00EB4471"/>
    <w:rsid w:val="00EB4F5F"/>
    <w:rsid w:val="00EB4F84"/>
    <w:rsid w:val="00EB555A"/>
    <w:rsid w:val="00EB617D"/>
    <w:rsid w:val="00EB6D55"/>
    <w:rsid w:val="00EB7048"/>
    <w:rsid w:val="00EB7878"/>
    <w:rsid w:val="00EB7B29"/>
    <w:rsid w:val="00EB7D42"/>
    <w:rsid w:val="00EC0BF6"/>
    <w:rsid w:val="00EC1173"/>
    <w:rsid w:val="00EC260F"/>
    <w:rsid w:val="00EC2AB4"/>
    <w:rsid w:val="00EC2B93"/>
    <w:rsid w:val="00EC2F59"/>
    <w:rsid w:val="00EC305C"/>
    <w:rsid w:val="00EC32D7"/>
    <w:rsid w:val="00EC3E82"/>
    <w:rsid w:val="00EC3F34"/>
    <w:rsid w:val="00EC4038"/>
    <w:rsid w:val="00EC4447"/>
    <w:rsid w:val="00EC46AA"/>
    <w:rsid w:val="00EC5A83"/>
    <w:rsid w:val="00EC5B99"/>
    <w:rsid w:val="00EC5BBA"/>
    <w:rsid w:val="00EC5E82"/>
    <w:rsid w:val="00EC61C1"/>
    <w:rsid w:val="00EC68E8"/>
    <w:rsid w:val="00EC6CAE"/>
    <w:rsid w:val="00EC783C"/>
    <w:rsid w:val="00EC78A8"/>
    <w:rsid w:val="00ED04F4"/>
    <w:rsid w:val="00ED104C"/>
    <w:rsid w:val="00ED10FA"/>
    <w:rsid w:val="00ED13FE"/>
    <w:rsid w:val="00ED1719"/>
    <w:rsid w:val="00ED1A06"/>
    <w:rsid w:val="00ED1D77"/>
    <w:rsid w:val="00ED20D0"/>
    <w:rsid w:val="00ED2729"/>
    <w:rsid w:val="00ED2B91"/>
    <w:rsid w:val="00ED309D"/>
    <w:rsid w:val="00ED38AA"/>
    <w:rsid w:val="00ED3D18"/>
    <w:rsid w:val="00ED3DED"/>
    <w:rsid w:val="00ED4233"/>
    <w:rsid w:val="00ED42C7"/>
    <w:rsid w:val="00ED4773"/>
    <w:rsid w:val="00ED4780"/>
    <w:rsid w:val="00ED5142"/>
    <w:rsid w:val="00ED53BA"/>
    <w:rsid w:val="00ED55D4"/>
    <w:rsid w:val="00ED5704"/>
    <w:rsid w:val="00ED57B5"/>
    <w:rsid w:val="00ED59A7"/>
    <w:rsid w:val="00ED60DA"/>
    <w:rsid w:val="00ED68AE"/>
    <w:rsid w:val="00ED69C2"/>
    <w:rsid w:val="00ED6B28"/>
    <w:rsid w:val="00ED6FEA"/>
    <w:rsid w:val="00ED72D0"/>
    <w:rsid w:val="00ED72E0"/>
    <w:rsid w:val="00ED7D92"/>
    <w:rsid w:val="00ED7FC5"/>
    <w:rsid w:val="00EE03A8"/>
    <w:rsid w:val="00EE04FA"/>
    <w:rsid w:val="00EE050C"/>
    <w:rsid w:val="00EE06F8"/>
    <w:rsid w:val="00EE0777"/>
    <w:rsid w:val="00EE0920"/>
    <w:rsid w:val="00EE1204"/>
    <w:rsid w:val="00EE213F"/>
    <w:rsid w:val="00EE23C2"/>
    <w:rsid w:val="00EE27D0"/>
    <w:rsid w:val="00EE2F0B"/>
    <w:rsid w:val="00EE351A"/>
    <w:rsid w:val="00EE36E1"/>
    <w:rsid w:val="00EE3CC5"/>
    <w:rsid w:val="00EE4B9A"/>
    <w:rsid w:val="00EE5887"/>
    <w:rsid w:val="00EE5D64"/>
    <w:rsid w:val="00EE68D5"/>
    <w:rsid w:val="00EE69E9"/>
    <w:rsid w:val="00EE7401"/>
    <w:rsid w:val="00EE79B7"/>
    <w:rsid w:val="00EE7E79"/>
    <w:rsid w:val="00EF013A"/>
    <w:rsid w:val="00EF0336"/>
    <w:rsid w:val="00EF0F7F"/>
    <w:rsid w:val="00EF0FCE"/>
    <w:rsid w:val="00EF131D"/>
    <w:rsid w:val="00EF15EE"/>
    <w:rsid w:val="00EF1982"/>
    <w:rsid w:val="00EF2E44"/>
    <w:rsid w:val="00EF32E7"/>
    <w:rsid w:val="00EF34D9"/>
    <w:rsid w:val="00EF3713"/>
    <w:rsid w:val="00EF3B85"/>
    <w:rsid w:val="00EF3BA5"/>
    <w:rsid w:val="00EF4FEE"/>
    <w:rsid w:val="00EF5114"/>
    <w:rsid w:val="00EF5492"/>
    <w:rsid w:val="00EF55A3"/>
    <w:rsid w:val="00EF56D6"/>
    <w:rsid w:val="00EF5BEC"/>
    <w:rsid w:val="00EF5C99"/>
    <w:rsid w:val="00EF602B"/>
    <w:rsid w:val="00EF6079"/>
    <w:rsid w:val="00EF627E"/>
    <w:rsid w:val="00EF68E3"/>
    <w:rsid w:val="00EF6EA9"/>
    <w:rsid w:val="00EF6EC8"/>
    <w:rsid w:val="00EF7215"/>
    <w:rsid w:val="00EF7BDD"/>
    <w:rsid w:val="00EF7F13"/>
    <w:rsid w:val="00F001D9"/>
    <w:rsid w:val="00F001ED"/>
    <w:rsid w:val="00F003AE"/>
    <w:rsid w:val="00F00A2F"/>
    <w:rsid w:val="00F00D5B"/>
    <w:rsid w:val="00F01C53"/>
    <w:rsid w:val="00F02121"/>
    <w:rsid w:val="00F02445"/>
    <w:rsid w:val="00F02AE2"/>
    <w:rsid w:val="00F02ED7"/>
    <w:rsid w:val="00F031B7"/>
    <w:rsid w:val="00F03236"/>
    <w:rsid w:val="00F03645"/>
    <w:rsid w:val="00F03892"/>
    <w:rsid w:val="00F03B4E"/>
    <w:rsid w:val="00F03DE2"/>
    <w:rsid w:val="00F0419D"/>
    <w:rsid w:val="00F0532E"/>
    <w:rsid w:val="00F05E63"/>
    <w:rsid w:val="00F06482"/>
    <w:rsid w:val="00F06971"/>
    <w:rsid w:val="00F069FD"/>
    <w:rsid w:val="00F06A04"/>
    <w:rsid w:val="00F06AB6"/>
    <w:rsid w:val="00F0784B"/>
    <w:rsid w:val="00F10178"/>
    <w:rsid w:val="00F10303"/>
    <w:rsid w:val="00F10E3D"/>
    <w:rsid w:val="00F113A4"/>
    <w:rsid w:val="00F1162F"/>
    <w:rsid w:val="00F11DAD"/>
    <w:rsid w:val="00F11F5C"/>
    <w:rsid w:val="00F12CA8"/>
    <w:rsid w:val="00F12DA8"/>
    <w:rsid w:val="00F131D9"/>
    <w:rsid w:val="00F13E48"/>
    <w:rsid w:val="00F14430"/>
    <w:rsid w:val="00F147F0"/>
    <w:rsid w:val="00F14A88"/>
    <w:rsid w:val="00F14B6D"/>
    <w:rsid w:val="00F14DB4"/>
    <w:rsid w:val="00F14F1A"/>
    <w:rsid w:val="00F14FB7"/>
    <w:rsid w:val="00F1536B"/>
    <w:rsid w:val="00F1566A"/>
    <w:rsid w:val="00F157D3"/>
    <w:rsid w:val="00F158BB"/>
    <w:rsid w:val="00F15995"/>
    <w:rsid w:val="00F15AE9"/>
    <w:rsid w:val="00F15BB6"/>
    <w:rsid w:val="00F15F63"/>
    <w:rsid w:val="00F16576"/>
    <w:rsid w:val="00F167FF"/>
    <w:rsid w:val="00F16C55"/>
    <w:rsid w:val="00F16E41"/>
    <w:rsid w:val="00F20467"/>
    <w:rsid w:val="00F206DB"/>
    <w:rsid w:val="00F20F8B"/>
    <w:rsid w:val="00F21911"/>
    <w:rsid w:val="00F21AAE"/>
    <w:rsid w:val="00F22A3C"/>
    <w:rsid w:val="00F22A5D"/>
    <w:rsid w:val="00F22A6D"/>
    <w:rsid w:val="00F22AE7"/>
    <w:rsid w:val="00F23475"/>
    <w:rsid w:val="00F23E94"/>
    <w:rsid w:val="00F24021"/>
    <w:rsid w:val="00F24A79"/>
    <w:rsid w:val="00F24BC7"/>
    <w:rsid w:val="00F24DF2"/>
    <w:rsid w:val="00F2511E"/>
    <w:rsid w:val="00F25642"/>
    <w:rsid w:val="00F25732"/>
    <w:rsid w:val="00F25874"/>
    <w:rsid w:val="00F25934"/>
    <w:rsid w:val="00F25BB4"/>
    <w:rsid w:val="00F26722"/>
    <w:rsid w:val="00F26742"/>
    <w:rsid w:val="00F26BBA"/>
    <w:rsid w:val="00F26FF0"/>
    <w:rsid w:val="00F272FD"/>
    <w:rsid w:val="00F27FCA"/>
    <w:rsid w:val="00F30A31"/>
    <w:rsid w:val="00F30BAB"/>
    <w:rsid w:val="00F31326"/>
    <w:rsid w:val="00F319D7"/>
    <w:rsid w:val="00F31C72"/>
    <w:rsid w:val="00F31E83"/>
    <w:rsid w:val="00F3245B"/>
    <w:rsid w:val="00F32555"/>
    <w:rsid w:val="00F32666"/>
    <w:rsid w:val="00F32702"/>
    <w:rsid w:val="00F32B48"/>
    <w:rsid w:val="00F33182"/>
    <w:rsid w:val="00F33844"/>
    <w:rsid w:val="00F33D89"/>
    <w:rsid w:val="00F33F13"/>
    <w:rsid w:val="00F342AA"/>
    <w:rsid w:val="00F343B9"/>
    <w:rsid w:val="00F34463"/>
    <w:rsid w:val="00F345D8"/>
    <w:rsid w:val="00F34AE3"/>
    <w:rsid w:val="00F34AF4"/>
    <w:rsid w:val="00F352D1"/>
    <w:rsid w:val="00F353CE"/>
    <w:rsid w:val="00F35785"/>
    <w:rsid w:val="00F365F6"/>
    <w:rsid w:val="00F36BC3"/>
    <w:rsid w:val="00F36E35"/>
    <w:rsid w:val="00F373DD"/>
    <w:rsid w:val="00F3754A"/>
    <w:rsid w:val="00F37D47"/>
    <w:rsid w:val="00F37E8E"/>
    <w:rsid w:val="00F40242"/>
    <w:rsid w:val="00F402DB"/>
    <w:rsid w:val="00F406D2"/>
    <w:rsid w:val="00F40BC7"/>
    <w:rsid w:val="00F40E5D"/>
    <w:rsid w:val="00F4143E"/>
    <w:rsid w:val="00F414DD"/>
    <w:rsid w:val="00F417AB"/>
    <w:rsid w:val="00F41D5E"/>
    <w:rsid w:val="00F41F86"/>
    <w:rsid w:val="00F420AC"/>
    <w:rsid w:val="00F424DF"/>
    <w:rsid w:val="00F42C12"/>
    <w:rsid w:val="00F43017"/>
    <w:rsid w:val="00F43D02"/>
    <w:rsid w:val="00F43DEE"/>
    <w:rsid w:val="00F44595"/>
    <w:rsid w:val="00F445FC"/>
    <w:rsid w:val="00F447D4"/>
    <w:rsid w:val="00F45071"/>
    <w:rsid w:val="00F4525A"/>
    <w:rsid w:val="00F45C72"/>
    <w:rsid w:val="00F45FE7"/>
    <w:rsid w:val="00F4632B"/>
    <w:rsid w:val="00F46E4E"/>
    <w:rsid w:val="00F47232"/>
    <w:rsid w:val="00F47444"/>
    <w:rsid w:val="00F479A4"/>
    <w:rsid w:val="00F47A4C"/>
    <w:rsid w:val="00F47AA3"/>
    <w:rsid w:val="00F500DF"/>
    <w:rsid w:val="00F51728"/>
    <w:rsid w:val="00F51AE4"/>
    <w:rsid w:val="00F51BDE"/>
    <w:rsid w:val="00F51BF2"/>
    <w:rsid w:val="00F52809"/>
    <w:rsid w:val="00F529E5"/>
    <w:rsid w:val="00F531B5"/>
    <w:rsid w:val="00F5379F"/>
    <w:rsid w:val="00F53AA9"/>
    <w:rsid w:val="00F53B33"/>
    <w:rsid w:val="00F53DAF"/>
    <w:rsid w:val="00F54309"/>
    <w:rsid w:val="00F55582"/>
    <w:rsid w:val="00F55801"/>
    <w:rsid w:val="00F55C05"/>
    <w:rsid w:val="00F55FFB"/>
    <w:rsid w:val="00F5646B"/>
    <w:rsid w:val="00F56475"/>
    <w:rsid w:val="00F568E0"/>
    <w:rsid w:val="00F56AEA"/>
    <w:rsid w:val="00F56C31"/>
    <w:rsid w:val="00F56EDB"/>
    <w:rsid w:val="00F5706D"/>
    <w:rsid w:val="00F57242"/>
    <w:rsid w:val="00F575DE"/>
    <w:rsid w:val="00F60B91"/>
    <w:rsid w:val="00F60C99"/>
    <w:rsid w:val="00F61531"/>
    <w:rsid w:val="00F62799"/>
    <w:rsid w:val="00F62C5A"/>
    <w:rsid w:val="00F62D62"/>
    <w:rsid w:val="00F6311E"/>
    <w:rsid w:val="00F63246"/>
    <w:rsid w:val="00F63CA1"/>
    <w:rsid w:val="00F6494C"/>
    <w:rsid w:val="00F64BF7"/>
    <w:rsid w:val="00F64DE7"/>
    <w:rsid w:val="00F655FB"/>
    <w:rsid w:val="00F65E60"/>
    <w:rsid w:val="00F661BA"/>
    <w:rsid w:val="00F663CA"/>
    <w:rsid w:val="00F6709C"/>
    <w:rsid w:val="00F67278"/>
    <w:rsid w:val="00F674C8"/>
    <w:rsid w:val="00F675C1"/>
    <w:rsid w:val="00F67F67"/>
    <w:rsid w:val="00F7032A"/>
    <w:rsid w:val="00F70589"/>
    <w:rsid w:val="00F7080A"/>
    <w:rsid w:val="00F7155B"/>
    <w:rsid w:val="00F71885"/>
    <w:rsid w:val="00F71975"/>
    <w:rsid w:val="00F71FF8"/>
    <w:rsid w:val="00F72E24"/>
    <w:rsid w:val="00F731EE"/>
    <w:rsid w:val="00F748CC"/>
    <w:rsid w:val="00F74FC4"/>
    <w:rsid w:val="00F75746"/>
    <w:rsid w:val="00F7580A"/>
    <w:rsid w:val="00F75904"/>
    <w:rsid w:val="00F75AF2"/>
    <w:rsid w:val="00F75DFC"/>
    <w:rsid w:val="00F76811"/>
    <w:rsid w:val="00F7685C"/>
    <w:rsid w:val="00F76A2A"/>
    <w:rsid w:val="00F770A1"/>
    <w:rsid w:val="00F77979"/>
    <w:rsid w:val="00F801EB"/>
    <w:rsid w:val="00F805B6"/>
    <w:rsid w:val="00F80907"/>
    <w:rsid w:val="00F8136A"/>
    <w:rsid w:val="00F816FF"/>
    <w:rsid w:val="00F81D1B"/>
    <w:rsid w:val="00F8211E"/>
    <w:rsid w:val="00F82282"/>
    <w:rsid w:val="00F82751"/>
    <w:rsid w:val="00F82D75"/>
    <w:rsid w:val="00F83A3B"/>
    <w:rsid w:val="00F83CD1"/>
    <w:rsid w:val="00F83E40"/>
    <w:rsid w:val="00F840A0"/>
    <w:rsid w:val="00F8477A"/>
    <w:rsid w:val="00F8484A"/>
    <w:rsid w:val="00F8574A"/>
    <w:rsid w:val="00F86474"/>
    <w:rsid w:val="00F86E9B"/>
    <w:rsid w:val="00F87031"/>
    <w:rsid w:val="00F872A0"/>
    <w:rsid w:val="00F87BC0"/>
    <w:rsid w:val="00F90CD3"/>
    <w:rsid w:val="00F90E4D"/>
    <w:rsid w:val="00F90FFF"/>
    <w:rsid w:val="00F91031"/>
    <w:rsid w:val="00F9139E"/>
    <w:rsid w:val="00F91AF4"/>
    <w:rsid w:val="00F9258B"/>
    <w:rsid w:val="00F92F61"/>
    <w:rsid w:val="00F9334D"/>
    <w:rsid w:val="00F93B48"/>
    <w:rsid w:val="00F9473A"/>
    <w:rsid w:val="00F9478C"/>
    <w:rsid w:val="00F9509E"/>
    <w:rsid w:val="00F9511C"/>
    <w:rsid w:val="00F9575B"/>
    <w:rsid w:val="00F95796"/>
    <w:rsid w:val="00F95D66"/>
    <w:rsid w:val="00F95F6F"/>
    <w:rsid w:val="00F96514"/>
    <w:rsid w:val="00F9664C"/>
    <w:rsid w:val="00F96D36"/>
    <w:rsid w:val="00F9740E"/>
    <w:rsid w:val="00F97879"/>
    <w:rsid w:val="00F979F4"/>
    <w:rsid w:val="00FA0A0B"/>
    <w:rsid w:val="00FA0B2A"/>
    <w:rsid w:val="00FA0D90"/>
    <w:rsid w:val="00FA10FE"/>
    <w:rsid w:val="00FA1479"/>
    <w:rsid w:val="00FA175E"/>
    <w:rsid w:val="00FA1810"/>
    <w:rsid w:val="00FA1A42"/>
    <w:rsid w:val="00FA2480"/>
    <w:rsid w:val="00FA2973"/>
    <w:rsid w:val="00FA2A85"/>
    <w:rsid w:val="00FA2F48"/>
    <w:rsid w:val="00FA2FE8"/>
    <w:rsid w:val="00FA435D"/>
    <w:rsid w:val="00FA4808"/>
    <w:rsid w:val="00FA4E30"/>
    <w:rsid w:val="00FA633D"/>
    <w:rsid w:val="00FA672B"/>
    <w:rsid w:val="00FA6EE5"/>
    <w:rsid w:val="00FA73EC"/>
    <w:rsid w:val="00FB026A"/>
    <w:rsid w:val="00FB036F"/>
    <w:rsid w:val="00FB06CE"/>
    <w:rsid w:val="00FB0FF8"/>
    <w:rsid w:val="00FB16B9"/>
    <w:rsid w:val="00FB2548"/>
    <w:rsid w:val="00FB25FF"/>
    <w:rsid w:val="00FB28DD"/>
    <w:rsid w:val="00FB2A5B"/>
    <w:rsid w:val="00FB2DD5"/>
    <w:rsid w:val="00FB33CE"/>
    <w:rsid w:val="00FB3520"/>
    <w:rsid w:val="00FB3850"/>
    <w:rsid w:val="00FB3D42"/>
    <w:rsid w:val="00FB42C0"/>
    <w:rsid w:val="00FB4493"/>
    <w:rsid w:val="00FB4C18"/>
    <w:rsid w:val="00FB4D96"/>
    <w:rsid w:val="00FB4DBB"/>
    <w:rsid w:val="00FB56F2"/>
    <w:rsid w:val="00FB57C7"/>
    <w:rsid w:val="00FB585C"/>
    <w:rsid w:val="00FB58C9"/>
    <w:rsid w:val="00FB5951"/>
    <w:rsid w:val="00FB5C9E"/>
    <w:rsid w:val="00FB6814"/>
    <w:rsid w:val="00FB7769"/>
    <w:rsid w:val="00FC0213"/>
    <w:rsid w:val="00FC03A0"/>
    <w:rsid w:val="00FC04C1"/>
    <w:rsid w:val="00FC05A5"/>
    <w:rsid w:val="00FC07F0"/>
    <w:rsid w:val="00FC0EC4"/>
    <w:rsid w:val="00FC214A"/>
    <w:rsid w:val="00FC25E9"/>
    <w:rsid w:val="00FC2A11"/>
    <w:rsid w:val="00FC2E0F"/>
    <w:rsid w:val="00FC2EA2"/>
    <w:rsid w:val="00FC2F6B"/>
    <w:rsid w:val="00FC34B0"/>
    <w:rsid w:val="00FC3BB5"/>
    <w:rsid w:val="00FC3C76"/>
    <w:rsid w:val="00FC3DDE"/>
    <w:rsid w:val="00FC3F3D"/>
    <w:rsid w:val="00FC40D5"/>
    <w:rsid w:val="00FC5292"/>
    <w:rsid w:val="00FC537D"/>
    <w:rsid w:val="00FC565D"/>
    <w:rsid w:val="00FC70F3"/>
    <w:rsid w:val="00FC73A8"/>
    <w:rsid w:val="00FC7A4B"/>
    <w:rsid w:val="00FC7CD8"/>
    <w:rsid w:val="00FC7F4A"/>
    <w:rsid w:val="00FD00E5"/>
    <w:rsid w:val="00FD02E7"/>
    <w:rsid w:val="00FD10A3"/>
    <w:rsid w:val="00FD16BC"/>
    <w:rsid w:val="00FD1A24"/>
    <w:rsid w:val="00FD2906"/>
    <w:rsid w:val="00FD37FC"/>
    <w:rsid w:val="00FD4691"/>
    <w:rsid w:val="00FD574F"/>
    <w:rsid w:val="00FD58E7"/>
    <w:rsid w:val="00FD5FA6"/>
    <w:rsid w:val="00FD7251"/>
    <w:rsid w:val="00FD79AC"/>
    <w:rsid w:val="00FD7EF0"/>
    <w:rsid w:val="00FE009F"/>
    <w:rsid w:val="00FE00B8"/>
    <w:rsid w:val="00FE07DA"/>
    <w:rsid w:val="00FE1450"/>
    <w:rsid w:val="00FE17C6"/>
    <w:rsid w:val="00FE1A4D"/>
    <w:rsid w:val="00FE1D4B"/>
    <w:rsid w:val="00FE2649"/>
    <w:rsid w:val="00FE26F2"/>
    <w:rsid w:val="00FE37CE"/>
    <w:rsid w:val="00FE3B26"/>
    <w:rsid w:val="00FE42E7"/>
    <w:rsid w:val="00FE4727"/>
    <w:rsid w:val="00FE48E8"/>
    <w:rsid w:val="00FE4A32"/>
    <w:rsid w:val="00FE4F03"/>
    <w:rsid w:val="00FE4FB6"/>
    <w:rsid w:val="00FE511A"/>
    <w:rsid w:val="00FE51C1"/>
    <w:rsid w:val="00FE5B7D"/>
    <w:rsid w:val="00FE6548"/>
    <w:rsid w:val="00FE6662"/>
    <w:rsid w:val="00FE680F"/>
    <w:rsid w:val="00FE7062"/>
    <w:rsid w:val="00FE77D8"/>
    <w:rsid w:val="00FE7881"/>
    <w:rsid w:val="00FE79D6"/>
    <w:rsid w:val="00FE7A73"/>
    <w:rsid w:val="00FE7F99"/>
    <w:rsid w:val="00FF02C2"/>
    <w:rsid w:val="00FF04CA"/>
    <w:rsid w:val="00FF050A"/>
    <w:rsid w:val="00FF1167"/>
    <w:rsid w:val="00FF1592"/>
    <w:rsid w:val="00FF1742"/>
    <w:rsid w:val="00FF185D"/>
    <w:rsid w:val="00FF190D"/>
    <w:rsid w:val="00FF1CE6"/>
    <w:rsid w:val="00FF1D4A"/>
    <w:rsid w:val="00FF2125"/>
    <w:rsid w:val="00FF262E"/>
    <w:rsid w:val="00FF2793"/>
    <w:rsid w:val="00FF2A4B"/>
    <w:rsid w:val="00FF2AE7"/>
    <w:rsid w:val="00FF304E"/>
    <w:rsid w:val="00FF30BF"/>
    <w:rsid w:val="00FF32D6"/>
    <w:rsid w:val="00FF342C"/>
    <w:rsid w:val="00FF3E54"/>
    <w:rsid w:val="00FF423A"/>
    <w:rsid w:val="00FF423C"/>
    <w:rsid w:val="00FF42B1"/>
    <w:rsid w:val="00FF466E"/>
    <w:rsid w:val="00FF50DF"/>
    <w:rsid w:val="00FF53EB"/>
    <w:rsid w:val="00FF61F8"/>
    <w:rsid w:val="00FF6317"/>
    <w:rsid w:val="00FF6694"/>
    <w:rsid w:val="00FF68BB"/>
    <w:rsid w:val="00FF6FAD"/>
    <w:rsid w:val="00FF7265"/>
    <w:rsid w:val="00FF727A"/>
    <w:rsid w:val="00FF72E2"/>
    <w:rsid w:val="00FF7422"/>
    <w:rsid w:val="00FF783F"/>
    <w:rsid w:val="00FF79C7"/>
    <w:rsid w:val="00FF7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7F48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D4D"/>
    <w:pPr>
      <w:spacing w:before="150" w:line="300" w:lineRule="atLeast"/>
    </w:pPr>
    <w:rPr>
      <w:rFonts w:ascii="Calibri" w:hAnsi="Calibri"/>
      <w:sz w:val="24"/>
      <w:szCs w:val="24"/>
    </w:rPr>
  </w:style>
  <w:style w:type="paragraph" w:styleId="Heading1">
    <w:name w:val="heading 1"/>
    <w:aliases w:val="_Heading 1"/>
    <w:basedOn w:val="Normal"/>
    <w:link w:val="Heading1Char"/>
    <w:qFormat/>
    <w:rsid w:val="00B77818"/>
    <w:pPr>
      <w:keepNext/>
      <w:suppressAutoHyphens/>
      <w:autoSpaceDE w:val="0"/>
      <w:autoSpaceDN w:val="0"/>
      <w:adjustRightInd w:val="0"/>
      <w:spacing w:before="0" w:line="240" w:lineRule="auto"/>
      <w:textAlignment w:val="center"/>
      <w:outlineLvl w:val="0"/>
    </w:pPr>
    <w:rPr>
      <w:rFonts w:cs="Garamond"/>
      <w:caps/>
      <w:color w:val="165788"/>
      <w:sz w:val="48"/>
      <w:szCs w:val="48"/>
      <w:lang w:val="en-GB"/>
    </w:rPr>
  </w:style>
  <w:style w:type="paragraph" w:styleId="Heading2">
    <w:name w:val="heading 2"/>
    <w:basedOn w:val="Normal"/>
    <w:link w:val="Heading2Char"/>
    <w:qFormat/>
    <w:rsid w:val="00497024"/>
    <w:pPr>
      <w:suppressAutoHyphens/>
      <w:autoSpaceDE w:val="0"/>
      <w:autoSpaceDN w:val="0"/>
      <w:adjustRightInd w:val="0"/>
      <w:spacing w:before="440" w:after="40" w:line="240" w:lineRule="atLeast"/>
      <w:textAlignment w:val="center"/>
      <w:outlineLvl w:val="1"/>
    </w:pPr>
    <w:rPr>
      <w:rFonts w:cs="Garamond"/>
      <w:b/>
      <w:bCs/>
      <w:color w:val="000000"/>
      <w:sz w:val="36"/>
      <w:szCs w:val="36"/>
      <w:lang w:val="en-GB"/>
    </w:rPr>
  </w:style>
  <w:style w:type="paragraph" w:styleId="Heading3">
    <w:name w:val="heading 3"/>
    <w:basedOn w:val="Normal"/>
    <w:link w:val="Heading3Char"/>
    <w:qFormat/>
    <w:rsid w:val="00B77818"/>
    <w:pPr>
      <w:keepNext/>
      <w:suppressAutoHyphens/>
      <w:autoSpaceDE w:val="0"/>
      <w:autoSpaceDN w:val="0"/>
      <w:adjustRightInd w:val="0"/>
      <w:spacing w:before="300" w:line="360" w:lineRule="atLeast"/>
      <w:textAlignment w:val="center"/>
      <w:outlineLvl w:val="2"/>
    </w:pPr>
    <w:rPr>
      <w:rFonts w:cs="Arial Narrow"/>
      <w:b/>
      <w:bCs/>
      <w:color w:val="165788"/>
      <w:sz w:val="32"/>
      <w:szCs w:val="32"/>
      <w:lang w:val="en-GB"/>
    </w:rPr>
  </w:style>
  <w:style w:type="paragraph" w:styleId="Heading4">
    <w:name w:val="heading 4"/>
    <w:basedOn w:val="Normal"/>
    <w:link w:val="Heading4Char"/>
    <w:qFormat/>
    <w:rsid w:val="00494902"/>
    <w:pPr>
      <w:autoSpaceDE w:val="0"/>
      <w:autoSpaceDN w:val="0"/>
      <w:adjustRightInd w:val="0"/>
      <w:spacing w:before="240" w:line="320" w:lineRule="atLeast"/>
      <w:ind w:left="454" w:hanging="454"/>
      <w:textAlignment w:val="center"/>
      <w:outlineLvl w:val="3"/>
    </w:pPr>
    <w:rPr>
      <w:rFonts w:cs="Arial Narrow"/>
      <w:color w:val="165788"/>
      <w:sz w:val="28"/>
      <w:szCs w:val="28"/>
      <w:lang w:val="en-GB"/>
    </w:rPr>
  </w:style>
  <w:style w:type="paragraph" w:styleId="Heading5">
    <w:name w:val="heading 5"/>
    <w:basedOn w:val="BodyText1"/>
    <w:qFormat/>
    <w:rsid w:val="001C12CE"/>
    <w:pPr>
      <w:keepNext/>
      <w:spacing w:after="0"/>
      <w:outlineLvl w:val="4"/>
    </w:pPr>
    <w:rPr>
      <w:b/>
      <w:bCs/>
      <w:color w:val="165788"/>
    </w:rPr>
  </w:style>
  <w:style w:type="paragraph" w:styleId="Heading6">
    <w:name w:val="heading 6"/>
    <w:basedOn w:val="Normal"/>
    <w:next w:val="Normal"/>
    <w:qFormat/>
    <w:rsid w:val="00792BE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B77818"/>
    <w:rPr>
      <w:rFonts w:ascii="Calibri" w:hAnsi="Calibri" w:cs="Arial Narrow"/>
      <w:b/>
      <w:bCs/>
      <w:color w:val="165788"/>
      <w:sz w:val="32"/>
      <w:szCs w:val="32"/>
      <w:lang w:val="en-GB" w:eastAsia="en-AU" w:bidi="ar-SA"/>
    </w:rPr>
  </w:style>
  <w:style w:type="paragraph" w:styleId="BalloonText">
    <w:name w:val="Balloon Text"/>
    <w:basedOn w:val="Normal"/>
    <w:semiHidden/>
    <w:rsid w:val="00792BE0"/>
    <w:rPr>
      <w:rFonts w:ascii="Tahoma" w:hAnsi="Tahoma" w:cs="Tahoma"/>
      <w:sz w:val="16"/>
      <w:szCs w:val="16"/>
    </w:rPr>
  </w:style>
  <w:style w:type="character" w:styleId="CommentReference">
    <w:name w:val="annotation reference"/>
    <w:basedOn w:val="DefaultParagraphFont"/>
    <w:rsid w:val="00792BE0"/>
    <w:rPr>
      <w:rFonts w:cs="Times New Roman"/>
      <w:sz w:val="16"/>
      <w:szCs w:val="16"/>
    </w:rPr>
  </w:style>
  <w:style w:type="paragraph" w:styleId="CommentText">
    <w:name w:val="annotation text"/>
    <w:basedOn w:val="Normal"/>
    <w:link w:val="CommentTextChar"/>
    <w:rsid w:val="00792BE0"/>
    <w:rPr>
      <w:sz w:val="20"/>
    </w:rPr>
  </w:style>
  <w:style w:type="paragraph" w:styleId="CommentSubject">
    <w:name w:val="annotation subject"/>
    <w:basedOn w:val="CommentText"/>
    <w:next w:val="CommentText"/>
    <w:semiHidden/>
    <w:rsid w:val="007E0DF5"/>
    <w:rPr>
      <w:b/>
      <w:bCs/>
    </w:rPr>
  </w:style>
  <w:style w:type="paragraph" w:customStyle="1" w:styleId="PartHeading">
    <w:name w:val="Part Heading"/>
    <w:basedOn w:val="Normal"/>
    <w:autoRedefine/>
    <w:rsid w:val="005C4271"/>
    <w:pPr>
      <w:pageBreakBefore/>
      <w:shd w:val="clear" w:color="auto" w:fill="E2E2E2"/>
      <w:tabs>
        <w:tab w:val="left" w:pos="1400"/>
      </w:tabs>
      <w:spacing w:after="240"/>
    </w:pPr>
    <w:rPr>
      <w:rFonts w:ascii="Arial Bold" w:hAnsi="Arial Bold" w:cs="Arial"/>
      <w:b/>
      <w:caps/>
      <w:sz w:val="32"/>
      <w:szCs w:val="36"/>
    </w:rPr>
  </w:style>
  <w:style w:type="paragraph" w:customStyle="1" w:styleId="TitleHeading">
    <w:name w:val="Title Heading"/>
    <w:basedOn w:val="Normal"/>
    <w:rsid w:val="00A84A6D"/>
    <w:pPr>
      <w:spacing w:after="360"/>
      <w:ind w:left="-357"/>
      <w:jc w:val="center"/>
    </w:pPr>
    <w:rPr>
      <w:rFonts w:cs="Arial"/>
      <w:b/>
      <w:sz w:val="72"/>
      <w:szCs w:val="40"/>
      <w:lang w:eastAsia="en-US"/>
    </w:rPr>
  </w:style>
  <w:style w:type="paragraph" w:customStyle="1" w:styleId="Paragraphstyle0">
    <w:name w:val="Paragraph style"/>
    <w:basedOn w:val="Normal"/>
    <w:link w:val="ParagraphstyleChar"/>
    <w:rsid w:val="00155C3B"/>
    <w:pPr>
      <w:tabs>
        <w:tab w:val="num" w:pos="567"/>
      </w:tabs>
      <w:spacing w:after="160"/>
      <w:ind w:left="360" w:hanging="360"/>
    </w:pPr>
    <w:rPr>
      <w:rFonts w:cs="Arial"/>
      <w:szCs w:val="22"/>
    </w:rPr>
  </w:style>
  <w:style w:type="character" w:customStyle="1" w:styleId="ParagraphstyleChar">
    <w:name w:val="Paragraph style Char"/>
    <w:basedOn w:val="DefaultParagraphFont"/>
    <w:link w:val="Paragraphstyle0"/>
    <w:locked/>
    <w:rsid w:val="00674267"/>
    <w:rPr>
      <w:rFonts w:ascii="Calibri" w:hAnsi="Calibri" w:cs="Arial"/>
      <w:sz w:val="22"/>
      <w:szCs w:val="22"/>
      <w:lang w:val="en-AU" w:eastAsia="en-US" w:bidi="ar-SA"/>
    </w:rPr>
  </w:style>
  <w:style w:type="paragraph" w:customStyle="1" w:styleId="Paragraphindent">
    <w:name w:val="Paragraph indent"/>
    <w:basedOn w:val="Paragraphstyle0"/>
    <w:link w:val="ParagraphindentChar"/>
    <w:rsid w:val="00DC792C"/>
    <w:pPr>
      <w:tabs>
        <w:tab w:val="clear" w:pos="567"/>
        <w:tab w:val="num" w:pos="860"/>
      </w:tabs>
      <w:ind w:left="860"/>
    </w:pPr>
  </w:style>
  <w:style w:type="character" w:customStyle="1" w:styleId="ParagraphindentChar">
    <w:name w:val="Paragraph indent Char"/>
    <w:basedOn w:val="ParagraphstyleChar"/>
    <w:link w:val="Paragraphindent"/>
    <w:locked/>
    <w:rsid w:val="00DC792C"/>
    <w:rPr>
      <w:rFonts w:ascii="Calibri" w:hAnsi="Calibri" w:cs="Arial"/>
      <w:sz w:val="22"/>
      <w:szCs w:val="22"/>
      <w:lang w:val="en-AU" w:eastAsia="en-US" w:bidi="ar-SA"/>
    </w:rPr>
  </w:style>
  <w:style w:type="paragraph" w:customStyle="1" w:styleId="Paragraphindent2">
    <w:name w:val="Paragraph indent 2"/>
    <w:basedOn w:val="Paragraphindent"/>
    <w:rsid w:val="00F14FB7"/>
    <w:pPr>
      <w:tabs>
        <w:tab w:val="clear" w:pos="860"/>
        <w:tab w:val="num" w:pos="2160"/>
      </w:tabs>
      <w:ind w:left="2160" w:hanging="180"/>
    </w:pPr>
  </w:style>
  <w:style w:type="paragraph" w:customStyle="1" w:styleId="Paragraphindent3">
    <w:name w:val="Paragraph indent 3"/>
    <w:basedOn w:val="Paragraphindent2"/>
    <w:rsid w:val="00937EC4"/>
    <w:pPr>
      <w:tabs>
        <w:tab w:val="clear" w:pos="2160"/>
        <w:tab w:val="num" w:pos="2034"/>
      </w:tabs>
      <w:ind w:left="2034" w:hanging="360"/>
    </w:pPr>
  </w:style>
  <w:style w:type="paragraph" w:customStyle="1" w:styleId="ProgramTitle">
    <w:name w:val="Program Title"/>
    <w:basedOn w:val="Heading1"/>
    <w:rsid w:val="007A728C"/>
    <w:pPr>
      <w:spacing w:before="360"/>
    </w:pPr>
    <w:rPr>
      <w:rFonts w:ascii="Arial Bold" w:hAnsi="Arial Bold"/>
    </w:rPr>
  </w:style>
  <w:style w:type="paragraph" w:styleId="TOC1">
    <w:name w:val="toc 1"/>
    <w:basedOn w:val="Heading3"/>
    <w:next w:val="Normal"/>
    <w:autoRedefine/>
    <w:uiPriority w:val="39"/>
    <w:qFormat/>
    <w:rsid w:val="00683134"/>
    <w:pPr>
      <w:tabs>
        <w:tab w:val="right" w:pos="9060"/>
      </w:tabs>
      <w:spacing w:before="120" w:after="60" w:line="240" w:lineRule="auto"/>
    </w:pPr>
  </w:style>
  <w:style w:type="paragraph" w:styleId="TOC2">
    <w:name w:val="toc 2"/>
    <w:basedOn w:val="Normal"/>
    <w:next w:val="Normal"/>
    <w:autoRedefine/>
    <w:uiPriority w:val="39"/>
    <w:qFormat/>
    <w:rsid w:val="00AB25BD"/>
    <w:pPr>
      <w:tabs>
        <w:tab w:val="right" w:pos="9060"/>
      </w:tabs>
      <w:spacing w:before="60" w:line="240" w:lineRule="auto"/>
      <w:ind w:left="600" w:hanging="600"/>
    </w:pPr>
  </w:style>
  <w:style w:type="paragraph" w:styleId="TOC3">
    <w:name w:val="toc 3"/>
    <w:basedOn w:val="Normal"/>
    <w:next w:val="Normal"/>
    <w:autoRedefine/>
    <w:uiPriority w:val="39"/>
    <w:qFormat/>
    <w:rsid w:val="007B51BD"/>
    <w:pPr>
      <w:ind w:left="440"/>
    </w:pPr>
    <w:rPr>
      <w:sz w:val="20"/>
    </w:rPr>
  </w:style>
  <w:style w:type="character" w:styleId="Hyperlink">
    <w:name w:val="Hyperlink"/>
    <w:basedOn w:val="DefaultParagraphFont"/>
    <w:uiPriority w:val="99"/>
    <w:rsid w:val="0059078F"/>
    <w:rPr>
      <w:rFonts w:ascii="Calibri" w:hAnsi="Calibri" w:cs="Times New Roman"/>
      <w:color w:val="165788"/>
      <w:sz w:val="24"/>
      <w:u w:val="single"/>
    </w:rPr>
  </w:style>
  <w:style w:type="paragraph" w:customStyle="1" w:styleId="Style">
    <w:name w:val="Style"/>
    <w:basedOn w:val="Normal"/>
    <w:rsid w:val="006D639A"/>
    <w:rPr>
      <w:rFonts w:cs="Arial"/>
      <w:szCs w:val="22"/>
    </w:rPr>
  </w:style>
  <w:style w:type="paragraph" w:styleId="ListBullet">
    <w:name w:val="List Bullet"/>
    <w:aliases w:val="List Bullet Char,List Bullet Char1"/>
    <w:basedOn w:val="Normal"/>
    <w:link w:val="ListBulletChar2"/>
    <w:rsid w:val="006D639A"/>
    <w:pPr>
      <w:tabs>
        <w:tab w:val="left" w:pos="1208"/>
      </w:tabs>
      <w:ind w:left="1208" w:hanging="357"/>
    </w:pPr>
    <w:rPr>
      <w:rFonts w:ascii="Garamond" w:hAnsi="Garamond" w:cs="Garamond"/>
    </w:rPr>
  </w:style>
  <w:style w:type="character" w:customStyle="1" w:styleId="ListBulletChar2">
    <w:name w:val="List Bullet Char2"/>
    <w:aliases w:val="List Bullet Char Char,List Bullet Char1 Char"/>
    <w:basedOn w:val="DefaultParagraphFont"/>
    <w:link w:val="ListBullet"/>
    <w:locked/>
    <w:rsid w:val="006D639A"/>
    <w:rPr>
      <w:rFonts w:ascii="Garamond" w:hAnsi="Garamond" w:cs="Garamond"/>
      <w:sz w:val="24"/>
      <w:szCs w:val="24"/>
      <w:lang w:val="en-AU" w:eastAsia="en-US" w:bidi="ar-SA"/>
    </w:rPr>
  </w:style>
  <w:style w:type="paragraph" w:customStyle="1" w:styleId="ListAlpha">
    <w:name w:val="List Alpha"/>
    <w:basedOn w:val="ListBullet"/>
    <w:rsid w:val="006D639A"/>
    <w:pPr>
      <w:numPr>
        <w:numId w:val="2"/>
      </w:numPr>
      <w:tabs>
        <w:tab w:val="clear" w:pos="1440"/>
        <w:tab w:val="num" w:pos="720"/>
      </w:tabs>
      <w:ind w:left="720"/>
    </w:pPr>
  </w:style>
  <w:style w:type="paragraph" w:customStyle="1" w:styleId="Bullets">
    <w:name w:val="Bullets"/>
    <w:basedOn w:val="Normal"/>
    <w:rsid w:val="006D639A"/>
    <w:pPr>
      <w:keepLines/>
      <w:tabs>
        <w:tab w:val="left" w:pos="964"/>
        <w:tab w:val="left" w:pos="1418"/>
        <w:tab w:val="left" w:pos="1871"/>
        <w:tab w:val="left" w:pos="2325"/>
        <w:tab w:val="left" w:pos="2778"/>
        <w:tab w:val="left" w:pos="3232"/>
        <w:tab w:val="left" w:pos="3686"/>
        <w:tab w:val="left" w:pos="4139"/>
      </w:tabs>
      <w:spacing w:after="120"/>
      <w:ind w:left="1418" w:hanging="454"/>
    </w:pPr>
    <w:rPr>
      <w:rFonts w:ascii="CG Times (W1)" w:hAnsi="CG Times (W1)" w:cs="CG Times (W1)"/>
    </w:rPr>
  </w:style>
  <w:style w:type="paragraph" w:styleId="BodyTextIndent2">
    <w:name w:val="Body Text Indent 2"/>
    <w:aliases w:val="Body Text Indent 2 Char,Body Text Indent 2 Char1 Char,Body Text Indent 2 Char Char Char,Body Text Indent 2 Char1 Char Char Char,Body Text Indent 2 Char Char Char Char Char,Body Text Indent 2 Char1 Char Char Char Char Char"/>
    <w:basedOn w:val="Normal"/>
    <w:link w:val="BodyTextIndent2Char1"/>
    <w:rsid w:val="006D3F18"/>
    <w:pPr>
      <w:tabs>
        <w:tab w:val="left" w:pos="1021"/>
      </w:tabs>
      <w:spacing w:before="120"/>
      <w:ind w:left="567"/>
    </w:pPr>
    <w:rPr>
      <w:rFonts w:cs="Garamond"/>
    </w:rPr>
  </w:style>
  <w:style w:type="character" w:customStyle="1" w:styleId="BodyTextIndent2Char1">
    <w:name w:val="Body Text Indent 2 Char1"/>
    <w:aliases w:val="Body Text Indent 2 Char Char,Body Text Indent 2 Char1 Char Char,Body Text Indent 2 Char Char Char Char,Body Text Indent 2 Char1 Char Char Char Char,Body Text Indent 2 Char Char Char Char Char Char"/>
    <w:basedOn w:val="DefaultParagraphFont"/>
    <w:link w:val="BodyTextIndent2"/>
    <w:locked/>
    <w:rsid w:val="006D3F18"/>
    <w:rPr>
      <w:rFonts w:ascii="Calibri" w:hAnsi="Calibri" w:cs="Garamond"/>
      <w:sz w:val="22"/>
      <w:szCs w:val="24"/>
      <w:lang w:val="en-AU" w:eastAsia="en-US" w:bidi="ar-SA"/>
    </w:rPr>
  </w:style>
  <w:style w:type="paragraph" w:customStyle="1" w:styleId="TableText">
    <w:name w:val="Table Text"/>
    <w:basedOn w:val="BodyText1"/>
    <w:link w:val="TableTextChar"/>
    <w:rsid w:val="00340417"/>
    <w:pPr>
      <w:spacing w:before="75" w:after="75" w:line="220" w:lineRule="atLeast"/>
    </w:pPr>
    <w:rPr>
      <w:rFonts w:ascii="Arial Narrow" w:hAnsi="Arial Narrow" w:cs="Arial Narrow"/>
      <w:sz w:val="18"/>
      <w:szCs w:val="18"/>
    </w:rPr>
  </w:style>
  <w:style w:type="paragraph" w:styleId="BodyTextIndent">
    <w:name w:val="Body Text Indent"/>
    <w:basedOn w:val="Normal"/>
    <w:link w:val="BodyTextIndentChar"/>
    <w:rsid w:val="006D639A"/>
    <w:pPr>
      <w:tabs>
        <w:tab w:val="left" w:pos="1021"/>
      </w:tabs>
      <w:spacing w:before="120"/>
      <w:ind w:left="567"/>
    </w:pPr>
    <w:rPr>
      <w:rFonts w:ascii="Garamond" w:hAnsi="Garamond" w:cs="Garamond"/>
      <w:sz w:val="16"/>
      <w:szCs w:val="16"/>
    </w:rPr>
  </w:style>
  <w:style w:type="paragraph" w:styleId="BodyTextIndent3">
    <w:name w:val="Body Text Indent 3"/>
    <w:aliases w:val="Body Text Indent 3 Char"/>
    <w:basedOn w:val="Normal"/>
    <w:link w:val="BodyTextIndent3Char1"/>
    <w:rsid w:val="006D639A"/>
    <w:pPr>
      <w:tabs>
        <w:tab w:val="left" w:pos="1021"/>
      </w:tabs>
      <w:spacing w:before="120"/>
      <w:ind w:left="567"/>
      <w:jc w:val="both"/>
    </w:pPr>
    <w:rPr>
      <w:rFonts w:ascii="Garamond" w:hAnsi="Garamond" w:cs="Garamond"/>
    </w:rPr>
  </w:style>
  <w:style w:type="character" w:customStyle="1" w:styleId="BodyTextIndent3Char1">
    <w:name w:val="Body Text Indent 3 Char1"/>
    <w:aliases w:val="Body Text Indent 3 Char Char"/>
    <w:basedOn w:val="DefaultParagraphFont"/>
    <w:link w:val="BodyTextIndent3"/>
    <w:locked/>
    <w:rsid w:val="006D639A"/>
    <w:rPr>
      <w:rFonts w:ascii="Garamond" w:hAnsi="Garamond" w:cs="Garamond"/>
      <w:sz w:val="24"/>
      <w:szCs w:val="24"/>
      <w:lang w:val="en-AU" w:eastAsia="en-US" w:bidi="ar-SA"/>
    </w:rPr>
  </w:style>
  <w:style w:type="paragraph" w:styleId="FootnoteText">
    <w:name w:val="footnote text"/>
    <w:basedOn w:val="Normal"/>
    <w:link w:val="FootnoteTextChar"/>
    <w:rsid w:val="006D639A"/>
    <w:pPr>
      <w:tabs>
        <w:tab w:val="left" w:pos="1021"/>
      </w:tabs>
      <w:spacing w:before="120"/>
      <w:ind w:left="567"/>
    </w:pPr>
    <w:rPr>
      <w:rFonts w:ascii="Garamond" w:hAnsi="Garamond" w:cs="Garamond"/>
    </w:rPr>
  </w:style>
  <w:style w:type="paragraph" w:customStyle="1" w:styleId="TableTitle">
    <w:name w:val="Table Title"/>
    <w:basedOn w:val="TableText"/>
    <w:rsid w:val="006D639A"/>
    <w:pPr>
      <w:spacing w:before="120" w:after="120"/>
      <w:jc w:val="center"/>
    </w:pPr>
    <w:rPr>
      <w:b/>
      <w:bCs/>
    </w:rPr>
  </w:style>
  <w:style w:type="paragraph" w:styleId="ListNumber">
    <w:name w:val="List Number"/>
    <w:basedOn w:val="Normal"/>
    <w:rsid w:val="006D639A"/>
    <w:pPr>
      <w:tabs>
        <w:tab w:val="left" w:pos="1021"/>
      </w:tabs>
      <w:spacing w:before="120"/>
      <w:ind w:left="283" w:hanging="283"/>
    </w:pPr>
    <w:rPr>
      <w:rFonts w:ascii="Garamond" w:hAnsi="Garamond" w:cs="Garamond"/>
    </w:rPr>
  </w:style>
  <w:style w:type="paragraph" w:styleId="Header">
    <w:name w:val="header"/>
    <w:basedOn w:val="Normal"/>
    <w:rsid w:val="00A84A6D"/>
    <w:pPr>
      <w:tabs>
        <w:tab w:val="center" w:pos="4153"/>
        <w:tab w:val="right" w:pos="8306"/>
      </w:tabs>
    </w:pPr>
  </w:style>
  <w:style w:type="character" w:styleId="PageNumber">
    <w:name w:val="page number"/>
    <w:basedOn w:val="DefaultParagraphFont"/>
    <w:rsid w:val="006D639A"/>
    <w:rPr>
      <w:rFonts w:cs="Times New Roman"/>
    </w:rPr>
  </w:style>
  <w:style w:type="paragraph" w:styleId="Footer">
    <w:name w:val="footer"/>
    <w:basedOn w:val="Normal"/>
    <w:rsid w:val="00A84A6D"/>
    <w:pPr>
      <w:tabs>
        <w:tab w:val="center" w:pos="4153"/>
        <w:tab w:val="right" w:pos="8306"/>
      </w:tabs>
    </w:pPr>
  </w:style>
  <w:style w:type="character" w:styleId="Emphasis">
    <w:name w:val="Emphasis"/>
    <w:basedOn w:val="DefaultParagraphFont"/>
    <w:uiPriority w:val="20"/>
    <w:qFormat/>
    <w:rsid w:val="006D639A"/>
    <w:rPr>
      <w:rFonts w:cs="Times New Roman"/>
      <w:i/>
      <w:iCs/>
    </w:rPr>
  </w:style>
  <w:style w:type="paragraph" w:customStyle="1" w:styleId="bulletCharChar">
    <w:name w:val="bullet Char Char"/>
    <w:basedOn w:val="Normal"/>
    <w:link w:val="bulletCharCharChar"/>
    <w:rsid w:val="006D639A"/>
    <w:pPr>
      <w:tabs>
        <w:tab w:val="num" w:pos="2520"/>
      </w:tabs>
      <w:ind w:left="2520" w:hanging="360"/>
    </w:pPr>
    <w:rPr>
      <w:rFonts w:ascii="Times New Roman" w:hAnsi="Times New Roman"/>
    </w:rPr>
  </w:style>
  <w:style w:type="character" w:customStyle="1" w:styleId="bulletCharCharChar">
    <w:name w:val="bullet Char Char Char"/>
    <w:basedOn w:val="DefaultParagraphFont"/>
    <w:link w:val="bulletCharChar"/>
    <w:locked/>
    <w:rsid w:val="006D639A"/>
    <w:rPr>
      <w:sz w:val="24"/>
      <w:szCs w:val="24"/>
      <w:lang w:val="en-AU" w:eastAsia="en-US" w:bidi="ar-SA"/>
    </w:rPr>
  </w:style>
  <w:style w:type="table" w:styleId="TableGrid">
    <w:name w:val="Table Grid"/>
    <w:basedOn w:val="TableNormal"/>
    <w:rsid w:val="006D6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
    <w:name w:val="TableColHead"/>
    <w:basedOn w:val="Normal"/>
    <w:rsid w:val="006D639A"/>
    <w:pPr>
      <w:keepNext/>
      <w:spacing w:before="120" w:after="60" w:line="200" w:lineRule="exact"/>
    </w:pPr>
    <w:rPr>
      <w:rFonts w:cs="Arial"/>
      <w:b/>
      <w:bCs/>
      <w:sz w:val="18"/>
      <w:szCs w:val="18"/>
    </w:rPr>
  </w:style>
  <w:style w:type="paragraph" w:customStyle="1" w:styleId="TableText0">
    <w:name w:val="TableText"/>
    <w:basedOn w:val="Normal"/>
    <w:link w:val="TableTextChar0"/>
    <w:rsid w:val="006D639A"/>
    <w:pPr>
      <w:spacing w:before="60" w:after="60" w:line="240" w:lineRule="exact"/>
    </w:pPr>
    <w:rPr>
      <w:rFonts w:cs="Arial"/>
      <w:szCs w:val="22"/>
    </w:rPr>
  </w:style>
  <w:style w:type="character" w:customStyle="1" w:styleId="TableTextChar0">
    <w:name w:val="TableText Char"/>
    <w:basedOn w:val="DefaultParagraphFont"/>
    <w:link w:val="TableText0"/>
    <w:locked/>
    <w:rsid w:val="006D639A"/>
    <w:rPr>
      <w:rFonts w:ascii="Arial" w:hAnsi="Arial" w:cs="Arial"/>
      <w:sz w:val="22"/>
      <w:szCs w:val="22"/>
      <w:lang w:val="en-AU" w:eastAsia="en-US" w:bidi="ar-SA"/>
    </w:rPr>
  </w:style>
  <w:style w:type="paragraph" w:styleId="NormalIndent">
    <w:name w:val="Normal Indent"/>
    <w:basedOn w:val="Normal"/>
    <w:rsid w:val="006D639A"/>
    <w:pPr>
      <w:spacing w:before="40" w:after="120"/>
      <w:ind w:left="1418"/>
    </w:pPr>
    <w:rPr>
      <w:rFonts w:ascii="CG Times (W1)" w:hAnsi="CG Times (W1)"/>
    </w:rPr>
  </w:style>
  <w:style w:type="paragraph" w:customStyle="1" w:styleId="paragraph">
    <w:name w:val="paragraph"/>
    <w:aliases w:val="a"/>
    <w:rsid w:val="00DE4A0A"/>
    <w:pPr>
      <w:tabs>
        <w:tab w:val="right" w:pos="1531"/>
      </w:tabs>
      <w:spacing w:before="40"/>
      <w:ind w:left="1644" w:hanging="1644"/>
    </w:pPr>
    <w:rPr>
      <w:sz w:val="22"/>
      <w:szCs w:val="24"/>
    </w:rPr>
  </w:style>
  <w:style w:type="paragraph" w:customStyle="1" w:styleId="definition">
    <w:name w:val="definition"/>
    <w:basedOn w:val="Normal"/>
    <w:rsid w:val="00452D36"/>
    <w:pPr>
      <w:spacing w:before="100" w:beforeAutospacing="1" w:after="100" w:afterAutospacing="1"/>
    </w:pPr>
    <w:rPr>
      <w:rFonts w:ascii="Times New Roman" w:hAnsi="Times New Roman"/>
    </w:rPr>
  </w:style>
  <w:style w:type="paragraph" w:customStyle="1" w:styleId="ParagraphStyle">
    <w:name w:val="Paragraph Style"/>
    <w:basedOn w:val="Normal"/>
    <w:autoRedefine/>
    <w:rsid w:val="00DF54F2"/>
    <w:pPr>
      <w:numPr>
        <w:numId w:val="3"/>
      </w:numPr>
      <w:tabs>
        <w:tab w:val="clear" w:pos="360"/>
        <w:tab w:val="num" w:pos="567"/>
      </w:tabs>
      <w:spacing w:after="200"/>
      <w:ind w:left="0" w:firstLine="0"/>
      <w:outlineLvl w:val="3"/>
    </w:pPr>
    <w:rPr>
      <w:rFonts w:cs="Calibri"/>
      <w:bCs/>
      <w:szCs w:val="22"/>
    </w:rPr>
  </w:style>
  <w:style w:type="paragraph" w:customStyle="1" w:styleId="DotPoints">
    <w:name w:val="Dot Points"/>
    <w:basedOn w:val="Normal"/>
    <w:link w:val="DotPointsChar"/>
    <w:rsid w:val="00DF54F2"/>
    <w:pPr>
      <w:numPr>
        <w:numId w:val="4"/>
      </w:numPr>
      <w:tabs>
        <w:tab w:val="left" w:pos="567"/>
      </w:tabs>
      <w:spacing w:after="120"/>
      <w:outlineLvl w:val="3"/>
    </w:pPr>
    <w:rPr>
      <w:rFonts w:cs="Arial"/>
      <w:bCs/>
      <w:szCs w:val="22"/>
    </w:rPr>
  </w:style>
  <w:style w:type="character" w:customStyle="1" w:styleId="DotPointsChar">
    <w:name w:val="Dot Points Char"/>
    <w:basedOn w:val="DefaultParagraphFont"/>
    <w:link w:val="DotPoints"/>
    <w:locked/>
    <w:rsid w:val="00DF54F2"/>
    <w:rPr>
      <w:rFonts w:ascii="Calibri" w:hAnsi="Calibri" w:cs="Arial"/>
      <w:bCs/>
      <w:sz w:val="24"/>
      <w:szCs w:val="22"/>
      <w:lang w:val="en-AU" w:eastAsia="en-AU" w:bidi="ar-SA"/>
    </w:rPr>
  </w:style>
  <w:style w:type="character" w:styleId="FollowedHyperlink">
    <w:name w:val="FollowedHyperlink"/>
    <w:basedOn w:val="DefaultParagraphFont"/>
    <w:rsid w:val="00937F6B"/>
    <w:rPr>
      <w:rFonts w:cs="Times New Roman"/>
      <w:color w:val="606420"/>
      <w:u w:val="single"/>
    </w:rPr>
  </w:style>
  <w:style w:type="paragraph" w:customStyle="1" w:styleId="paragraphstyle1">
    <w:name w:val="paragraphstyle"/>
    <w:basedOn w:val="Normal"/>
    <w:rsid w:val="00EE7E79"/>
    <w:pPr>
      <w:tabs>
        <w:tab w:val="num" w:pos="720"/>
      </w:tabs>
      <w:spacing w:after="160"/>
      <w:ind w:left="900" w:hanging="360"/>
    </w:pPr>
    <w:rPr>
      <w:szCs w:val="22"/>
    </w:rPr>
  </w:style>
  <w:style w:type="paragraph" w:styleId="TOC4">
    <w:name w:val="toc 4"/>
    <w:basedOn w:val="Normal"/>
    <w:next w:val="Normal"/>
    <w:autoRedefine/>
    <w:uiPriority w:val="39"/>
    <w:rsid w:val="008621E8"/>
    <w:pPr>
      <w:ind w:left="720"/>
    </w:pPr>
    <w:rPr>
      <w:rFonts w:ascii="Times New Roman" w:hAnsi="Times New Roman"/>
    </w:rPr>
  </w:style>
  <w:style w:type="paragraph" w:styleId="TOC5">
    <w:name w:val="toc 5"/>
    <w:basedOn w:val="Normal"/>
    <w:next w:val="Normal"/>
    <w:autoRedefine/>
    <w:uiPriority w:val="39"/>
    <w:rsid w:val="008621E8"/>
    <w:pPr>
      <w:ind w:left="960"/>
    </w:pPr>
    <w:rPr>
      <w:rFonts w:ascii="Times New Roman" w:hAnsi="Times New Roman"/>
    </w:rPr>
  </w:style>
  <w:style w:type="paragraph" w:styleId="TOC6">
    <w:name w:val="toc 6"/>
    <w:basedOn w:val="Normal"/>
    <w:next w:val="Normal"/>
    <w:autoRedefine/>
    <w:uiPriority w:val="39"/>
    <w:rsid w:val="008621E8"/>
    <w:pPr>
      <w:ind w:left="1200"/>
    </w:pPr>
    <w:rPr>
      <w:rFonts w:ascii="Times New Roman" w:hAnsi="Times New Roman"/>
    </w:rPr>
  </w:style>
  <w:style w:type="paragraph" w:styleId="TOC7">
    <w:name w:val="toc 7"/>
    <w:basedOn w:val="Normal"/>
    <w:next w:val="Normal"/>
    <w:autoRedefine/>
    <w:uiPriority w:val="39"/>
    <w:rsid w:val="008621E8"/>
    <w:pPr>
      <w:ind w:left="1440"/>
    </w:pPr>
    <w:rPr>
      <w:rFonts w:ascii="Times New Roman" w:hAnsi="Times New Roman"/>
    </w:rPr>
  </w:style>
  <w:style w:type="paragraph" w:styleId="TOC8">
    <w:name w:val="toc 8"/>
    <w:basedOn w:val="Normal"/>
    <w:next w:val="Normal"/>
    <w:autoRedefine/>
    <w:uiPriority w:val="39"/>
    <w:rsid w:val="008621E8"/>
    <w:pPr>
      <w:ind w:left="1680"/>
    </w:pPr>
    <w:rPr>
      <w:rFonts w:ascii="Times New Roman" w:hAnsi="Times New Roman"/>
    </w:rPr>
  </w:style>
  <w:style w:type="paragraph" w:styleId="TOC9">
    <w:name w:val="toc 9"/>
    <w:basedOn w:val="Normal"/>
    <w:next w:val="Normal"/>
    <w:autoRedefine/>
    <w:uiPriority w:val="39"/>
    <w:rsid w:val="008621E8"/>
    <w:pPr>
      <w:ind w:left="1920"/>
    </w:pPr>
    <w:rPr>
      <w:rFonts w:ascii="Times New Roman" w:hAnsi="Times New Roman"/>
    </w:rPr>
  </w:style>
  <w:style w:type="character" w:styleId="FootnoteReference">
    <w:name w:val="footnote reference"/>
    <w:basedOn w:val="DefaultParagraphFont"/>
    <w:rsid w:val="00CC5508"/>
    <w:rPr>
      <w:vertAlign w:val="superscript"/>
    </w:rPr>
  </w:style>
  <w:style w:type="paragraph" w:customStyle="1" w:styleId="iiiiiiBullets">
    <w:name w:val="i.ii.iiiBullets"/>
    <w:basedOn w:val="Normal"/>
    <w:rsid w:val="002925EC"/>
    <w:pPr>
      <w:numPr>
        <w:ilvl w:val="1"/>
        <w:numId w:val="5"/>
      </w:numPr>
      <w:spacing w:after="160"/>
    </w:pPr>
  </w:style>
  <w:style w:type="paragraph" w:customStyle="1" w:styleId="Bullet1">
    <w:name w:val="Bullet1"/>
    <w:basedOn w:val="Normal"/>
    <w:rsid w:val="005C51B0"/>
    <w:pPr>
      <w:numPr>
        <w:numId w:val="6"/>
      </w:numPr>
      <w:spacing w:after="120"/>
    </w:pPr>
  </w:style>
  <w:style w:type="paragraph" w:styleId="ListContinue4">
    <w:name w:val="List Continue 4"/>
    <w:basedOn w:val="Normal"/>
    <w:rsid w:val="006F633B"/>
    <w:pPr>
      <w:spacing w:after="120"/>
      <w:ind w:left="1132"/>
    </w:pPr>
  </w:style>
  <w:style w:type="paragraph" w:customStyle="1" w:styleId="Bullet2">
    <w:name w:val="Bullet2"/>
    <w:basedOn w:val="Normal"/>
    <w:rsid w:val="005C51B0"/>
    <w:pPr>
      <w:numPr>
        <w:ilvl w:val="2"/>
        <w:numId w:val="5"/>
      </w:numPr>
      <w:spacing w:after="120"/>
    </w:pPr>
  </w:style>
  <w:style w:type="character" w:customStyle="1" w:styleId="CommentTextChar">
    <w:name w:val="Comment Text Char"/>
    <w:basedOn w:val="DefaultParagraphFont"/>
    <w:link w:val="CommentText"/>
    <w:locked/>
    <w:rsid w:val="0098188B"/>
    <w:rPr>
      <w:rFonts w:ascii="Arial" w:hAnsi="Arial"/>
      <w:lang w:val="en-AU" w:eastAsia="en-US" w:bidi="ar-SA"/>
    </w:rPr>
  </w:style>
  <w:style w:type="paragraph" w:customStyle="1" w:styleId="AppendicesBodyText">
    <w:name w:val="Appendices Body Text"/>
    <w:basedOn w:val="Normal"/>
    <w:link w:val="AppendicesBodyTextChar"/>
    <w:rsid w:val="00730639"/>
    <w:pPr>
      <w:spacing w:after="120"/>
    </w:pPr>
  </w:style>
  <w:style w:type="character" w:customStyle="1" w:styleId="AppendicesBodyTextChar">
    <w:name w:val="Appendices Body Text Char"/>
    <w:basedOn w:val="DefaultParagraphFont"/>
    <w:link w:val="AppendicesBodyText"/>
    <w:rsid w:val="00730639"/>
    <w:rPr>
      <w:rFonts w:ascii="Calibri" w:hAnsi="Calibri"/>
      <w:sz w:val="22"/>
      <w:lang w:val="en-AU" w:eastAsia="en-US" w:bidi="ar-SA"/>
    </w:rPr>
  </w:style>
  <w:style w:type="numbering" w:customStyle="1" w:styleId="StyleNumbered10pt">
    <w:name w:val="Style Numbered 10 pt"/>
    <w:basedOn w:val="NoList"/>
    <w:rsid w:val="00087D41"/>
    <w:pPr>
      <w:numPr>
        <w:numId w:val="7"/>
      </w:numPr>
    </w:pPr>
  </w:style>
  <w:style w:type="paragraph" w:customStyle="1" w:styleId="NumberedParagraph">
    <w:name w:val="Numbered Paragraph"/>
    <w:basedOn w:val="Paragraphstyle0"/>
    <w:link w:val="NumberedParagraphCharChar"/>
    <w:rsid w:val="0059078F"/>
    <w:pPr>
      <w:tabs>
        <w:tab w:val="clear" w:pos="567"/>
      </w:tabs>
      <w:spacing w:after="120"/>
      <w:ind w:left="0" w:firstLine="0"/>
    </w:pPr>
  </w:style>
  <w:style w:type="paragraph" w:customStyle="1" w:styleId="Brief-BODYTEXT">
    <w:name w:val="Brief - BODY TEXT"/>
    <w:basedOn w:val="Normal"/>
    <w:rsid w:val="00F568E0"/>
    <w:pPr>
      <w:spacing w:line="234" w:lineRule="exact"/>
    </w:pPr>
  </w:style>
  <w:style w:type="character" w:customStyle="1" w:styleId="NumberedParagraphCharChar">
    <w:name w:val="Numbered Paragraph Char Char"/>
    <w:basedOn w:val="ParagraphstyleChar"/>
    <w:link w:val="NumberedParagraph"/>
    <w:rsid w:val="001C12CE"/>
    <w:rPr>
      <w:rFonts w:ascii="Calibri" w:hAnsi="Calibri" w:cs="Arial"/>
      <w:sz w:val="24"/>
      <w:szCs w:val="22"/>
      <w:lang w:val="en-AU" w:eastAsia="en-AU" w:bidi="ar-SA"/>
    </w:rPr>
  </w:style>
  <w:style w:type="paragraph" w:styleId="BodyText">
    <w:name w:val="Body Text"/>
    <w:basedOn w:val="Normal"/>
    <w:rsid w:val="00E52515"/>
    <w:pPr>
      <w:spacing w:after="120"/>
    </w:pPr>
  </w:style>
  <w:style w:type="paragraph" w:styleId="BodyTextFirstIndent">
    <w:name w:val="Body Text First Indent"/>
    <w:basedOn w:val="BodyText"/>
    <w:rsid w:val="00E52515"/>
    <w:pPr>
      <w:ind w:firstLine="210"/>
    </w:pPr>
  </w:style>
  <w:style w:type="paragraph" w:styleId="ListContinue3">
    <w:name w:val="List Continue 3"/>
    <w:basedOn w:val="Normal"/>
    <w:rsid w:val="00F47232"/>
    <w:pPr>
      <w:spacing w:after="120"/>
      <w:ind w:left="849"/>
    </w:pPr>
  </w:style>
  <w:style w:type="paragraph" w:customStyle="1" w:styleId="AppendixLetter">
    <w:name w:val="Appendix Letter"/>
    <w:basedOn w:val="Normal"/>
    <w:link w:val="AppendixLetterChar"/>
    <w:rsid w:val="00C417EE"/>
    <w:rPr>
      <w:rFonts w:ascii="Arial Bold" w:hAnsi="Arial Bold"/>
      <w:b/>
      <w:caps/>
      <w:sz w:val="32"/>
      <w:szCs w:val="32"/>
    </w:rPr>
  </w:style>
  <w:style w:type="paragraph" w:customStyle="1" w:styleId="AppendixTitle">
    <w:name w:val="Appendix Title"/>
    <w:basedOn w:val="Heading1"/>
    <w:rsid w:val="00C417EE"/>
    <w:pPr>
      <w:spacing w:before="60" w:after="240"/>
    </w:pPr>
  </w:style>
  <w:style w:type="paragraph" w:customStyle="1" w:styleId="AppendixHeading2">
    <w:name w:val="Appendix Heading 2"/>
    <w:basedOn w:val="Normal"/>
    <w:rsid w:val="00C417EE"/>
    <w:rPr>
      <w:b/>
    </w:rPr>
  </w:style>
  <w:style w:type="paragraph" w:styleId="NoteHeading">
    <w:name w:val="Note Heading"/>
    <w:basedOn w:val="Normal"/>
    <w:next w:val="Normal"/>
    <w:rsid w:val="005C4271"/>
  </w:style>
  <w:style w:type="character" w:customStyle="1" w:styleId="AppendixLetterChar">
    <w:name w:val="Appendix Letter Char"/>
    <w:basedOn w:val="DefaultParagraphFont"/>
    <w:link w:val="AppendixLetter"/>
    <w:rsid w:val="00C417EE"/>
    <w:rPr>
      <w:rFonts w:ascii="Arial Bold" w:hAnsi="Arial Bold"/>
      <w:b/>
      <w:caps/>
      <w:sz w:val="32"/>
      <w:szCs w:val="32"/>
      <w:lang w:val="en-AU" w:eastAsia="en-US" w:bidi="ar-SA"/>
    </w:rPr>
  </w:style>
  <w:style w:type="character" w:customStyle="1" w:styleId="Heading4Char">
    <w:name w:val="Heading 4 Char"/>
    <w:basedOn w:val="AppendixLetterChar"/>
    <w:link w:val="Heading4"/>
    <w:rsid w:val="00494902"/>
    <w:rPr>
      <w:rFonts w:ascii="Calibri" w:hAnsi="Calibri" w:cs="Arial Narrow"/>
      <w:b/>
      <w:caps/>
      <w:color w:val="165788"/>
      <w:sz w:val="28"/>
      <w:szCs w:val="28"/>
      <w:lang w:val="en-GB" w:eastAsia="en-AU" w:bidi="ar-SA"/>
    </w:rPr>
  </w:style>
  <w:style w:type="paragraph" w:customStyle="1" w:styleId="Style1">
    <w:name w:val="Style1"/>
    <w:basedOn w:val="ProgramTitle"/>
    <w:rsid w:val="003D6505"/>
    <w:rPr>
      <w:smallCaps/>
    </w:rPr>
  </w:style>
  <w:style w:type="paragraph" w:customStyle="1" w:styleId="StyleAppendicesBodyTextAfter6pt">
    <w:name w:val="Style Appendices Body Text + After:  6 pt"/>
    <w:basedOn w:val="AppendicesBodyText"/>
    <w:link w:val="StyleAppendicesBodyTextAfter6ptChar"/>
    <w:rsid w:val="00730639"/>
  </w:style>
  <w:style w:type="paragraph" w:customStyle="1" w:styleId="BodyText1">
    <w:name w:val="Body Text1"/>
    <w:basedOn w:val="Normal"/>
    <w:link w:val="bodytextChar"/>
    <w:rsid w:val="00A84A6D"/>
    <w:pPr>
      <w:suppressAutoHyphens/>
      <w:autoSpaceDE w:val="0"/>
      <w:autoSpaceDN w:val="0"/>
      <w:adjustRightInd w:val="0"/>
      <w:spacing w:after="150"/>
      <w:textAlignment w:val="center"/>
    </w:pPr>
    <w:rPr>
      <w:rFonts w:cs="Garamond"/>
      <w:color w:val="000000"/>
      <w:lang w:val="en-GB"/>
    </w:rPr>
  </w:style>
  <w:style w:type="paragraph" w:customStyle="1" w:styleId="dotpoint">
    <w:name w:val="dot point"/>
    <w:basedOn w:val="BodyText1"/>
    <w:link w:val="dotpointCharChar"/>
    <w:rsid w:val="00430258"/>
    <w:pPr>
      <w:tabs>
        <w:tab w:val="left" w:pos="227"/>
      </w:tabs>
      <w:spacing w:after="28"/>
    </w:pPr>
  </w:style>
  <w:style w:type="paragraph" w:customStyle="1" w:styleId="dotpoint2">
    <w:name w:val="dot point 2"/>
    <w:basedOn w:val="BodyText1"/>
    <w:rsid w:val="00430258"/>
    <w:pPr>
      <w:numPr>
        <w:numId w:val="12"/>
      </w:numPr>
      <w:tabs>
        <w:tab w:val="left" w:pos="227"/>
      </w:tabs>
      <w:spacing w:after="28"/>
    </w:pPr>
  </w:style>
  <w:style w:type="paragraph" w:customStyle="1" w:styleId="dotpointlast">
    <w:name w:val="dot point last"/>
    <w:basedOn w:val="dotpoint"/>
    <w:rsid w:val="00A84A6D"/>
    <w:pPr>
      <w:spacing w:after="198"/>
    </w:pPr>
  </w:style>
  <w:style w:type="paragraph" w:customStyle="1" w:styleId="FootnoteSource">
    <w:name w:val="Footnote/Source"/>
    <w:basedOn w:val="BodyText1"/>
    <w:link w:val="FootnoteSourceChar"/>
    <w:rsid w:val="00A84A6D"/>
    <w:pPr>
      <w:spacing w:before="57" w:after="0" w:line="240" w:lineRule="atLeast"/>
    </w:pPr>
    <w:rPr>
      <w:i/>
      <w:iCs/>
      <w:sz w:val="20"/>
      <w:szCs w:val="20"/>
    </w:rPr>
  </w:style>
  <w:style w:type="paragraph" w:styleId="Quote">
    <w:name w:val="Quote"/>
    <w:basedOn w:val="BodyText1"/>
    <w:qFormat/>
    <w:rsid w:val="00A84A6D"/>
    <w:pPr>
      <w:ind w:left="567" w:right="567"/>
    </w:pPr>
    <w:rPr>
      <w:i/>
      <w:iCs/>
    </w:rPr>
  </w:style>
  <w:style w:type="paragraph" w:customStyle="1" w:styleId="TablefigureHeading1">
    <w:name w:val="Table/figure Heading 1"/>
    <w:basedOn w:val="Normal"/>
    <w:link w:val="TablefigureHeading1Char"/>
    <w:rsid w:val="00A84A6D"/>
    <w:pPr>
      <w:tabs>
        <w:tab w:val="left" w:pos="2381"/>
        <w:tab w:val="left" w:pos="5669"/>
      </w:tabs>
      <w:suppressAutoHyphens/>
      <w:autoSpaceDE w:val="0"/>
      <w:autoSpaceDN w:val="0"/>
      <w:adjustRightInd w:val="0"/>
      <w:spacing w:before="200" w:line="240" w:lineRule="atLeast"/>
      <w:textAlignment w:val="center"/>
    </w:pPr>
    <w:rPr>
      <w:rFonts w:cs="Arial Narrow"/>
      <w:color w:val="165788"/>
      <w:lang w:val="en-GB"/>
    </w:rPr>
  </w:style>
  <w:style w:type="paragraph" w:customStyle="1" w:styleId="TableHeading2">
    <w:name w:val="Table Heading 2"/>
    <w:basedOn w:val="TableText"/>
    <w:rsid w:val="00A84A6D"/>
    <w:pPr>
      <w:jc w:val="center"/>
    </w:pPr>
    <w:rPr>
      <w:b/>
      <w:bCs/>
      <w:color w:val="FFFFFF"/>
    </w:rPr>
  </w:style>
  <w:style w:type="paragraph" w:customStyle="1" w:styleId="Tablefootnote">
    <w:name w:val="Table footnote"/>
    <w:basedOn w:val="Normal"/>
    <w:link w:val="TablefootnoteChar"/>
    <w:rsid w:val="00430258"/>
    <w:pPr>
      <w:suppressAutoHyphens/>
      <w:autoSpaceDE w:val="0"/>
      <w:autoSpaceDN w:val="0"/>
      <w:adjustRightInd w:val="0"/>
      <w:spacing w:after="57" w:line="180" w:lineRule="atLeast"/>
      <w:ind w:left="170" w:hanging="170"/>
      <w:textAlignment w:val="center"/>
    </w:pPr>
    <w:rPr>
      <w:rFonts w:cs="Arial Narrow"/>
      <w:i/>
      <w:iCs/>
      <w:color w:val="000000"/>
      <w:sz w:val="20"/>
      <w:szCs w:val="15"/>
      <w:lang w:val="en-GB"/>
    </w:rPr>
  </w:style>
  <w:style w:type="paragraph" w:customStyle="1" w:styleId="ContactDetails">
    <w:name w:val="Contact Details"/>
    <w:basedOn w:val="BodyText1"/>
    <w:rsid w:val="00A84A6D"/>
    <w:pPr>
      <w:tabs>
        <w:tab w:val="left" w:pos="1000"/>
      </w:tabs>
      <w:spacing w:after="0"/>
    </w:pPr>
  </w:style>
  <w:style w:type="paragraph" w:customStyle="1" w:styleId="ContactDetailslast">
    <w:name w:val="Contact Details last"/>
    <w:basedOn w:val="ContactDetails"/>
    <w:rsid w:val="00A84A6D"/>
    <w:pPr>
      <w:spacing w:after="142"/>
    </w:pPr>
  </w:style>
  <w:style w:type="paragraph" w:customStyle="1" w:styleId="BodyTextwithtabs">
    <w:name w:val="Body Text with tabs"/>
    <w:basedOn w:val="BodyText1"/>
    <w:rsid w:val="00A84A6D"/>
    <w:pPr>
      <w:tabs>
        <w:tab w:val="right" w:pos="8420"/>
      </w:tabs>
      <w:spacing w:after="85"/>
      <w:ind w:left="2268" w:hanging="2268"/>
    </w:pPr>
  </w:style>
  <w:style w:type="character" w:customStyle="1" w:styleId="BodyTextItalic">
    <w:name w:val="Body Text Italic"/>
    <w:rsid w:val="00A84A6D"/>
    <w:rPr>
      <w:rFonts w:ascii="Calibri" w:hAnsi="Calibri" w:cs="Garamond"/>
      <w:i/>
      <w:iCs/>
    </w:rPr>
  </w:style>
  <w:style w:type="character" w:customStyle="1" w:styleId="BodyTextIndentChar">
    <w:name w:val="Body Text Indent Char"/>
    <w:basedOn w:val="DefaultParagraphFont"/>
    <w:link w:val="BodyTextIndent"/>
    <w:rsid w:val="00C74D4D"/>
    <w:rPr>
      <w:rFonts w:ascii="Garamond" w:hAnsi="Garamond" w:cs="Garamond"/>
      <w:sz w:val="16"/>
      <w:szCs w:val="16"/>
    </w:rPr>
  </w:style>
  <w:style w:type="character" w:customStyle="1" w:styleId="tabletextbold">
    <w:name w:val="table text bold"/>
    <w:rsid w:val="00A84A6D"/>
    <w:rPr>
      <w:b/>
      <w:bCs/>
    </w:rPr>
  </w:style>
  <w:style w:type="paragraph" w:customStyle="1" w:styleId="ContentHeading1">
    <w:name w:val="Content Heading 1"/>
    <w:basedOn w:val="Normal"/>
    <w:rsid w:val="00A84A6D"/>
    <w:pPr>
      <w:tabs>
        <w:tab w:val="right" w:pos="8220"/>
      </w:tabs>
      <w:suppressAutoHyphens/>
      <w:autoSpaceDE w:val="0"/>
      <w:autoSpaceDN w:val="0"/>
      <w:adjustRightInd w:val="0"/>
      <w:spacing w:before="227" w:after="57" w:line="400" w:lineRule="atLeast"/>
      <w:textAlignment w:val="center"/>
    </w:pPr>
    <w:rPr>
      <w:rFonts w:cs="Garamond"/>
      <w:b/>
      <w:bCs/>
      <w:color w:val="000000"/>
      <w:sz w:val="36"/>
      <w:szCs w:val="36"/>
      <w:lang w:val="en-GB"/>
    </w:rPr>
  </w:style>
  <w:style w:type="paragraph" w:customStyle="1" w:styleId="Contentheading2">
    <w:name w:val="Content heading 2"/>
    <w:basedOn w:val="Normal"/>
    <w:rsid w:val="00A84A6D"/>
    <w:pPr>
      <w:tabs>
        <w:tab w:val="right" w:pos="8220"/>
      </w:tabs>
      <w:suppressAutoHyphens/>
      <w:autoSpaceDE w:val="0"/>
      <w:autoSpaceDN w:val="0"/>
      <w:adjustRightInd w:val="0"/>
      <w:spacing w:before="227" w:after="57" w:line="360" w:lineRule="atLeast"/>
      <w:textAlignment w:val="center"/>
    </w:pPr>
    <w:rPr>
      <w:rFonts w:cs="Arial Narrow"/>
      <w:b/>
      <w:bCs/>
      <w:color w:val="165788"/>
      <w:sz w:val="32"/>
      <w:szCs w:val="32"/>
      <w:lang w:val="en-GB"/>
    </w:rPr>
  </w:style>
  <w:style w:type="paragraph" w:customStyle="1" w:styleId="ContentText">
    <w:name w:val="Content Text"/>
    <w:basedOn w:val="BodyText1"/>
    <w:link w:val="ContentTextChar"/>
    <w:rsid w:val="00A84A6D"/>
    <w:pPr>
      <w:tabs>
        <w:tab w:val="right" w:pos="8220"/>
      </w:tabs>
      <w:spacing w:after="0"/>
    </w:pPr>
  </w:style>
  <w:style w:type="character" w:customStyle="1" w:styleId="Heading1Char">
    <w:name w:val="Heading 1 Char"/>
    <w:aliases w:val="_Heading 1 Char"/>
    <w:basedOn w:val="DefaultParagraphFont"/>
    <w:link w:val="Heading1"/>
    <w:rsid w:val="00B77818"/>
    <w:rPr>
      <w:rFonts w:ascii="Calibri" w:hAnsi="Calibri" w:cs="Garamond"/>
      <w:caps/>
      <w:color w:val="165788"/>
      <w:sz w:val="48"/>
      <w:szCs w:val="48"/>
      <w:lang w:val="en-GB" w:eastAsia="en-AU" w:bidi="ar-SA"/>
    </w:rPr>
  </w:style>
  <w:style w:type="character" w:customStyle="1" w:styleId="TablefigureHeading1Char">
    <w:name w:val="Table/figure Heading 1 Char"/>
    <w:basedOn w:val="DefaultParagraphFont"/>
    <w:link w:val="TablefigureHeading1"/>
    <w:rsid w:val="00A84A6D"/>
    <w:rPr>
      <w:rFonts w:ascii="Calibri" w:hAnsi="Calibri" w:cs="Arial Narrow"/>
      <w:color w:val="165788"/>
      <w:sz w:val="24"/>
      <w:szCs w:val="24"/>
      <w:lang w:val="en-GB" w:eastAsia="en-AU" w:bidi="ar-SA"/>
    </w:rPr>
  </w:style>
  <w:style w:type="numbering" w:customStyle="1" w:styleId="StyleBulletedLime">
    <w:name w:val="Style Bulleted Lime"/>
    <w:basedOn w:val="NoList"/>
    <w:rsid w:val="00A84A6D"/>
    <w:pPr>
      <w:numPr>
        <w:numId w:val="9"/>
      </w:numPr>
    </w:pPr>
  </w:style>
  <w:style w:type="character" w:customStyle="1" w:styleId="bodytextChar">
    <w:name w:val="body text Char"/>
    <w:basedOn w:val="DefaultParagraphFont"/>
    <w:link w:val="BodyText1"/>
    <w:rsid w:val="00A84A6D"/>
    <w:rPr>
      <w:rFonts w:ascii="Calibri" w:hAnsi="Calibri" w:cs="Garamond"/>
      <w:color w:val="000000"/>
      <w:sz w:val="24"/>
      <w:szCs w:val="24"/>
      <w:lang w:val="en-GB" w:eastAsia="en-AU" w:bidi="ar-SA"/>
    </w:rPr>
  </w:style>
  <w:style w:type="character" w:customStyle="1" w:styleId="ContentTextChar">
    <w:name w:val="Content Text Char"/>
    <w:basedOn w:val="bodytextChar"/>
    <w:link w:val="ContentText"/>
    <w:rsid w:val="00A84A6D"/>
    <w:rPr>
      <w:rFonts w:ascii="Calibri" w:hAnsi="Calibri" w:cs="Garamond"/>
      <w:color w:val="000000"/>
      <w:sz w:val="24"/>
      <w:szCs w:val="24"/>
      <w:lang w:val="en-GB" w:eastAsia="en-AU" w:bidi="ar-SA"/>
    </w:rPr>
  </w:style>
  <w:style w:type="character" w:customStyle="1" w:styleId="FootnoteSourceChar">
    <w:name w:val="Footnote/Source Char"/>
    <w:basedOn w:val="bodytextChar"/>
    <w:link w:val="FootnoteSource"/>
    <w:rsid w:val="00A84A6D"/>
    <w:rPr>
      <w:rFonts w:ascii="Calibri" w:hAnsi="Calibri" w:cs="Garamond"/>
      <w:i/>
      <w:iCs/>
      <w:color w:val="000000"/>
      <w:sz w:val="24"/>
      <w:szCs w:val="24"/>
      <w:lang w:val="en-GB" w:eastAsia="en-AU" w:bidi="ar-SA"/>
    </w:rPr>
  </w:style>
  <w:style w:type="character" w:customStyle="1" w:styleId="TablefootnoteChar">
    <w:name w:val="Table footnote Char"/>
    <w:basedOn w:val="DefaultParagraphFont"/>
    <w:link w:val="Tablefootnote"/>
    <w:rsid w:val="00430258"/>
    <w:rPr>
      <w:rFonts w:ascii="Calibri" w:hAnsi="Calibri" w:cs="Arial Narrow"/>
      <w:i/>
      <w:iCs/>
      <w:color w:val="000000"/>
      <w:szCs w:val="15"/>
      <w:lang w:val="en-GB" w:eastAsia="en-AU" w:bidi="ar-SA"/>
    </w:rPr>
  </w:style>
  <w:style w:type="paragraph" w:customStyle="1" w:styleId="HeadingCoverPage">
    <w:name w:val="Heading Cover Page"/>
    <w:rsid w:val="00A84A6D"/>
    <w:pPr>
      <w:spacing w:after="320"/>
      <w:ind w:left="3062" w:right="-488"/>
    </w:pPr>
    <w:rPr>
      <w:rFonts w:ascii="Calibri" w:hAnsi="Calibri" w:cs="Garamond"/>
      <w:b/>
      <w:i/>
      <w:color w:val="165788"/>
      <w:sz w:val="46"/>
      <w:szCs w:val="46"/>
      <w:lang w:val="en-GB"/>
    </w:rPr>
  </w:style>
  <w:style w:type="paragraph" w:customStyle="1" w:styleId="Stylebodytext24ptCustomColorRGB2287136Allcaps">
    <w:name w:val="Style body text + 24 pt Custom Color(RGB(2287136)) All caps"/>
    <w:basedOn w:val="BodyText1"/>
    <w:rsid w:val="00A84A6D"/>
    <w:pPr>
      <w:spacing w:line="240" w:lineRule="auto"/>
    </w:pPr>
    <w:rPr>
      <w:caps/>
      <w:color w:val="165788"/>
      <w:sz w:val="48"/>
    </w:rPr>
  </w:style>
  <w:style w:type="paragraph" w:customStyle="1" w:styleId="bodytextoutlinednumber">
    <w:name w:val="body text outlined number"/>
    <w:basedOn w:val="Normal"/>
    <w:link w:val="bodytextoutlinednumberCharChar"/>
    <w:rsid w:val="00906819"/>
    <w:pPr>
      <w:numPr>
        <w:numId w:val="10"/>
      </w:numPr>
      <w:suppressAutoHyphens/>
      <w:autoSpaceDE w:val="0"/>
      <w:autoSpaceDN w:val="0"/>
      <w:adjustRightInd w:val="0"/>
      <w:textAlignment w:val="center"/>
    </w:pPr>
    <w:rPr>
      <w:rFonts w:cs="Garamond"/>
      <w:color w:val="000000"/>
      <w:lang w:val="en-GB"/>
    </w:rPr>
  </w:style>
  <w:style w:type="character" w:customStyle="1" w:styleId="bodytextoutlinednumberCharChar">
    <w:name w:val="body text outlined number Char Char"/>
    <w:basedOn w:val="DefaultParagraphFont"/>
    <w:link w:val="bodytextoutlinednumber"/>
    <w:rsid w:val="00906819"/>
    <w:rPr>
      <w:rFonts w:ascii="Calibri" w:hAnsi="Calibri" w:cs="Garamond"/>
      <w:color w:val="000000"/>
      <w:sz w:val="24"/>
      <w:szCs w:val="24"/>
      <w:lang w:val="en-GB"/>
    </w:rPr>
  </w:style>
  <w:style w:type="character" w:customStyle="1" w:styleId="dotpointCharChar">
    <w:name w:val="dot point Char Char"/>
    <w:basedOn w:val="DefaultParagraphFont"/>
    <w:link w:val="dotpoint"/>
    <w:rsid w:val="007D3CD5"/>
    <w:rPr>
      <w:rFonts w:ascii="Calibri" w:hAnsi="Calibri" w:cs="Garamond"/>
      <w:color w:val="000000"/>
      <w:sz w:val="24"/>
      <w:szCs w:val="24"/>
      <w:lang w:val="en-GB" w:eastAsia="en-AU" w:bidi="ar-SA"/>
    </w:rPr>
  </w:style>
  <w:style w:type="character" w:customStyle="1" w:styleId="TableTextChar">
    <w:name w:val="Table Text Char"/>
    <w:basedOn w:val="DefaultParagraphFont"/>
    <w:link w:val="TableText"/>
    <w:rsid w:val="00340417"/>
    <w:rPr>
      <w:rFonts w:ascii="Arial Narrow" w:hAnsi="Arial Narrow" w:cs="Arial Narrow"/>
      <w:color w:val="000000"/>
      <w:sz w:val="18"/>
      <w:szCs w:val="18"/>
      <w:lang w:val="en-GB" w:eastAsia="en-AU" w:bidi="ar-SA"/>
    </w:rPr>
  </w:style>
  <w:style w:type="paragraph" w:customStyle="1" w:styleId="dpi2">
    <w:name w:val="dpi2"/>
    <w:basedOn w:val="dotpoint"/>
    <w:rsid w:val="00D57516"/>
    <w:pPr>
      <w:numPr>
        <w:numId w:val="59"/>
      </w:numPr>
      <w:tabs>
        <w:tab w:val="clear" w:pos="227"/>
        <w:tab w:val="left" w:pos="1531"/>
      </w:tabs>
      <w:spacing w:after="150"/>
    </w:pPr>
  </w:style>
  <w:style w:type="paragraph" w:styleId="BodyText3">
    <w:name w:val="Body Text 3"/>
    <w:basedOn w:val="Normal"/>
    <w:rsid w:val="00BC2B9A"/>
    <w:pPr>
      <w:spacing w:after="120"/>
    </w:pPr>
    <w:rPr>
      <w:sz w:val="16"/>
      <w:szCs w:val="16"/>
    </w:rPr>
  </w:style>
  <w:style w:type="paragraph" w:customStyle="1" w:styleId="StyledotpointAfter75pt">
    <w:name w:val="Style dot point + After:  7.5 pt"/>
    <w:basedOn w:val="dotpoint"/>
    <w:link w:val="StyledotpointAfter75ptChar"/>
    <w:rsid w:val="007D3971"/>
    <w:pPr>
      <w:spacing w:after="150"/>
    </w:pPr>
    <w:rPr>
      <w:rFonts w:cs="Times New Roman"/>
      <w:szCs w:val="20"/>
    </w:rPr>
  </w:style>
  <w:style w:type="character" w:customStyle="1" w:styleId="StyledotpointAfter75ptChar">
    <w:name w:val="Style dot point + After:  7.5 pt Char"/>
    <w:basedOn w:val="dotpointCharChar"/>
    <w:link w:val="StyledotpointAfter75pt"/>
    <w:rsid w:val="00D57516"/>
    <w:rPr>
      <w:rFonts w:ascii="Calibri" w:hAnsi="Calibri" w:cs="Garamond"/>
      <w:color w:val="000000"/>
      <w:sz w:val="24"/>
      <w:szCs w:val="24"/>
      <w:lang w:val="en-GB" w:eastAsia="en-AU" w:bidi="ar-SA"/>
    </w:rPr>
  </w:style>
  <w:style w:type="paragraph" w:customStyle="1" w:styleId="StyleNumberedParagraphAfter75ptLinespacingsingle">
    <w:name w:val="Style Numbered Paragraph + After:  7.5 pt Line spacing:  single"/>
    <w:basedOn w:val="NumberedParagraph"/>
    <w:rsid w:val="00D0678A"/>
    <w:pPr>
      <w:numPr>
        <w:numId w:val="8"/>
      </w:numPr>
      <w:spacing w:after="0"/>
    </w:pPr>
    <w:rPr>
      <w:rFonts w:cs="Times New Roman"/>
      <w:szCs w:val="20"/>
    </w:rPr>
  </w:style>
  <w:style w:type="paragraph" w:customStyle="1" w:styleId="StyleHeading4Linespacingsingle">
    <w:name w:val="Style Heading 4 + Line spacing:  single"/>
    <w:basedOn w:val="Heading4"/>
    <w:rsid w:val="0059078F"/>
    <w:pPr>
      <w:keepNext/>
      <w:spacing w:line="240" w:lineRule="auto"/>
    </w:pPr>
    <w:rPr>
      <w:rFonts w:cs="Times New Roman"/>
      <w:szCs w:val="20"/>
    </w:rPr>
  </w:style>
  <w:style w:type="paragraph" w:customStyle="1" w:styleId="StyleHeading2Linespacingsingle">
    <w:name w:val="Style Heading 2 + Line spacing:  single"/>
    <w:basedOn w:val="Heading2"/>
    <w:rsid w:val="0059078F"/>
    <w:pPr>
      <w:spacing w:line="240" w:lineRule="auto"/>
    </w:pPr>
    <w:rPr>
      <w:rFonts w:cs="Times New Roman"/>
      <w:szCs w:val="20"/>
    </w:rPr>
  </w:style>
  <w:style w:type="paragraph" w:customStyle="1" w:styleId="StyleStyledotpointAfter75ptLinespacingsingle">
    <w:name w:val="Style Style dot point + After:  7.5 pt + Line spacing:  single"/>
    <w:basedOn w:val="StyledotpointAfter75pt"/>
    <w:rsid w:val="006067EC"/>
    <w:pPr>
      <w:numPr>
        <w:numId w:val="11"/>
      </w:numPr>
      <w:tabs>
        <w:tab w:val="clear" w:pos="567"/>
        <w:tab w:val="num" w:pos="850"/>
      </w:tabs>
      <w:spacing w:after="0" w:line="240" w:lineRule="auto"/>
      <w:ind w:left="850"/>
    </w:pPr>
    <w:rPr>
      <w:shd w:val="clear" w:color="auto" w:fill="FFFFFD"/>
    </w:rPr>
  </w:style>
  <w:style w:type="paragraph" w:customStyle="1" w:styleId="StyleTableText105ptLinespacingsingle">
    <w:name w:val="Style Table Text + 10.5 pt Line spacing:  single"/>
    <w:basedOn w:val="TableText"/>
    <w:rsid w:val="007D3971"/>
    <w:rPr>
      <w:rFonts w:cs="Times New Roman"/>
      <w:sz w:val="21"/>
      <w:szCs w:val="20"/>
    </w:rPr>
  </w:style>
  <w:style w:type="paragraph" w:customStyle="1" w:styleId="Tablehyperlink">
    <w:name w:val="Table hyperlink"/>
    <w:basedOn w:val="TableText"/>
    <w:next w:val="TableText"/>
    <w:rsid w:val="00494902"/>
    <w:rPr>
      <w:color w:val="165788"/>
      <w:sz w:val="21"/>
      <w:u w:val="single"/>
    </w:rPr>
  </w:style>
  <w:style w:type="paragraph" w:customStyle="1" w:styleId="StyleabcBulletsLinespacingsingle">
    <w:name w:val="Style a.b.c.Bullets + Line spacing:  single"/>
    <w:basedOn w:val="Normal"/>
    <w:rsid w:val="004C1852"/>
    <w:rPr>
      <w:szCs w:val="20"/>
    </w:rPr>
  </w:style>
  <w:style w:type="paragraph" w:customStyle="1" w:styleId="StyleabcBulletsAfter6ptLinespacingsingle">
    <w:name w:val="Style a.b.c.Bullets + After:  6 pt Line spacing:  single"/>
    <w:basedOn w:val="Normal"/>
    <w:rsid w:val="004C1852"/>
    <w:pPr>
      <w:numPr>
        <w:numId w:val="5"/>
      </w:numPr>
    </w:pPr>
    <w:rPr>
      <w:szCs w:val="20"/>
    </w:rPr>
  </w:style>
  <w:style w:type="paragraph" w:customStyle="1" w:styleId="StyleNumberedParagraphLinespacingsingle">
    <w:name w:val="Style Numbered Paragraph + Line spacing:  single"/>
    <w:basedOn w:val="NumberedParagraph"/>
    <w:rsid w:val="00D0678A"/>
    <w:pPr>
      <w:spacing w:after="0"/>
    </w:pPr>
    <w:rPr>
      <w:rFonts w:cs="Times New Roman"/>
      <w:szCs w:val="20"/>
    </w:rPr>
  </w:style>
  <w:style w:type="paragraph" w:customStyle="1" w:styleId="StyleHeading3Linespacingsingle">
    <w:name w:val="Style Heading 3 + Line spacing:  single"/>
    <w:basedOn w:val="Heading3"/>
    <w:rsid w:val="00B77818"/>
    <w:pPr>
      <w:spacing w:line="240" w:lineRule="auto"/>
    </w:pPr>
    <w:rPr>
      <w:rFonts w:cs="Times New Roman"/>
      <w:szCs w:val="20"/>
    </w:rPr>
  </w:style>
  <w:style w:type="paragraph" w:customStyle="1" w:styleId="StyleHeading1Linespacingsingle">
    <w:name w:val="Style Heading 1 + Line spacing:  single"/>
    <w:basedOn w:val="Heading1"/>
    <w:rsid w:val="00B77818"/>
    <w:pPr>
      <w:spacing w:line="480" w:lineRule="atLeast"/>
    </w:pPr>
    <w:rPr>
      <w:rFonts w:cs="Times New Roman"/>
      <w:szCs w:val="20"/>
    </w:rPr>
  </w:style>
  <w:style w:type="paragraph" w:customStyle="1" w:styleId="StyleHeading1Linespacingsingle1">
    <w:name w:val="Style Heading 1 + Line spacing:  single1"/>
    <w:basedOn w:val="Heading1"/>
    <w:rsid w:val="00B77818"/>
    <w:pPr>
      <w:spacing w:line="480" w:lineRule="atLeast"/>
    </w:pPr>
    <w:rPr>
      <w:rFonts w:cs="Times New Roman"/>
      <w:szCs w:val="20"/>
    </w:rPr>
  </w:style>
  <w:style w:type="paragraph" w:customStyle="1" w:styleId="AppendixBullet">
    <w:name w:val="AppendixBullet"/>
    <w:basedOn w:val="Normal"/>
    <w:rsid w:val="002F40D4"/>
    <w:pPr>
      <w:numPr>
        <w:numId w:val="17"/>
      </w:numPr>
    </w:pPr>
  </w:style>
  <w:style w:type="paragraph" w:customStyle="1" w:styleId="StyleAppendicesBodyTextLinespacingsingle">
    <w:name w:val="Style Appendices Body Text + Line spacing:  single"/>
    <w:basedOn w:val="AppendicesBodyText"/>
    <w:rsid w:val="00505ABD"/>
    <w:pPr>
      <w:spacing w:after="0" w:line="240" w:lineRule="auto"/>
    </w:pPr>
    <w:rPr>
      <w:szCs w:val="20"/>
    </w:rPr>
  </w:style>
  <w:style w:type="paragraph" w:customStyle="1" w:styleId="StyleStyleAppendicesBodyTextAfter6ptBold">
    <w:name w:val="Style Style Appendices Body Text + After:  6 pt + Bold"/>
    <w:basedOn w:val="StyleAppendicesBodyTextAfter6pt"/>
    <w:link w:val="StyleStyleAppendicesBodyTextAfter6ptBoldChar"/>
    <w:rsid w:val="00C30212"/>
    <w:pPr>
      <w:spacing w:after="0"/>
    </w:pPr>
    <w:rPr>
      <w:b/>
      <w:bCs/>
    </w:rPr>
  </w:style>
  <w:style w:type="character" w:customStyle="1" w:styleId="StyleAppendicesBodyTextAfter6ptChar">
    <w:name w:val="Style Appendices Body Text + After:  6 pt Char"/>
    <w:basedOn w:val="AppendicesBodyTextChar"/>
    <w:link w:val="StyleAppendicesBodyTextAfter6pt"/>
    <w:rsid w:val="00C30212"/>
    <w:rPr>
      <w:rFonts w:ascii="Calibri" w:hAnsi="Calibri"/>
      <w:sz w:val="24"/>
      <w:szCs w:val="24"/>
      <w:lang w:val="en-AU" w:eastAsia="en-AU" w:bidi="ar-SA"/>
    </w:rPr>
  </w:style>
  <w:style w:type="character" w:customStyle="1" w:styleId="StyleStyleAppendicesBodyTextAfter6ptBoldChar">
    <w:name w:val="Style Style Appendices Body Text + After:  6 pt + Bold Char"/>
    <w:basedOn w:val="StyleAppendicesBodyTextAfter6ptChar"/>
    <w:link w:val="StyleStyleAppendicesBodyTextAfter6ptBold"/>
    <w:rsid w:val="00C30212"/>
    <w:rPr>
      <w:rFonts w:ascii="Calibri" w:hAnsi="Calibri"/>
      <w:b/>
      <w:bCs/>
      <w:sz w:val="24"/>
      <w:szCs w:val="24"/>
      <w:lang w:val="en-AU" w:eastAsia="en-AU" w:bidi="ar-SA"/>
    </w:rPr>
  </w:style>
  <w:style w:type="paragraph" w:customStyle="1" w:styleId="Default">
    <w:name w:val="Default"/>
    <w:rsid w:val="0005135F"/>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rsid w:val="00A83C50"/>
    <w:rPr>
      <w:sz w:val="20"/>
      <w:szCs w:val="20"/>
    </w:rPr>
  </w:style>
  <w:style w:type="character" w:customStyle="1" w:styleId="EndnoteTextChar">
    <w:name w:val="Endnote Text Char"/>
    <w:basedOn w:val="DefaultParagraphFont"/>
    <w:link w:val="EndnoteText"/>
    <w:rsid w:val="00A83C50"/>
    <w:rPr>
      <w:rFonts w:ascii="Calibri" w:hAnsi="Calibri"/>
    </w:rPr>
  </w:style>
  <w:style w:type="character" w:styleId="EndnoteReference">
    <w:name w:val="endnote reference"/>
    <w:basedOn w:val="DefaultParagraphFont"/>
    <w:rsid w:val="00A83C50"/>
    <w:rPr>
      <w:vertAlign w:val="superscript"/>
    </w:rPr>
  </w:style>
  <w:style w:type="paragraph" w:styleId="Revision">
    <w:name w:val="Revision"/>
    <w:hidden/>
    <w:uiPriority w:val="99"/>
    <w:semiHidden/>
    <w:rsid w:val="00B168FE"/>
    <w:rPr>
      <w:rFonts w:ascii="Calibri" w:hAnsi="Calibri"/>
      <w:sz w:val="24"/>
      <w:szCs w:val="24"/>
    </w:rPr>
  </w:style>
  <w:style w:type="paragraph" w:customStyle="1" w:styleId="DotPointIndent2">
    <w:name w:val="DotPointIndent2"/>
    <w:basedOn w:val="StyleStyledotpointAfter75ptLinespacingsingle"/>
    <w:qFormat/>
    <w:rsid w:val="006067EC"/>
    <w:pPr>
      <w:tabs>
        <w:tab w:val="clear" w:pos="850"/>
        <w:tab w:val="num" w:pos="1134"/>
      </w:tabs>
      <w:ind w:left="1134"/>
    </w:pPr>
  </w:style>
  <w:style w:type="paragraph" w:customStyle="1" w:styleId="DotPointIndent3">
    <w:name w:val="DotPointIndent3"/>
    <w:basedOn w:val="DotPointIndent2"/>
    <w:qFormat/>
    <w:rsid w:val="006067EC"/>
    <w:pPr>
      <w:tabs>
        <w:tab w:val="clear" w:pos="1134"/>
        <w:tab w:val="num" w:pos="1530"/>
      </w:tabs>
      <w:ind w:left="1530"/>
    </w:pPr>
  </w:style>
  <w:style w:type="paragraph" w:styleId="ListParagraph">
    <w:name w:val="List Paragraph"/>
    <w:basedOn w:val="Normal"/>
    <w:uiPriority w:val="34"/>
    <w:qFormat/>
    <w:rsid w:val="00E84367"/>
    <w:pPr>
      <w:spacing w:before="0" w:line="240" w:lineRule="auto"/>
      <w:ind w:left="720"/>
      <w:contextualSpacing/>
    </w:pPr>
    <w:rPr>
      <w:rFonts w:eastAsia="Calibri" w:cs="Calibri"/>
      <w:sz w:val="22"/>
      <w:szCs w:val="22"/>
    </w:rPr>
  </w:style>
  <w:style w:type="character" w:customStyle="1" w:styleId="Heading2Char">
    <w:name w:val="Heading 2 Char"/>
    <w:basedOn w:val="DefaultParagraphFont"/>
    <w:link w:val="Heading2"/>
    <w:rsid w:val="005C0017"/>
    <w:rPr>
      <w:rFonts w:ascii="Calibri" w:hAnsi="Calibri" w:cs="Garamond"/>
      <w:b/>
      <w:bCs/>
      <w:color w:val="000000"/>
      <w:sz w:val="36"/>
      <w:szCs w:val="36"/>
      <w:lang w:val="en-GB"/>
    </w:rPr>
  </w:style>
  <w:style w:type="paragraph" w:styleId="TOCHeading">
    <w:name w:val="TOC Heading"/>
    <w:basedOn w:val="Heading1"/>
    <w:next w:val="Normal"/>
    <w:uiPriority w:val="39"/>
    <w:semiHidden/>
    <w:unhideWhenUsed/>
    <w:qFormat/>
    <w:rsid w:val="00EE4B9A"/>
    <w:pPr>
      <w:keepLines/>
      <w:suppressAutoHyphens w:val="0"/>
      <w:autoSpaceDE/>
      <w:autoSpaceDN/>
      <w:adjustRightInd/>
      <w:spacing w:before="480" w:line="276" w:lineRule="auto"/>
      <w:textAlignment w:val="auto"/>
      <w:outlineLvl w:val="9"/>
    </w:pPr>
    <w:rPr>
      <w:rFonts w:asciiTheme="majorHAnsi" w:eastAsiaTheme="majorEastAsia" w:hAnsiTheme="majorHAnsi" w:cstheme="majorBidi"/>
      <w:b/>
      <w:bCs/>
      <w:caps w:val="0"/>
      <w:color w:val="365F91" w:themeColor="accent1" w:themeShade="BF"/>
      <w:sz w:val="28"/>
      <w:szCs w:val="28"/>
      <w:lang w:val="en-US" w:eastAsia="en-US"/>
    </w:rPr>
  </w:style>
  <w:style w:type="paragraph" w:styleId="Subtitle">
    <w:name w:val="Subtitle"/>
    <w:basedOn w:val="Normal"/>
    <w:next w:val="Normal"/>
    <w:link w:val="SubtitleChar"/>
    <w:qFormat/>
    <w:rsid w:val="008E14E7"/>
    <w:pPr>
      <w:spacing w:before="0" w:line="280" w:lineRule="exact"/>
      <w:jc w:val="right"/>
    </w:pPr>
    <w:rPr>
      <w:rFonts w:cs="Calibri"/>
      <w:i/>
      <w:color w:val="58585A"/>
    </w:rPr>
  </w:style>
  <w:style w:type="character" w:customStyle="1" w:styleId="SubtitleChar">
    <w:name w:val="Subtitle Char"/>
    <w:basedOn w:val="DefaultParagraphFont"/>
    <w:link w:val="Subtitle"/>
    <w:rsid w:val="008E14E7"/>
    <w:rPr>
      <w:rFonts w:ascii="Calibri" w:hAnsi="Calibri" w:cs="Calibri"/>
      <w:i/>
      <w:color w:val="58585A"/>
      <w:sz w:val="24"/>
      <w:szCs w:val="24"/>
    </w:rPr>
  </w:style>
  <w:style w:type="paragraph" w:customStyle="1" w:styleId="HeaderSmallText">
    <w:name w:val="Header Small Text"/>
    <w:basedOn w:val="Header"/>
    <w:qFormat/>
    <w:rsid w:val="008E14E7"/>
    <w:pPr>
      <w:tabs>
        <w:tab w:val="clear" w:pos="4153"/>
        <w:tab w:val="clear" w:pos="8306"/>
      </w:tabs>
      <w:spacing w:before="120" w:after="120" w:line="280" w:lineRule="exact"/>
      <w:jc w:val="right"/>
    </w:pPr>
    <w:rPr>
      <w:rFonts w:cs="Calibri"/>
      <w:i/>
      <w:noProof/>
      <w:color w:val="66B18C"/>
      <w:sz w:val="34"/>
      <w:szCs w:val="78"/>
    </w:rPr>
  </w:style>
  <w:style w:type="character" w:customStyle="1" w:styleId="FootnoteTextChar">
    <w:name w:val="Footnote Text Char"/>
    <w:basedOn w:val="DefaultParagraphFont"/>
    <w:link w:val="FootnoteText"/>
    <w:rsid w:val="00026633"/>
    <w:rPr>
      <w:rFonts w:ascii="Garamond" w:hAnsi="Garamond" w:cs="Garamond"/>
      <w:sz w:val="24"/>
      <w:szCs w:val="24"/>
    </w:rPr>
  </w:style>
  <w:style w:type="paragraph" w:customStyle="1" w:styleId="StyleHeading3LatinBodyCalibri16pt">
    <w:name w:val="Style Heading 3 + (Latin) +Body (Calibri) 16 pt"/>
    <w:basedOn w:val="Heading3"/>
    <w:rsid w:val="00026633"/>
    <w:pPr>
      <w:keepLines/>
      <w:suppressAutoHyphens w:val="0"/>
      <w:autoSpaceDE/>
      <w:autoSpaceDN/>
      <w:adjustRightInd/>
      <w:spacing w:before="200" w:line="240" w:lineRule="auto"/>
      <w:textAlignment w:val="auto"/>
    </w:pPr>
    <w:rPr>
      <w:rFonts w:asciiTheme="minorHAnsi" w:eastAsiaTheme="majorEastAsia" w:hAnsiTheme="minorHAnsi" w:cstheme="majorBidi"/>
      <w:color w:val="4F81BD" w:themeColor="accent1"/>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D4D"/>
    <w:pPr>
      <w:spacing w:before="150" w:line="300" w:lineRule="atLeast"/>
    </w:pPr>
    <w:rPr>
      <w:rFonts w:ascii="Calibri" w:hAnsi="Calibri"/>
      <w:sz w:val="24"/>
      <w:szCs w:val="24"/>
    </w:rPr>
  </w:style>
  <w:style w:type="paragraph" w:styleId="Heading1">
    <w:name w:val="heading 1"/>
    <w:aliases w:val="_Heading 1"/>
    <w:basedOn w:val="Normal"/>
    <w:link w:val="Heading1Char"/>
    <w:qFormat/>
    <w:rsid w:val="00B77818"/>
    <w:pPr>
      <w:keepNext/>
      <w:suppressAutoHyphens/>
      <w:autoSpaceDE w:val="0"/>
      <w:autoSpaceDN w:val="0"/>
      <w:adjustRightInd w:val="0"/>
      <w:spacing w:before="0" w:line="240" w:lineRule="auto"/>
      <w:textAlignment w:val="center"/>
      <w:outlineLvl w:val="0"/>
    </w:pPr>
    <w:rPr>
      <w:rFonts w:cs="Garamond"/>
      <w:caps/>
      <w:color w:val="165788"/>
      <w:sz w:val="48"/>
      <w:szCs w:val="48"/>
      <w:lang w:val="en-GB"/>
    </w:rPr>
  </w:style>
  <w:style w:type="paragraph" w:styleId="Heading2">
    <w:name w:val="heading 2"/>
    <w:basedOn w:val="Normal"/>
    <w:link w:val="Heading2Char"/>
    <w:qFormat/>
    <w:rsid w:val="00497024"/>
    <w:pPr>
      <w:suppressAutoHyphens/>
      <w:autoSpaceDE w:val="0"/>
      <w:autoSpaceDN w:val="0"/>
      <w:adjustRightInd w:val="0"/>
      <w:spacing w:before="440" w:after="40" w:line="240" w:lineRule="atLeast"/>
      <w:textAlignment w:val="center"/>
      <w:outlineLvl w:val="1"/>
    </w:pPr>
    <w:rPr>
      <w:rFonts w:cs="Garamond"/>
      <w:b/>
      <w:bCs/>
      <w:color w:val="000000"/>
      <w:sz w:val="36"/>
      <w:szCs w:val="36"/>
      <w:lang w:val="en-GB"/>
    </w:rPr>
  </w:style>
  <w:style w:type="paragraph" w:styleId="Heading3">
    <w:name w:val="heading 3"/>
    <w:basedOn w:val="Normal"/>
    <w:link w:val="Heading3Char"/>
    <w:qFormat/>
    <w:rsid w:val="00B77818"/>
    <w:pPr>
      <w:keepNext/>
      <w:suppressAutoHyphens/>
      <w:autoSpaceDE w:val="0"/>
      <w:autoSpaceDN w:val="0"/>
      <w:adjustRightInd w:val="0"/>
      <w:spacing w:before="300" w:line="360" w:lineRule="atLeast"/>
      <w:textAlignment w:val="center"/>
      <w:outlineLvl w:val="2"/>
    </w:pPr>
    <w:rPr>
      <w:rFonts w:cs="Arial Narrow"/>
      <w:b/>
      <w:bCs/>
      <w:color w:val="165788"/>
      <w:sz w:val="32"/>
      <w:szCs w:val="32"/>
      <w:lang w:val="en-GB"/>
    </w:rPr>
  </w:style>
  <w:style w:type="paragraph" w:styleId="Heading4">
    <w:name w:val="heading 4"/>
    <w:basedOn w:val="Normal"/>
    <w:link w:val="Heading4Char"/>
    <w:qFormat/>
    <w:rsid w:val="00494902"/>
    <w:pPr>
      <w:autoSpaceDE w:val="0"/>
      <w:autoSpaceDN w:val="0"/>
      <w:adjustRightInd w:val="0"/>
      <w:spacing w:before="240" w:line="320" w:lineRule="atLeast"/>
      <w:ind w:left="454" w:hanging="454"/>
      <w:textAlignment w:val="center"/>
      <w:outlineLvl w:val="3"/>
    </w:pPr>
    <w:rPr>
      <w:rFonts w:cs="Arial Narrow"/>
      <w:color w:val="165788"/>
      <w:sz w:val="28"/>
      <w:szCs w:val="28"/>
      <w:lang w:val="en-GB"/>
    </w:rPr>
  </w:style>
  <w:style w:type="paragraph" w:styleId="Heading5">
    <w:name w:val="heading 5"/>
    <w:basedOn w:val="BodyText1"/>
    <w:qFormat/>
    <w:rsid w:val="001C12CE"/>
    <w:pPr>
      <w:keepNext/>
      <w:spacing w:after="0"/>
      <w:outlineLvl w:val="4"/>
    </w:pPr>
    <w:rPr>
      <w:b/>
      <w:bCs/>
      <w:color w:val="165788"/>
    </w:rPr>
  </w:style>
  <w:style w:type="paragraph" w:styleId="Heading6">
    <w:name w:val="heading 6"/>
    <w:basedOn w:val="Normal"/>
    <w:next w:val="Normal"/>
    <w:qFormat/>
    <w:rsid w:val="00792BE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B77818"/>
    <w:rPr>
      <w:rFonts w:ascii="Calibri" w:hAnsi="Calibri" w:cs="Arial Narrow"/>
      <w:b/>
      <w:bCs/>
      <w:color w:val="165788"/>
      <w:sz w:val="32"/>
      <w:szCs w:val="32"/>
      <w:lang w:val="en-GB" w:eastAsia="en-AU" w:bidi="ar-SA"/>
    </w:rPr>
  </w:style>
  <w:style w:type="paragraph" w:styleId="BalloonText">
    <w:name w:val="Balloon Text"/>
    <w:basedOn w:val="Normal"/>
    <w:semiHidden/>
    <w:rsid w:val="00792BE0"/>
    <w:rPr>
      <w:rFonts w:ascii="Tahoma" w:hAnsi="Tahoma" w:cs="Tahoma"/>
      <w:sz w:val="16"/>
      <w:szCs w:val="16"/>
    </w:rPr>
  </w:style>
  <w:style w:type="character" w:styleId="CommentReference">
    <w:name w:val="annotation reference"/>
    <w:basedOn w:val="DefaultParagraphFont"/>
    <w:rsid w:val="00792BE0"/>
    <w:rPr>
      <w:rFonts w:cs="Times New Roman"/>
      <w:sz w:val="16"/>
      <w:szCs w:val="16"/>
    </w:rPr>
  </w:style>
  <w:style w:type="paragraph" w:styleId="CommentText">
    <w:name w:val="annotation text"/>
    <w:basedOn w:val="Normal"/>
    <w:link w:val="CommentTextChar"/>
    <w:rsid w:val="00792BE0"/>
    <w:rPr>
      <w:sz w:val="20"/>
    </w:rPr>
  </w:style>
  <w:style w:type="paragraph" w:styleId="CommentSubject">
    <w:name w:val="annotation subject"/>
    <w:basedOn w:val="CommentText"/>
    <w:next w:val="CommentText"/>
    <w:semiHidden/>
    <w:rsid w:val="007E0DF5"/>
    <w:rPr>
      <w:b/>
      <w:bCs/>
    </w:rPr>
  </w:style>
  <w:style w:type="paragraph" w:customStyle="1" w:styleId="PartHeading">
    <w:name w:val="Part Heading"/>
    <w:basedOn w:val="Normal"/>
    <w:autoRedefine/>
    <w:rsid w:val="005C4271"/>
    <w:pPr>
      <w:pageBreakBefore/>
      <w:shd w:val="clear" w:color="auto" w:fill="E2E2E2"/>
      <w:tabs>
        <w:tab w:val="left" w:pos="1400"/>
      </w:tabs>
      <w:spacing w:after="240"/>
    </w:pPr>
    <w:rPr>
      <w:rFonts w:ascii="Arial Bold" w:hAnsi="Arial Bold" w:cs="Arial"/>
      <w:b/>
      <w:caps/>
      <w:sz w:val="32"/>
      <w:szCs w:val="36"/>
    </w:rPr>
  </w:style>
  <w:style w:type="paragraph" w:customStyle="1" w:styleId="TitleHeading">
    <w:name w:val="Title Heading"/>
    <w:basedOn w:val="Normal"/>
    <w:rsid w:val="00A84A6D"/>
    <w:pPr>
      <w:spacing w:after="360"/>
      <w:ind w:left="-357"/>
      <w:jc w:val="center"/>
    </w:pPr>
    <w:rPr>
      <w:rFonts w:cs="Arial"/>
      <w:b/>
      <w:sz w:val="72"/>
      <w:szCs w:val="40"/>
      <w:lang w:eastAsia="en-US"/>
    </w:rPr>
  </w:style>
  <w:style w:type="paragraph" w:customStyle="1" w:styleId="Paragraphstyle0">
    <w:name w:val="Paragraph style"/>
    <w:basedOn w:val="Normal"/>
    <w:link w:val="ParagraphstyleChar"/>
    <w:rsid w:val="00155C3B"/>
    <w:pPr>
      <w:tabs>
        <w:tab w:val="num" w:pos="567"/>
      </w:tabs>
      <w:spacing w:after="160"/>
      <w:ind w:left="360" w:hanging="360"/>
    </w:pPr>
    <w:rPr>
      <w:rFonts w:cs="Arial"/>
      <w:szCs w:val="22"/>
    </w:rPr>
  </w:style>
  <w:style w:type="character" w:customStyle="1" w:styleId="ParagraphstyleChar">
    <w:name w:val="Paragraph style Char"/>
    <w:basedOn w:val="DefaultParagraphFont"/>
    <w:link w:val="Paragraphstyle0"/>
    <w:locked/>
    <w:rsid w:val="00674267"/>
    <w:rPr>
      <w:rFonts w:ascii="Calibri" w:hAnsi="Calibri" w:cs="Arial"/>
      <w:sz w:val="22"/>
      <w:szCs w:val="22"/>
      <w:lang w:val="en-AU" w:eastAsia="en-US" w:bidi="ar-SA"/>
    </w:rPr>
  </w:style>
  <w:style w:type="paragraph" w:customStyle="1" w:styleId="Paragraphindent">
    <w:name w:val="Paragraph indent"/>
    <w:basedOn w:val="Paragraphstyle0"/>
    <w:link w:val="ParagraphindentChar"/>
    <w:rsid w:val="00DC792C"/>
    <w:pPr>
      <w:tabs>
        <w:tab w:val="clear" w:pos="567"/>
        <w:tab w:val="num" w:pos="860"/>
      </w:tabs>
      <w:ind w:left="860"/>
    </w:pPr>
  </w:style>
  <w:style w:type="character" w:customStyle="1" w:styleId="ParagraphindentChar">
    <w:name w:val="Paragraph indent Char"/>
    <w:basedOn w:val="ParagraphstyleChar"/>
    <w:link w:val="Paragraphindent"/>
    <w:locked/>
    <w:rsid w:val="00DC792C"/>
    <w:rPr>
      <w:rFonts w:ascii="Calibri" w:hAnsi="Calibri" w:cs="Arial"/>
      <w:sz w:val="22"/>
      <w:szCs w:val="22"/>
      <w:lang w:val="en-AU" w:eastAsia="en-US" w:bidi="ar-SA"/>
    </w:rPr>
  </w:style>
  <w:style w:type="paragraph" w:customStyle="1" w:styleId="Paragraphindent2">
    <w:name w:val="Paragraph indent 2"/>
    <w:basedOn w:val="Paragraphindent"/>
    <w:rsid w:val="00F14FB7"/>
    <w:pPr>
      <w:tabs>
        <w:tab w:val="clear" w:pos="860"/>
        <w:tab w:val="num" w:pos="2160"/>
      </w:tabs>
      <w:ind w:left="2160" w:hanging="180"/>
    </w:pPr>
  </w:style>
  <w:style w:type="paragraph" w:customStyle="1" w:styleId="Paragraphindent3">
    <w:name w:val="Paragraph indent 3"/>
    <w:basedOn w:val="Paragraphindent2"/>
    <w:rsid w:val="00937EC4"/>
    <w:pPr>
      <w:tabs>
        <w:tab w:val="clear" w:pos="2160"/>
        <w:tab w:val="num" w:pos="2034"/>
      </w:tabs>
      <w:ind w:left="2034" w:hanging="360"/>
    </w:pPr>
  </w:style>
  <w:style w:type="paragraph" w:customStyle="1" w:styleId="ProgramTitle">
    <w:name w:val="Program Title"/>
    <w:basedOn w:val="Heading1"/>
    <w:rsid w:val="007A728C"/>
    <w:pPr>
      <w:spacing w:before="360"/>
    </w:pPr>
    <w:rPr>
      <w:rFonts w:ascii="Arial Bold" w:hAnsi="Arial Bold"/>
    </w:rPr>
  </w:style>
  <w:style w:type="paragraph" w:styleId="TOC1">
    <w:name w:val="toc 1"/>
    <w:basedOn w:val="Heading3"/>
    <w:next w:val="Normal"/>
    <w:autoRedefine/>
    <w:uiPriority w:val="39"/>
    <w:qFormat/>
    <w:rsid w:val="00683134"/>
    <w:pPr>
      <w:tabs>
        <w:tab w:val="right" w:pos="9060"/>
      </w:tabs>
      <w:spacing w:before="120" w:after="60" w:line="240" w:lineRule="auto"/>
    </w:pPr>
  </w:style>
  <w:style w:type="paragraph" w:styleId="TOC2">
    <w:name w:val="toc 2"/>
    <w:basedOn w:val="Normal"/>
    <w:next w:val="Normal"/>
    <w:autoRedefine/>
    <w:uiPriority w:val="39"/>
    <w:qFormat/>
    <w:rsid w:val="00AB25BD"/>
    <w:pPr>
      <w:tabs>
        <w:tab w:val="right" w:pos="9060"/>
      </w:tabs>
      <w:spacing w:before="60" w:line="240" w:lineRule="auto"/>
      <w:ind w:left="600" w:hanging="600"/>
    </w:pPr>
  </w:style>
  <w:style w:type="paragraph" w:styleId="TOC3">
    <w:name w:val="toc 3"/>
    <w:basedOn w:val="Normal"/>
    <w:next w:val="Normal"/>
    <w:autoRedefine/>
    <w:uiPriority w:val="39"/>
    <w:qFormat/>
    <w:rsid w:val="007B51BD"/>
    <w:pPr>
      <w:ind w:left="440"/>
    </w:pPr>
    <w:rPr>
      <w:sz w:val="20"/>
    </w:rPr>
  </w:style>
  <w:style w:type="character" w:styleId="Hyperlink">
    <w:name w:val="Hyperlink"/>
    <w:basedOn w:val="DefaultParagraphFont"/>
    <w:uiPriority w:val="99"/>
    <w:rsid w:val="0059078F"/>
    <w:rPr>
      <w:rFonts w:ascii="Calibri" w:hAnsi="Calibri" w:cs="Times New Roman"/>
      <w:color w:val="165788"/>
      <w:sz w:val="24"/>
      <w:u w:val="single"/>
    </w:rPr>
  </w:style>
  <w:style w:type="paragraph" w:customStyle="1" w:styleId="Style">
    <w:name w:val="Style"/>
    <w:basedOn w:val="Normal"/>
    <w:rsid w:val="006D639A"/>
    <w:rPr>
      <w:rFonts w:cs="Arial"/>
      <w:szCs w:val="22"/>
    </w:rPr>
  </w:style>
  <w:style w:type="paragraph" w:styleId="ListBullet">
    <w:name w:val="List Bullet"/>
    <w:aliases w:val="List Bullet Char,List Bullet Char1"/>
    <w:basedOn w:val="Normal"/>
    <w:link w:val="ListBulletChar2"/>
    <w:rsid w:val="006D639A"/>
    <w:pPr>
      <w:tabs>
        <w:tab w:val="left" w:pos="1208"/>
      </w:tabs>
      <w:ind w:left="1208" w:hanging="357"/>
    </w:pPr>
    <w:rPr>
      <w:rFonts w:ascii="Garamond" w:hAnsi="Garamond" w:cs="Garamond"/>
    </w:rPr>
  </w:style>
  <w:style w:type="character" w:customStyle="1" w:styleId="ListBulletChar2">
    <w:name w:val="List Bullet Char2"/>
    <w:aliases w:val="List Bullet Char Char,List Bullet Char1 Char"/>
    <w:basedOn w:val="DefaultParagraphFont"/>
    <w:link w:val="ListBullet"/>
    <w:locked/>
    <w:rsid w:val="006D639A"/>
    <w:rPr>
      <w:rFonts w:ascii="Garamond" w:hAnsi="Garamond" w:cs="Garamond"/>
      <w:sz w:val="24"/>
      <w:szCs w:val="24"/>
      <w:lang w:val="en-AU" w:eastAsia="en-US" w:bidi="ar-SA"/>
    </w:rPr>
  </w:style>
  <w:style w:type="paragraph" w:customStyle="1" w:styleId="ListAlpha">
    <w:name w:val="List Alpha"/>
    <w:basedOn w:val="ListBullet"/>
    <w:rsid w:val="006D639A"/>
    <w:pPr>
      <w:numPr>
        <w:numId w:val="2"/>
      </w:numPr>
      <w:tabs>
        <w:tab w:val="clear" w:pos="1440"/>
        <w:tab w:val="num" w:pos="720"/>
      </w:tabs>
      <w:ind w:left="720"/>
    </w:pPr>
  </w:style>
  <w:style w:type="paragraph" w:customStyle="1" w:styleId="Bullets">
    <w:name w:val="Bullets"/>
    <w:basedOn w:val="Normal"/>
    <w:rsid w:val="006D639A"/>
    <w:pPr>
      <w:keepLines/>
      <w:tabs>
        <w:tab w:val="left" w:pos="964"/>
        <w:tab w:val="left" w:pos="1418"/>
        <w:tab w:val="left" w:pos="1871"/>
        <w:tab w:val="left" w:pos="2325"/>
        <w:tab w:val="left" w:pos="2778"/>
        <w:tab w:val="left" w:pos="3232"/>
        <w:tab w:val="left" w:pos="3686"/>
        <w:tab w:val="left" w:pos="4139"/>
      </w:tabs>
      <w:spacing w:after="120"/>
      <w:ind w:left="1418" w:hanging="454"/>
    </w:pPr>
    <w:rPr>
      <w:rFonts w:ascii="CG Times (W1)" w:hAnsi="CG Times (W1)" w:cs="CG Times (W1)"/>
    </w:rPr>
  </w:style>
  <w:style w:type="paragraph" w:styleId="BodyTextIndent2">
    <w:name w:val="Body Text Indent 2"/>
    <w:aliases w:val="Body Text Indent 2 Char,Body Text Indent 2 Char1 Char,Body Text Indent 2 Char Char Char,Body Text Indent 2 Char1 Char Char Char,Body Text Indent 2 Char Char Char Char Char,Body Text Indent 2 Char1 Char Char Char Char Char"/>
    <w:basedOn w:val="Normal"/>
    <w:link w:val="BodyTextIndent2Char1"/>
    <w:rsid w:val="006D3F18"/>
    <w:pPr>
      <w:tabs>
        <w:tab w:val="left" w:pos="1021"/>
      </w:tabs>
      <w:spacing w:before="120"/>
      <w:ind w:left="567"/>
    </w:pPr>
    <w:rPr>
      <w:rFonts w:cs="Garamond"/>
    </w:rPr>
  </w:style>
  <w:style w:type="character" w:customStyle="1" w:styleId="BodyTextIndent2Char1">
    <w:name w:val="Body Text Indent 2 Char1"/>
    <w:aliases w:val="Body Text Indent 2 Char Char,Body Text Indent 2 Char1 Char Char,Body Text Indent 2 Char Char Char Char,Body Text Indent 2 Char1 Char Char Char Char,Body Text Indent 2 Char Char Char Char Char Char"/>
    <w:basedOn w:val="DefaultParagraphFont"/>
    <w:link w:val="BodyTextIndent2"/>
    <w:locked/>
    <w:rsid w:val="006D3F18"/>
    <w:rPr>
      <w:rFonts w:ascii="Calibri" w:hAnsi="Calibri" w:cs="Garamond"/>
      <w:sz w:val="22"/>
      <w:szCs w:val="24"/>
      <w:lang w:val="en-AU" w:eastAsia="en-US" w:bidi="ar-SA"/>
    </w:rPr>
  </w:style>
  <w:style w:type="paragraph" w:customStyle="1" w:styleId="TableText">
    <w:name w:val="Table Text"/>
    <w:basedOn w:val="BodyText1"/>
    <w:link w:val="TableTextChar"/>
    <w:rsid w:val="00340417"/>
    <w:pPr>
      <w:spacing w:before="75" w:after="75" w:line="220" w:lineRule="atLeast"/>
    </w:pPr>
    <w:rPr>
      <w:rFonts w:ascii="Arial Narrow" w:hAnsi="Arial Narrow" w:cs="Arial Narrow"/>
      <w:sz w:val="18"/>
      <w:szCs w:val="18"/>
    </w:rPr>
  </w:style>
  <w:style w:type="paragraph" w:styleId="BodyTextIndent">
    <w:name w:val="Body Text Indent"/>
    <w:basedOn w:val="Normal"/>
    <w:link w:val="BodyTextIndentChar"/>
    <w:rsid w:val="006D639A"/>
    <w:pPr>
      <w:tabs>
        <w:tab w:val="left" w:pos="1021"/>
      </w:tabs>
      <w:spacing w:before="120"/>
      <w:ind w:left="567"/>
    </w:pPr>
    <w:rPr>
      <w:rFonts w:ascii="Garamond" w:hAnsi="Garamond" w:cs="Garamond"/>
      <w:sz w:val="16"/>
      <w:szCs w:val="16"/>
    </w:rPr>
  </w:style>
  <w:style w:type="paragraph" w:styleId="BodyTextIndent3">
    <w:name w:val="Body Text Indent 3"/>
    <w:aliases w:val="Body Text Indent 3 Char"/>
    <w:basedOn w:val="Normal"/>
    <w:link w:val="BodyTextIndent3Char1"/>
    <w:rsid w:val="006D639A"/>
    <w:pPr>
      <w:tabs>
        <w:tab w:val="left" w:pos="1021"/>
      </w:tabs>
      <w:spacing w:before="120"/>
      <w:ind w:left="567"/>
      <w:jc w:val="both"/>
    </w:pPr>
    <w:rPr>
      <w:rFonts w:ascii="Garamond" w:hAnsi="Garamond" w:cs="Garamond"/>
    </w:rPr>
  </w:style>
  <w:style w:type="character" w:customStyle="1" w:styleId="BodyTextIndent3Char1">
    <w:name w:val="Body Text Indent 3 Char1"/>
    <w:aliases w:val="Body Text Indent 3 Char Char"/>
    <w:basedOn w:val="DefaultParagraphFont"/>
    <w:link w:val="BodyTextIndent3"/>
    <w:locked/>
    <w:rsid w:val="006D639A"/>
    <w:rPr>
      <w:rFonts w:ascii="Garamond" w:hAnsi="Garamond" w:cs="Garamond"/>
      <w:sz w:val="24"/>
      <w:szCs w:val="24"/>
      <w:lang w:val="en-AU" w:eastAsia="en-US" w:bidi="ar-SA"/>
    </w:rPr>
  </w:style>
  <w:style w:type="paragraph" w:styleId="FootnoteText">
    <w:name w:val="footnote text"/>
    <w:basedOn w:val="Normal"/>
    <w:link w:val="FootnoteTextChar"/>
    <w:rsid w:val="006D639A"/>
    <w:pPr>
      <w:tabs>
        <w:tab w:val="left" w:pos="1021"/>
      </w:tabs>
      <w:spacing w:before="120"/>
      <w:ind w:left="567"/>
    </w:pPr>
    <w:rPr>
      <w:rFonts w:ascii="Garamond" w:hAnsi="Garamond" w:cs="Garamond"/>
    </w:rPr>
  </w:style>
  <w:style w:type="paragraph" w:customStyle="1" w:styleId="TableTitle">
    <w:name w:val="Table Title"/>
    <w:basedOn w:val="TableText"/>
    <w:rsid w:val="006D639A"/>
    <w:pPr>
      <w:spacing w:before="120" w:after="120"/>
      <w:jc w:val="center"/>
    </w:pPr>
    <w:rPr>
      <w:b/>
      <w:bCs/>
    </w:rPr>
  </w:style>
  <w:style w:type="paragraph" w:styleId="ListNumber">
    <w:name w:val="List Number"/>
    <w:basedOn w:val="Normal"/>
    <w:rsid w:val="006D639A"/>
    <w:pPr>
      <w:tabs>
        <w:tab w:val="left" w:pos="1021"/>
      </w:tabs>
      <w:spacing w:before="120"/>
      <w:ind w:left="283" w:hanging="283"/>
    </w:pPr>
    <w:rPr>
      <w:rFonts w:ascii="Garamond" w:hAnsi="Garamond" w:cs="Garamond"/>
    </w:rPr>
  </w:style>
  <w:style w:type="paragraph" w:styleId="Header">
    <w:name w:val="header"/>
    <w:basedOn w:val="Normal"/>
    <w:rsid w:val="00A84A6D"/>
    <w:pPr>
      <w:tabs>
        <w:tab w:val="center" w:pos="4153"/>
        <w:tab w:val="right" w:pos="8306"/>
      </w:tabs>
    </w:pPr>
  </w:style>
  <w:style w:type="character" w:styleId="PageNumber">
    <w:name w:val="page number"/>
    <w:basedOn w:val="DefaultParagraphFont"/>
    <w:rsid w:val="006D639A"/>
    <w:rPr>
      <w:rFonts w:cs="Times New Roman"/>
    </w:rPr>
  </w:style>
  <w:style w:type="paragraph" w:styleId="Footer">
    <w:name w:val="footer"/>
    <w:basedOn w:val="Normal"/>
    <w:rsid w:val="00A84A6D"/>
    <w:pPr>
      <w:tabs>
        <w:tab w:val="center" w:pos="4153"/>
        <w:tab w:val="right" w:pos="8306"/>
      </w:tabs>
    </w:pPr>
  </w:style>
  <w:style w:type="character" w:styleId="Emphasis">
    <w:name w:val="Emphasis"/>
    <w:basedOn w:val="DefaultParagraphFont"/>
    <w:uiPriority w:val="20"/>
    <w:qFormat/>
    <w:rsid w:val="006D639A"/>
    <w:rPr>
      <w:rFonts w:cs="Times New Roman"/>
      <w:i/>
      <w:iCs/>
    </w:rPr>
  </w:style>
  <w:style w:type="paragraph" w:customStyle="1" w:styleId="bulletCharChar">
    <w:name w:val="bullet Char Char"/>
    <w:basedOn w:val="Normal"/>
    <w:link w:val="bulletCharCharChar"/>
    <w:rsid w:val="006D639A"/>
    <w:pPr>
      <w:tabs>
        <w:tab w:val="num" w:pos="2520"/>
      </w:tabs>
      <w:ind w:left="2520" w:hanging="360"/>
    </w:pPr>
    <w:rPr>
      <w:rFonts w:ascii="Times New Roman" w:hAnsi="Times New Roman"/>
    </w:rPr>
  </w:style>
  <w:style w:type="character" w:customStyle="1" w:styleId="bulletCharCharChar">
    <w:name w:val="bullet Char Char Char"/>
    <w:basedOn w:val="DefaultParagraphFont"/>
    <w:link w:val="bulletCharChar"/>
    <w:locked/>
    <w:rsid w:val="006D639A"/>
    <w:rPr>
      <w:sz w:val="24"/>
      <w:szCs w:val="24"/>
      <w:lang w:val="en-AU" w:eastAsia="en-US" w:bidi="ar-SA"/>
    </w:rPr>
  </w:style>
  <w:style w:type="table" w:styleId="TableGrid">
    <w:name w:val="Table Grid"/>
    <w:basedOn w:val="TableNormal"/>
    <w:rsid w:val="006D6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
    <w:name w:val="TableColHead"/>
    <w:basedOn w:val="Normal"/>
    <w:rsid w:val="006D639A"/>
    <w:pPr>
      <w:keepNext/>
      <w:spacing w:before="120" w:after="60" w:line="200" w:lineRule="exact"/>
    </w:pPr>
    <w:rPr>
      <w:rFonts w:cs="Arial"/>
      <w:b/>
      <w:bCs/>
      <w:sz w:val="18"/>
      <w:szCs w:val="18"/>
    </w:rPr>
  </w:style>
  <w:style w:type="paragraph" w:customStyle="1" w:styleId="TableText0">
    <w:name w:val="TableText"/>
    <w:basedOn w:val="Normal"/>
    <w:link w:val="TableTextChar0"/>
    <w:rsid w:val="006D639A"/>
    <w:pPr>
      <w:spacing w:before="60" w:after="60" w:line="240" w:lineRule="exact"/>
    </w:pPr>
    <w:rPr>
      <w:rFonts w:cs="Arial"/>
      <w:szCs w:val="22"/>
    </w:rPr>
  </w:style>
  <w:style w:type="character" w:customStyle="1" w:styleId="TableTextChar0">
    <w:name w:val="TableText Char"/>
    <w:basedOn w:val="DefaultParagraphFont"/>
    <w:link w:val="TableText0"/>
    <w:locked/>
    <w:rsid w:val="006D639A"/>
    <w:rPr>
      <w:rFonts w:ascii="Arial" w:hAnsi="Arial" w:cs="Arial"/>
      <w:sz w:val="22"/>
      <w:szCs w:val="22"/>
      <w:lang w:val="en-AU" w:eastAsia="en-US" w:bidi="ar-SA"/>
    </w:rPr>
  </w:style>
  <w:style w:type="paragraph" w:styleId="NormalIndent">
    <w:name w:val="Normal Indent"/>
    <w:basedOn w:val="Normal"/>
    <w:rsid w:val="006D639A"/>
    <w:pPr>
      <w:spacing w:before="40" w:after="120"/>
      <w:ind w:left="1418"/>
    </w:pPr>
    <w:rPr>
      <w:rFonts w:ascii="CG Times (W1)" w:hAnsi="CG Times (W1)"/>
    </w:rPr>
  </w:style>
  <w:style w:type="paragraph" w:customStyle="1" w:styleId="paragraph">
    <w:name w:val="paragraph"/>
    <w:aliases w:val="a"/>
    <w:rsid w:val="00DE4A0A"/>
    <w:pPr>
      <w:tabs>
        <w:tab w:val="right" w:pos="1531"/>
      </w:tabs>
      <w:spacing w:before="40"/>
      <w:ind w:left="1644" w:hanging="1644"/>
    </w:pPr>
    <w:rPr>
      <w:sz w:val="22"/>
      <w:szCs w:val="24"/>
    </w:rPr>
  </w:style>
  <w:style w:type="paragraph" w:customStyle="1" w:styleId="definition">
    <w:name w:val="definition"/>
    <w:basedOn w:val="Normal"/>
    <w:rsid w:val="00452D36"/>
    <w:pPr>
      <w:spacing w:before="100" w:beforeAutospacing="1" w:after="100" w:afterAutospacing="1"/>
    </w:pPr>
    <w:rPr>
      <w:rFonts w:ascii="Times New Roman" w:hAnsi="Times New Roman"/>
    </w:rPr>
  </w:style>
  <w:style w:type="paragraph" w:customStyle="1" w:styleId="ParagraphStyle">
    <w:name w:val="Paragraph Style"/>
    <w:basedOn w:val="Normal"/>
    <w:autoRedefine/>
    <w:rsid w:val="00DF54F2"/>
    <w:pPr>
      <w:numPr>
        <w:numId w:val="3"/>
      </w:numPr>
      <w:tabs>
        <w:tab w:val="clear" w:pos="360"/>
        <w:tab w:val="num" w:pos="567"/>
      </w:tabs>
      <w:spacing w:after="200"/>
      <w:ind w:left="0" w:firstLine="0"/>
      <w:outlineLvl w:val="3"/>
    </w:pPr>
    <w:rPr>
      <w:rFonts w:cs="Calibri"/>
      <w:bCs/>
      <w:szCs w:val="22"/>
    </w:rPr>
  </w:style>
  <w:style w:type="paragraph" w:customStyle="1" w:styleId="DotPoints">
    <w:name w:val="Dot Points"/>
    <w:basedOn w:val="Normal"/>
    <w:link w:val="DotPointsChar"/>
    <w:rsid w:val="00DF54F2"/>
    <w:pPr>
      <w:numPr>
        <w:numId w:val="4"/>
      </w:numPr>
      <w:tabs>
        <w:tab w:val="left" w:pos="567"/>
      </w:tabs>
      <w:spacing w:after="120"/>
      <w:outlineLvl w:val="3"/>
    </w:pPr>
    <w:rPr>
      <w:rFonts w:cs="Arial"/>
      <w:bCs/>
      <w:szCs w:val="22"/>
    </w:rPr>
  </w:style>
  <w:style w:type="character" w:customStyle="1" w:styleId="DotPointsChar">
    <w:name w:val="Dot Points Char"/>
    <w:basedOn w:val="DefaultParagraphFont"/>
    <w:link w:val="DotPoints"/>
    <w:locked/>
    <w:rsid w:val="00DF54F2"/>
    <w:rPr>
      <w:rFonts w:ascii="Calibri" w:hAnsi="Calibri" w:cs="Arial"/>
      <w:bCs/>
      <w:sz w:val="24"/>
      <w:szCs w:val="22"/>
      <w:lang w:val="en-AU" w:eastAsia="en-AU" w:bidi="ar-SA"/>
    </w:rPr>
  </w:style>
  <w:style w:type="character" w:styleId="FollowedHyperlink">
    <w:name w:val="FollowedHyperlink"/>
    <w:basedOn w:val="DefaultParagraphFont"/>
    <w:rsid w:val="00937F6B"/>
    <w:rPr>
      <w:rFonts w:cs="Times New Roman"/>
      <w:color w:val="606420"/>
      <w:u w:val="single"/>
    </w:rPr>
  </w:style>
  <w:style w:type="paragraph" w:customStyle="1" w:styleId="paragraphstyle1">
    <w:name w:val="paragraphstyle"/>
    <w:basedOn w:val="Normal"/>
    <w:rsid w:val="00EE7E79"/>
    <w:pPr>
      <w:tabs>
        <w:tab w:val="num" w:pos="720"/>
      </w:tabs>
      <w:spacing w:after="160"/>
      <w:ind w:left="900" w:hanging="360"/>
    </w:pPr>
    <w:rPr>
      <w:szCs w:val="22"/>
    </w:rPr>
  </w:style>
  <w:style w:type="paragraph" w:styleId="TOC4">
    <w:name w:val="toc 4"/>
    <w:basedOn w:val="Normal"/>
    <w:next w:val="Normal"/>
    <w:autoRedefine/>
    <w:uiPriority w:val="39"/>
    <w:rsid w:val="008621E8"/>
    <w:pPr>
      <w:ind w:left="720"/>
    </w:pPr>
    <w:rPr>
      <w:rFonts w:ascii="Times New Roman" w:hAnsi="Times New Roman"/>
    </w:rPr>
  </w:style>
  <w:style w:type="paragraph" w:styleId="TOC5">
    <w:name w:val="toc 5"/>
    <w:basedOn w:val="Normal"/>
    <w:next w:val="Normal"/>
    <w:autoRedefine/>
    <w:uiPriority w:val="39"/>
    <w:rsid w:val="008621E8"/>
    <w:pPr>
      <w:ind w:left="960"/>
    </w:pPr>
    <w:rPr>
      <w:rFonts w:ascii="Times New Roman" w:hAnsi="Times New Roman"/>
    </w:rPr>
  </w:style>
  <w:style w:type="paragraph" w:styleId="TOC6">
    <w:name w:val="toc 6"/>
    <w:basedOn w:val="Normal"/>
    <w:next w:val="Normal"/>
    <w:autoRedefine/>
    <w:uiPriority w:val="39"/>
    <w:rsid w:val="008621E8"/>
    <w:pPr>
      <w:ind w:left="1200"/>
    </w:pPr>
    <w:rPr>
      <w:rFonts w:ascii="Times New Roman" w:hAnsi="Times New Roman"/>
    </w:rPr>
  </w:style>
  <w:style w:type="paragraph" w:styleId="TOC7">
    <w:name w:val="toc 7"/>
    <w:basedOn w:val="Normal"/>
    <w:next w:val="Normal"/>
    <w:autoRedefine/>
    <w:uiPriority w:val="39"/>
    <w:rsid w:val="008621E8"/>
    <w:pPr>
      <w:ind w:left="1440"/>
    </w:pPr>
    <w:rPr>
      <w:rFonts w:ascii="Times New Roman" w:hAnsi="Times New Roman"/>
    </w:rPr>
  </w:style>
  <w:style w:type="paragraph" w:styleId="TOC8">
    <w:name w:val="toc 8"/>
    <w:basedOn w:val="Normal"/>
    <w:next w:val="Normal"/>
    <w:autoRedefine/>
    <w:uiPriority w:val="39"/>
    <w:rsid w:val="008621E8"/>
    <w:pPr>
      <w:ind w:left="1680"/>
    </w:pPr>
    <w:rPr>
      <w:rFonts w:ascii="Times New Roman" w:hAnsi="Times New Roman"/>
    </w:rPr>
  </w:style>
  <w:style w:type="paragraph" w:styleId="TOC9">
    <w:name w:val="toc 9"/>
    <w:basedOn w:val="Normal"/>
    <w:next w:val="Normal"/>
    <w:autoRedefine/>
    <w:uiPriority w:val="39"/>
    <w:rsid w:val="008621E8"/>
    <w:pPr>
      <w:ind w:left="1920"/>
    </w:pPr>
    <w:rPr>
      <w:rFonts w:ascii="Times New Roman" w:hAnsi="Times New Roman"/>
    </w:rPr>
  </w:style>
  <w:style w:type="character" w:styleId="FootnoteReference">
    <w:name w:val="footnote reference"/>
    <w:basedOn w:val="DefaultParagraphFont"/>
    <w:rsid w:val="00CC5508"/>
    <w:rPr>
      <w:vertAlign w:val="superscript"/>
    </w:rPr>
  </w:style>
  <w:style w:type="paragraph" w:customStyle="1" w:styleId="iiiiiiBullets">
    <w:name w:val="i.ii.iiiBullets"/>
    <w:basedOn w:val="Normal"/>
    <w:rsid w:val="002925EC"/>
    <w:pPr>
      <w:numPr>
        <w:ilvl w:val="1"/>
        <w:numId w:val="5"/>
      </w:numPr>
      <w:spacing w:after="160"/>
    </w:pPr>
  </w:style>
  <w:style w:type="paragraph" w:customStyle="1" w:styleId="Bullet1">
    <w:name w:val="Bullet1"/>
    <w:basedOn w:val="Normal"/>
    <w:rsid w:val="005C51B0"/>
    <w:pPr>
      <w:numPr>
        <w:numId w:val="6"/>
      </w:numPr>
      <w:spacing w:after="120"/>
    </w:pPr>
  </w:style>
  <w:style w:type="paragraph" w:styleId="ListContinue4">
    <w:name w:val="List Continue 4"/>
    <w:basedOn w:val="Normal"/>
    <w:rsid w:val="006F633B"/>
    <w:pPr>
      <w:spacing w:after="120"/>
      <w:ind w:left="1132"/>
    </w:pPr>
  </w:style>
  <w:style w:type="paragraph" w:customStyle="1" w:styleId="Bullet2">
    <w:name w:val="Bullet2"/>
    <w:basedOn w:val="Normal"/>
    <w:rsid w:val="005C51B0"/>
    <w:pPr>
      <w:numPr>
        <w:ilvl w:val="2"/>
        <w:numId w:val="5"/>
      </w:numPr>
      <w:spacing w:after="120"/>
    </w:pPr>
  </w:style>
  <w:style w:type="character" w:customStyle="1" w:styleId="CommentTextChar">
    <w:name w:val="Comment Text Char"/>
    <w:basedOn w:val="DefaultParagraphFont"/>
    <w:link w:val="CommentText"/>
    <w:locked/>
    <w:rsid w:val="0098188B"/>
    <w:rPr>
      <w:rFonts w:ascii="Arial" w:hAnsi="Arial"/>
      <w:lang w:val="en-AU" w:eastAsia="en-US" w:bidi="ar-SA"/>
    </w:rPr>
  </w:style>
  <w:style w:type="paragraph" w:customStyle="1" w:styleId="AppendicesBodyText">
    <w:name w:val="Appendices Body Text"/>
    <w:basedOn w:val="Normal"/>
    <w:link w:val="AppendicesBodyTextChar"/>
    <w:rsid w:val="00730639"/>
    <w:pPr>
      <w:spacing w:after="120"/>
    </w:pPr>
  </w:style>
  <w:style w:type="character" w:customStyle="1" w:styleId="AppendicesBodyTextChar">
    <w:name w:val="Appendices Body Text Char"/>
    <w:basedOn w:val="DefaultParagraphFont"/>
    <w:link w:val="AppendicesBodyText"/>
    <w:rsid w:val="00730639"/>
    <w:rPr>
      <w:rFonts w:ascii="Calibri" w:hAnsi="Calibri"/>
      <w:sz w:val="22"/>
      <w:lang w:val="en-AU" w:eastAsia="en-US" w:bidi="ar-SA"/>
    </w:rPr>
  </w:style>
  <w:style w:type="numbering" w:customStyle="1" w:styleId="StyleNumbered10pt">
    <w:name w:val="Style Numbered 10 pt"/>
    <w:basedOn w:val="NoList"/>
    <w:rsid w:val="00087D41"/>
    <w:pPr>
      <w:numPr>
        <w:numId w:val="7"/>
      </w:numPr>
    </w:pPr>
  </w:style>
  <w:style w:type="paragraph" w:customStyle="1" w:styleId="NumberedParagraph">
    <w:name w:val="Numbered Paragraph"/>
    <w:basedOn w:val="Paragraphstyle0"/>
    <w:link w:val="NumberedParagraphCharChar"/>
    <w:rsid w:val="0059078F"/>
    <w:pPr>
      <w:tabs>
        <w:tab w:val="clear" w:pos="567"/>
      </w:tabs>
      <w:spacing w:after="120"/>
      <w:ind w:left="0" w:firstLine="0"/>
    </w:pPr>
  </w:style>
  <w:style w:type="paragraph" w:customStyle="1" w:styleId="Brief-BODYTEXT">
    <w:name w:val="Brief - BODY TEXT"/>
    <w:basedOn w:val="Normal"/>
    <w:rsid w:val="00F568E0"/>
    <w:pPr>
      <w:spacing w:line="234" w:lineRule="exact"/>
    </w:pPr>
  </w:style>
  <w:style w:type="character" w:customStyle="1" w:styleId="NumberedParagraphCharChar">
    <w:name w:val="Numbered Paragraph Char Char"/>
    <w:basedOn w:val="ParagraphstyleChar"/>
    <w:link w:val="NumberedParagraph"/>
    <w:rsid w:val="001C12CE"/>
    <w:rPr>
      <w:rFonts w:ascii="Calibri" w:hAnsi="Calibri" w:cs="Arial"/>
      <w:sz w:val="24"/>
      <w:szCs w:val="22"/>
      <w:lang w:val="en-AU" w:eastAsia="en-AU" w:bidi="ar-SA"/>
    </w:rPr>
  </w:style>
  <w:style w:type="paragraph" w:styleId="BodyText">
    <w:name w:val="Body Text"/>
    <w:basedOn w:val="Normal"/>
    <w:rsid w:val="00E52515"/>
    <w:pPr>
      <w:spacing w:after="120"/>
    </w:pPr>
  </w:style>
  <w:style w:type="paragraph" w:styleId="BodyTextFirstIndent">
    <w:name w:val="Body Text First Indent"/>
    <w:basedOn w:val="BodyText"/>
    <w:rsid w:val="00E52515"/>
    <w:pPr>
      <w:ind w:firstLine="210"/>
    </w:pPr>
  </w:style>
  <w:style w:type="paragraph" w:styleId="ListContinue3">
    <w:name w:val="List Continue 3"/>
    <w:basedOn w:val="Normal"/>
    <w:rsid w:val="00F47232"/>
    <w:pPr>
      <w:spacing w:after="120"/>
      <w:ind w:left="849"/>
    </w:pPr>
  </w:style>
  <w:style w:type="paragraph" w:customStyle="1" w:styleId="AppendixLetter">
    <w:name w:val="Appendix Letter"/>
    <w:basedOn w:val="Normal"/>
    <w:link w:val="AppendixLetterChar"/>
    <w:rsid w:val="00C417EE"/>
    <w:rPr>
      <w:rFonts w:ascii="Arial Bold" w:hAnsi="Arial Bold"/>
      <w:b/>
      <w:caps/>
      <w:sz w:val="32"/>
      <w:szCs w:val="32"/>
    </w:rPr>
  </w:style>
  <w:style w:type="paragraph" w:customStyle="1" w:styleId="AppendixTitle">
    <w:name w:val="Appendix Title"/>
    <w:basedOn w:val="Heading1"/>
    <w:rsid w:val="00C417EE"/>
    <w:pPr>
      <w:spacing w:before="60" w:after="240"/>
    </w:pPr>
  </w:style>
  <w:style w:type="paragraph" w:customStyle="1" w:styleId="AppendixHeading2">
    <w:name w:val="Appendix Heading 2"/>
    <w:basedOn w:val="Normal"/>
    <w:rsid w:val="00C417EE"/>
    <w:rPr>
      <w:b/>
    </w:rPr>
  </w:style>
  <w:style w:type="paragraph" w:styleId="NoteHeading">
    <w:name w:val="Note Heading"/>
    <w:basedOn w:val="Normal"/>
    <w:next w:val="Normal"/>
    <w:rsid w:val="005C4271"/>
  </w:style>
  <w:style w:type="character" w:customStyle="1" w:styleId="AppendixLetterChar">
    <w:name w:val="Appendix Letter Char"/>
    <w:basedOn w:val="DefaultParagraphFont"/>
    <w:link w:val="AppendixLetter"/>
    <w:rsid w:val="00C417EE"/>
    <w:rPr>
      <w:rFonts w:ascii="Arial Bold" w:hAnsi="Arial Bold"/>
      <w:b/>
      <w:caps/>
      <w:sz w:val="32"/>
      <w:szCs w:val="32"/>
      <w:lang w:val="en-AU" w:eastAsia="en-US" w:bidi="ar-SA"/>
    </w:rPr>
  </w:style>
  <w:style w:type="character" w:customStyle="1" w:styleId="Heading4Char">
    <w:name w:val="Heading 4 Char"/>
    <w:basedOn w:val="AppendixLetterChar"/>
    <w:link w:val="Heading4"/>
    <w:rsid w:val="00494902"/>
    <w:rPr>
      <w:rFonts w:ascii="Calibri" w:hAnsi="Calibri" w:cs="Arial Narrow"/>
      <w:b/>
      <w:caps/>
      <w:color w:val="165788"/>
      <w:sz w:val="28"/>
      <w:szCs w:val="28"/>
      <w:lang w:val="en-GB" w:eastAsia="en-AU" w:bidi="ar-SA"/>
    </w:rPr>
  </w:style>
  <w:style w:type="paragraph" w:customStyle="1" w:styleId="Style1">
    <w:name w:val="Style1"/>
    <w:basedOn w:val="ProgramTitle"/>
    <w:rsid w:val="003D6505"/>
    <w:rPr>
      <w:smallCaps/>
    </w:rPr>
  </w:style>
  <w:style w:type="paragraph" w:customStyle="1" w:styleId="StyleAppendicesBodyTextAfter6pt">
    <w:name w:val="Style Appendices Body Text + After:  6 pt"/>
    <w:basedOn w:val="AppendicesBodyText"/>
    <w:link w:val="StyleAppendicesBodyTextAfter6ptChar"/>
    <w:rsid w:val="00730639"/>
  </w:style>
  <w:style w:type="paragraph" w:customStyle="1" w:styleId="BodyText1">
    <w:name w:val="Body Text1"/>
    <w:basedOn w:val="Normal"/>
    <w:link w:val="bodytextChar"/>
    <w:rsid w:val="00A84A6D"/>
    <w:pPr>
      <w:suppressAutoHyphens/>
      <w:autoSpaceDE w:val="0"/>
      <w:autoSpaceDN w:val="0"/>
      <w:adjustRightInd w:val="0"/>
      <w:spacing w:after="150"/>
      <w:textAlignment w:val="center"/>
    </w:pPr>
    <w:rPr>
      <w:rFonts w:cs="Garamond"/>
      <w:color w:val="000000"/>
      <w:lang w:val="en-GB"/>
    </w:rPr>
  </w:style>
  <w:style w:type="paragraph" w:customStyle="1" w:styleId="dotpoint">
    <w:name w:val="dot point"/>
    <w:basedOn w:val="BodyText1"/>
    <w:link w:val="dotpointCharChar"/>
    <w:rsid w:val="00430258"/>
    <w:pPr>
      <w:tabs>
        <w:tab w:val="left" w:pos="227"/>
      </w:tabs>
      <w:spacing w:after="28"/>
    </w:pPr>
  </w:style>
  <w:style w:type="paragraph" w:customStyle="1" w:styleId="dotpoint2">
    <w:name w:val="dot point 2"/>
    <w:basedOn w:val="BodyText1"/>
    <w:rsid w:val="00430258"/>
    <w:pPr>
      <w:numPr>
        <w:numId w:val="12"/>
      </w:numPr>
      <w:tabs>
        <w:tab w:val="left" w:pos="227"/>
      </w:tabs>
      <w:spacing w:after="28"/>
    </w:pPr>
  </w:style>
  <w:style w:type="paragraph" w:customStyle="1" w:styleId="dotpointlast">
    <w:name w:val="dot point last"/>
    <w:basedOn w:val="dotpoint"/>
    <w:rsid w:val="00A84A6D"/>
    <w:pPr>
      <w:spacing w:after="198"/>
    </w:pPr>
  </w:style>
  <w:style w:type="paragraph" w:customStyle="1" w:styleId="FootnoteSource">
    <w:name w:val="Footnote/Source"/>
    <w:basedOn w:val="BodyText1"/>
    <w:link w:val="FootnoteSourceChar"/>
    <w:rsid w:val="00A84A6D"/>
    <w:pPr>
      <w:spacing w:before="57" w:after="0" w:line="240" w:lineRule="atLeast"/>
    </w:pPr>
    <w:rPr>
      <w:i/>
      <w:iCs/>
      <w:sz w:val="20"/>
      <w:szCs w:val="20"/>
    </w:rPr>
  </w:style>
  <w:style w:type="paragraph" w:styleId="Quote">
    <w:name w:val="Quote"/>
    <w:basedOn w:val="BodyText1"/>
    <w:qFormat/>
    <w:rsid w:val="00A84A6D"/>
    <w:pPr>
      <w:ind w:left="567" w:right="567"/>
    </w:pPr>
    <w:rPr>
      <w:i/>
      <w:iCs/>
    </w:rPr>
  </w:style>
  <w:style w:type="paragraph" w:customStyle="1" w:styleId="TablefigureHeading1">
    <w:name w:val="Table/figure Heading 1"/>
    <w:basedOn w:val="Normal"/>
    <w:link w:val="TablefigureHeading1Char"/>
    <w:rsid w:val="00A84A6D"/>
    <w:pPr>
      <w:tabs>
        <w:tab w:val="left" w:pos="2381"/>
        <w:tab w:val="left" w:pos="5669"/>
      </w:tabs>
      <w:suppressAutoHyphens/>
      <w:autoSpaceDE w:val="0"/>
      <w:autoSpaceDN w:val="0"/>
      <w:adjustRightInd w:val="0"/>
      <w:spacing w:before="200" w:line="240" w:lineRule="atLeast"/>
      <w:textAlignment w:val="center"/>
    </w:pPr>
    <w:rPr>
      <w:rFonts w:cs="Arial Narrow"/>
      <w:color w:val="165788"/>
      <w:lang w:val="en-GB"/>
    </w:rPr>
  </w:style>
  <w:style w:type="paragraph" w:customStyle="1" w:styleId="TableHeading2">
    <w:name w:val="Table Heading 2"/>
    <w:basedOn w:val="TableText"/>
    <w:rsid w:val="00A84A6D"/>
    <w:pPr>
      <w:jc w:val="center"/>
    </w:pPr>
    <w:rPr>
      <w:b/>
      <w:bCs/>
      <w:color w:val="FFFFFF"/>
    </w:rPr>
  </w:style>
  <w:style w:type="paragraph" w:customStyle="1" w:styleId="Tablefootnote">
    <w:name w:val="Table footnote"/>
    <w:basedOn w:val="Normal"/>
    <w:link w:val="TablefootnoteChar"/>
    <w:rsid w:val="00430258"/>
    <w:pPr>
      <w:suppressAutoHyphens/>
      <w:autoSpaceDE w:val="0"/>
      <w:autoSpaceDN w:val="0"/>
      <w:adjustRightInd w:val="0"/>
      <w:spacing w:after="57" w:line="180" w:lineRule="atLeast"/>
      <w:ind w:left="170" w:hanging="170"/>
      <w:textAlignment w:val="center"/>
    </w:pPr>
    <w:rPr>
      <w:rFonts w:cs="Arial Narrow"/>
      <w:i/>
      <w:iCs/>
      <w:color w:val="000000"/>
      <w:sz w:val="20"/>
      <w:szCs w:val="15"/>
      <w:lang w:val="en-GB"/>
    </w:rPr>
  </w:style>
  <w:style w:type="paragraph" w:customStyle="1" w:styleId="ContactDetails">
    <w:name w:val="Contact Details"/>
    <w:basedOn w:val="BodyText1"/>
    <w:rsid w:val="00A84A6D"/>
    <w:pPr>
      <w:tabs>
        <w:tab w:val="left" w:pos="1000"/>
      </w:tabs>
      <w:spacing w:after="0"/>
    </w:pPr>
  </w:style>
  <w:style w:type="paragraph" w:customStyle="1" w:styleId="ContactDetailslast">
    <w:name w:val="Contact Details last"/>
    <w:basedOn w:val="ContactDetails"/>
    <w:rsid w:val="00A84A6D"/>
    <w:pPr>
      <w:spacing w:after="142"/>
    </w:pPr>
  </w:style>
  <w:style w:type="paragraph" w:customStyle="1" w:styleId="BodyTextwithtabs">
    <w:name w:val="Body Text with tabs"/>
    <w:basedOn w:val="BodyText1"/>
    <w:rsid w:val="00A84A6D"/>
    <w:pPr>
      <w:tabs>
        <w:tab w:val="right" w:pos="8420"/>
      </w:tabs>
      <w:spacing w:after="85"/>
      <w:ind w:left="2268" w:hanging="2268"/>
    </w:pPr>
  </w:style>
  <w:style w:type="character" w:customStyle="1" w:styleId="BodyTextItalic">
    <w:name w:val="Body Text Italic"/>
    <w:rsid w:val="00A84A6D"/>
    <w:rPr>
      <w:rFonts w:ascii="Calibri" w:hAnsi="Calibri" w:cs="Garamond"/>
      <w:i/>
      <w:iCs/>
    </w:rPr>
  </w:style>
  <w:style w:type="character" w:customStyle="1" w:styleId="BodyTextIndentChar">
    <w:name w:val="Body Text Indent Char"/>
    <w:basedOn w:val="DefaultParagraphFont"/>
    <w:link w:val="BodyTextIndent"/>
    <w:rsid w:val="00C74D4D"/>
    <w:rPr>
      <w:rFonts w:ascii="Garamond" w:hAnsi="Garamond" w:cs="Garamond"/>
      <w:sz w:val="16"/>
      <w:szCs w:val="16"/>
    </w:rPr>
  </w:style>
  <w:style w:type="character" w:customStyle="1" w:styleId="tabletextbold">
    <w:name w:val="table text bold"/>
    <w:rsid w:val="00A84A6D"/>
    <w:rPr>
      <w:b/>
      <w:bCs/>
    </w:rPr>
  </w:style>
  <w:style w:type="paragraph" w:customStyle="1" w:styleId="ContentHeading1">
    <w:name w:val="Content Heading 1"/>
    <w:basedOn w:val="Normal"/>
    <w:rsid w:val="00A84A6D"/>
    <w:pPr>
      <w:tabs>
        <w:tab w:val="right" w:pos="8220"/>
      </w:tabs>
      <w:suppressAutoHyphens/>
      <w:autoSpaceDE w:val="0"/>
      <w:autoSpaceDN w:val="0"/>
      <w:adjustRightInd w:val="0"/>
      <w:spacing w:before="227" w:after="57" w:line="400" w:lineRule="atLeast"/>
      <w:textAlignment w:val="center"/>
    </w:pPr>
    <w:rPr>
      <w:rFonts w:cs="Garamond"/>
      <w:b/>
      <w:bCs/>
      <w:color w:val="000000"/>
      <w:sz w:val="36"/>
      <w:szCs w:val="36"/>
      <w:lang w:val="en-GB"/>
    </w:rPr>
  </w:style>
  <w:style w:type="paragraph" w:customStyle="1" w:styleId="Contentheading2">
    <w:name w:val="Content heading 2"/>
    <w:basedOn w:val="Normal"/>
    <w:rsid w:val="00A84A6D"/>
    <w:pPr>
      <w:tabs>
        <w:tab w:val="right" w:pos="8220"/>
      </w:tabs>
      <w:suppressAutoHyphens/>
      <w:autoSpaceDE w:val="0"/>
      <w:autoSpaceDN w:val="0"/>
      <w:adjustRightInd w:val="0"/>
      <w:spacing w:before="227" w:after="57" w:line="360" w:lineRule="atLeast"/>
      <w:textAlignment w:val="center"/>
    </w:pPr>
    <w:rPr>
      <w:rFonts w:cs="Arial Narrow"/>
      <w:b/>
      <w:bCs/>
      <w:color w:val="165788"/>
      <w:sz w:val="32"/>
      <w:szCs w:val="32"/>
      <w:lang w:val="en-GB"/>
    </w:rPr>
  </w:style>
  <w:style w:type="paragraph" w:customStyle="1" w:styleId="ContentText">
    <w:name w:val="Content Text"/>
    <w:basedOn w:val="BodyText1"/>
    <w:link w:val="ContentTextChar"/>
    <w:rsid w:val="00A84A6D"/>
    <w:pPr>
      <w:tabs>
        <w:tab w:val="right" w:pos="8220"/>
      </w:tabs>
      <w:spacing w:after="0"/>
    </w:pPr>
  </w:style>
  <w:style w:type="character" w:customStyle="1" w:styleId="Heading1Char">
    <w:name w:val="Heading 1 Char"/>
    <w:aliases w:val="_Heading 1 Char"/>
    <w:basedOn w:val="DefaultParagraphFont"/>
    <w:link w:val="Heading1"/>
    <w:rsid w:val="00B77818"/>
    <w:rPr>
      <w:rFonts w:ascii="Calibri" w:hAnsi="Calibri" w:cs="Garamond"/>
      <w:caps/>
      <w:color w:val="165788"/>
      <w:sz w:val="48"/>
      <w:szCs w:val="48"/>
      <w:lang w:val="en-GB" w:eastAsia="en-AU" w:bidi="ar-SA"/>
    </w:rPr>
  </w:style>
  <w:style w:type="character" w:customStyle="1" w:styleId="TablefigureHeading1Char">
    <w:name w:val="Table/figure Heading 1 Char"/>
    <w:basedOn w:val="DefaultParagraphFont"/>
    <w:link w:val="TablefigureHeading1"/>
    <w:rsid w:val="00A84A6D"/>
    <w:rPr>
      <w:rFonts w:ascii="Calibri" w:hAnsi="Calibri" w:cs="Arial Narrow"/>
      <w:color w:val="165788"/>
      <w:sz w:val="24"/>
      <w:szCs w:val="24"/>
      <w:lang w:val="en-GB" w:eastAsia="en-AU" w:bidi="ar-SA"/>
    </w:rPr>
  </w:style>
  <w:style w:type="numbering" w:customStyle="1" w:styleId="StyleBulletedLime">
    <w:name w:val="Style Bulleted Lime"/>
    <w:basedOn w:val="NoList"/>
    <w:rsid w:val="00A84A6D"/>
    <w:pPr>
      <w:numPr>
        <w:numId w:val="9"/>
      </w:numPr>
    </w:pPr>
  </w:style>
  <w:style w:type="character" w:customStyle="1" w:styleId="bodytextChar">
    <w:name w:val="body text Char"/>
    <w:basedOn w:val="DefaultParagraphFont"/>
    <w:link w:val="BodyText1"/>
    <w:rsid w:val="00A84A6D"/>
    <w:rPr>
      <w:rFonts w:ascii="Calibri" w:hAnsi="Calibri" w:cs="Garamond"/>
      <w:color w:val="000000"/>
      <w:sz w:val="24"/>
      <w:szCs w:val="24"/>
      <w:lang w:val="en-GB" w:eastAsia="en-AU" w:bidi="ar-SA"/>
    </w:rPr>
  </w:style>
  <w:style w:type="character" w:customStyle="1" w:styleId="ContentTextChar">
    <w:name w:val="Content Text Char"/>
    <w:basedOn w:val="bodytextChar"/>
    <w:link w:val="ContentText"/>
    <w:rsid w:val="00A84A6D"/>
    <w:rPr>
      <w:rFonts w:ascii="Calibri" w:hAnsi="Calibri" w:cs="Garamond"/>
      <w:color w:val="000000"/>
      <w:sz w:val="24"/>
      <w:szCs w:val="24"/>
      <w:lang w:val="en-GB" w:eastAsia="en-AU" w:bidi="ar-SA"/>
    </w:rPr>
  </w:style>
  <w:style w:type="character" w:customStyle="1" w:styleId="FootnoteSourceChar">
    <w:name w:val="Footnote/Source Char"/>
    <w:basedOn w:val="bodytextChar"/>
    <w:link w:val="FootnoteSource"/>
    <w:rsid w:val="00A84A6D"/>
    <w:rPr>
      <w:rFonts w:ascii="Calibri" w:hAnsi="Calibri" w:cs="Garamond"/>
      <w:i/>
      <w:iCs/>
      <w:color w:val="000000"/>
      <w:sz w:val="24"/>
      <w:szCs w:val="24"/>
      <w:lang w:val="en-GB" w:eastAsia="en-AU" w:bidi="ar-SA"/>
    </w:rPr>
  </w:style>
  <w:style w:type="character" w:customStyle="1" w:styleId="TablefootnoteChar">
    <w:name w:val="Table footnote Char"/>
    <w:basedOn w:val="DefaultParagraphFont"/>
    <w:link w:val="Tablefootnote"/>
    <w:rsid w:val="00430258"/>
    <w:rPr>
      <w:rFonts w:ascii="Calibri" w:hAnsi="Calibri" w:cs="Arial Narrow"/>
      <w:i/>
      <w:iCs/>
      <w:color w:val="000000"/>
      <w:szCs w:val="15"/>
      <w:lang w:val="en-GB" w:eastAsia="en-AU" w:bidi="ar-SA"/>
    </w:rPr>
  </w:style>
  <w:style w:type="paragraph" w:customStyle="1" w:styleId="HeadingCoverPage">
    <w:name w:val="Heading Cover Page"/>
    <w:rsid w:val="00A84A6D"/>
    <w:pPr>
      <w:spacing w:after="320"/>
      <w:ind w:left="3062" w:right="-488"/>
    </w:pPr>
    <w:rPr>
      <w:rFonts w:ascii="Calibri" w:hAnsi="Calibri" w:cs="Garamond"/>
      <w:b/>
      <w:i/>
      <w:color w:val="165788"/>
      <w:sz w:val="46"/>
      <w:szCs w:val="46"/>
      <w:lang w:val="en-GB"/>
    </w:rPr>
  </w:style>
  <w:style w:type="paragraph" w:customStyle="1" w:styleId="Stylebodytext24ptCustomColorRGB2287136Allcaps">
    <w:name w:val="Style body text + 24 pt Custom Color(RGB(2287136)) All caps"/>
    <w:basedOn w:val="BodyText1"/>
    <w:rsid w:val="00A84A6D"/>
    <w:pPr>
      <w:spacing w:line="240" w:lineRule="auto"/>
    </w:pPr>
    <w:rPr>
      <w:caps/>
      <w:color w:val="165788"/>
      <w:sz w:val="48"/>
    </w:rPr>
  </w:style>
  <w:style w:type="paragraph" w:customStyle="1" w:styleId="bodytextoutlinednumber">
    <w:name w:val="body text outlined number"/>
    <w:basedOn w:val="Normal"/>
    <w:link w:val="bodytextoutlinednumberCharChar"/>
    <w:rsid w:val="00906819"/>
    <w:pPr>
      <w:numPr>
        <w:numId w:val="10"/>
      </w:numPr>
      <w:suppressAutoHyphens/>
      <w:autoSpaceDE w:val="0"/>
      <w:autoSpaceDN w:val="0"/>
      <w:adjustRightInd w:val="0"/>
      <w:textAlignment w:val="center"/>
    </w:pPr>
    <w:rPr>
      <w:rFonts w:cs="Garamond"/>
      <w:color w:val="000000"/>
      <w:lang w:val="en-GB"/>
    </w:rPr>
  </w:style>
  <w:style w:type="character" w:customStyle="1" w:styleId="bodytextoutlinednumberCharChar">
    <w:name w:val="body text outlined number Char Char"/>
    <w:basedOn w:val="DefaultParagraphFont"/>
    <w:link w:val="bodytextoutlinednumber"/>
    <w:rsid w:val="00906819"/>
    <w:rPr>
      <w:rFonts w:ascii="Calibri" w:hAnsi="Calibri" w:cs="Garamond"/>
      <w:color w:val="000000"/>
      <w:sz w:val="24"/>
      <w:szCs w:val="24"/>
      <w:lang w:val="en-GB"/>
    </w:rPr>
  </w:style>
  <w:style w:type="character" w:customStyle="1" w:styleId="dotpointCharChar">
    <w:name w:val="dot point Char Char"/>
    <w:basedOn w:val="DefaultParagraphFont"/>
    <w:link w:val="dotpoint"/>
    <w:rsid w:val="007D3CD5"/>
    <w:rPr>
      <w:rFonts w:ascii="Calibri" w:hAnsi="Calibri" w:cs="Garamond"/>
      <w:color w:val="000000"/>
      <w:sz w:val="24"/>
      <w:szCs w:val="24"/>
      <w:lang w:val="en-GB" w:eastAsia="en-AU" w:bidi="ar-SA"/>
    </w:rPr>
  </w:style>
  <w:style w:type="character" w:customStyle="1" w:styleId="TableTextChar">
    <w:name w:val="Table Text Char"/>
    <w:basedOn w:val="DefaultParagraphFont"/>
    <w:link w:val="TableText"/>
    <w:rsid w:val="00340417"/>
    <w:rPr>
      <w:rFonts w:ascii="Arial Narrow" w:hAnsi="Arial Narrow" w:cs="Arial Narrow"/>
      <w:color w:val="000000"/>
      <w:sz w:val="18"/>
      <w:szCs w:val="18"/>
      <w:lang w:val="en-GB" w:eastAsia="en-AU" w:bidi="ar-SA"/>
    </w:rPr>
  </w:style>
  <w:style w:type="paragraph" w:customStyle="1" w:styleId="dpi2">
    <w:name w:val="dpi2"/>
    <w:basedOn w:val="dotpoint"/>
    <w:rsid w:val="00D57516"/>
    <w:pPr>
      <w:numPr>
        <w:numId w:val="59"/>
      </w:numPr>
      <w:tabs>
        <w:tab w:val="clear" w:pos="227"/>
        <w:tab w:val="left" w:pos="1531"/>
      </w:tabs>
      <w:spacing w:after="150"/>
    </w:pPr>
  </w:style>
  <w:style w:type="paragraph" w:styleId="BodyText3">
    <w:name w:val="Body Text 3"/>
    <w:basedOn w:val="Normal"/>
    <w:rsid w:val="00BC2B9A"/>
    <w:pPr>
      <w:spacing w:after="120"/>
    </w:pPr>
    <w:rPr>
      <w:sz w:val="16"/>
      <w:szCs w:val="16"/>
    </w:rPr>
  </w:style>
  <w:style w:type="paragraph" w:customStyle="1" w:styleId="StyledotpointAfter75pt">
    <w:name w:val="Style dot point + After:  7.5 pt"/>
    <w:basedOn w:val="dotpoint"/>
    <w:link w:val="StyledotpointAfter75ptChar"/>
    <w:rsid w:val="007D3971"/>
    <w:pPr>
      <w:spacing w:after="150"/>
    </w:pPr>
    <w:rPr>
      <w:rFonts w:cs="Times New Roman"/>
      <w:szCs w:val="20"/>
    </w:rPr>
  </w:style>
  <w:style w:type="character" w:customStyle="1" w:styleId="StyledotpointAfter75ptChar">
    <w:name w:val="Style dot point + After:  7.5 pt Char"/>
    <w:basedOn w:val="dotpointCharChar"/>
    <w:link w:val="StyledotpointAfter75pt"/>
    <w:rsid w:val="00D57516"/>
    <w:rPr>
      <w:rFonts w:ascii="Calibri" w:hAnsi="Calibri" w:cs="Garamond"/>
      <w:color w:val="000000"/>
      <w:sz w:val="24"/>
      <w:szCs w:val="24"/>
      <w:lang w:val="en-GB" w:eastAsia="en-AU" w:bidi="ar-SA"/>
    </w:rPr>
  </w:style>
  <w:style w:type="paragraph" w:customStyle="1" w:styleId="StyleNumberedParagraphAfter75ptLinespacingsingle">
    <w:name w:val="Style Numbered Paragraph + After:  7.5 pt Line spacing:  single"/>
    <w:basedOn w:val="NumberedParagraph"/>
    <w:rsid w:val="00D0678A"/>
    <w:pPr>
      <w:numPr>
        <w:numId w:val="8"/>
      </w:numPr>
      <w:spacing w:after="0"/>
    </w:pPr>
    <w:rPr>
      <w:rFonts w:cs="Times New Roman"/>
      <w:szCs w:val="20"/>
    </w:rPr>
  </w:style>
  <w:style w:type="paragraph" w:customStyle="1" w:styleId="StyleHeading4Linespacingsingle">
    <w:name w:val="Style Heading 4 + Line spacing:  single"/>
    <w:basedOn w:val="Heading4"/>
    <w:rsid w:val="0059078F"/>
    <w:pPr>
      <w:keepNext/>
      <w:spacing w:line="240" w:lineRule="auto"/>
    </w:pPr>
    <w:rPr>
      <w:rFonts w:cs="Times New Roman"/>
      <w:szCs w:val="20"/>
    </w:rPr>
  </w:style>
  <w:style w:type="paragraph" w:customStyle="1" w:styleId="StyleHeading2Linespacingsingle">
    <w:name w:val="Style Heading 2 + Line spacing:  single"/>
    <w:basedOn w:val="Heading2"/>
    <w:rsid w:val="0059078F"/>
    <w:pPr>
      <w:spacing w:line="240" w:lineRule="auto"/>
    </w:pPr>
    <w:rPr>
      <w:rFonts w:cs="Times New Roman"/>
      <w:szCs w:val="20"/>
    </w:rPr>
  </w:style>
  <w:style w:type="paragraph" w:customStyle="1" w:styleId="StyleStyledotpointAfter75ptLinespacingsingle">
    <w:name w:val="Style Style dot point + After:  7.5 pt + Line spacing:  single"/>
    <w:basedOn w:val="StyledotpointAfter75pt"/>
    <w:rsid w:val="006067EC"/>
    <w:pPr>
      <w:numPr>
        <w:numId w:val="11"/>
      </w:numPr>
      <w:tabs>
        <w:tab w:val="clear" w:pos="567"/>
        <w:tab w:val="num" w:pos="850"/>
      </w:tabs>
      <w:spacing w:after="0" w:line="240" w:lineRule="auto"/>
      <w:ind w:left="850"/>
    </w:pPr>
    <w:rPr>
      <w:shd w:val="clear" w:color="auto" w:fill="FFFFFD"/>
    </w:rPr>
  </w:style>
  <w:style w:type="paragraph" w:customStyle="1" w:styleId="StyleTableText105ptLinespacingsingle">
    <w:name w:val="Style Table Text + 10.5 pt Line spacing:  single"/>
    <w:basedOn w:val="TableText"/>
    <w:rsid w:val="007D3971"/>
    <w:rPr>
      <w:rFonts w:cs="Times New Roman"/>
      <w:sz w:val="21"/>
      <w:szCs w:val="20"/>
    </w:rPr>
  </w:style>
  <w:style w:type="paragraph" w:customStyle="1" w:styleId="Tablehyperlink">
    <w:name w:val="Table hyperlink"/>
    <w:basedOn w:val="TableText"/>
    <w:next w:val="TableText"/>
    <w:rsid w:val="00494902"/>
    <w:rPr>
      <w:color w:val="165788"/>
      <w:sz w:val="21"/>
      <w:u w:val="single"/>
    </w:rPr>
  </w:style>
  <w:style w:type="paragraph" w:customStyle="1" w:styleId="StyleabcBulletsLinespacingsingle">
    <w:name w:val="Style a.b.c.Bullets + Line spacing:  single"/>
    <w:basedOn w:val="Normal"/>
    <w:rsid w:val="004C1852"/>
    <w:rPr>
      <w:szCs w:val="20"/>
    </w:rPr>
  </w:style>
  <w:style w:type="paragraph" w:customStyle="1" w:styleId="StyleabcBulletsAfter6ptLinespacingsingle">
    <w:name w:val="Style a.b.c.Bullets + After:  6 pt Line spacing:  single"/>
    <w:basedOn w:val="Normal"/>
    <w:rsid w:val="004C1852"/>
    <w:pPr>
      <w:numPr>
        <w:numId w:val="5"/>
      </w:numPr>
    </w:pPr>
    <w:rPr>
      <w:szCs w:val="20"/>
    </w:rPr>
  </w:style>
  <w:style w:type="paragraph" w:customStyle="1" w:styleId="StyleNumberedParagraphLinespacingsingle">
    <w:name w:val="Style Numbered Paragraph + Line spacing:  single"/>
    <w:basedOn w:val="NumberedParagraph"/>
    <w:rsid w:val="00D0678A"/>
    <w:pPr>
      <w:spacing w:after="0"/>
    </w:pPr>
    <w:rPr>
      <w:rFonts w:cs="Times New Roman"/>
      <w:szCs w:val="20"/>
    </w:rPr>
  </w:style>
  <w:style w:type="paragraph" w:customStyle="1" w:styleId="StyleHeading3Linespacingsingle">
    <w:name w:val="Style Heading 3 + Line spacing:  single"/>
    <w:basedOn w:val="Heading3"/>
    <w:rsid w:val="00B77818"/>
    <w:pPr>
      <w:spacing w:line="240" w:lineRule="auto"/>
    </w:pPr>
    <w:rPr>
      <w:rFonts w:cs="Times New Roman"/>
      <w:szCs w:val="20"/>
    </w:rPr>
  </w:style>
  <w:style w:type="paragraph" w:customStyle="1" w:styleId="StyleHeading1Linespacingsingle">
    <w:name w:val="Style Heading 1 + Line spacing:  single"/>
    <w:basedOn w:val="Heading1"/>
    <w:rsid w:val="00B77818"/>
    <w:pPr>
      <w:spacing w:line="480" w:lineRule="atLeast"/>
    </w:pPr>
    <w:rPr>
      <w:rFonts w:cs="Times New Roman"/>
      <w:szCs w:val="20"/>
    </w:rPr>
  </w:style>
  <w:style w:type="paragraph" w:customStyle="1" w:styleId="StyleHeading1Linespacingsingle1">
    <w:name w:val="Style Heading 1 + Line spacing:  single1"/>
    <w:basedOn w:val="Heading1"/>
    <w:rsid w:val="00B77818"/>
    <w:pPr>
      <w:spacing w:line="480" w:lineRule="atLeast"/>
    </w:pPr>
    <w:rPr>
      <w:rFonts w:cs="Times New Roman"/>
      <w:szCs w:val="20"/>
    </w:rPr>
  </w:style>
  <w:style w:type="paragraph" w:customStyle="1" w:styleId="AppendixBullet">
    <w:name w:val="AppendixBullet"/>
    <w:basedOn w:val="Normal"/>
    <w:rsid w:val="002F40D4"/>
    <w:pPr>
      <w:numPr>
        <w:numId w:val="17"/>
      </w:numPr>
    </w:pPr>
  </w:style>
  <w:style w:type="paragraph" w:customStyle="1" w:styleId="StyleAppendicesBodyTextLinespacingsingle">
    <w:name w:val="Style Appendices Body Text + Line spacing:  single"/>
    <w:basedOn w:val="AppendicesBodyText"/>
    <w:rsid w:val="00505ABD"/>
    <w:pPr>
      <w:spacing w:after="0" w:line="240" w:lineRule="auto"/>
    </w:pPr>
    <w:rPr>
      <w:szCs w:val="20"/>
    </w:rPr>
  </w:style>
  <w:style w:type="paragraph" w:customStyle="1" w:styleId="StyleStyleAppendicesBodyTextAfter6ptBold">
    <w:name w:val="Style Style Appendices Body Text + After:  6 pt + Bold"/>
    <w:basedOn w:val="StyleAppendicesBodyTextAfter6pt"/>
    <w:link w:val="StyleStyleAppendicesBodyTextAfter6ptBoldChar"/>
    <w:rsid w:val="00C30212"/>
    <w:pPr>
      <w:spacing w:after="0"/>
    </w:pPr>
    <w:rPr>
      <w:b/>
      <w:bCs/>
    </w:rPr>
  </w:style>
  <w:style w:type="character" w:customStyle="1" w:styleId="StyleAppendicesBodyTextAfter6ptChar">
    <w:name w:val="Style Appendices Body Text + After:  6 pt Char"/>
    <w:basedOn w:val="AppendicesBodyTextChar"/>
    <w:link w:val="StyleAppendicesBodyTextAfter6pt"/>
    <w:rsid w:val="00C30212"/>
    <w:rPr>
      <w:rFonts w:ascii="Calibri" w:hAnsi="Calibri"/>
      <w:sz w:val="24"/>
      <w:szCs w:val="24"/>
      <w:lang w:val="en-AU" w:eastAsia="en-AU" w:bidi="ar-SA"/>
    </w:rPr>
  </w:style>
  <w:style w:type="character" w:customStyle="1" w:styleId="StyleStyleAppendicesBodyTextAfter6ptBoldChar">
    <w:name w:val="Style Style Appendices Body Text + After:  6 pt + Bold Char"/>
    <w:basedOn w:val="StyleAppendicesBodyTextAfter6ptChar"/>
    <w:link w:val="StyleStyleAppendicesBodyTextAfter6ptBold"/>
    <w:rsid w:val="00C30212"/>
    <w:rPr>
      <w:rFonts w:ascii="Calibri" w:hAnsi="Calibri"/>
      <w:b/>
      <w:bCs/>
      <w:sz w:val="24"/>
      <w:szCs w:val="24"/>
      <w:lang w:val="en-AU" w:eastAsia="en-AU" w:bidi="ar-SA"/>
    </w:rPr>
  </w:style>
  <w:style w:type="paragraph" w:customStyle="1" w:styleId="Default">
    <w:name w:val="Default"/>
    <w:rsid w:val="0005135F"/>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rsid w:val="00A83C50"/>
    <w:rPr>
      <w:sz w:val="20"/>
      <w:szCs w:val="20"/>
    </w:rPr>
  </w:style>
  <w:style w:type="character" w:customStyle="1" w:styleId="EndnoteTextChar">
    <w:name w:val="Endnote Text Char"/>
    <w:basedOn w:val="DefaultParagraphFont"/>
    <w:link w:val="EndnoteText"/>
    <w:rsid w:val="00A83C50"/>
    <w:rPr>
      <w:rFonts w:ascii="Calibri" w:hAnsi="Calibri"/>
    </w:rPr>
  </w:style>
  <w:style w:type="character" w:styleId="EndnoteReference">
    <w:name w:val="endnote reference"/>
    <w:basedOn w:val="DefaultParagraphFont"/>
    <w:rsid w:val="00A83C50"/>
    <w:rPr>
      <w:vertAlign w:val="superscript"/>
    </w:rPr>
  </w:style>
  <w:style w:type="paragraph" w:styleId="Revision">
    <w:name w:val="Revision"/>
    <w:hidden/>
    <w:uiPriority w:val="99"/>
    <w:semiHidden/>
    <w:rsid w:val="00B168FE"/>
    <w:rPr>
      <w:rFonts w:ascii="Calibri" w:hAnsi="Calibri"/>
      <w:sz w:val="24"/>
      <w:szCs w:val="24"/>
    </w:rPr>
  </w:style>
  <w:style w:type="paragraph" w:customStyle="1" w:styleId="DotPointIndent2">
    <w:name w:val="DotPointIndent2"/>
    <w:basedOn w:val="StyleStyledotpointAfter75ptLinespacingsingle"/>
    <w:qFormat/>
    <w:rsid w:val="006067EC"/>
    <w:pPr>
      <w:tabs>
        <w:tab w:val="clear" w:pos="850"/>
        <w:tab w:val="num" w:pos="1134"/>
      </w:tabs>
      <w:ind w:left="1134"/>
    </w:pPr>
  </w:style>
  <w:style w:type="paragraph" w:customStyle="1" w:styleId="DotPointIndent3">
    <w:name w:val="DotPointIndent3"/>
    <w:basedOn w:val="DotPointIndent2"/>
    <w:qFormat/>
    <w:rsid w:val="006067EC"/>
    <w:pPr>
      <w:tabs>
        <w:tab w:val="clear" w:pos="1134"/>
        <w:tab w:val="num" w:pos="1530"/>
      </w:tabs>
      <w:ind w:left="1530"/>
    </w:pPr>
  </w:style>
  <w:style w:type="paragraph" w:styleId="ListParagraph">
    <w:name w:val="List Paragraph"/>
    <w:basedOn w:val="Normal"/>
    <w:uiPriority w:val="34"/>
    <w:qFormat/>
    <w:rsid w:val="00E84367"/>
    <w:pPr>
      <w:spacing w:before="0" w:line="240" w:lineRule="auto"/>
      <w:ind w:left="720"/>
      <w:contextualSpacing/>
    </w:pPr>
    <w:rPr>
      <w:rFonts w:eastAsia="Calibri" w:cs="Calibri"/>
      <w:sz w:val="22"/>
      <w:szCs w:val="22"/>
    </w:rPr>
  </w:style>
  <w:style w:type="character" w:customStyle="1" w:styleId="Heading2Char">
    <w:name w:val="Heading 2 Char"/>
    <w:basedOn w:val="DefaultParagraphFont"/>
    <w:link w:val="Heading2"/>
    <w:rsid w:val="005C0017"/>
    <w:rPr>
      <w:rFonts w:ascii="Calibri" w:hAnsi="Calibri" w:cs="Garamond"/>
      <w:b/>
      <w:bCs/>
      <w:color w:val="000000"/>
      <w:sz w:val="36"/>
      <w:szCs w:val="36"/>
      <w:lang w:val="en-GB"/>
    </w:rPr>
  </w:style>
  <w:style w:type="paragraph" w:styleId="TOCHeading">
    <w:name w:val="TOC Heading"/>
    <w:basedOn w:val="Heading1"/>
    <w:next w:val="Normal"/>
    <w:uiPriority w:val="39"/>
    <w:semiHidden/>
    <w:unhideWhenUsed/>
    <w:qFormat/>
    <w:rsid w:val="00EE4B9A"/>
    <w:pPr>
      <w:keepLines/>
      <w:suppressAutoHyphens w:val="0"/>
      <w:autoSpaceDE/>
      <w:autoSpaceDN/>
      <w:adjustRightInd/>
      <w:spacing w:before="480" w:line="276" w:lineRule="auto"/>
      <w:textAlignment w:val="auto"/>
      <w:outlineLvl w:val="9"/>
    </w:pPr>
    <w:rPr>
      <w:rFonts w:asciiTheme="majorHAnsi" w:eastAsiaTheme="majorEastAsia" w:hAnsiTheme="majorHAnsi" w:cstheme="majorBidi"/>
      <w:b/>
      <w:bCs/>
      <w:caps w:val="0"/>
      <w:color w:val="365F91" w:themeColor="accent1" w:themeShade="BF"/>
      <w:sz w:val="28"/>
      <w:szCs w:val="28"/>
      <w:lang w:val="en-US" w:eastAsia="en-US"/>
    </w:rPr>
  </w:style>
  <w:style w:type="paragraph" w:styleId="Subtitle">
    <w:name w:val="Subtitle"/>
    <w:basedOn w:val="Normal"/>
    <w:next w:val="Normal"/>
    <w:link w:val="SubtitleChar"/>
    <w:qFormat/>
    <w:rsid w:val="008E14E7"/>
    <w:pPr>
      <w:spacing w:before="0" w:line="280" w:lineRule="exact"/>
      <w:jc w:val="right"/>
    </w:pPr>
    <w:rPr>
      <w:rFonts w:cs="Calibri"/>
      <w:i/>
      <w:color w:val="58585A"/>
    </w:rPr>
  </w:style>
  <w:style w:type="character" w:customStyle="1" w:styleId="SubtitleChar">
    <w:name w:val="Subtitle Char"/>
    <w:basedOn w:val="DefaultParagraphFont"/>
    <w:link w:val="Subtitle"/>
    <w:rsid w:val="008E14E7"/>
    <w:rPr>
      <w:rFonts w:ascii="Calibri" w:hAnsi="Calibri" w:cs="Calibri"/>
      <w:i/>
      <w:color w:val="58585A"/>
      <w:sz w:val="24"/>
      <w:szCs w:val="24"/>
    </w:rPr>
  </w:style>
  <w:style w:type="paragraph" w:customStyle="1" w:styleId="HeaderSmallText">
    <w:name w:val="Header Small Text"/>
    <w:basedOn w:val="Header"/>
    <w:qFormat/>
    <w:rsid w:val="008E14E7"/>
    <w:pPr>
      <w:tabs>
        <w:tab w:val="clear" w:pos="4153"/>
        <w:tab w:val="clear" w:pos="8306"/>
      </w:tabs>
      <w:spacing w:before="120" w:after="120" w:line="280" w:lineRule="exact"/>
      <w:jc w:val="right"/>
    </w:pPr>
    <w:rPr>
      <w:rFonts w:cs="Calibri"/>
      <w:i/>
      <w:noProof/>
      <w:color w:val="66B18C"/>
      <w:sz w:val="34"/>
      <w:szCs w:val="78"/>
    </w:rPr>
  </w:style>
  <w:style w:type="character" w:customStyle="1" w:styleId="FootnoteTextChar">
    <w:name w:val="Footnote Text Char"/>
    <w:basedOn w:val="DefaultParagraphFont"/>
    <w:link w:val="FootnoteText"/>
    <w:rsid w:val="00026633"/>
    <w:rPr>
      <w:rFonts w:ascii="Garamond" w:hAnsi="Garamond" w:cs="Garamond"/>
      <w:sz w:val="24"/>
      <w:szCs w:val="24"/>
    </w:rPr>
  </w:style>
  <w:style w:type="paragraph" w:customStyle="1" w:styleId="StyleHeading3LatinBodyCalibri16pt">
    <w:name w:val="Style Heading 3 + (Latin) +Body (Calibri) 16 pt"/>
    <w:basedOn w:val="Heading3"/>
    <w:rsid w:val="00026633"/>
    <w:pPr>
      <w:keepLines/>
      <w:suppressAutoHyphens w:val="0"/>
      <w:autoSpaceDE/>
      <w:autoSpaceDN/>
      <w:adjustRightInd/>
      <w:spacing w:before="200" w:line="240" w:lineRule="auto"/>
      <w:textAlignment w:val="auto"/>
    </w:pPr>
    <w:rPr>
      <w:rFonts w:asciiTheme="minorHAnsi" w:eastAsiaTheme="majorEastAsia" w:hAnsiTheme="minorHAnsi" w:cstheme="majorBidi"/>
      <w:color w:val="4F81BD" w:themeColor="accent1"/>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750"/>
      <w:marRight w:val="0"/>
      <w:marTop w:val="300"/>
      <w:marBottom w:val="0"/>
      <w:divBdr>
        <w:top w:val="none" w:sz="0" w:space="0" w:color="auto"/>
        <w:left w:val="none" w:sz="0" w:space="0" w:color="auto"/>
        <w:bottom w:val="none" w:sz="0" w:space="0" w:color="auto"/>
        <w:right w:val="none" w:sz="0" w:space="0" w:color="auto"/>
      </w:divBdr>
    </w:div>
    <w:div w:id="2">
      <w:marLeft w:val="960"/>
      <w:marRight w:val="0"/>
      <w:marTop w:val="0"/>
      <w:marBottom w:val="0"/>
      <w:divBdr>
        <w:top w:val="none" w:sz="0" w:space="0" w:color="auto"/>
        <w:left w:val="none" w:sz="0" w:space="0" w:color="auto"/>
        <w:bottom w:val="none" w:sz="0" w:space="0" w:color="auto"/>
        <w:right w:val="none" w:sz="0" w:space="0" w:color="auto"/>
      </w:divBdr>
    </w:div>
    <w:div w:id="3">
      <w:marLeft w:val="750"/>
      <w:marRight w:val="0"/>
      <w:marTop w:val="30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96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60404274">
      <w:bodyDiv w:val="1"/>
      <w:marLeft w:val="0"/>
      <w:marRight w:val="0"/>
      <w:marTop w:val="0"/>
      <w:marBottom w:val="0"/>
      <w:divBdr>
        <w:top w:val="none" w:sz="0" w:space="0" w:color="auto"/>
        <w:left w:val="none" w:sz="0" w:space="0" w:color="auto"/>
        <w:bottom w:val="none" w:sz="0" w:space="0" w:color="auto"/>
        <w:right w:val="none" w:sz="0" w:space="0" w:color="auto"/>
      </w:divBdr>
    </w:div>
    <w:div w:id="386877789">
      <w:bodyDiv w:val="1"/>
      <w:marLeft w:val="0"/>
      <w:marRight w:val="0"/>
      <w:marTop w:val="0"/>
      <w:marBottom w:val="0"/>
      <w:divBdr>
        <w:top w:val="none" w:sz="0" w:space="0" w:color="auto"/>
        <w:left w:val="none" w:sz="0" w:space="0" w:color="auto"/>
        <w:bottom w:val="none" w:sz="0" w:space="0" w:color="auto"/>
        <w:right w:val="none" w:sz="0" w:space="0" w:color="auto"/>
      </w:divBdr>
    </w:div>
    <w:div w:id="564267524">
      <w:bodyDiv w:val="1"/>
      <w:marLeft w:val="0"/>
      <w:marRight w:val="0"/>
      <w:marTop w:val="0"/>
      <w:marBottom w:val="0"/>
      <w:divBdr>
        <w:top w:val="none" w:sz="0" w:space="0" w:color="auto"/>
        <w:left w:val="none" w:sz="0" w:space="0" w:color="auto"/>
        <w:bottom w:val="none" w:sz="0" w:space="0" w:color="auto"/>
        <w:right w:val="none" w:sz="0" w:space="0" w:color="auto"/>
      </w:divBdr>
    </w:div>
    <w:div w:id="570191610">
      <w:bodyDiv w:val="1"/>
      <w:marLeft w:val="0"/>
      <w:marRight w:val="0"/>
      <w:marTop w:val="0"/>
      <w:marBottom w:val="0"/>
      <w:divBdr>
        <w:top w:val="none" w:sz="0" w:space="0" w:color="auto"/>
        <w:left w:val="none" w:sz="0" w:space="0" w:color="auto"/>
        <w:bottom w:val="none" w:sz="0" w:space="0" w:color="auto"/>
        <w:right w:val="none" w:sz="0" w:space="0" w:color="auto"/>
      </w:divBdr>
    </w:div>
    <w:div w:id="623270467">
      <w:bodyDiv w:val="1"/>
      <w:marLeft w:val="0"/>
      <w:marRight w:val="0"/>
      <w:marTop w:val="0"/>
      <w:marBottom w:val="0"/>
      <w:divBdr>
        <w:top w:val="none" w:sz="0" w:space="0" w:color="auto"/>
        <w:left w:val="none" w:sz="0" w:space="0" w:color="auto"/>
        <w:bottom w:val="none" w:sz="0" w:space="0" w:color="auto"/>
        <w:right w:val="none" w:sz="0" w:space="0" w:color="auto"/>
      </w:divBdr>
    </w:div>
    <w:div w:id="937368002">
      <w:bodyDiv w:val="1"/>
      <w:marLeft w:val="0"/>
      <w:marRight w:val="0"/>
      <w:marTop w:val="0"/>
      <w:marBottom w:val="0"/>
      <w:divBdr>
        <w:top w:val="none" w:sz="0" w:space="0" w:color="auto"/>
        <w:left w:val="none" w:sz="0" w:space="0" w:color="auto"/>
        <w:bottom w:val="none" w:sz="0" w:space="0" w:color="auto"/>
        <w:right w:val="none" w:sz="0" w:space="0" w:color="auto"/>
      </w:divBdr>
    </w:div>
    <w:div w:id="1024592870">
      <w:bodyDiv w:val="1"/>
      <w:marLeft w:val="0"/>
      <w:marRight w:val="0"/>
      <w:marTop w:val="0"/>
      <w:marBottom w:val="0"/>
      <w:divBdr>
        <w:top w:val="none" w:sz="0" w:space="0" w:color="auto"/>
        <w:left w:val="none" w:sz="0" w:space="0" w:color="auto"/>
        <w:bottom w:val="none" w:sz="0" w:space="0" w:color="auto"/>
        <w:right w:val="none" w:sz="0" w:space="0" w:color="auto"/>
      </w:divBdr>
    </w:div>
    <w:div w:id="1080836571">
      <w:bodyDiv w:val="1"/>
      <w:marLeft w:val="0"/>
      <w:marRight w:val="0"/>
      <w:marTop w:val="0"/>
      <w:marBottom w:val="0"/>
      <w:divBdr>
        <w:top w:val="none" w:sz="0" w:space="0" w:color="auto"/>
        <w:left w:val="none" w:sz="0" w:space="0" w:color="auto"/>
        <w:bottom w:val="none" w:sz="0" w:space="0" w:color="auto"/>
        <w:right w:val="none" w:sz="0" w:space="0" w:color="auto"/>
      </w:divBdr>
    </w:div>
    <w:div w:id="1598059479">
      <w:bodyDiv w:val="1"/>
      <w:marLeft w:val="0"/>
      <w:marRight w:val="0"/>
      <w:marTop w:val="0"/>
      <w:marBottom w:val="0"/>
      <w:divBdr>
        <w:top w:val="none" w:sz="0" w:space="0" w:color="auto"/>
        <w:left w:val="none" w:sz="0" w:space="0" w:color="auto"/>
        <w:bottom w:val="none" w:sz="0" w:space="0" w:color="auto"/>
        <w:right w:val="none" w:sz="0" w:space="0" w:color="auto"/>
      </w:divBdr>
    </w:div>
    <w:div w:id="1775133814">
      <w:bodyDiv w:val="1"/>
      <w:marLeft w:val="0"/>
      <w:marRight w:val="0"/>
      <w:marTop w:val="0"/>
      <w:marBottom w:val="0"/>
      <w:divBdr>
        <w:top w:val="none" w:sz="0" w:space="0" w:color="auto"/>
        <w:left w:val="none" w:sz="0" w:space="0" w:color="auto"/>
        <w:bottom w:val="none" w:sz="0" w:space="0" w:color="auto"/>
        <w:right w:val="none" w:sz="0" w:space="0" w:color="auto"/>
      </w:divBdr>
    </w:div>
    <w:div w:id="196086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ap.edu.au/Information/Key_Dates/index.html" TargetMode="External"/><Relationship Id="rId26" Type="http://schemas.openxmlformats.org/officeDocument/2006/relationships/hyperlink" Target="http://www.education.tas.gov.au/" TargetMode="External"/><Relationship Id="rId39" Type="http://schemas.openxmlformats.org/officeDocument/2006/relationships/footer" Target="footer5.xml"/><Relationship Id="rId21" Type="http://schemas.openxmlformats.org/officeDocument/2006/relationships/hyperlink" Target="http://www.boardofstudies.nsw.edu.au/" TargetMode="External"/><Relationship Id="rId34" Type="http://schemas.openxmlformats.org/officeDocument/2006/relationships/header" Target="header1.xml"/><Relationship Id="rId42" Type="http://schemas.openxmlformats.org/officeDocument/2006/relationships/hyperlink" Target="http://www.deewr.gov.au/Schooling/RecurrentGrants/NonGovSchools/Pages/Forms.aspx" TargetMode="External"/><Relationship Id="rId47" Type="http://schemas.openxmlformats.org/officeDocument/2006/relationships/hyperlink" Target="http://www.deewr.gov.au/Schooling/RecurrentGrants/NonGovSchools/Pages/Forms.aspx" TargetMode="External"/><Relationship Id="rId50" Type="http://schemas.openxmlformats.org/officeDocument/2006/relationships/hyperlink" Target="http://www.deewr.gov.au/Schooling/Funding/CapitalGrantsProgram/Pages/BlockGrantAuthorityContactDetails.aspx" TargetMode="External"/><Relationship Id="rId55" Type="http://schemas.openxmlformats.org/officeDocument/2006/relationships/hyperlink" Target="http://deewr.gov.au/country-areas-program" TargetMode="External"/><Relationship Id="rId63" Type="http://schemas.openxmlformats.org/officeDocument/2006/relationships/hyperlink" Target="mailto:foi@deewr.gov.au" TargetMode="External"/><Relationship Id="rId68" Type="http://schemas.openxmlformats.org/officeDocument/2006/relationships/hyperlink" Target="http://www.vrqa.vic.gov.au/" TargetMode="External"/><Relationship Id="rId76" Type="http://schemas.openxmlformats.org/officeDocument/2006/relationships/hyperlink" Target="http://www.schools.education.tas.gov.au/srb/default.aspx" TargetMode="External"/><Relationship Id="rId84" Type="http://schemas.openxmlformats.org/officeDocument/2006/relationships/hyperlink" Target="http://www.comlaw.gov.au/Details/F2011C00744" TargetMode="External"/><Relationship Id="rId89"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hyperlink" Target="mailto:des@des.wa.gov.au" TargetMode="External"/><Relationship Id="rId2" Type="http://schemas.openxmlformats.org/officeDocument/2006/relationships/customXml" Target="../customXml/item2.xml"/><Relationship Id="rId16" Type="http://schemas.openxmlformats.org/officeDocument/2006/relationships/hyperlink" Target="http://www.betterschools.gov.au" TargetMode="External"/><Relationship Id="rId29" Type="http://schemas.openxmlformats.org/officeDocument/2006/relationships/hyperlink" Target="http://www.nap.edu.au/contacts/contact-test-administration-authorities.html" TargetMode="External"/><Relationship Id="rId11" Type="http://schemas.openxmlformats.org/officeDocument/2006/relationships/endnotes" Target="endnotes.xml"/><Relationship Id="rId24" Type="http://schemas.openxmlformats.org/officeDocument/2006/relationships/hyperlink" Target="http://www.det.wa.edu.au/education/" TargetMode="External"/><Relationship Id="rId32" Type="http://schemas.openxmlformats.org/officeDocument/2006/relationships/hyperlink" Target="http://www.mceecdya.edu.au/verve/_resources/Principles_and_Protocols_2009.pdf" TargetMode="External"/><Relationship Id="rId37" Type="http://schemas.openxmlformats.org/officeDocument/2006/relationships/footer" Target="footer4.xml"/><Relationship Id="rId40" Type="http://schemas.openxmlformats.org/officeDocument/2006/relationships/hyperlink" Target="https://ssp.deewr.gov.au/ssp/help/html/ses/funding_09_12/ses_scores.html" TargetMode="External"/><Relationship Id="rId45" Type="http://schemas.openxmlformats.org/officeDocument/2006/relationships/hyperlink" Target="http://www.deewr.gov.au/Schooling/RecurrentGrants/NonGovSchools/Pages/Forms.aspx" TargetMode="External"/><Relationship Id="rId53" Type="http://schemas.openxmlformats.org/officeDocument/2006/relationships/hyperlink" Target="http://www.deewr.gov.au/Schooling/Funding/Pages/ShortTermEmergencyAssistance.aspx" TargetMode="External"/><Relationship Id="rId58" Type="http://schemas.openxmlformats.org/officeDocument/2006/relationships/hyperlink" Target="http://deewr.gov.au/english-second-language-new-arrivals-program" TargetMode="External"/><Relationship Id="rId66" Type="http://schemas.openxmlformats.org/officeDocument/2006/relationships/hyperlink" Target="http://www.boardofstudies.nsw.edu.au/" TargetMode="External"/><Relationship Id="rId74" Type="http://schemas.openxmlformats.org/officeDocument/2006/relationships/hyperlink" Target="http://www.ongss.sa.edu.au/" TargetMode="External"/><Relationship Id="rId79" Type="http://schemas.openxmlformats.org/officeDocument/2006/relationships/hyperlink" Target="mailto:det.ngso@act.gov.au" TargetMode="External"/><Relationship Id="rId87" Type="http://schemas.openxmlformats.org/officeDocument/2006/relationships/header" Target="header6.xml"/><Relationship Id="rId5" Type="http://schemas.openxmlformats.org/officeDocument/2006/relationships/numbering" Target="numbering.xml"/><Relationship Id="rId61" Type="http://schemas.openxmlformats.org/officeDocument/2006/relationships/hyperlink" Target="http://www.oaic.gov.au/" TargetMode="External"/><Relationship Id="rId82" Type="http://schemas.openxmlformats.org/officeDocument/2006/relationships/hyperlink" Target="mailto:grantsanddata.help@deewr.gov.au" TargetMode="External"/><Relationship Id="rId19" Type="http://schemas.openxmlformats.org/officeDocument/2006/relationships/hyperlink" Target="http://www.nap.edu.au/NAPLAN/School_support/National_protocols/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vcaa.vic.edu.au/" TargetMode="External"/><Relationship Id="rId27" Type="http://schemas.openxmlformats.org/officeDocument/2006/relationships/hyperlink" Target="http://www.deet.nt.gov.au/" TargetMode="External"/><Relationship Id="rId30" Type="http://schemas.openxmlformats.org/officeDocument/2006/relationships/hyperlink" Target="http://www.mceecdya.edu.au/mceecdya/data_standards_manual_2010,30011.html" TargetMode="External"/><Relationship Id="rId35" Type="http://schemas.openxmlformats.org/officeDocument/2006/relationships/header" Target="header2.xml"/><Relationship Id="rId43" Type="http://schemas.openxmlformats.org/officeDocument/2006/relationships/hyperlink" Target="http://www.deewr.gov.au/Schooling/RecurrentGrants/NonGovSchools/Pages/Forms.aspx" TargetMode="External"/><Relationship Id="rId48" Type="http://schemas.openxmlformats.org/officeDocument/2006/relationships/hyperlink" Target="file:///\\acnsp010\SRAS\6.%20LEGISLATION%202009-13\Administrative%20Guidelines\2012%20update\The" TargetMode="External"/><Relationship Id="rId56" Type="http://schemas.openxmlformats.org/officeDocument/2006/relationships/hyperlink" Target="http://www.immi.gov.au/" TargetMode="External"/><Relationship Id="rId64" Type="http://schemas.openxmlformats.org/officeDocument/2006/relationships/hyperlink" Target="https://ssp.deewr.gov.au/ssp/help/html/ses/funding_09_12/dimension_scores.html" TargetMode="External"/><Relationship Id="rId69" Type="http://schemas.openxmlformats.org/officeDocument/2006/relationships/hyperlink" Target="mailto:enquiries@nssab.qld.edu.au" TargetMode="External"/><Relationship Id="rId77" Type="http://schemas.openxmlformats.org/officeDocument/2006/relationships/hyperlink" Target="mailto:joanne.schilling@nt.gov.au" TargetMode="External"/><Relationship Id="rId8" Type="http://schemas.openxmlformats.org/officeDocument/2006/relationships/settings" Target="settings.xml"/><Relationship Id="rId51" Type="http://schemas.openxmlformats.org/officeDocument/2006/relationships/hyperlink" Target="http://www.fwbc.gov.au/national-code" TargetMode="External"/><Relationship Id="rId72" Type="http://schemas.openxmlformats.org/officeDocument/2006/relationships/hyperlink" Target="http://www.des.wa.gov.au/Non-government_schools/Registration" TargetMode="External"/><Relationship Id="rId80" Type="http://schemas.openxmlformats.org/officeDocument/2006/relationships/hyperlink" Target="http://www.det.act.gov.au/school_education/non-government_education" TargetMode="External"/><Relationship Id="rId85"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acara.edu.au/default.asp" TargetMode="External"/><Relationship Id="rId25" Type="http://schemas.openxmlformats.org/officeDocument/2006/relationships/hyperlink" Target="http://www.decs.sa.gov.au/" TargetMode="External"/><Relationship Id="rId33" Type="http://schemas.openxmlformats.org/officeDocument/2006/relationships/hyperlink" Target="http://www.acara.edu.au" TargetMode="External"/><Relationship Id="rId38" Type="http://schemas.openxmlformats.org/officeDocument/2006/relationships/header" Target="header3.xml"/><Relationship Id="rId46" Type="http://schemas.openxmlformats.org/officeDocument/2006/relationships/hyperlink" Target="http://www.deewr.gov.au/Schooling/Programs/Pages/SchoolsAssistanceAct2008.aspx" TargetMode="External"/><Relationship Id="rId59" Type="http://schemas.openxmlformats.org/officeDocument/2006/relationships/hyperlink" Target="http://www.austlii.edu.au/au/legis/cth/consol_act/pa1988108/s6.html" TargetMode="External"/><Relationship Id="rId67" Type="http://schemas.openxmlformats.org/officeDocument/2006/relationships/hyperlink" Target="mailto:vrqa@edumail.vic.gov.au" TargetMode="External"/><Relationship Id="rId20" Type="http://schemas.openxmlformats.org/officeDocument/2006/relationships/hyperlink" Target="http://www.nap.edu.au/_Documents/PDF/2011%20National%20Protocols%20for%20Test%20Administration%20NA.pdf" TargetMode="External"/><Relationship Id="rId41" Type="http://schemas.openxmlformats.org/officeDocument/2006/relationships/hyperlink" Target="http://www.deewr.gov.au/Schooling/RecurrentGrants/NonGovSchools/Pages/Forms.aspx" TargetMode="External"/><Relationship Id="rId54" Type="http://schemas.openxmlformats.org/officeDocument/2006/relationships/hyperlink" Target="mailto:schools.assurance@deewr.gov.au" TargetMode="External"/><Relationship Id="rId62" Type="http://schemas.openxmlformats.org/officeDocument/2006/relationships/hyperlink" Target="mailto:privacy@deewr.gov.au" TargetMode="External"/><Relationship Id="rId70" Type="http://schemas.openxmlformats.org/officeDocument/2006/relationships/hyperlink" Target="http://www.nssab.qld.edu.au/" TargetMode="External"/><Relationship Id="rId75" Type="http://schemas.openxmlformats.org/officeDocument/2006/relationships/hyperlink" Target="mailto:registrar@srb.tas.gov.au" TargetMode="External"/><Relationship Id="rId83" Type="http://schemas.openxmlformats.org/officeDocument/2006/relationships/hyperlink" Target="http://www.mceecdya.edu.au/verve/_resources/Principles_and_Protocols_2009.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qsa.qld.edu.au/" TargetMode="External"/><Relationship Id="rId28" Type="http://schemas.openxmlformats.org/officeDocument/2006/relationships/hyperlink" Target="http://www.det.act.gov.au/" TargetMode="External"/><Relationship Id="rId36" Type="http://schemas.openxmlformats.org/officeDocument/2006/relationships/footer" Target="footer3.xml"/><Relationship Id="rId49" Type="http://schemas.openxmlformats.org/officeDocument/2006/relationships/hyperlink" Target="http://www.deewr.gov.au/Schooling/Programs/Pages/SchoolsAssistanceAct2008.aspx" TargetMode="External"/><Relationship Id="rId57" Type="http://schemas.openxmlformats.org/officeDocument/2006/relationships/hyperlink" Target="mailto:eslna@deewr.gov.au" TargetMode="External"/><Relationship Id="rId10" Type="http://schemas.openxmlformats.org/officeDocument/2006/relationships/footnotes" Target="footnotes.xml"/><Relationship Id="rId31" Type="http://schemas.openxmlformats.org/officeDocument/2006/relationships/hyperlink" Target="http://www.myschool.edu.au/" TargetMode="External"/><Relationship Id="rId44" Type="http://schemas.openxmlformats.org/officeDocument/2006/relationships/hyperlink" Target="http://www.deewr.gov.au/Schooling/RecurrentGrants/NonGovSchools/Pages/Forms.aspx" TargetMode="External"/><Relationship Id="rId52" Type="http://schemas.openxmlformats.org/officeDocument/2006/relationships/hyperlink" Target="http://www.deewr.gov.au/Schooling/Funding/Pages/ShortTermEmergencyAssistance.aspx" TargetMode="External"/><Relationship Id="rId60" Type="http://schemas.openxmlformats.org/officeDocument/2006/relationships/hyperlink" Target="http://www.austlii.edu.au/au/legis/cth/consol_act/pa1988108/s6.html" TargetMode="External"/><Relationship Id="rId65" Type="http://schemas.openxmlformats.org/officeDocument/2006/relationships/hyperlink" Target="https://ssp.deewr.gov.au/ssp/help/html/ses/index.html" TargetMode="External"/><Relationship Id="rId73" Type="http://schemas.openxmlformats.org/officeDocument/2006/relationships/hyperlink" Target="mailto:decsregboard@sa.gov.au" TargetMode="External"/><Relationship Id="rId78" Type="http://schemas.openxmlformats.org/officeDocument/2006/relationships/hyperlink" Target="http://www.det.nt.gov.au/parents-community/schooling/ngs" TargetMode="External"/><Relationship Id="rId81" Type="http://schemas.openxmlformats.org/officeDocument/2006/relationships/hyperlink" Target="https://ssp.deewr.gov.au/ssp/help/html/coi/student_definitions.html" TargetMode="External"/><Relationship Id="rId86"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comlaw.gov.au/ComLaw/legislation/act1.nsf/0/B102162DDE9537D2CA25752200036F07/$file/153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7B60-209C-494C-B6E7-AB952F54E859}">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56F2C27-350A-4A23-BDEE-A3330CE7D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1C22FD-1607-47D2-BDA1-C642F2C70B87}">
  <ds:schemaRefs>
    <ds:schemaRef ds:uri="http://schemas.microsoft.com/sharepoint/v3/contenttype/forms"/>
  </ds:schemaRefs>
</ds:datastoreItem>
</file>

<file path=customXml/itemProps4.xml><?xml version="1.0" encoding="utf-8"?>
<ds:datastoreItem xmlns:ds="http://schemas.openxmlformats.org/officeDocument/2006/customXml" ds:itemID="{7D0D91C4-6FAD-4FF0-95A9-147FAD0A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38129</Words>
  <Characters>217336</Characters>
  <Application>Microsoft Office Word</Application>
  <DocSecurity>4</DocSecurity>
  <Lines>1811</Lines>
  <Paragraphs>509</Paragraphs>
  <ScaleCrop>false</ScaleCrop>
  <HeadingPairs>
    <vt:vector size="2" baseType="variant">
      <vt:variant>
        <vt:lpstr>Title</vt:lpstr>
      </vt:variant>
      <vt:variant>
        <vt:i4>1</vt:i4>
      </vt:variant>
    </vt:vector>
  </HeadingPairs>
  <TitlesOfParts>
    <vt:vector size="1" baseType="lpstr">
      <vt:lpstr>Commonwealth Schools Programs for Non-government Schools for 2009 to 2012</vt:lpstr>
    </vt:vector>
  </TitlesOfParts>
  <Company>Department of Education, Employment &amp; Workplace Relations</Company>
  <LinksUpToDate>false</LinksUpToDate>
  <CharactersWithSpaces>254956</CharactersWithSpaces>
  <SharedDoc>false</SharedDoc>
  <HLinks>
    <vt:vector size="684" baseType="variant">
      <vt:variant>
        <vt:i4>458840</vt:i4>
      </vt:variant>
      <vt:variant>
        <vt:i4>479</vt:i4>
      </vt:variant>
      <vt:variant>
        <vt:i4>0</vt:i4>
      </vt:variant>
      <vt:variant>
        <vt:i4>5</vt:i4>
      </vt:variant>
      <vt:variant>
        <vt:lpwstr>http://www.deewr.gov.au/</vt:lpwstr>
      </vt:variant>
      <vt:variant>
        <vt:lpwstr/>
      </vt:variant>
      <vt:variant>
        <vt:i4>6225940</vt:i4>
      </vt:variant>
      <vt:variant>
        <vt:i4>476</vt:i4>
      </vt:variant>
      <vt:variant>
        <vt:i4>0</vt:i4>
      </vt:variant>
      <vt:variant>
        <vt:i4>5</vt:i4>
      </vt:variant>
      <vt:variant>
        <vt:lpwstr>http://www.comlaw.gov.au/ComLaw/Legislation/LegislativeInstrument1.nsf/all/whatsnew/7E3614C43E41CAAACA25767600784D56?OpenDocument</vt:lpwstr>
      </vt:variant>
      <vt:variant>
        <vt:lpwstr/>
      </vt:variant>
      <vt:variant>
        <vt:i4>7274619</vt:i4>
      </vt:variant>
      <vt:variant>
        <vt:i4>473</vt:i4>
      </vt:variant>
      <vt:variant>
        <vt:i4>0</vt:i4>
      </vt:variant>
      <vt:variant>
        <vt:i4>5</vt:i4>
      </vt:variant>
      <vt:variant>
        <vt:lpwstr>http://www.mceecdya.edu.au/verve/_resources/Principles_and_Protocols_2009.pdf</vt:lpwstr>
      </vt:variant>
      <vt:variant>
        <vt:lpwstr/>
      </vt:variant>
      <vt:variant>
        <vt:i4>5832803</vt:i4>
      </vt:variant>
      <vt:variant>
        <vt:i4>470</vt:i4>
      </vt:variant>
      <vt:variant>
        <vt:i4>0</vt:i4>
      </vt:variant>
      <vt:variant>
        <vt:i4>5</vt:i4>
      </vt:variant>
      <vt:variant>
        <vt:lpwstr>mailto:grantsanddata.help@deewr.gov.au</vt:lpwstr>
      </vt:variant>
      <vt:variant>
        <vt:lpwstr/>
      </vt:variant>
      <vt:variant>
        <vt:i4>6094966</vt:i4>
      </vt:variant>
      <vt:variant>
        <vt:i4>467</vt:i4>
      </vt:variant>
      <vt:variant>
        <vt:i4>0</vt:i4>
      </vt:variant>
      <vt:variant>
        <vt:i4>5</vt:i4>
      </vt:variant>
      <vt:variant>
        <vt:lpwstr>https://ssp.deewr.gov.au/ssp/help/html/coi/student_definitions.html</vt:lpwstr>
      </vt:variant>
      <vt:variant>
        <vt:lpwstr>Not_Overseas_Students</vt:lpwstr>
      </vt:variant>
      <vt:variant>
        <vt:i4>7929864</vt:i4>
      </vt:variant>
      <vt:variant>
        <vt:i4>464</vt:i4>
      </vt:variant>
      <vt:variant>
        <vt:i4>0</vt:i4>
      </vt:variant>
      <vt:variant>
        <vt:i4>5</vt:i4>
      </vt:variant>
      <vt:variant>
        <vt:lpwstr/>
      </vt:variant>
      <vt:variant>
        <vt:lpwstr>_Appendix_K:_Supplementation</vt:lpwstr>
      </vt:variant>
      <vt:variant>
        <vt:i4>7929864</vt:i4>
      </vt:variant>
      <vt:variant>
        <vt:i4>461</vt:i4>
      </vt:variant>
      <vt:variant>
        <vt:i4>0</vt:i4>
      </vt:variant>
      <vt:variant>
        <vt:i4>5</vt:i4>
      </vt:variant>
      <vt:variant>
        <vt:lpwstr/>
      </vt:variant>
      <vt:variant>
        <vt:lpwstr>_Appendix_K:_Supplementation</vt:lpwstr>
      </vt:variant>
      <vt:variant>
        <vt:i4>655456</vt:i4>
      </vt:variant>
      <vt:variant>
        <vt:i4>458</vt:i4>
      </vt:variant>
      <vt:variant>
        <vt:i4>0</vt:i4>
      </vt:variant>
      <vt:variant>
        <vt:i4>5</vt:i4>
      </vt:variant>
      <vt:variant>
        <vt:lpwstr/>
      </vt:variant>
      <vt:variant>
        <vt:lpwstr>_Appendix_J:_Accountability</vt:lpwstr>
      </vt:variant>
      <vt:variant>
        <vt:i4>1310792</vt:i4>
      </vt:variant>
      <vt:variant>
        <vt:i4>455</vt:i4>
      </vt:variant>
      <vt:variant>
        <vt:i4>0</vt:i4>
      </vt:variant>
      <vt:variant>
        <vt:i4>5</vt:i4>
      </vt:variant>
      <vt:variant>
        <vt:lpwstr>https://ssp.deewr.gov.au/SSP/Controller.aspx</vt:lpwstr>
      </vt:variant>
      <vt:variant>
        <vt:lpwstr/>
      </vt:variant>
      <vt:variant>
        <vt:i4>4456533</vt:i4>
      </vt:variant>
      <vt:variant>
        <vt:i4>452</vt:i4>
      </vt:variant>
      <vt:variant>
        <vt:i4>0</vt:i4>
      </vt:variant>
      <vt:variant>
        <vt:i4>5</vt:i4>
      </vt:variant>
      <vt:variant>
        <vt:lpwstr>http://www.det.act.gov.au/school_education/non-government_education</vt:lpwstr>
      </vt:variant>
      <vt:variant>
        <vt:lpwstr/>
      </vt:variant>
      <vt:variant>
        <vt:i4>5636204</vt:i4>
      </vt:variant>
      <vt:variant>
        <vt:i4>449</vt:i4>
      </vt:variant>
      <vt:variant>
        <vt:i4>0</vt:i4>
      </vt:variant>
      <vt:variant>
        <vt:i4>5</vt:i4>
      </vt:variant>
      <vt:variant>
        <vt:lpwstr>mailto:det.ngso@act.gov.au</vt:lpwstr>
      </vt:variant>
      <vt:variant>
        <vt:lpwstr/>
      </vt:variant>
      <vt:variant>
        <vt:i4>5177375</vt:i4>
      </vt:variant>
      <vt:variant>
        <vt:i4>446</vt:i4>
      </vt:variant>
      <vt:variant>
        <vt:i4>0</vt:i4>
      </vt:variant>
      <vt:variant>
        <vt:i4>5</vt:i4>
      </vt:variant>
      <vt:variant>
        <vt:lpwstr>http://www.det.nt.gov.au/</vt:lpwstr>
      </vt:variant>
      <vt:variant>
        <vt:lpwstr/>
      </vt:variant>
      <vt:variant>
        <vt:i4>6422647</vt:i4>
      </vt:variant>
      <vt:variant>
        <vt:i4>443</vt:i4>
      </vt:variant>
      <vt:variant>
        <vt:i4>0</vt:i4>
      </vt:variant>
      <vt:variant>
        <vt:i4>5</vt:i4>
      </vt:variant>
      <vt:variant>
        <vt:lpwstr>http://www.srb.tas.gov.au/</vt:lpwstr>
      </vt:variant>
      <vt:variant>
        <vt:lpwstr/>
      </vt:variant>
      <vt:variant>
        <vt:i4>2555942</vt:i4>
      </vt:variant>
      <vt:variant>
        <vt:i4>440</vt:i4>
      </vt:variant>
      <vt:variant>
        <vt:i4>0</vt:i4>
      </vt:variant>
      <vt:variant>
        <vt:i4>5</vt:i4>
      </vt:variant>
      <vt:variant>
        <vt:lpwstr>http://www.ngss.sa.edu.au/</vt:lpwstr>
      </vt:variant>
      <vt:variant>
        <vt:lpwstr/>
      </vt:variant>
      <vt:variant>
        <vt:i4>3342366</vt:i4>
      </vt:variant>
      <vt:variant>
        <vt:i4>437</vt:i4>
      </vt:variant>
      <vt:variant>
        <vt:i4>0</vt:i4>
      </vt:variant>
      <vt:variant>
        <vt:i4>5</vt:i4>
      </vt:variant>
      <vt:variant>
        <vt:lpwstr>mailto:regboard@saugov.sa.gov.au</vt:lpwstr>
      </vt:variant>
      <vt:variant>
        <vt:lpwstr/>
      </vt:variant>
      <vt:variant>
        <vt:i4>7143520</vt:i4>
      </vt:variant>
      <vt:variant>
        <vt:i4>434</vt:i4>
      </vt:variant>
      <vt:variant>
        <vt:i4>0</vt:i4>
      </vt:variant>
      <vt:variant>
        <vt:i4>5</vt:i4>
      </vt:variant>
      <vt:variant>
        <vt:lpwstr>http://www.des.wa.gov.au/pages/non_gov_registration.php</vt:lpwstr>
      </vt:variant>
      <vt:variant>
        <vt:lpwstr/>
      </vt:variant>
      <vt:variant>
        <vt:i4>2031633</vt:i4>
      </vt:variant>
      <vt:variant>
        <vt:i4>431</vt:i4>
      </vt:variant>
      <vt:variant>
        <vt:i4>0</vt:i4>
      </vt:variant>
      <vt:variant>
        <vt:i4>5</vt:i4>
      </vt:variant>
      <vt:variant>
        <vt:lpwstr>http://www.nssab.qld.edu.au/</vt:lpwstr>
      </vt:variant>
      <vt:variant>
        <vt:lpwstr/>
      </vt:variant>
      <vt:variant>
        <vt:i4>1966130</vt:i4>
      </vt:variant>
      <vt:variant>
        <vt:i4>428</vt:i4>
      </vt:variant>
      <vt:variant>
        <vt:i4>0</vt:i4>
      </vt:variant>
      <vt:variant>
        <vt:i4>5</vt:i4>
      </vt:variant>
      <vt:variant>
        <vt:lpwstr>mailto:enquiries@nssab.qld.edu.au</vt:lpwstr>
      </vt:variant>
      <vt:variant>
        <vt:lpwstr/>
      </vt:variant>
      <vt:variant>
        <vt:i4>7405606</vt:i4>
      </vt:variant>
      <vt:variant>
        <vt:i4>425</vt:i4>
      </vt:variant>
      <vt:variant>
        <vt:i4>0</vt:i4>
      </vt:variant>
      <vt:variant>
        <vt:i4>5</vt:i4>
      </vt:variant>
      <vt:variant>
        <vt:lpwstr>http://www.vrqa.vic.gov.au/</vt:lpwstr>
      </vt:variant>
      <vt:variant>
        <vt:lpwstr/>
      </vt:variant>
      <vt:variant>
        <vt:i4>1572897</vt:i4>
      </vt:variant>
      <vt:variant>
        <vt:i4>422</vt:i4>
      </vt:variant>
      <vt:variant>
        <vt:i4>0</vt:i4>
      </vt:variant>
      <vt:variant>
        <vt:i4>5</vt:i4>
      </vt:variant>
      <vt:variant>
        <vt:lpwstr>mailto:vrqa@edumail.vic.gov.au</vt:lpwstr>
      </vt:variant>
      <vt:variant>
        <vt:lpwstr/>
      </vt:variant>
      <vt:variant>
        <vt:i4>6488104</vt:i4>
      </vt:variant>
      <vt:variant>
        <vt:i4>419</vt:i4>
      </vt:variant>
      <vt:variant>
        <vt:i4>0</vt:i4>
      </vt:variant>
      <vt:variant>
        <vt:i4>5</vt:i4>
      </vt:variant>
      <vt:variant>
        <vt:lpwstr>http://www.boardofstudies.nsw.edu.au/index.html</vt:lpwstr>
      </vt:variant>
      <vt:variant>
        <vt:lpwstr/>
      </vt:variant>
      <vt:variant>
        <vt:i4>262167</vt:i4>
      </vt:variant>
      <vt:variant>
        <vt:i4>416</vt:i4>
      </vt:variant>
      <vt:variant>
        <vt:i4>0</vt:i4>
      </vt:variant>
      <vt:variant>
        <vt:i4>5</vt:i4>
      </vt:variant>
      <vt:variant>
        <vt:lpwstr>https://ssp.deewr.gov.au/ssp/help/html/ses/index.html</vt:lpwstr>
      </vt:variant>
      <vt:variant>
        <vt:lpwstr/>
      </vt:variant>
      <vt:variant>
        <vt:i4>105</vt:i4>
      </vt:variant>
      <vt:variant>
        <vt:i4>393</vt:i4>
      </vt:variant>
      <vt:variant>
        <vt:i4>0</vt:i4>
      </vt:variant>
      <vt:variant>
        <vt:i4>5</vt:i4>
      </vt:variant>
      <vt:variant>
        <vt:lpwstr>https://ssp.deewr.gov.au/ssp/help/html/ses/funding_09_12/dimension_scores.html</vt:lpwstr>
      </vt:variant>
      <vt:variant>
        <vt:lpwstr/>
      </vt:variant>
      <vt:variant>
        <vt:i4>7208984</vt:i4>
      </vt:variant>
      <vt:variant>
        <vt:i4>390</vt:i4>
      </vt:variant>
      <vt:variant>
        <vt:i4>0</vt:i4>
      </vt:variant>
      <vt:variant>
        <vt:i4>5</vt:i4>
      </vt:variant>
      <vt:variant>
        <vt:lpwstr>mailto:foi@deewr.gov.au</vt:lpwstr>
      </vt:variant>
      <vt:variant>
        <vt:lpwstr/>
      </vt:variant>
      <vt:variant>
        <vt:i4>3604514</vt:i4>
      </vt:variant>
      <vt:variant>
        <vt:i4>387</vt:i4>
      </vt:variant>
      <vt:variant>
        <vt:i4>0</vt:i4>
      </vt:variant>
      <vt:variant>
        <vt:i4>5</vt:i4>
      </vt:variant>
      <vt:variant>
        <vt:lpwstr>http://www.oaic.gov.au/</vt:lpwstr>
      </vt:variant>
      <vt:variant>
        <vt:lpwstr/>
      </vt:variant>
      <vt:variant>
        <vt:i4>3014749</vt:i4>
      </vt:variant>
      <vt:variant>
        <vt:i4>384</vt:i4>
      </vt:variant>
      <vt:variant>
        <vt:i4>0</vt:i4>
      </vt:variant>
      <vt:variant>
        <vt:i4>5</vt:i4>
      </vt:variant>
      <vt:variant>
        <vt:lpwstr>http://www.austlii.edu.au/au/legis/cth/consol_act/pa1988108/s6.html</vt:lpwstr>
      </vt:variant>
      <vt:variant>
        <vt:lpwstr>individual</vt:lpwstr>
      </vt:variant>
      <vt:variant>
        <vt:i4>3604544</vt:i4>
      </vt:variant>
      <vt:variant>
        <vt:i4>381</vt:i4>
      </vt:variant>
      <vt:variant>
        <vt:i4>0</vt:i4>
      </vt:variant>
      <vt:variant>
        <vt:i4>5</vt:i4>
      </vt:variant>
      <vt:variant>
        <vt:lpwstr>http://www.austlii.edu.au/au/legis/cth/consol_act/pa1988108/s6.html</vt:lpwstr>
      </vt:variant>
      <vt:variant>
        <vt:lpwstr>record</vt:lpwstr>
      </vt:variant>
      <vt:variant>
        <vt:i4>7929877</vt:i4>
      </vt:variant>
      <vt:variant>
        <vt:i4>378</vt:i4>
      </vt:variant>
      <vt:variant>
        <vt:i4>0</vt:i4>
      </vt:variant>
      <vt:variant>
        <vt:i4>5</vt:i4>
      </vt:variant>
      <vt:variant>
        <vt:lpwstr>mailto:financialviabilityofschools@deewr.gov.au</vt:lpwstr>
      </vt:variant>
      <vt:variant>
        <vt:lpwstr/>
      </vt:variant>
      <vt:variant>
        <vt:i4>4521991</vt:i4>
      </vt:variant>
      <vt:variant>
        <vt:i4>375</vt:i4>
      </vt:variant>
      <vt:variant>
        <vt:i4>0</vt:i4>
      </vt:variant>
      <vt:variant>
        <vt:i4>5</vt:i4>
      </vt:variant>
      <vt:variant>
        <vt:lpwstr>http://www.deewr.gov.au/Schooling/Funding/Pages/ShortTermEmergencyAssistance.aspx</vt:lpwstr>
      </vt:variant>
      <vt:variant>
        <vt:lpwstr/>
      </vt:variant>
      <vt:variant>
        <vt:i4>4521991</vt:i4>
      </vt:variant>
      <vt:variant>
        <vt:i4>372</vt:i4>
      </vt:variant>
      <vt:variant>
        <vt:i4>0</vt:i4>
      </vt:variant>
      <vt:variant>
        <vt:i4>5</vt:i4>
      </vt:variant>
      <vt:variant>
        <vt:lpwstr>http://www.deewr.gov.au/Schooling/Funding/Pages/ShortTermEmergencyAssistance.aspx</vt:lpwstr>
      </vt:variant>
      <vt:variant>
        <vt:lpwstr/>
      </vt:variant>
      <vt:variant>
        <vt:i4>4456541</vt:i4>
      </vt:variant>
      <vt:variant>
        <vt:i4>369</vt:i4>
      </vt:variant>
      <vt:variant>
        <vt:i4>0</vt:i4>
      </vt:variant>
      <vt:variant>
        <vt:i4>5</vt:i4>
      </vt:variant>
      <vt:variant>
        <vt:lpwstr>http://www.deewr.gov.au/Schooling/Programs/CAP/Pages/default.aspx</vt:lpwstr>
      </vt:variant>
      <vt:variant>
        <vt:lpwstr/>
      </vt:variant>
      <vt:variant>
        <vt:i4>7929864</vt:i4>
      </vt:variant>
      <vt:variant>
        <vt:i4>366</vt:i4>
      </vt:variant>
      <vt:variant>
        <vt:i4>0</vt:i4>
      </vt:variant>
      <vt:variant>
        <vt:i4>5</vt:i4>
      </vt:variant>
      <vt:variant>
        <vt:lpwstr/>
      </vt:variant>
      <vt:variant>
        <vt:lpwstr>_Appendix_K:_Supplementation</vt:lpwstr>
      </vt:variant>
      <vt:variant>
        <vt:i4>7929864</vt:i4>
      </vt:variant>
      <vt:variant>
        <vt:i4>363</vt:i4>
      </vt:variant>
      <vt:variant>
        <vt:i4>0</vt:i4>
      </vt:variant>
      <vt:variant>
        <vt:i4>5</vt:i4>
      </vt:variant>
      <vt:variant>
        <vt:lpwstr/>
      </vt:variant>
      <vt:variant>
        <vt:lpwstr>_Appendix_K:_Supplementation</vt:lpwstr>
      </vt:variant>
      <vt:variant>
        <vt:i4>7929864</vt:i4>
      </vt:variant>
      <vt:variant>
        <vt:i4>360</vt:i4>
      </vt:variant>
      <vt:variant>
        <vt:i4>0</vt:i4>
      </vt:variant>
      <vt:variant>
        <vt:i4>5</vt:i4>
      </vt:variant>
      <vt:variant>
        <vt:lpwstr/>
      </vt:variant>
      <vt:variant>
        <vt:lpwstr>_Appendix_K:_Supplementation</vt:lpwstr>
      </vt:variant>
      <vt:variant>
        <vt:i4>589930</vt:i4>
      </vt:variant>
      <vt:variant>
        <vt:i4>357</vt:i4>
      </vt:variant>
      <vt:variant>
        <vt:i4>0</vt:i4>
      </vt:variant>
      <vt:variant>
        <vt:i4>5</vt:i4>
      </vt:variant>
      <vt:variant>
        <vt:lpwstr>mailto:eslna@deewr.gov.au</vt:lpwstr>
      </vt:variant>
      <vt:variant>
        <vt:lpwstr/>
      </vt:variant>
      <vt:variant>
        <vt:i4>7929864</vt:i4>
      </vt:variant>
      <vt:variant>
        <vt:i4>354</vt:i4>
      </vt:variant>
      <vt:variant>
        <vt:i4>0</vt:i4>
      </vt:variant>
      <vt:variant>
        <vt:i4>5</vt:i4>
      </vt:variant>
      <vt:variant>
        <vt:lpwstr/>
      </vt:variant>
      <vt:variant>
        <vt:lpwstr>_Appendix_K:_Supplementation</vt:lpwstr>
      </vt:variant>
      <vt:variant>
        <vt:i4>3473444</vt:i4>
      </vt:variant>
      <vt:variant>
        <vt:i4>351</vt:i4>
      </vt:variant>
      <vt:variant>
        <vt:i4>0</vt:i4>
      </vt:variant>
      <vt:variant>
        <vt:i4>5</vt:i4>
      </vt:variant>
      <vt:variant>
        <vt:lpwstr>http://www.immi.gov.au/</vt:lpwstr>
      </vt:variant>
      <vt:variant>
        <vt:lpwstr/>
      </vt:variant>
      <vt:variant>
        <vt:i4>262153</vt:i4>
      </vt:variant>
      <vt:variant>
        <vt:i4>348</vt:i4>
      </vt:variant>
      <vt:variant>
        <vt:i4>0</vt:i4>
      </vt:variant>
      <vt:variant>
        <vt:i4>5</vt:i4>
      </vt:variant>
      <vt:variant>
        <vt:lpwstr>http:///</vt:lpwstr>
      </vt:variant>
      <vt:variant>
        <vt:lpwstr/>
      </vt:variant>
      <vt:variant>
        <vt:i4>7929864</vt:i4>
      </vt:variant>
      <vt:variant>
        <vt:i4>345</vt:i4>
      </vt:variant>
      <vt:variant>
        <vt:i4>0</vt:i4>
      </vt:variant>
      <vt:variant>
        <vt:i4>5</vt:i4>
      </vt:variant>
      <vt:variant>
        <vt:lpwstr/>
      </vt:variant>
      <vt:variant>
        <vt:lpwstr>_Appendix_K:_Supplementation</vt:lpwstr>
      </vt:variant>
      <vt:variant>
        <vt:i4>6750241</vt:i4>
      </vt:variant>
      <vt:variant>
        <vt:i4>339</vt:i4>
      </vt:variant>
      <vt:variant>
        <vt:i4>0</vt:i4>
      </vt:variant>
      <vt:variant>
        <vt:i4>5</vt:i4>
      </vt:variant>
      <vt:variant>
        <vt:lpwstr>http://www.abcc.gov.au/abcc/NationalCode/?gclid=CMPz97iq96QCFQMdbgodtHlzhQ</vt:lpwstr>
      </vt:variant>
      <vt:variant>
        <vt:lpwstr/>
      </vt:variant>
      <vt:variant>
        <vt:i4>7995515</vt:i4>
      </vt:variant>
      <vt:variant>
        <vt:i4>336</vt:i4>
      </vt:variant>
      <vt:variant>
        <vt:i4>0</vt:i4>
      </vt:variant>
      <vt:variant>
        <vt:i4>5</vt:i4>
      </vt:variant>
      <vt:variant>
        <vt:lpwstr>http://www.deewr.gov.au/Schooling/Funding/CapitalGrantsProgram/Pages/BlockGrantAuthorityContactDetails.aspx</vt:lpwstr>
      </vt:variant>
      <vt:variant>
        <vt:lpwstr/>
      </vt:variant>
      <vt:variant>
        <vt:i4>7929864</vt:i4>
      </vt:variant>
      <vt:variant>
        <vt:i4>333</vt:i4>
      </vt:variant>
      <vt:variant>
        <vt:i4>0</vt:i4>
      </vt:variant>
      <vt:variant>
        <vt:i4>5</vt:i4>
      </vt:variant>
      <vt:variant>
        <vt:lpwstr/>
      </vt:variant>
      <vt:variant>
        <vt:lpwstr>_Appendix_K:_Supplementation</vt:lpwstr>
      </vt:variant>
      <vt:variant>
        <vt:i4>1048591</vt:i4>
      </vt:variant>
      <vt:variant>
        <vt:i4>330</vt:i4>
      </vt:variant>
      <vt:variant>
        <vt:i4>0</vt:i4>
      </vt:variant>
      <vt:variant>
        <vt:i4>5</vt:i4>
      </vt:variant>
      <vt:variant>
        <vt:lpwstr>http://www.finance.gov.au/publications/fmg-series/10-complying-with-legislation.html</vt:lpwstr>
      </vt:variant>
      <vt:variant>
        <vt:lpwstr/>
      </vt:variant>
      <vt:variant>
        <vt:i4>6488105</vt:i4>
      </vt:variant>
      <vt:variant>
        <vt:i4>321</vt:i4>
      </vt:variant>
      <vt:variant>
        <vt:i4>0</vt:i4>
      </vt:variant>
      <vt:variant>
        <vt:i4>5</vt:i4>
      </vt:variant>
      <vt:variant>
        <vt:lpwstr>http://www.deewr.gov.au/Schooling/Programs/Pages/SchoolsAssistanceAct2008.aspx</vt:lpwstr>
      </vt:variant>
      <vt:variant>
        <vt:lpwstr/>
      </vt:variant>
      <vt:variant>
        <vt:i4>6488166</vt:i4>
      </vt:variant>
      <vt:variant>
        <vt:i4>318</vt:i4>
      </vt:variant>
      <vt:variant>
        <vt:i4>0</vt:i4>
      </vt:variant>
      <vt:variant>
        <vt:i4>5</vt:i4>
      </vt:variant>
      <vt:variant>
        <vt:lpwstr>C:\Documents and Settings\ga0045\Application Data\Microsoft\Word\The</vt:lpwstr>
      </vt:variant>
      <vt:variant>
        <vt:lpwstr/>
      </vt:variant>
      <vt:variant>
        <vt:i4>655456</vt:i4>
      </vt:variant>
      <vt:variant>
        <vt:i4>315</vt:i4>
      </vt:variant>
      <vt:variant>
        <vt:i4>0</vt:i4>
      </vt:variant>
      <vt:variant>
        <vt:i4>5</vt:i4>
      </vt:variant>
      <vt:variant>
        <vt:lpwstr/>
      </vt:variant>
      <vt:variant>
        <vt:lpwstr>_Appendix_J:_Accountability</vt:lpwstr>
      </vt:variant>
      <vt:variant>
        <vt:i4>4849733</vt:i4>
      </vt:variant>
      <vt:variant>
        <vt:i4>312</vt:i4>
      </vt:variant>
      <vt:variant>
        <vt:i4>0</vt:i4>
      </vt:variant>
      <vt:variant>
        <vt:i4>5</vt:i4>
      </vt:variant>
      <vt:variant>
        <vt:lpwstr>http://www.deewr.gov.au/Schooling/RecurrentGrants/NonGovSchools/Pages/Forms.aspx</vt:lpwstr>
      </vt:variant>
      <vt:variant>
        <vt:lpwstr/>
      </vt:variant>
      <vt:variant>
        <vt:i4>7929864</vt:i4>
      </vt:variant>
      <vt:variant>
        <vt:i4>309</vt:i4>
      </vt:variant>
      <vt:variant>
        <vt:i4>0</vt:i4>
      </vt:variant>
      <vt:variant>
        <vt:i4>5</vt:i4>
      </vt:variant>
      <vt:variant>
        <vt:lpwstr/>
      </vt:variant>
      <vt:variant>
        <vt:lpwstr>_Appendix_K:_Supplementation</vt:lpwstr>
      </vt:variant>
      <vt:variant>
        <vt:i4>6750328</vt:i4>
      </vt:variant>
      <vt:variant>
        <vt:i4>303</vt:i4>
      </vt:variant>
      <vt:variant>
        <vt:i4>0</vt:i4>
      </vt:variant>
      <vt:variant>
        <vt:i4>5</vt:i4>
      </vt:variant>
      <vt:variant>
        <vt:lpwstr/>
      </vt:variant>
      <vt:variant>
        <vt:lpwstr>Privacy</vt:lpwstr>
      </vt:variant>
      <vt:variant>
        <vt:i4>7667742</vt:i4>
      </vt:variant>
      <vt:variant>
        <vt:i4>300</vt:i4>
      </vt:variant>
      <vt:variant>
        <vt:i4>0</vt:i4>
      </vt:variant>
      <vt:variant>
        <vt:i4>5</vt:i4>
      </vt:variant>
      <vt:variant>
        <vt:lpwstr/>
      </vt:variant>
      <vt:variant>
        <vt:lpwstr>_Appendix_H:_Funding</vt:lpwstr>
      </vt:variant>
      <vt:variant>
        <vt:i4>7667742</vt:i4>
      </vt:variant>
      <vt:variant>
        <vt:i4>297</vt:i4>
      </vt:variant>
      <vt:variant>
        <vt:i4>0</vt:i4>
      </vt:variant>
      <vt:variant>
        <vt:i4>5</vt:i4>
      </vt:variant>
      <vt:variant>
        <vt:lpwstr/>
      </vt:variant>
      <vt:variant>
        <vt:lpwstr>_Appendix_H:_Funding</vt:lpwstr>
      </vt:variant>
      <vt:variant>
        <vt:i4>7667742</vt:i4>
      </vt:variant>
      <vt:variant>
        <vt:i4>294</vt:i4>
      </vt:variant>
      <vt:variant>
        <vt:i4>0</vt:i4>
      </vt:variant>
      <vt:variant>
        <vt:i4>5</vt:i4>
      </vt:variant>
      <vt:variant>
        <vt:lpwstr/>
      </vt:variant>
      <vt:variant>
        <vt:lpwstr>_Appendix_H:_Funding</vt:lpwstr>
      </vt:variant>
      <vt:variant>
        <vt:i4>7929864</vt:i4>
      </vt:variant>
      <vt:variant>
        <vt:i4>291</vt:i4>
      </vt:variant>
      <vt:variant>
        <vt:i4>0</vt:i4>
      </vt:variant>
      <vt:variant>
        <vt:i4>5</vt:i4>
      </vt:variant>
      <vt:variant>
        <vt:lpwstr/>
      </vt:variant>
      <vt:variant>
        <vt:lpwstr>_Appendix_K:_Supplementation</vt:lpwstr>
      </vt:variant>
      <vt:variant>
        <vt:i4>589846</vt:i4>
      </vt:variant>
      <vt:variant>
        <vt:i4>288</vt:i4>
      </vt:variant>
      <vt:variant>
        <vt:i4>0</vt:i4>
      </vt:variant>
      <vt:variant>
        <vt:i4>5</vt:i4>
      </vt:variant>
      <vt:variant>
        <vt:lpwstr/>
      </vt:variant>
      <vt:variant>
        <vt:lpwstr>AppendixC</vt:lpwstr>
      </vt:variant>
      <vt:variant>
        <vt:i4>1179751</vt:i4>
      </vt:variant>
      <vt:variant>
        <vt:i4>285</vt:i4>
      </vt:variant>
      <vt:variant>
        <vt:i4>0</vt:i4>
      </vt:variant>
      <vt:variant>
        <vt:i4>5</vt:i4>
      </vt:variant>
      <vt:variant>
        <vt:lpwstr/>
      </vt:variant>
      <vt:variant>
        <vt:lpwstr>_Appendix_B:_Review</vt:lpwstr>
      </vt:variant>
      <vt:variant>
        <vt:i4>7667742</vt:i4>
      </vt:variant>
      <vt:variant>
        <vt:i4>282</vt:i4>
      </vt:variant>
      <vt:variant>
        <vt:i4>0</vt:i4>
      </vt:variant>
      <vt:variant>
        <vt:i4>5</vt:i4>
      </vt:variant>
      <vt:variant>
        <vt:lpwstr/>
      </vt:variant>
      <vt:variant>
        <vt:lpwstr>_Appendix_H:_Funding</vt:lpwstr>
      </vt:variant>
      <vt:variant>
        <vt:i4>7667742</vt:i4>
      </vt:variant>
      <vt:variant>
        <vt:i4>279</vt:i4>
      </vt:variant>
      <vt:variant>
        <vt:i4>0</vt:i4>
      </vt:variant>
      <vt:variant>
        <vt:i4>5</vt:i4>
      </vt:variant>
      <vt:variant>
        <vt:lpwstr/>
      </vt:variant>
      <vt:variant>
        <vt:lpwstr>_Appendix_H:_Funding</vt:lpwstr>
      </vt:variant>
      <vt:variant>
        <vt:i4>4849733</vt:i4>
      </vt:variant>
      <vt:variant>
        <vt:i4>273</vt:i4>
      </vt:variant>
      <vt:variant>
        <vt:i4>0</vt:i4>
      </vt:variant>
      <vt:variant>
        <vt:i4>5</vt:i4>
      </vt:variant>
      <vt:variant>
        <vt:lpwstr>http://www.deewr.gov.au/Schooling/RecurrentGrants/NonGovSchools/Pages/Forms.aspx</vt:lpwstr>
      </vt:variant>
      <vt:variant>
        <vt:lpwstr/>
      </vt:variant>
      <vt:variant>
        <vt:i4>4849733</vt:i4>
      </vt:variant>
      <vt:variant>
        <vt:i4>267</vt:i4>
      </vt:variant>
      <vt:variant>
        <vt:i4>0</vt:i4>
      </vt:variant>
      <vt:variant>
        <vt:i4>5</vt:i4>
      </vt:variant>
      <vt:variant>
        <vt:lpwstr>http://www.deewr.gov.au/Schooling/RecurrentGrants/NonGovSchools/Pages/Forms.aspx</vt:lpwstr>
      </vt:variant>
      <vt:variant>
        <vt:lpwstr/>
      </vt:variant>
      <vt:variant>
        <vt:i4>4849733</vt:i4>
      </vt:variant>
      <vt:variant>
        <vt:i4>261</vt:i4>
      </vt:variant>
      <vt:variant>
        <vt:i4>0</vt:i4>
      </vt:variant>
      <vt:variant>
        <vt:i4>5</vt:i4>
      </vt:variant>
      <vt:variant>
        <vt:lpwstr>http://www.deewr.gov.au/Schooling/RecurrentGrants/NonGovSchools/Pages/Forms.aspx</vt:lpwstr>
      </vt:variant>
      <vt:variant>
        <vt:lpwstr/>
      </vt:variant>
      <vt:variant>
        <vt:i4>4849733</vt:i4>
      </vt:variant>
      <vt:variant>
        <vt:i4>258</vt:i4>
      </vt:variant>
      <vt:variant>
        <vt:i4>0</vt:i4>
      </vt:variant>
      <vt:variant>
        <vt:i4>5</vt:i4>
      </vt:variant>
      <vt:variant>
        <vt:lpwstr>http://www.deewr.gov.au/Schooling/RecurrentGrants/NonGovSchools/Pages/Forms.aspx</vt:lpwstr>
      </vt:variant>
      <vt:variant>
        <vt:lpwstr/>
      </vt:variant>
      <vt:variant>
        <vt:i4>7536660</vt:i4>
      </vt:variant>
      <vt:variant>
        <vt:i4>255</vt:i4>
      </vt:variant>
      <vt:variant>
        <vt:i4>0</vt:i4>
      </vt:variant>
      <vt:variant>
        <vt:i4>5</vt:i4>
      </vt:variant>
      <vt:variant>
        <vt:lpwstr/>
      </vt:variant>
      <vt:variant>
        <vt:lpwstr>_Appendix_E:_Operational</vt:lpwstr>
      </vt:variant>
      <vt:variant>
        <vt:i4>4849733</vt:i4>
      </vt:variant>
      <vt:variant>
        <vt:i4>252</vt:i4>
      </vt:variant>
      <vt:variant>
        <vt:i4>0</vt:i4>
      </vt:variant>
      <vt:variant>
        <vt:i4>5</vt:i4>
      </vt:variant>
      <vt:variant>
        <vt:lpwstr>http://www.deewr.gov.au/Schooling/RecurrentGrants/NonGovSchools/Pages/Forms.aspx</vt:lpwstr>
      </vt:variant>
      <vt:variant>
        <vt:lpwstr/>
      </vt:variant>
      <vt:variant>
        <vt:i4>7667742</vt:i4>
      </vt:variant>
      <vt:variant>
        <vt:i4>249</vt:i4>
      </vt:variant>
      <vt:variant>
        <vt:i4>0</vt:i4>
      </vt:variant>
      <vt:variant>
        <vt:i4>5</vt:i4>
      </vt:variant>
      <vt:variant>
        <vt:lpwstr/>
      </vt:variant>
      <vt:variant>
        <vt:lpwstr>_Appendix_H:_Funding</vt:lpwstr>
      </vt:variant>
      <vt:variant>
        <vt:i4>2949158</vt:i4>
      </vt:variant>
      <vt:variant>
        <vt:i4>246</vt:i4>
      </vt:variant>
      <vt:variant>
        <vt:i4>0</vt:i4>
      </vt:variant>
      <vt:variant>
        <vt:i4>5</vt:i4>
      </vt:variant>
      <vt:variant>
        <vt:lpwstr>http://www.deewr.gov.au/Schooling/RecurrentGrants/NonGovSchools/Pages/GazetteNonGovernmentSchools.aspx</vt:lpwstr>
      </vt:variant>
      <vt:variant>
        <vt:lpwstr/>
      </vt:variant>
      <vt:variant>
        <vt:i4>7667722</vt:i4>
      </vt:variant>
      <vt:variant>
        <vt:i4>243</vt:i4>
      </vt:variant>
      <vt:variant>
        <vt:i4>0</vt:i4>
      </vt:variant>
      <vt:variant>
        <vt:i4>5</vt:i4>
      </vt:variant>
      <vt:variant>
        <vt:lpwstr/>
      </vt:variant>
      <vt:variant>
        <vt:lpwstr>_Appendix_I:_Summary</vt:lpwstr>
      </vt:variant>
      <vt:variant>
        <vt:i4>7929864</vt:i4>
      </vt:variant>
      <vt:variant>
        <vt:i4>240</vt:i4>
      </vt:variant>
      <vt:variant>
        <vt:i4>0</vt:i4>
      </vt:variant>
      <vt:variant>
        <vt:i4>5</vt:i4>
      </vt:variant>
      <vt:variant>
        <vt:lpwstr/>
      </vt:variant>
      <vt:variant>
        <vt:lpwstr>_Appendix_K:_Supplementation</vt:lpwstr>
      </vt:variant>
      <vt:variant>
        <vt:i4>7667742</vt:i4>
      </vt:variant>
      <vt:variant>
        <vt:i4>237</vt:i4>
      </vt:variant>
      <vt:variant>
        <vt:i4>0</vt:i4>
      </vt:variant>
      <vt:variant>
        <vt:i4>5</vt:i4>
      </vt:variant>
      <vt:variant>
        <vt:lpwstr/>
      </vt:variant>
      <vt:variant>
        <vt:lpwstr>_Appendix_H:_Funding</vt:lpwstr>
      </vt:variant>
      <vt:variant>
        <vt:i4>7274619</vt:i4>
      </vt:variant>
      <vt:variant>
        <vt:i4>234</vt:i4>
      </vt:variant>
      <vt:variant>
        <vt:i4>0</vt:i4>
      </vt:variant>
      <vt:variant>
        <vt:i4>5</vt:i4>
      </vt:variant>
      <vt:variant>
        <vt:lpwstr>http://www.mceecdya.edu.au/verve/_resources/Principles_and_Protocols_2009.pdf</vt:lpwstr>
      </vt:variant>
      <vt:variant>
        <vt:lpwstr/>
      </vt:variant>
      <vt:variant>
        <vt:i4>589846</vt:i4>
      </vt:variant>
      <vt:variant>
        <vt:i4>231</vt:i4>
      </vt:variant>
      <vt:variant>
        <vt:i4>0</vt:i4>
      </vt:variant>
      <vt:variant>
        <vt:i4>5</vt:i4>
      </vt:variant>
      <vt:variant>
        <vt:lpwstr/>
      </vt:variant>
      <vt:variant>
        <vt:lpwstr>AppendixN</vt:lpwstr>
      </vt:variant>
      <vt:variant>
        <vt:i4>2293816</vt:i4>
      </vt:variant>
      <vt:variant>
        <vt:i4>228</vt:i4>
      </vt:variant>
      <vt:variant>
        <vt:i4>0</vt:i4>
      </vt:variant>
      <vt:variant>
        <vt:i4>5</vt:i4>
      </vt:variant>
      <vt:variant>
        <vt:lpwstr>http://www.myschool.edu.au/</vt:lpwstr>
      </vt:variant>
      <vt:variant>
        <vt:lpwstr/>
      </vt:variant>
      <vt:variant>
        <vt:i4>7405666</vt:i4>
      </vt:variant>
      <vt:variant>
        <vt:i4>225</vt:i4>
      </vt:variant>
      <vt:variant>
        <vt:i4>0</vt:i4>
      </vt:variant>
      <vt:variant>
        <vt:i4>5</vt:i4>
      </vt:variant>
      <vt:variant>
        <vt:lpwstr>http://www.det.act.gov.au/</vt:lpwstr>
      </vt:variant>
      <vt:variant>
        <vt:lpwstr/>
      </vt:variant>
      <vt:variant>
        <vt:i4>3080245</vt:i4>
      </vt:variant>
      <vt:variant>
        <vt:i4>222</vt:i4>
      </vt:variant>
      <vt:variant>
        <vt:i4>0</vt:i4>
      </vt:variant>
      <vt:variant>
        <vt:i4>5</vt:i4>
      </vt:variant>
      <vt:variant>
        <vt:lpwstr>http://www.deet.nt.gov.au/</vt:lpwstr>
      </vt:variant>
      <vt:variant>
        <vt:lpwstr/>
      </vt:variant>
      <vt:variant>
        <vt:i4>327705</vt:i4>
      </vt:variant>
      <vt:variant>
        <vt:i4>219</vt:i4>
      </vt:variant>
      <vt:variant>
        <vt:i4>0</vt:i4>
      </vt:variant>
      <vt:variant>
        <vt:i4>5</vt:i4>
      </vt:variant>
      <vt:variant>
        <vt:lpwstr>http://www.education.tas.gov.au/</vt:lpwstr>
      </vt:variant>
      <vt:variant>
        <vt:lpwstr/>
      </vt:variant>
      <vt:variant>
        <vt:i4>3932207</vt:i4>
      </vt:variant>
      <vt:variant>
        <vt:i4>216</vt:i4>
      </vt:variant>
      <vt:variant>
        <vt:i4>0</vt:i4>
      </vt:variant>
      <vt:variant>
        <vt:i4>5</vt:i4>
      </vt:variant>
      <vt:variant>
        <vt:lpwstr>http://www.decs.sa.gov.au/</vt:lpwstr>
      </vt:variant>
      <vt:variant>
        <vt:lpwstr/>
      </vt:variant>
      <vt:variant>
        <vt:i4>2818104</vt:i4>
      </vt:variant>
      <vt:variant>
        <vt:i4>213</vt:i4>
      </vt:variant>
      <vt:variant>
        <vt:i4>0</vt:i4>
      </vt:variant>
      <vt:variant>
        <vt:i4>5</vt:i4>
      </vt:variant>
      <vt:variant>
        <vt:lpwstr>http://www.det.wa.edu.au/education/</vt:lpwstr>
      </vt:variant>
      <vt:variant>
        <vt:lpwstr/>
      </vt:variant>
      <vt:variant>
        <vt:i4>7340144</vt:i4>
      </vt:variant>
      <vt:variant>
        <vt:i4>210</vt:i4>
      </vt:variant>
      <vt:variant>
        <vt:i4>0</vt:i4>
      </vt:variant>
      <vt:variant>
        <vt:i4>5</vt:i4>
      </vt:variant>
      <vt:variant>
        <vt:lpwstr>http://www.qsa.qld.edu.au/</vt:lpwstr>
      </vt:variant>
      <vt:variant>
        <vt:lpwstr/>
      </vt:variant>
      <vt:variant>
        <vt:i4>6946870</vt:i4>
      </vt:variant>
      <vt:variant>
        <vt:i4>207</vt:i4>
      </vt:variant>
      <vt:variant>
        <vt:i4>0</vt:i4>
      </vt:variant>
      <vt:variant>
        <vt:i4>5</vt:i4>
      </vt:variant>
      <vt:variant>
        <vt:lpwstr>http://www.vcaa.vic.edu.au/</vt:lpwstr>
      </vt:variant>
      <vt:variant>
        <vt:lpwstr/>
      </vt:variant>
      <vt:variant>
        <vt:i4>6357048</vt:i4>
      </vt:variant>
      <vt:variant>
        <vt:i4>204</vt:i4>
      </vt:variant>
      <vt:variant>
        <vt:i4>0</vt:i4>
      </vt:variant>
      <vt:variant>
        <vt:i4>5</vt:i4>
      </vt:variant>
      <vt:variant>
        <vt:lpwstr>https://www.det.nsw.edu.au/</vt:lpwstr>
      </vt:variant>
      <vt:variant>
        <vt:lpwstr/>
      </vt:variant>
      <vt:variant>
        <vt:i4>2162736</vt:i4>
      </vt:variant>
      <vt:variant>
        <vt:i4>201</vt:i4>
      </vt:variant>
      <vt:variant>
        <vt:i4>0</vt:i4>
      </vt:variant>
      <vt:variant>
        <vt:i4>5</vt:i4>
      </vt:variant>
      <vt:variant>
        <vt:lpwstr>http://www.mceecdya.edu.au/verve/_resources/National_and_International_2010_Testing_Schedule_for_Schools.pdf</vt:lpwstr>
      </vt:variant>
      <vt:variant>
        <vt:lpwstr/>
      </vt:variant>
      <vt:variant>
        <vt:i4>2621474</vt:i4>
      </vt:variant>
      <vt:variant>
        <vt:i4>198</vt:i4>
      </vt:variant>
      <vt:variant>
        <vt:i4>0</vt:i4>
      </vt:variant>
      <vt:variant>
        <vt:i4>5</vt:i4>
      </vt:variant>
      <vt:variant>
        <vt:lpwstr>http://www.mceecdya.edu.au/</vt:lpwstr>
      </vt:variant>
      <vt:variant>
        <vt:lpwstr/>
      </vt:variant>
      <vt:variant>
        <vt:i4>1572941</vt:i4>
      </vt:variant>
      <vt:variant>
        <vt:i4>195</vt:i4>
      </vt:variant>
      <vt:variant>
        <vt:i4>0</vt:i4>
      </vt:variant>
      <vt:variant>
        <vt:i4>5</vt:i4>
      </vt:variant>
      <vt:variant>
        <vt:lpwstr>http://www.comlaw.gov.au/comlaw/management.nsf/lookupindexpagesbyid/IP200839720?OpenDocument</vt:lpwstr>
      </vt:variant>
      <vt:variant>
        <vt:lpwstr/>
      </vt:variant>
      <vt:variant>
        <vt:i4>1769535</vt:i4>
      </vt:variant>
      <vt:variant>
        <vt:i4>188</vt:i4>
      </vt:variant>
      <vt:variant>
        <vt:i4>0</vt:i4>
      </vt:variant>
      <vt:variant>
        <vt:i4>5</vt:i4>
      </vt:variant>
      <vt:variant>
        <vt:lpwstr/>
      </vt:variant>
      <vt:variant>
        <vt:lpwstr>_Toc277321899</vt:lpwstr>
      </vt:variant>
      <vt:variant>
        <vt:i4>1769535</vt:i4>
      </vt:variant>
      <vt:variant>
        <vt:i4>182</vt:i4>
      </vt:variant>
      <vt:variant>
        <vt:i4>0</vt:i4>
      </vt:variant>
      <vt:variant>
        <vt:i4>5</vt:i4>
      </vt:variant>
      <vt:variant>
        <vt:lpwstr/>
      </vt:variant>
      <vt:variant>
        <vt:lpwstr>_Toc277321898</vt:lpwstr>
      </vt:variant>
      <vt:variant>
        <vt:i4>1769535</vt:i4>
      </vt:variant>
      <vt:variant>
        <vt:i4>176</vt:i4>
      </vt:variant>
      <vt:variant>
        <vt:i4>0</vt:i4>
      </vt:variant>
      <vt:variant>
        <vt:i4>5</vt:i4>
      </vt:variant>
      <vt:variant>
        <vt:lpwstr/>
      </vt:variant>
      <vt:variant>
        <vt:lpwstr>_Toc277321897</vt:lpwstr>
      </vt:variant>
      <vt:variant>
        <vt:i4>1769535</vt:i4>
      </vt:variant>
      <vt:variant>
        <vt:i4>170</vt:i4>
      </vt:variant>
      <vt:variant>
        <vt:i4>0</vt:i4>
      </vt:variant>
      <vt:variant>
        <vt:i4>5</vt:i4>
      </vt:variant>
      <vt:variant>
        <vt:lpwstr/>
      </vt:variant>
      <vt:variant>
        <vt:lpwstr>_Toc277321896</vt:lpwstr>
      </vt:variant>
      <vt:variant>
        <vt:i4>1769535</vt:i4>
      </vt:variant>
      <vt:variant>
        <vt:i4>164</vt:i4>
      </vt:variant>
      <vt:variant>
        <vt:i4>0</vt:i4>
      </vt:variant>
      <vt:variant>
        <vt:i4>5</vt:i4>
      </vt:variant>
      <vt:variant>
        <vt:lpwstr/>
      </vt:variant>
      <vt:variant>
        <vt:lpwstr>_Toc277321895</vt:lpwstr>
      </vt:variant>
      <vt:variant>
        <vt:i4>1769535</vt:i4>
      </vt:variant>
      <vt:variant>
        <vt:i4>158</vt:i4>
      </vt:variant>
      <vt:variant>
        <vt:i4>0</vt:i4>
      </vt:variant>
      <vt:variant>
        <vt:i4>5</vt:i4>
      </vt:variant>
      <vt:variant>
        <vt:lpwstr/>
      </vt:variant>
      <vt:variant>
        <vt:lpwstr>_Toc277321894</vt:lpwstr>
      </vt:variant>
      <vt:variant>
        <vt:i4>1769535</vt:i4>
      </vt:variant>
      <vt:variant>
        <vt:i4>152</vt:i4>
      </vt:variant>
      <vt:variant>
        <vt:i4>0</vt:i4>
      </vt:variant>
      <vt:variant>
        <vt:i4>5</vt:i4>
      </vt:variant>
      <vt:variant>
        <vt:lpwstr/>
      </vt:variant>
      <vt:variant>
        <vt:lpwstr>_Toc277321893</vt:lpwstr>
      </vt:variant>
      <vt:variant>
        <vt:i4>1769535</vt:i4>
      </vt:variant>
      <vt:variant>
        <vt:i4>146</vt:i4>
      </vt:variant>
      <vt:variant>
        <vt:i4>0</vt:i4>
      </vt:variant>
      <vt:variant>
        <vt:i4>5</vt:i4>
      </vt:variant>
      <vt:variant>
        <vt:lpwstr/>
      </vt:variant>
      <vt:variant>
        <vt:lpwstr>_Toc277321892</vt:lpwstr>
      </vt:variant>
      <vt:variant>
        <vt:i4>1769535</vt:i4>
      </vt:variant>
      <vt:variant>
        <vt:i4>140</vt:i4>
      </vt:variant>
      <vt:variant>
        <vt:i4>0</vt:i4>
      </vt:variant>
      <vt:variant>
        <vt:i4>5</vt:i4>
      </vt:variant>
      <vt:variant>
        <vt:lpwstr/>
      </vt:variant>
      <vt:variant>
        <vt:lpwstr>_Toc277321891</vt:lpwstr>
      </vt:variant>
      <vt:variant>
        <vt:i4>1769535</vt:i4>
      </vt:variant>
      <vt:variant>
        <vt:i4>134</vt:i4>
      </vt:variant>
      <vt:variant>
        <vt:i4>0</vt:i4>
      </vt:variant>
      <vt:variant>
        <vt:i4>5</vt:i4>
      </vt:variant>
      <vt:variant>
        <vt:lpwstr/>
      </vt:variant>
      <vt:variant>
        <vt:lpwstr>_Toc277321890</vt:lpwstr>
      </vt:variant>
      <vt:variant>
        <vt:i4>1703999</vt:i4>
      </vt:variant>
      <vt:variant>
        <vt:i4>128</vt:i4>
      </vt:variant>
      <vt:variant>
        <vt:i4>0</vt:i4>
      </vt:variant>
      <vt:variant>
        <vt:i4>5</vt:i4>
      </vt:variant>
      <vt:variant>
        <vt:lpwstr/>
      </vt:variant>
      <vt:variant>
        <vt:lpwstr>_Toc277321889</vt:lpwstr>
      </vt:variant>
      <vt:variant>
        <vt:i4>1703999</vt:i4>
      </vt:variant>
      <vt:variant>
        <vt:i4>122</vt:i4>
      </vt:variant>
      <vt:variant>
        <vt:i4>0</vt:i4>
      </vt:variant>
      <vt:variant>
        <vt:i4>5</vt:i4>
      </vt:variant>
      <vt:variant>
        <vt:lpwstr/>
      </vt:variant>
      <vt:variant>
        <vt:lpwstr>_Toc277321888</vt:lpwstr>
      </vt:variant>
      <vt:variant>
        <vt:i4>1703999</vt:i4>
      </vt:variant>
      <vt:variant>
        <vt:i4>116</vt:i4>
      </vt:variant>
      <vt:variant>
        <vt:i4>0</vt:i4>
      </vt:variant>
      <vt:variant>
        <vt:i4>5</vt:i4>
      </vt:variant>
      <vt:variant>
        <vt:lpwstr/>
      </vt:variant>
      <vt:variant>
        <vt:lpwstr>_Toc277321887</vt:lpwstr>
      </vt:variant>
      <vt:variant>
        <vt:i4>1703999</vt:i4>
      </vt:variant>
      <vt:variant>
        <vt:i4>110</vt:i4>
      </vt:variant>
      <vt:variant>
        <vt:i4>0</vt:i4>
      </vt:variant>
      <vt:variant>
        <vt:i4>5</vt:i4>
      </vt:variant>
      <vt:variant>
        <vt:lpwstr/>
      </vt:variant>
      <vt:variant>
        <vt:lpwstr>_Toc277321886</vt:lpwstr>
      </vt:variant>
      <vt:variant>
        <vt:i4>1703999</vt:i4>
      </vt:variant>
      <vt:variant>
        <vt:i4>104</vt:i4>
      </vt:variant>
      <vt:variant>
        <vt:i4>0</vt:i4>
      </vt:variant>
      <vt:variant>
        <vt:i4>5</vt:i4>
      </vt:variant>
      <vt:variant>
        <vt:lpwstr/>
      </vt:variant>
      <vt:variant>
        <vt:lpwstr>_Toc277321885</vt:lpwstr>
      </vt:variant>
      <vt:variant>
        <vt:i4>1703999</vt:i4>
      </vt:variant>
      <vt:variant>
        <vt:i4>98</vt:i4>
      </vt:variant>
      <vt:variant>
        <vt:i4>0</vt:i4>
      </vt:variant>
      <vt:variant>
        <vt:i4>5</vt:i4>
      </vt:variant>
      <vt:variant>
        <vt:lpwstr/>
      </vt:variant>
      <vt:variant>
        <vt:lpwstr>_Toc277321884</vt:lpwstr>
      </vt:variant>
      <vt:variant>
        <vt:i4>1703999</vt:i4>
      </vt:variant>
      <vt:variant>
        <vt:i4>92</vt:i4>
      </vt:variant>
      <vt:variant>
        <vt:i4>0</vt:i4>
      </vt:variant>
      <vt:variant>
        <vt:i4>5</vt:i4>
      </vt:variant>
      <vt:variant>
        <vt:lpwstr/>
      </vt:variant>
      <vt:variant>
        <vt:lpwstr>_Toc277321883</vt:lpwstr>
      </vt:variant>
      <vt:variant>
        <vt:i4>1703999</vt:i4>
      </vt:variant>
      <vt:variant>
        <vt:i4>86</vt:i4>
      </vt:variant>
      <vt:variant>
        <vt:i4>0</vt:i4>
      </vt:variant>
      <vt:variant>
        <vt:i4>5</vt:i4>
      </vt:variant>
      <vt:variant>
        <vt:lpwstr/>
      </vt:variant>
      <vt:variant>
        <vt:lpwstr>_Toc277321882</vt:lpwstr>
      </vt:variant>
      <vt:variant>
        <vt:i4>1703999</vt:i4>
      </vt:variant>
      <vt:variant>
        <vt:i4>80</vt:i4>
      </vt:variant>
      <vt:variant>
        <vt:i4>0</vt:i4>
      </vt:variant>
      <vt:variant>
        <vt:i4>5</vt:i4>
      </vt:variant>
      <vt:variant>
        <vt:lpwstr/>
      </vt:variant>
      <vt:variant>
        <vt:lpwstr>_Toc277321881</vt:lpwstr>
      </vt:variant>
      <vt:variant>
        <vt:i4>1703999</vt:i4>
      </vt:variant>
      <vt:variant>
        <vt:i4>74</vt:i4>
      </vt:variant>
      <vt:variant>
        <vt:i4>0</vt:i4>
      </vt:variant>
      <vt:variant>
        <vt:i4>5</vt:i4>
      </vt:variant>
      <vt:variant>
        <vt:lpwstr/>
      </vt:variant>
      <vt:variant>
        <vt:lpwstr>_Toc277321880</vt:lpwstr>
      </vt:variant>
      <vt:variant>
        <vt:i4>1376319</vt:i4>
      </vt:variant>
      <vt:variant>
        <vt:i4>68</vt:i4>
      </vt:variant>
      <vt:variant>
        <vt:i4>0</vt:i4>
      </vt:variant>
      <vt:variant>
        <vt:i4>5</vt:i4>
      </vt:variant>
      <vt:variant>
        <vt:lpwstr/>
      </vt:variant>
      <vt:variant>
        <vt:lpwstr>_Toc277321879</vt:lpwstr>
      </vt:variant>
      <vt:variant>
        <vt:i4>1376319</vt:i4>
      </vt:variant>
      <vt:variant>
        <vt:i4>62</vt:i4>
      </vt:variant>
      <vt:variant>
        <vt:i4>0</vt:i4>
      </vt:variant>
      <vt:variant>
        <vt:i4>5</vt:i4>
      </vt:variant>
      <vt:variant>
        <vt:lpwstr/>
      </vt:variant>
      <vt:variant>
        <vt:lpwstr>_Toc277321878</vt:lpwstr>
      </vt:variant>
      <vt:variant>
        <vt:i4>1376319</vt:i4>
      </vt:variant>
      <vt:variant>
        <vt:i4>56</vt:i4>
      </vt:variant>
      <vt:variant>
        <vt:i4>0</vt:i4>
      </vt:variant>
      <vt:variant>
        <vt:i4>5</vt:i4>
      </vt:variant>
      <vt:variant>
        <vt:lpwstr/>
      </vt:variant>
      <vt:variant>
        <vt:lpwstr>_Toc277321877</vt:lpwstr>
      </vt:variant>
      <vt:variant>
        <vt:i4>1376319</vt:i4>
      </vt:variant>
      <vt:variant>
        <vt:i4>50</vt:i4>
      </vt:variant>
      <vt:variant>
        <vt:i4>0</vt:i4>
      </vt:variant>
      <vt:variant>
        <vt:i4>5</vt:i4>
      </vt:variant>
      <vt:variant>
        <vt:lpwstr/>
      </vt:variant>
      <vt:variant>
        <vt:lpwstr>_Toc277321876</vt:lpwstr>
      </vt:variant>
      <vt:variant>
        <vt:i4>1376319</vt:i4>
      </vt:variant>
      <vt:variant>
        <vt:i4>44</vt:i4>
      </vt:variant>
      <vt:variant>
        <vt:i4>0</vt:i4>
      </vt:variant>
      <vt:variant>
        <vt:i4>5</vt:i4>
      </vt:variant>
      <vt:variant>
        <vt:lpwstr/>
      </vt:variant>
      <vt:variant>
        <vt:lpwstr>_Toc277321875</vt:lpwstr>
      </vt:variant>
      <vt:variant>
        <vt:i4>1376319</vt:i4>
      </vt:variant>
      <vt:variant>
        <vt:i4>38</vt:i4>
      </vt:variant>
      <vt:variant>
        <vt:i4>0</vt:i4>
      </vt:variant>
      <vt:variant>
        <vt:i4>5</vt:i4>
      </vt:variant>
      <vt:variant>
        <vt:lpwstr/>
      </vt:variant>
      <vt:variant>
        <vt:lpwstr>_Toc277321874</vt:lpwstr>
      </vt:variant>
      <vt:variant>
        <vt:i4>1376319</vt:i4>
      </vt:variant>
      <vt:variant>
        <vt:i4>32</vt:i4>
      </vt:variant>
      <vt:variant>
        <vt:i4>0</vt:i4>
      </vt:variant>
      <vt:variant>
        <vt:i4>5</vt:i4>
      </vt:variant>
      <vt:variant>
        <vt:lpwstr/>
      </vt:variant>
      <vt:variant>
        <vt:lpwstr>_Toc277321873</vt:lpwstr>
      </vt:variant>
      <vt:variant>
        <vt:i4>1376319</vt:i4>
      </vt:variant>
      <vt:variant>
        <vt:i4>26</vt:i4>
      </vt:variant>
      <vt:variant>
        <vt:i4>0</vt:i4>
      </vt:variant>
      <vt:variant>
        <vt:i4>5</vt:i4>
      </vt:variant>
      <vt:variant>
        <vt:lpwstr/>
      </vt:variant>
      <vt:variant>
        <vt:lpwstr>_Toc277321872</vt:lpwstr>
      </vt:variant>
      <vt:variant>
        <vt:i4>1376319</vt:i4>
      </vt:variant>
      <vt:variant>
        <vt:i4>20</vt:i4>
      </vt:variant>
      <vt:variant>
        <vt:i4>0</vt:i4>
      </vt:variant>
      <vt:variant>
        <vt:i4>5</vt:i4>
      </vt:variant>
      <vt:variant>
        <vt:lpwstr/>
      </vt:variant>
      <vt:variant>
        <vt:lpwstr>_Toc277321871</vt:lpwstr>
      </vt:variant>
      <vt:variant>
        <vt:i4>1376319</vt:i4>
      </vt:variant>
      <vt:variant>
        <vt:i4>14</vt:i4>
      </vt:variant>
      <vt:variant>
        <vt:i4>0</vt:i4>
      </vt:variant>
      <vt:variant>
        <vt:i4>5</vt:i4>
      </vt:variant>
      <vt:variant>
        <vt:lpwstr/>
      </vt:variant>
      <vt:variant>
        <vt:lpwstr>_Toc277321870</vt:lpwstr>
      </vt:variant>
      <vt:variant>
        <vt:i4>1310783</vt:i4>
      </vt:variant>
      <vt:variant>
        <vt:i4>8</vt:i4>
      </vt:variant>
      <vt:variant>
        <vt:i4>0</vt:i4>
      </vt:variant>
      <vt:variant>
        <vt:i4>5</vt:i4>
      </vt:variant>
      <vt:variant>
        <vt:lpwstr/>
      </vt:variant>
      <vt:variant>
        <vt:lpwstr>_Toc277321869</vt:lpwstr>
      </vt:variant>
      <vt:variant>
        <vt:i4>1310783</vt:i4>
      </vt:variant>
      <vt:variant>
        <vt:i4>2</vt:i4>
      </vt:variant>
      <vt:variant>
        <vt:i4>0</vt:i4>
      </vt:variant>
      <vt:variant>
        <vt:i4>5</vt:i4>
      </vt:variant>
      <vt:variant>
        <vt:lpwstr/>
      </vt:variant>
      <vt:variant>
        <vt:lpwstr>_Toc277321868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Schools Programs for Non-government Schools for 2009 to 2012</dc:title>
  <dc:creator>Daniel Perry</dc:creator>
  <cp:lastModifiedBy>Tyson Hoffmann</cp:lastModifiedBy>
  <cp:revision>2</cp:revision>
  <cp:lastPrinted>2013-04-04T02:58:00Z</cp:lastPrinted>
  <dcterms:created xsi:type="dcterms:W3CDTF">2013-04-09T05:26:00Z</dcterms:created>
  <dcterms:modified xsi:type="dcterms:W3CDTF">2013-04-09T05:26:00Z</dcterms:modified>
</cp:coreProperties>
</file>