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EE6A3" w14:textId="77777777" w:rsidR="008612F5" w:rsidRDefault="008612F5"/>
    <w:tbl>
      <w:tblPr>
        <w:tblW w:w="15026" w:type="dxa"/>
        <w:tblInd w:w="-57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7"/>
        <w:gridCol w:w="9639"/>
      </w:tblGrid>
      <w:tr w:rsidR="00BC2D7F" w:rsidRPr="00570C91" w14:paraId="071457C6" w14:textId="77777777" w:rsidTr="006A47BE">
        <w:trPr>
          <w:trHeight w:val="300"/>
        </w:trPr>
        <w:tc>
          <w:tcPr>
            <w:tcW w:w="5387" w:type="dxa"/>
            <w:tcBorders>
              <w:top w:val="single" w:sz="8" w:space="0" w:color="auto"/>
              <w:left w:val="single" w:sz="8" w:space="0" w:color="auto"/>
              <w:bottom w:val="single" w:sz="8" w:space="0" w:color="auto"/>
              <w:right w:val="single" w:sz="8" w:space="0" w:color="auto"/>
            </w:tcBorders>
            <w:shd w:val="clear" w:color="auto" w:fill="DEEAF6" w:themeFill="accent5" w:themeFillTint="33"/>
            <w:hideMark/>
          </w:tcPr>
          <w:p w14:paraId="1DE51A78" w14:textId="77777777" w:rsidR="00BC2D7F" w:rsidRPr="00570C91" w:rsidRDefault="00BC2D7F" w:rsidP="006A47BE">
            <w:pPr>
              <w:spacing w:after="0" w:line="240" w:lineRule="auto"/>
              <w:jc w:val="center"/>
              <w:textAlignment w:val="baseline"/>
              <w:rPr>
                <w:rFonts w:cstheme="minorHAnsi"/>
                <w:lang w:eastAsia="en-AU"/>
              </w:rPr>
            </w:pPr>
            <w:r w:rsidRPr="00570C91">
              <w:rPr>
                <w:rFonts w:cstheme="minorHAnsi"/>
                <w:b/>
                <w:bCs/>
                <w:lang w:eastAsia="en-AU"/>
              </w:rPr>
              <w:t>Recommended Actions</w:t>
            </w:r>
            <w:r w:rsidRPr="00570C91">
              <w:rPr>
                <w:rFonts w:cstheme="minorHAnsi"/>
                <w:color w:val="000000"/>
                <w:lang w:eastAsia="en-AU"/>
              </w:rPr>
              <w:t> </w:t>
            </w:r>
          </w:p>
        </w:tc>
        <w:tc>
          <w:tcPr>
            <w:tcW w:w="9639" w:type="dxa"/>
            <w:tcBorders>
              <w:top w:val="single" w:sz="8" w:space="0" w:color="auto"/>
              <w:left w:val="nil"/>
              <w:bottom w:val="single" w:sz="8" w:space="0" w:color="auto"/>
              <w:right w:val="single" w:sz="8" w:space="0" w:color="auto"/>
            </w:tcBorders>
            <w:shd w:val="clear" w:color="auto" w:fill="DEEAF6" w:themeFill="accent5" w:themeFillTint="33"/>
            <w:hideMark/>
          </w:tcPr>
          <w:p w14:paraId="79352689" w14:textId="77777777" w:rsidR="00BC2D7F" w:rsidRPr="00570C91" w:rsidRDefault="00BC2D7F" w:rsidP="006A47BE">
            <w:pPr>
              <w:spacing w:after="0" w:line="240" w:lineRule="auto"/>
              <w:jc w:val="center"/>
              <w:textAlignment w:val="baseline"/>
              <w:rPr>
                <w:rFonts w:cstheme="minorHAnsi"/>
                <w:lang w:eastAsia="en-AU"/>
              </w:rPr>
            </w:pPr>
            <w:r w:rsidRPr="00570C91">
              <w:rPr>
                <w:rFonts w:cstheme="minorHAnsi"/>
                <w:b/>
                <w:bCs/>
                <w:color w:val="000000"/>
                <w:lang w:eastAsia="en-AU"/>
              </w:rPr>
              <w:t>Response</w:t>
            </w:r>
            <w:r w:rsidRPr="00570C91">
              <w:rPr>
                <w:rFonts w:cstheme="minorHAnsi"/>
                <w:color w:val="000000"/>
                <w:lang w:eastAsia="en-AU"/>
              </w:rPr>
              <w:t> </w:t>
            </w:r>
          </w:p>
        </w:tc>
      </w:tr>
      <w:tr w:rsidR="00BC2D7F" w:rsidRPr="00570C91" w14:paraId="52C785A6" w14:textId="77777777" w:rsidTr="006A47BE">
        <w:trPr>
          <w:trHeight w:val="300"/>
        </w:trPr>
        <w:tc>
          <w:tcPr>
            <w:tcW w:w="5387" w:type="dxa"/>
            <w:tcBorders>
              <w:top w:val="nil"/>
              <w:left w:val="single" w:sz="8" w:space="0" w:color="auto"/>
              <w:bottom w:val="single" w:sz="8" w:space="0" w:color="auto"/>
              <w:right w:val="single" w:sz="8" w:space="0" w:color="auto"/>
            </w:tcBorders>
            <w:hideMark/>
          </w:tcPr>
          <w:p w14:paraId="3278001A" w14:textId="77777777" w:rsidR="00BC2D7F" w:rsidRPr="00570C91" w:rsidRDefault="00BC2D7F" w:rsidP="00BC2D7F">
            <w:pPr>
              <w:numPr>
                <w:ilvl w:val="0"/>
                <w:numId w:val="1"/>
              </w:numPr>
              <w:spacing w:before="40" w:after="40" w:line="240" w:lineRule="auto"/>
              <w:textAlignment w:val="baseline"/>
              <w:rPr>
                <w:rFonts w:cstheme="minorHAnsi"/>
                <w:sz w:val="20"/>
                <w:szCs w:val="20"/>
                <w:lang w:eastAsia="en-AU"/>
              </w:rPr>
            </w:pPr>
            <w:r w:rsidRPr="00570C91">
              <w:rPr>
                <w:rFonts w:cstheme="minorHAnsi"/>
                <w:sz w:val="20"/>
                <w:szCs w:val="20"/>
                <w:lang w:eastAsia="en-AU"/>
              </w:rPr>
              <w:t>Accelerate the development and use of the Australian Skills Classification as an </w:t>
            </w:r>
            <w:r w:rsidRPr="00570C91">
              <w:rPr>
                <w:rFonts w:cstheme="minorHAnsi"/>
                <w:b/>
                <w:bCs/>
                <w:sz w:val="20"/>
                <w:szCs w:val="20"/>
                <w:lang w:eastAsia="en-AU"/>
              </w:rPr>
              <w:t>open access national skills taxonomy. </w:t>
            </w:r>
            <w:r w:rsidRPr="00570C91">
              <w:rPr>
                <w:rFonts w:cstheme="minorHAnsi"/>
                <w:sz w:val="20"/>
                <w:szCs w:val="20"/>
                <w:lang w:eastAsia="en-AU"/>
              </w:rPr>
              <w:t> </w:t>
            </w:r>
          </w:p>
        </w:tc>
        <w:tc>
          <w:tcPr>
            <w:tcW w:w="9639" w:type="dxa"/>
            <w:tcBorders>
              <w:top w:val="nil"/>
              <w:left w:val="nil"/>
              <w:bottom w:val="single" w:sz="8" w:space="0" w:color="auto"/>
              <w:right w:val="single" w:sz="8" w:space="0" w:color="auto"/>
            </w:tcBorders>
            <w:hideMark/>
          </w:tcPr>
          <w:p w14:paraId="4C862F0B" w14:textId="46AFF9A8" w:rsidR="00BC2D7F" w:rsidRPr="00223E57" w:rsidRDefault="005051B2" w:rsidP="00223E57">
            <w:pPr>
              <w:spacing w:before="40" w:after="40" w:line="240" w:lineRule="auto"/>
              <w:ind w:left="146"/>
              <w:rPr>
                <w:rFonts w:ascii="Arial" w:hAnsi="Arial" w:cs="Arial"/>
              </w:rPr>
            </w:pPr>
            <w:r>
              <w:rPr>
                <w:rFonts w:cstheme="minorHAnsi"/>
                <w:sz w:val="20"/>
                <w:szCs w:val="20"/>
                <w:lang w:eastAsia="en-AU"/>
              </w:rPr>
              <w:t>In response to Action 1, t</w:t>
            </w:r>
            <w:r w:rsidR="00BC2D7F" w:rsidRPr="008353F2">
              <w:rPr>
                <w:rFonts w:cstheme="minorHAnsi"/>
                <w:sz w:val="20"/>
                <w:szCs w:val="20"/>
                <w:lang w:eastAsia="en-AU"/>
              </w:rPr>
              <w:t xml:space="preserve">he </w:t>
            </w:r>
            <w:r w:rsidR="00013C00">
              <w:rPr>
                <w:rFonts w:cstheme="minorHAnsi"/>
                <w:sz w:val="20"/>
                <w:szCs w:val="20"/>
                <w:lang w:eastAsia="en-AU"/>
              </w:rPr>
              <w:t xml:space="preserve">Australian </w:t>
            </w:r>
            <w:r w:rsidR="00BC2D7F" w:rsidRPr="008353F2">
              <w:rPr>
                <w:rFonts w:cstheme="minorHAnsi"/>
                <w:sz w:val="20"/>
                <w:szCs w:val="20"/>
                <w:lang w:eastAsia="en-AU"/>
              </w:rPr>
              <w:t xml:space="preserve">Government will accelerate the build-out of the Australian Skills Classification, as a part of a $32.5 million microcredentials pilot in the university sector. The expansion of the classification will prioritise occupations within the pilot’s field of study and map classification to higher education and VET qualifications.  </w:t>
            </w:r>
          </w:p>
        </w:tc>
      </w:tr>
      <w:tr w:rsidR="00BC2D7F" w:rsidRPr="00570C91" w14:paraId="28B52618" w14:textId="77777777" w:rsidTr="006A47BE">
        <w:trPr>
          <w:trHeight w:val="1151"/>
        </w:trPr>
        <w:tc>
          <w:tcPr>
            <w:tcW w:w="5387" w:type="dxa"/>
            <w:tcBorders>
              <w:top w:val="nil"/>
              <w:left w:val="single" w:sz="8" w:space="0" w:color="auto"/>
              <w:bottom w:val="single" w:sz="8" w:space="0" w:color="auto"/>
              <w:right w:val="single" w:sz="8" w:space="0" w:color="auto"/>
            </w:tcBorders>
            <w:hideMark/>
          </w:tcPr>
          <w:p w14:paraId="4B5F042D" w14:textId="77777777" w:rsidR="00BC2D7F" w:rsidRPr="00570C91" w:rsidRDefault="00BC2D7F" w:rsidP="00BC2D7F">
            <w:pPr>
              <w:numPr>
                <w:ilvl w:val="0"/>
                <w:numId w:val="1"/>
              </w:numPr>
              <w:spacing w:before="40" w:after="40" w:line="240" w:lineRule="auto"/>
              <w:textAlignment w:val="baseline"/>
              <w:rPr>
                <w:rFonts w:cstheme="minorHAnsi"/>
                <w:sz w:val="20"/>
                <w:szCs w:val="20"/>
                <w:lang w:eastAsia="en-AU"/>
              </w:rPr>
            </w:pPr>
            <w:r w:rsidRPr="00570C91">
              <w:rPr>
                <w:rFonts w:cstheme="minorHAnsi"/>
                <w:sz w:val="20"/>
                <w:szCs w:val="20"/>
                <w:lang w:eastAsia="en-AU"/>
              </w:rPr>
              <w:t>Expedite the reform of the </w:t>
            </w:r>
            <w:r w:rsidRPr="00570C91">
              <w:rPr>
                <w:rFonts w:cstheme="minorHAnsi"/>
                <w:b/>
                <w:bCs/>
                <w:sz w:val="20"/>
                <w:szCs w:val="20"/>
                <w:lang w:eastAsia="en-AU"/>
              </w:rPr>
              <w:t>Australian Qualifications Framework (AQF) </w:t>
            </w:r>
            <w:r w:rsidRPr="00570C91">
              <w:rPr>
                <w:rFonts w:cstheme="minorHAnsi"/>
                <w:sz w:val="20"/>
                <w:szCs w:val="20"/>
                <w:lang w:eastAsia="en-AU"/>
              </w:rPr>
              <w:t>to facilitate better collaboration between higher education providers, vocational education providers and industry. </w:t>
            </w:r>
          </w:p>
        </w:tc>
        <w:tc>
          <w:tcPr>
            <w:tcW w:w="9639" w:type="dxa"/>
            <w:tcBorders>
              <w:top w:val="nil"/>
              <w:left w:val="nil"/>
              <w:bottom w:val="single" w:sz="8" w:space="0" w:color="auto"/>
              <w:right w:val="single" w:sz="8" w:space="0" w:color="auto"/>
            </w:tcBorders>
            <w:hideMark/>
          </w:tcPr>
          <w:p w14:paraId="17300825" w14:textId="66A6EC9D" w:rsidR="00BC2D7F" w:rsidRPr="008353F2" w:rsidRDefault="00BC2D7F" w:rsidP="006A47BE">
            <w:pPr>
              <w:spacing w:before="40" w:after="40" w:line="240" w:lineRule="auto"/>
              <w:ind w:left="146"/>
              <w:rPr>
                <w:rFonts w:cstheme="minorHAnsi"/>
                <w:sz w:val="20"/>
                <w:szCs w:val="20"/>
                <w:lang w:eastAsia="en-AU"/>
              </w:rPr>
            </w:pPr>
            <w:r w:rsidRPr="008353F2">
              <w:rPr>
                <w:rFonts w:cstheme="minorHAnsi"/>
                <w:sz w:val="20"/>
                <w:szCs w:val="20"/>
                <w:lang w:eastAsia="en-AU"/>
              </w:rPr>
              <w:t xml:space="preserve">Changes to the AQF requires Education and Skills Ministers’ agreement. </w:t>
            </w:r>
            <w:r w:rsidR="004C0269">
              <w:rPr>
                <w:rFonts w:cstheme="minorHAnsi"/>
                <w:sz w:val="20"/>
                <w:szCs w:val="20"/>
                <w:lang w:eastAsia="en-AU"/>
              </w:rPr>
              <w:t xml:space="preserve">In response to Action 2, the Government is continuing to work </w:t>
            </w:r>
            <w:r w:rsidR="004C0269" w:rsidRPr="004C0269">
              <w:rPr>
                <w:rFonts w:cstheme="minorHAnsi"/>
                <w:sz w:val="20"/>
                <w:szCs w:val="20"/>
                <w:lang w:eastAsia="en-AU"/>
              </w:rPr>
              <w:t xml:space="preserve">with state and territory </w:t>
            </w:r>
            <w:r w:rsidR="000C7C7C">
              <w:rPr>
                <w:rFonts w:cstheme="minorHAnsi"/>
                <w:sz w:val="20"/>
                <w:szCs w:val="20"/>
                <w:lang w:eastAsia="en-AU"/>
              </w:rPr>
              <w:t>officials</w:t>
            </w:r>
            <w:r w:rsidR="004C0269" w:rsidRPr="004C0269">
              <w:rPr>
                <w:rFonts w:cstheme="minorHAnsi"/>
                <w:sz w:val="20"/>
                <w:szCs w:val="20"/>
                <w:lang w:eastAsia="en-AU"/>
              </w:rPr>
              <w:t xml:space="preserve"> to develop advice for Education and Skills Ministers on all AQF Review recommendations by the end of 2022.</w:t>
            </w:r>
            <w:r w:rsidR="004C0269">
              <w:rPr>
                <w:rFonts w:cstheme="minorHAnsi"/>
                <w:sz w:val="20"/>
                <w:szCs w:val="20"/>
                <w:lang w:eastAsia="en-AU"/>
              </w:rPr>
              <w:t xml:space="preserve"> </w:t>
            </w:r>
            <w:r w:rsidRPr="008353F2">
              <w:rPr>
                <w:rFonts w:cstheme="minorHAnsi"/>
                <w:sz w:val="20"/>
                <w:szCs w:val="20"/>
                <w:lang w:eastAsia="en-AU"/>
              </w:rPr>
              <w:t>The Government</w:t>
            </w:r>
            <w:r w:rsidR="004C0269">
              <w:rPr>
                <w:rFonts w:cstheme="minorHAnsi"/>
                <w:sz w:val="20"/>
                <w:szCs w:val="20"/>
                <w:lang w:eastAsia="en-AU"/>
              </w:rPr>
              <w:t xml:space="preserve"> </w:t>
            </w:r>
            <w:r w:rsidR="003B6921">
              <w:rPr>
                <w:rFonts w:cstheme="minorHAnsi"/>
                <w:sz w:val="20"/>
                <w:szCs w:val="20"/>
                <w:lang w:eastAsia="en-AU"/>
              </w:rPr>
              <w:t>has</w:t>
            </w:r>
            <w:r w:rsidRPr="008353F2">
              <w:rPr>
                <w:rFonts w:cstheme="minorHAnsi"/>
                <w:sz w:val="20"/>
                <w:szCs w:val="20"/>
                <w:lang w:eastAsia="en-AU"/>
              </w:rPr>
              <w:t xml:space="preserve"> allocated $3.1 million as part of the Job-Ready Graduates package for scoping and technical work to address AQF Review recommendations. </w:t>
            </w:r>
          </w:p>
        </w:tc>
      </w:tr>
      <w:tr w:rsidR="00BC2D7F" w:rsidRPr="00570C91" w14:paraId="1B8823F6" w14:textId="77777777" w:rsidTr="006A47BE">
        <w:trPr>
          <w:trHeight w:val="330"/>
        </w:trPr>
        <w:tc>
          <w:tcPr>
            <w:tcW w:w="5387" w:type="dxa"/>
            <w:tcBorders>
              <w:top w:val="nil"/>
              <w:left w:val="single" w:sz="8" w:space="0" w:color="auto"/>
              <w:bottom w:val="single" w:sz="8" w:space="0" w:color="auto"/>
              <w:right w:val="single" w:sz="8" w:space="0" w:color="auto"/>
            </w:tcBorders>
            <w:hideMark/>
          </w:tcPr>
          <w:p w14:paraId="48833877" w14:textId="77777777" w:rsidR="00BC2D7F" w:rsidRPr="00570C91" w:rsidRDefault="00BC2D7F" w:rsidP="00BC2D7F">
            <w:pPr>
              <w:numPr>
                <w:ilvl w:val="0"/>
                <w:numId w:val="1"/>
              </w:numPr>
              <w:spacing w:before="40" w:after="40" w:line="240" w:lineRule="auto"/>
              <w:textAlignment w:val="baseline"/>
              <w:rPr>
                <w:rFonts w:cstheme="minorHAnsi"/>
                <w:sz w:val="20"/>
                <w:szCs w:val="20"/>
                <w:lang w:eastAsia="en-AU"/>
              </w:rPr>
            </w:pPr>
            <w:r w:rsidRPr="00570C91">
              <w:rPr>
                <w:rFonts w:cstheme="minorHAnsi"/>
                <w:sz w:val="20"/>
                <w:szCs w:val="20"/>
                <w:lang w:eastAsia="en-AU"/>
              </w:rPr>
              <w:t>Build a </w:t>
            </w:r>
            <w:r w:rsidRPr="00570C91">
              <w:rPr>
                <w:rFonts w:cstheme="minorHAnsi"/>
                <w:b/>
                <w:bCs/>
                <w:sz w:val="20"/>
                <w:szCs w:val="20"/>
                <w:lang w:eastAsia="en-AU"/>
              </w:rPr>
              <w:t>unified credentials platform </w:t>
            </w:r>
            <w:r w:rsidRPr="00570C91">
              <w:rPr>
                <w:rFonts w:cstheme="minorHAnsi"/>
                <w:sz w:val="20"/>
                <w:szCs w:val="20"/>
                <w:lang w:eastAsia="en-AU"/>
              </w:rPr>
              <w:t>to surface current and emerging skill shortages, provide guidance to individuals to make informed learning decisions, link to quality micro-credentials and act as a bridge to labour market opportunities. </w:t>
            </w:r>
          </w:p>
        </w:tc>
        <w:tc>
          <w:tcPr>
            <w:tcW w:w="9639" w:type="dxa"/>
            <w:tcBorders>
              <w:top w:val="nil"/>
              <w:left w:val="nil"/>
              <w:bottom w:val="single" w:sz="8" w:space="0" w:color="auto"/>
              <w:right w:val="single" w:sz="8" w:space="0" w:color="auto"/>
            </w:tcBorders>
            <w:hideMark/>
          </w:tcPr>
          <w:p w14:paraId="6D1A0D96" w14:textId="106E080E" w:rsidR="00BC2D7F" w:rsidRPr="008353F2" w:rsidRDefault="00BC2D7F" w:rsidP="006A47BE">
            <w:pPr>
              <w:spacing w:before="40" w:after="40" w:line="240" w:lineRule="auto"/>
              <w:ind w:left="146"/>
              <w:rPr>
                <w:rFonts w:cstheme="minorHAnsi"/>
                <w:sz w:val="20"/>
                <w:szCs w:val="20"/>
                <w:lang w:eastAsia="en-AU"/>
              </w:rPr>
            </w:pPr>
            <w:r w:rsidRPr="008353F2">
              <w:rPr>
                <w:rFonts w:cstheme="minorHAnsi"/>
                <w:sz w:val="20"/>
                <w:szCs w:val="20"/>
                <w:lang w:eastAsia="en-AU"/>
              </w:rPr>
              <w:t xml:space="preserve">The Government is establishing both a National Credentials Platform and a Microcredentials Marketplace. </w:t>
            </w:r>
            <w:r w:rsidR="00013C00">
              <w:rPr>
                <w:rFonts w:cstheme="minorHAnsi"/>
                <w:sz w:val="20"/>
                <w:szCs w:val="20"/>
                <w:lang w:eastAsia="en-AU"/>
              </w:rPr>
              <w:t>In response to Action 3, t</w:t>
            </w:r>
            <w:r w:rsidRPr="008353F2">
              <w:rPr>
                <w:rFonts w:cstheme="minorHAnsi"/>
                <w:sz w:val="20"/>
                <w:szCs w:val="20"/>
                <w:lang w:eastAsia="en-AU"/>
              </w:rPr>
              <w:t xml:space="preserve">he </w:t>
            </w:r>
            <w:r w:rsidR="002B5D6F">
              <w:rPr>
                <w:rFonts w:cstheme="minorHAnsi"/>
                <w:sz w:val="20"/>
                <w:szCs w:val="20"/>
                <w:lang w:eastAsia="en-AU"/>
              </w:rPr>
              <w:t>Department of Education, Skills and Employment</w:t>
            </w:r>
            <w:r w:rsidRPr="008353F2">
              <w:rPr>
                <w:rFonts w:cstheme="minorHAnsi"/>
                <w:sz w:val="20"/>
                <w:szCs w:val="20"/>
                <w:lang w:eastAsia="en-AU"/>
              </w:rPr>
              <w:t xml:space="preserve"> will explore the closer integration of these initiatives with other platforms across the higher education, </w:t>
            </w:r>
            <w:proofErr w:type="gramStart"/>
            <w:r w:rsidRPr="008353F2">
              <w:rPr>
                <w:rFonts w:cstheme="minorHAnsi"/>
                <w:sz w:val="20"/>
                <w:szCs w:val="20"/>
                <w:lang w:eastAsia="en-AU"/>
              </w:rPr>
              <w:t>VET</w:t>
            </w:r>
            <w:proofErr w:type="gramEnd"/>
            <w:r w:rsidRPr="008353F2">
              <w:rPr>
                <w:rFonts w:cstheme="minorHAnsi"/>
                <w:sz w:val="20"/>
                <w:szCs w:val="20"/>
                <w:lang w:eastAsia="en-AU"/>
              </w:rPr>
              <w:t xml:space="preserve"> and employment systems, including linking to labour market data as well as other government services such as the National Careers Institute.</w:t>
            </w:r>
          </w:p>
        </w:tc>
      </w:tr>
      <w:tr w:rsidR="00BC2D7F" w:rsidRPr="00570C91" w14:paraId="759BED62" w14:textId="77777777" w:rsidTr="006A47BE">
        <w:trPr>
          <w:trHeight w:val="1930"/>
        </w:trPr>
        <w:tc>
          <w:tcPr>
            <w:tcW w:w="5387" w:type="dxa"/>
            <w:tcBorders>
              <w:top w:val="nil"/>
              <w:left w:val="single" w:sz="8" w:space="0" w:color="auto"/>
              <w:bottom w:val="single" w:sz="8" w:space="0" w:color="auto"/>
              <w:right w:val="single" w:sz="8" w:space="0" w:color="auto"/>
            </w:tcBorders>
            <w:hideMark/>
          </w:tcPr>
          <w:p w14:paraId="50D86092" w14:textId="77777777" w:rsidR="00BC2D7F" w:rsidRPr="00570C91" w:rsidRDefault="00BC2D7F" w:rsidP="00BC2D7F">
            <w:pPr>
              <w:numPr>
                <w:ilvl w:val="0"/>
                <w:numId w:val="1"/>
              </w:numPr>
              <w:spacing w:before="40" w:after="40" w:line="240" w:lineRule="auto"/>
              <w:textAlignment w:val="baseline"/>
              <w:rPr>
                <w:rFonts w:cstheme="minorHAnsi"/>
                <w:sz w:val="20"/>
                <w:szCs w:val="20"/>
                <w:lang w:eastAsia="en-AU"/>
              </w:rPr>
            </w:pPr>
            <w:r w:rsidRPr="00570C91">
              <w:rPr>
                <w:rFonts w:cstheme="minorHAnsi"/>
                <w:sz w:val="20"/>
                <w:szCs w:val="20"/>
                <w:lang w:eastAsia="en-AU"/>
              </w:rPr>
              <w:t>Providers and industry to build a stronger culture of partnership in the delivery of </w:t>
            </w:r>
            <w:r w:rsidRPr="00570C91">
              <w:rPr>
                <w:rFonts w:cstheme="minorHAnsi"/>
                <w:b/>
                <w:bCs/>
                <w:sz w:val="20"/>
                <w:szCs w:val="20"/>
                <w:lang w:eastAsia="en-AU"/>
              </w:rPr>
              <w:t>industry-focused micro-credentials</w:t>
            </w:r>
            <w:r w:rsidRPr="00570C91">
              <w:rPr>
                <w:rFonts w:cstheme="minorHAnsi"/>
                <w:sz w:val="20"/>
                <w:szCs w:val="20"/>
                <w:lang w:eastAsia="en-AU"/>
              </w:rPr>
              <w:t> – accelerated through targeted investment fund. </w:t>
            </w:r>
          </w:p>
        </w:tc>
        <w:tc>
          <w:tcPr>
            <w:tcW w:w="9639" w:type="dxa"/>
            <w:tcBorders>
              <w:top w:val="nil"/>
              <w:left w:val="nil"/>
              <w:bottom w:val="single" w:sz="8" w:space="0" w:color="auto"/>
              <w:right w:val="single" w:sz="8" w:space="0" w:color="auto"/>
            </w:tcBorders>
            <w:hideMark/>
          </w:tcPr>
          <w:p w14:paraId="17FD9077" w14:textId="511167B9" w:rsidR="00BC2D7F" w:rsidRPr="008353F2" w:rsidRDefault="00BC2D7F" w:rsidP="006A47BE">
            <w:pPr>
              <w:spacing w:before="40" w:after="40" w:line="240" w:lineRule="auto"/>
              <w:ind w:left="146"/>
              <w:rPr>
                <w:rFonts w:cstheme="minorHAnsi"/>
                <w:sz w:val="20"/>
                <w:szCs w:val="20"/>
                <w:lang w:eastAsia="en-AU"/>
              </w:rPr>
            </w:pPr>
            <w:r w:rsidRPr="008353F2">
              <w:rPr>
                <w:rFonts w:cstheme="minorHAnsi"/>
                <w:sz w:val="20"/>
                <w:szCs w:val="20"/>
                <w:lang w:eastAsia="en-AU"/>
              </w:rPr>
              <w:t xml:space="preserve">In response to the </w:t>
            </w:r>
            <w:r w:rsidR="00CD52EC">
              <w:rPr>
                <w:rFonts w:cstheme="minorHAnsi"/>
                <w:sz w:val="20"/>
                <w:szCs w:val="20"/>
                <w:lang w:eastAsia="en-AU"/>
              </w:rPr>
              <w:t>Action 1 and 4</w:t>
            </w:r>
            <w:r w:rsidRPr="008353F2">
              <w:rPr>
                <w:rFonts w:cstheme="minorHAnsi"/>
                <w:sz w:val="20"/>
                <w:szCs w:val="20"/>
                <w:lang w:eastAsia="en-AU"/>
              </w:rPr>
              <w:t xml:space="preserve">, the Government has committed $32.5 million between 2021-22 to 2024-25 to </w:t>
            </w:r>
            <w:r w:rsidR="00F86546">
              <w:rPr>
                <w:rFonts w:cstheme="minorHAnsi"/>
                <w:sz w:val="20"/>
                <w:szCs w:val="20"/>
                <w:lang w:eastAsia="en-AU"/>
              </w:rPr>
              <w:t>support higher education providers to design and de</w:t>
            </w:r>
            <w:r w:rsidRPr="008353F2">
              <w:rPr>
                <w:rFonts w:cstheme="minorHAnsi"/>
                <w:sz w:val="20"/>
                <w:szCs w:val="20"/>
                <w:lang w:eastAsia="en-AU"/>
              </w:rPr>
              <w:t>liver microcredentials</w:t>
            </w:r>
            <w:r w:rsidR="00F86546">
              <w:rPr>
                <w:rFonts w:cstheme="minorHAnsi"/>
                <w:sz w:val="20"/>
                <w:szCs w:val="20"/>
                <w:lang w:eastAsia="en-AU"/>
              </w:rPr>
              <w:t xml:space="preserve"> with industry. </w:t>
            </w:r>
            <w:r w:rsidRPr="008353F2">
              <w:rPr>
                <w:rFonts w:cstheme="minorHAnsi"/>
                <w:sz w:val="20"/>
                <w:szCs w:val="20"/>
                <w:lang w:eastAsia="en-AU"/>
              </w:rPr>
              <w:t>Th</w:t>
            </w:r>
            <w:r w:rsidR="0094752C">
              <w:rPr>
                <w:rFonts w:cstheme="minorHAnsi"/>
                <w:sz w:val="20"/>
                <w:szCs w:val="20"/>
                <w:lang w:eastAsia="en-AU"/>
              </w:rPr>
              <w:t xml:space="preserve">is support will be provided through grant funding to education providers </w:t>
            </w:r>
            <w:r w:rsidR="00C431B1">
              <w:rPr>
                <w:rFonts w:cstheme="minorHAnsi"/>
                <w:sz w:val="20"/>
                <w:szCs w:val="20"/>
                <w:lang w:eastAsia="en-AU"/>
              </w:rPr>
              <w:t xml:space="preserve">and will </w:t>
            </w:r>
            <w:r w:rsidRPr="008353F2">
              <w:rPr>
                <w:rFonts w:cstheme="minorHAnsi"/>
                <w:sz w:val="20"/>
                <w:szCs w:val="20"/>
                <w:lang w:eastAsia="en-AU"/>
              </w:rPr>
              <w:t>extend FEE-HELP to support students with the costs of study. The Department will test the market in the first half of next year, with the first offerings aimed to launch in the second half of 2022. The trial will enable the Government to review how it can best support innovation in microcredentials which are industry-focussed, underpinned by rich skill descriptors, and support digital badging and credit recognition.</w:t>
            </w:r>
          </w:p>
        </w:tc>
      </w:tr>
      <w:tr w:rsidR="00BC2D7F" w:rsidRPr="00570C91" w14:paraId="0B0116EB" w14:textId="77777777" w:rsidTr="006A47BE">
        <w:trPr>
          <w:trHeight w:val="330"/>
        </w:trPr>
        <w:tc>
          <w:tcPr>
            <w:tcW w:w="5387" w:type="dxa"/>
            <w:tcBorders>
              <w:top w:val="nil"/>
              <w:left w:val="single" w:sz="8" w:space="0" w:color="auto"/>
              <w:bottom w:val="single" w:sz="4" w:space="0" w:color="auto"/>
              <w:right w:val="single" w:sz="8" w:space="0" w:color="auto"/>
            </w:tcBorders>
            <w:hideMark/>
          </w:tcPr>
          <w:p w14:paraId="79EEC5BB" w14:textId="77777777" w:rsidR="00BC2D7F" w:rsidRPr="00570C91" w:rsidRDefault="00BC2D7F" w:rsidP="00BC2D7F">
            <w:pPr>
              <w:numPr>
                <w:ilvl w:val="0"/>
                <w:numId w:val="1"/>
              </w:numPr>
              <w:spacing w:before="40" w:after="40" w:line="240" w:lineRule="auto"/>
              <w:textAlignment w:val="baseline"/>
              <w:rPr>
                <w:rFonts w:cstheme="minorHAnsi"/>
                <w:sz w:val="20"/>
                <w:szCs w:val="20"/>
                <w:lang w:eastAsia="en-AU"/>
              </w:rPr>
            </w:pPr>
            <w:r w:rsidRPr="00570C91">
              <w:rPr>
                <w:rFonts w:cstheme="minorHAnsi"/>
                <w:sz w:val="20"/>
                <w:szCs w:val="20"/>
                <w:lang w:eastAsia="en-AU"/>
              </w:rPr>
              <w:t>Roll out a flexible </w:t>
            </w:r>
            <w:r w:rsidRPr="00570C91">
              <w:rPr>
                <w:rFonts w:cstheme="minorHAnsi"/>
                <w:b/>
                <w:bCs/>
                <w:sz w:val="20"/>
                <w:szCs w:val="20"/>
                <w:lang w:eastAsia="en-AU"/>
              </w:rPr>
              <w:t>higher education cadetship program</w:t>
            </w:r>
            <w:r w:rsidRPr="00570C91">
              <w:rPr>
                <w:rFonts w:cstheme="minorHAnsi"/>
                <w:sz w:val="20"/>
                <w:szCs w:val="20"/>
                <w:lang w:eastAsia="en-AU"/>
              </w:rPr>
              <w:t> combining an employment contract and a learning program. </w:t>
            </w:r>
          </w:p>
        </w:tc>
        <w:tc>
          <w:tcPr>
            <w:tcW w:w="9639" w:type="dxa"/>
            <w:tcBorders>
              <w:top w:val="nil"/>
              <w:left w:val="nil"/>
              <w:bottom w:val="single" w:sz="4" w:space="0" w:color="auto"/>
              <w:right w:val="single" w:sz="8" w:space="0" w:color="auto"/>
            </w:tcBorders>
            <w:hideMark/>
          </w:tcPr>
          <w:p w14:paraId="58247DF5" w14:textId="4D5A94D6" w:rsidR="00BC2D7F" w:rsidRPr="008353F2" w:rsidRDefault="00BC2D7F" w:rsidP="00941D9F">
            <w:pPr>
              <w:spacing w:before="40" w:after="40" w:line="240" w:lineRule="auto"/>
              <w:ind w:left="146"/>
              <w:rPr>
                <w:rFonts w:cstheme="minorHAnsi"/>
                <w:sz w:val="20"/>
                <w:szCs w:val="20"/>
                <w:lang w:eastAsia="en-AU"/>
              </w:rPr>
            </w:pPr>
            <w:r w:rsidRPr="008353F2">
              <w:rPr>
                <w:rFonts w:cstheme="minorHAnsi"/>
                <w:sz w:val="20"/>
                <w:szCs w:val="20"/>
                <w:lang w:eastAsia="en-AU"/>
              </w:rPr>
              <w:t xml:space="preserve">The Government is supportive of models of learning that closely respond to the needs of industry and provide students with the best experience to be job ready. </w:t>
            </w:r>
            <w:r w:rsidR="00941D9F">
              <w:rPr>
                <w:rFonts w:cstheme="minorHAnsi"/>
                <w:sz w:val="20"/>
                <w:szCs w:val="20"/>
                <w:lang w:eastAsia="en-AU"/>
              </w:rPr>
              <w:t>In response to Action 5, t</w:t>
            </w:r>
            <w:r w:rsidRPr="008353F2">
              <w:rPr>
                <w:rFonts w:cstheme="minorHAnsi"/>
                <w:sz w:val="20"/>
                <w:szCs w:val="20"/>
                <w:lang w:eastAsia="en-AU"/>
              </w:rPr>
              <w:t xml:space="preserve">he </w:t>
            </w:r>
            <w:r w:rsidR="00941D9F">
              <w:rPr>
                <w:rFonts w:cstheme="minorHAnsi"/>
                <w:sz w:val="20"/>
                <w:szCs w:val="20"/>
                <w:lang w:eastAsia="en-AU"/>
              </w:rPr>
              <w:t xml:space="preserve">Department </w:t>
            </w:r>
            <w:r w:rsidR="000C7C7C">
              <w:rPr>
                <w:rFonts w:cstheme="minorHAnsi"/>
                <w:sz w:val="20"/>
                <w:szCs w:val="20"/>
                <w:lang w:eastAsia="en-AU"/>
              </w:rPr>
              <w:t xml:space="preserve">is exploring </w:t>
            </w:r>
            <w:r w:rsidR="00941D9F">
              <w:rPr>
                <w:rFonts w:cstheme="minorHAnsi"/>
                <w:sz w:val="20"/>
                <w:szCs w:val="20"/>
                <w:lang w:eastAsia="en-AU"/>
              </w:rPr>
              <w:t xml:space="preserve">options </w:t>
            </w:r>
            <w:r w:rsidR="000C7C7C">
              <w:rPr>
                <w:rFonts w:cstheme="minorHAnsi"/>
                <w:sz w:val="20"/>
                <w:szCs w:val="20"/>
                <w:lang w:eastAsia="en-AU"/>
              </w:rPr>
              <w:t>for a c</w:t>
            </w:r>
            <w:r w:rsidR="00941D9F">
              <w:rPr>
                <w:rFonts w:cstheme="minorHAnsi"/>
                <w:sz w:val="20"/>
                <w:szCs w:val="20"/>
                <w:lang w:eastAsia="en-AU"/>
              </w:rPr>
              <w:t>adetship model</w:t>
            </w:r>
            <w:r w:rsidR="00240205">
              <w:rPr>
                <w:rFonts w:cstheme="minorHAnsi"/>
                <w:sz w:val="20"/>
                <w:szCs w:val="20"/>
                <w:lang w:eastAsia="en-AU"/>
              </w:rPr>
              <w:t xml:space="preserve"> of learning </w:t>
            </w:r>
            <w:r w:rsidR="000C7C7C">
              <w:rPr>
                <w:rFonts w:cstheme="minorHAnsi"/>
                <w:sz w:val="20"/>
                <w:szCs w:val="20"/>
                <w:lang w:eastAsia="en-AU"/>
              </w:rPr>
              <w:t>in</w:t>
            </w:r>
            <w:r w:rsidR="00240205">
              <w:rPr>
                <w:rFonts w:cstheme="minorHAnsi"/>
                <w:sz w:val="20"/>
                <w:szCs w:val="20"/>
                <w:lang w:eastAsia="en-AU"/>
              </w:rPr>
              <w:t xml:space="preserve"> the higher education system, </w:t>
            </w:r>
            <w:r w:rsidRPr="008353F2">
              <w:rPr>
                <w:rFonts w:cstheme="minorHAnsi"/>
                <w:sz w:val="20"/>
                <w:szCs w:val="20"/>
                <w:lang w:eastAsia="en-AU"/>
              </w:rPr>
              <w:t>drawing on learnings from current Cadetship and Advanced Apprenticeship pilots (Women in STEM and Industry 4.0).</w:t>
            </w:r>
          </w:p>
        </w:tc>
      </w:tr>
      <w:tr w:rsidR="00BC2D7F" w:rsidRPr="00570C91" w14:paraId="5D146B7E" w14:textId="77777777" w:rsidTr="006A47BE">
        <w:trPr>
          <w:trHeight w:val="300"/>
        </w:trPr>
        <w:tc>
          <w:tcPr>
            <w:tcW w:w="5387" w:type="dxa"/>
            <w:tcBorders>
              <w:top w:val="single" w:sz="4" w:space="0" w:color="auto"/>
              <w:left w:val="single" w:sz="4" w:space="0" w:color="auto"/>
              <w:bottom w:val="single" w:sz="4" w:space="0" w:color="auto"/>
              <w:right w:val="single" w:sz="8" w:space="0" w:color="auto"/>
            </w:tcBorders>
            <w:hideMark/>
          </w:tcPr>
          <w:p w14:paraId="43D8F2F6" w14:textId="77777777" w:rsidR="00BC2D7F" w:rsidRPr="00570C91" w:rsidRDefault="00BC2D7F" w:rsidP="00BC2D7F">
            <w:pPr>
              <w:numPr>
                <w:ilvl w:val="0"/>
                <w:numId w:val="1"/>
              </w:numPr>
              <w:spacing w:before="40" w:after="40" w:line="240" w:lineRule="auto"/>
              <w:textAlignment w:val="baseline"/>
              <w:rPr>
                <w:rFonts w:cstheme="minorHAnsi"/>
                <w:sz w:val="20"/>
                <w:szCs w:val="20"/>
                <w:lang w:eastAsia="en-AU"/>
              </w:rPr>
            </w:pPr>
            <w:r w:rsidRPr="00570C91">
              <w:rPr>
                <w:rFonts w:cstheme="minorHAnsi"/>
                <w:sz w:val="20"/>
                <w:szCs w:val="20"/>
                <w:lang w:eastAsia="en-AU"/>
              </w:rPr>
              <w:t>Enhance higher education’s </w:t>
            </w:r>
            <w:r w:rsidRPr="00570C91">
              <w:rPr>
                <w:rFonts w:cstheme="minorHAnsi"/>
                <w:b/>
                <w:bCs/>
                <w:sz w:val="20"/>
                <w:szCs w:val="20"/>
                <w:lang w:eastAsia="en-AU"/>
              </w:rPr>
              <w:t>engagement with industry</w:t>
            </w:r>
            <w:r w:rsidRPr="00570C91">
              <w:rPr>
                <w:rFonts w:cstheme="minorHAnsi"/>
                <w:sz w:val="20"/>
                <w:szCs w:val="20"/>
                <w:lang w:eastAsia="en-AU"/>
              </w:rPr>
              <w:t> through the NPILF and the National Strategy on Work-Integrated Learning. </w:t>
            </w:r>
          </w:p>
        </w:tc>
        <w:tc>
          <w:tcPr>
            <w:tcW w:w="9639" w:type="dxa"/>
            <w:tcBorders>
              <w:top w:val="single" w:sz="4" w:space="0" w:color="auto"/>
              <w:left w:val="nil"/>
              <w:bottom w:val="single" w:sz="4" w:space="0" w:color="auto"/>
              <w:right w:val="single" w:sz="4" w:space="0" w:color="auto"/>
            </w:tcBorders>
            <w:hideMark/>
          </w:tcPr>
          <w:p w14:paraId="74EDAD0B" w14:textId="34B26A3C" w:rsidR="00BC2D7F" w:rsidRPr="008353F2" w:rsidRDefault="00BC2D7F" w:rsidP="006A47BE">
            <w:pPr>
              <w:spacing w:before="40" w:after="40" w:line="240" w:lineRule="auto"/>
              <w:ind w:left="146"/>
              <w:textAlignment w:val="baseline"/>
              <w:rPr>
                <w:rFonts w:cstheme="minorHAnsi"/>
                <w:sz w:val="20"/>
                <w:szCs w:val="20"/>
                <w:lang w:eastAsia="en-AU"/>
              </w:rPr>
            </w:pPr>
            <w:r w:rsidRPr="008353F2">
              <w:rPr>
                <w:rFonts w:cstheme="minorHAnsi"/>
                <w:sz w:val="20"/>
                <w:szCs w:val="20"/>
                <w:lang w:eastAsia="en-AU"/>
              </w:rPr>
              <w:t>The Government is providing more than $900 million in industry-engagement funding to universities over the next four years through the NPILF.</w:t>
            </w:r>
            <w:r w:rsidR="00993023">
              <w:rPr>
                <w:rFonts w:cstheme="minorHAnsi"/>
                <w:sz w:val="20"/>
                <w:szCs w:val="20"/>
                <w:lang w:eastAsia="en-AU"/>
              </w:rPr>
              <w:t xml:space="preserve"> </w:t>
            </w:r>
            <w:r w:rsidR="003B6921">
              <w:rPr>
                <w:rFonts w:cstheme="minorHAnsi"/>
                <w:sz w:val="20"/>
                <w:szCs w:val="20"/>
                <w:lang w:eastAsia="en-AU"/>
              </w:rPr>
              <w:t>Consistent with</w:t>
            </w:r>
            <w:r w:rsidR="00993023">
              <w:rPr>
                <w:rFonts w:cstheme="minorHAnsi"/>
                <w:sz w:val="20"/>
                <w:szCs w:val="20"/>
                <w:lang w:eastAsia="en-AU"/>
              </w:rPr>
              <w:t xml:space="preserve"> Action 6, t</w:t>
            </w:r>
            <w:r w:rsidRPr="008353F2">
              <w:rPr>
                <w:rFonts w:cstheme="minorHAnsi"/>
                <w:sz w:val="20"/>
                <w:szCs w:val="20"/>
                <w:lang w:eastAsia="en-AU"/>
              </w:rPr>
              <w:t>he Department is working with universities to implement NPILF pilot plans which will focus on expanding WIL opportunities, industry engagement and STEM offerings. The outcomes from the pilot will inform further development of these initiatives and support for industry engagement in higher education.</w:t>
            </w:r>
          </w:p>
        </w:tc>
      </w:tr>
      <w:tr w:rsidR="00BC2D7F" w:rsidRPr="00570C91" w14:paraId="02962A6C" w14:textId="77777777" w:rsidTr="006A47BE">
        <w:trPr>
          <w:trHeight w:val="330"/>
        </w:trPr>
        <w:tc>
          <w:tcPr>
            <w:tcW w:w="5387" w:type="dxa"/>
            <w:tcBorders>
              <w:top w:val="single" w:sz="4" w:space="0" w:color="auto"/>
              <w:left w:val="single" w:sz="8" w:space="0" w:color="auto"/>
              <w:bottom w:val="single" w:sz="8" w:space="0" w:color="auto"/>
              <w:right w:val="single" w:sz="8" w:space="0" w:color="auto"/>
            </w:tcBorders>
            <w:hideMark/>
          </w:tcPr>
          <w:p w14:paraId="736C9B36" w14:textId="77777777" w:rsidR="00BC2D7F" w:rsidRPr="00570C91" w:rsidRDefault="00BC2D7F" w:rsidP="00BC2D7F">
            <w:pPr>
              <w:numPr>
                <w:ilvl w:val="0"/>
                <w:numId w:val="1"/>
              </w:numPr>
              <w:spacing w:before="40" w:after="40" w:line="240" w:lineRule="auto"/>
              <w:textAlignment w:val="baseline"/>
              <w:rPr>
                <w:rFonts w:cstheme="minorHAnsi"/>
                <w:sz w:val="20"/>
                <w:szCs w:val="20"/>
                <w:lang w:eastAsia="en-AU"/>
              </w:rPr>
            </w:pPr>
            <w:r w:rsidRPr="00570C91">
              <w:rPr>
                <w:rFonts w:cstheme="minorHAnsi"/>
                <w:sz w:val="20"/>
                <w:szCs w:val="20"/>
                <w:lang w:eastAsia="en-AU"/>
              </w:rPr>
              <w:t>Build stronger partnerships between higher education, vocational education, and schools, including the introduction of a </w:t>
            </w:r>
            <w:r w:rsidRPr="00570C91">
              <w:rPr>
                <w:rFonts w:cstheme="minorHAnsi"/>
                <w:b/>
                <w:bCs/>
                <w:sz w:val="20"/>
                <w:szCs w:val="20"/>
                <w:lang w:eastAsia="en-AU"/>
              </w:rPr>
              <w:t>cross-sectoral teaching and learning innovation fund</w:t>
            </w:r>
            <w:r w:rsidRPr="00570C91">
              <w:rPr>
                <w:rFonts w:cstheme="minorHAnsi"/>
                <w:sz w:val="20"/>
                <w:szCs w:val="20"/>
                <w:lang w:eastAsia="en-AU"/>
              </w:rPr>
              <w:t>. </w:t>
            </w:r>
          </w:p>
        </w:tc>
        <w:tc>
          <w:tcPr>
            <w:tcW w:w="9639" w:type="dxa"/>
            <w:tcBorders>
              <w:top w:val="single" w:sz="4" w:space="0" w:color="auto"/>
              <w:left w:val="nil"/>
              <w:bottom w:val="single" w:sz="8" w:space="0" w:color="auto"/>
              <w:right w:val="single" w:sz="8" w:space="0" w:color="auto"/>
            </w:tcBorders>
            <w:hideMark/>
          </w:tcPr>
          <w:p w14:paraId="288B49AD" w14:textId="3AAA495F" w:rsidR="00BC2D7F" w:rsidRPr="008353F2" w:rsidRDefault="00BC2D7F" w:rsidP="006A47BE">
            <w:pPr>
              <w:spacing w:before="40" w:after="40" w:line="240" w:lineRule="auto"/>
              <w:ind w:left="146"/>
              <w:textAlignment w:val="baseline"/>
              <w:rPr>
                <w:rFonts w:cstheme="minorHAnsi"/>
                <w:sz w:val="20"/>
                <w:szCs w:val="20"/>
                <w:lang w:eastAsia="en-AU"/>
              </w:rPr>
            </w:pPr>
            <w:r w:rsidRPr="008353F2">
              <w:rPr>
                <w:rFonts w:cstheme="minorHAnsi"/>
                <w:sz w:val="20"/>
                <w:szCs w:val="20"/>
                <w:lang w:eastAsia="en-AU"/>
              </w:rPr>
              <w:t>The Government supports development of partnerships and pathways between the education and training sectors for the benefit of Australian learners and industry.</w:t>
            </w:r>
            <w:r w:rsidR="002C2EAA">
              <w:rPr>
                <w:rFonts w:cstheme="minorHAnsi"/>
                <w:sz w:val="20"/>
                <w:szCs w:val="20"/>
                <w:lang w:eastAsia="en-AU"/>
              </w:rPr>
              <w:t xml:space="preserve"> In response to Action 7, the Department </w:t>
            </w:r>
            <w:r w:rsidR="000C7C7C">
              <w:rPr>
                <w:rFonts w:cstheme="minorHAnsi"/>
                <w:sz w:val="20"/>
                <w:szCs w:val="20"/>
                <w:lang w:eastAsia="en-AU"/>
              </w:rPr>
              <w:t xml:space="preserve">is exploring </w:t>
            </w:r>
            <w:r w:rsidR="002C2EAA">
              <w:rPr>
                <w:rFonts w:cstheme="minorHAnsi"/>
                <w:sz w:val="20"/>
                <w:szCs w:val="20"/>
                <w:lang w:eastAsia="en-AU"/>
              </w:rPr>
              <w:t xml:space="preserve">options to </w:t>
            </w:r>
            <w:r w:rsidR="000C7C7C">
              <w:rPr>
                <w:rFonts w:cstheme="minorHAnsi"/>
                <w:sz w:val="20"/>
                <w:szCs w:val="20"/>
                <w:lang w:eastAsia="en-AU"/>
              </w:rPr>
              <w:t xml:space="preserve">encourage </w:t>
            </w:r>
            <w:r w:rsidRPr="008353F2">
              <w:rPr>
                <w:rFonts w:cstheme="minorHAnsi"/>
                <w:sz w:val="20"/>
                <w:szCs w:val="20"/>
                <w:lang w:eastAsia="en-AU"/>
              </w:rPr>
              <w:t>stronger cross-sectoral partnerships</w:t>
            </w:r>
            <w:r w:rsidR="00D602F0">
              <w:rPr>
                <w:rFonts w:cstheme="minorHAnsi"/>
                <w:sz w:val="20"/>
                <w:szCs w:val="20"/>
                <w:lang w:eastAsia="en-AU"/>
              </w:rPr>
              <w:t xml:space="preserve">. The Department is already </w:t>
            </w:r>
            <w:r w:rsidR="00AA29C1">
              <w:rPr>
                <w:rFonts w:cstheme="minorHAnsi"/>
                <w:sz w:val="20"/>
                <w:szCs w:val="20"/>
                <w:lang w:eastAsia="en-AU"/>
              </w:rPr>
              <w:t>supporting greater partnerships across the sector through m</w:t>
            </w:r>
            <w:r w:rsidRPr="008353F2">
              <w:rPr>
                <w:rFonts w:cstheme="minorHAnsi"/>
                <w:sz w:val="20"/>
                <w:szCs w:val="20"/>
                <w:lang w:eastAsia="en-AU"/>
              </w:rPr>
              <w:t>easures such as reform of the AQF, digital credentials platforms</w:t>
            </w:r>
            <w:r w:rsidR="00AA29C1">
              <w:rPr>
                <w:rFonts w:cstheme="minorHAnsi"/>
                <w:sz w:val="20"/>
                <w:szCs w:val="20"/>
                <w:lang w:eastAsia="en-AU"/>
              </w:rPr>
              <w:t xml:space="preserve">, NPILF and </w:t>
            </w:r>
            <w:r w:rsidRPr="008353F2">
              <w:rPr>
                <w:rFonts w:cstheme="minorHAnsi"/>
                <w:sz w:val="20"/>
                <w:szCs w:val="20"/>
                <w:lang w:eastAsia="en-AU"/>
              </w:rPr>
              <w:t>advanced apprenticeship pilots</w:t>
            </w:r>
            <w:r w:rsidR="00AA29C1">
              <w:rPr>
                <w:rFonts w:cstheme="minorHAnsi"/>
                <w:sz w:val="20"/>
                <w:szCs w:val="20"/>
                <w:lang w:eastAsia="en-AU"/>
              </w:rPr>
              <w:t xml:space="preserve">. </w:t>
            </w:r>
          </w:p>
        </w:tc>
      </w:tr>
    </w:tbl>
    <w:p w14:paraId="0890D572" w14:textId="77777777" w:rsidR="00A10913" w:rsidRDefault="00A10913"/>
    <w:sectPr w:rsidR="00A10913" w:rsidSect="00BC2D7F">
      <w:headerReference w:type="default" r:id="rId7"/>
      <w:pgSz w:w="16838" w:h="11906" w:orient="landscape"/>
      <w:pgMar w:top="861" w:right="1440" w:bottom="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9EDDD" w14:textId="77777777" w:rsidR="00B75A0A" w:rsidRDefault="00B75A0A" w:rsidP="00BC2D7F">
      <w:pPr>
        <w:spacing w:after="0" w:line="240" w:lineRule="auto"/>
      </w:pPr>
      <w:r>
        <w:separator/>
      </w:r>
    </w:p>
  </w:endnote>
  <w:endnote w:type="continuationSeparator" w:id="0">
    <w:p w14:paraId="2E6829A9" w14:textId="77777777" w:rsidR="00B75A0A" w:rsidRDefault="00B75A0A" w:rsidP="00BC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03725" w14:textId="77777777" w:rsidR="00B75A0A" w:rsidRDefault="00B75A0A" w:rsidP="00BC2D7F">
      <w:pPr>
        <w:spacing w:after="0" w:line="240" w:lineRule="auto"/>
      </w:pPr>
      <w:r>
        <w:separator/>
      </w:r>
    </w:p>
  </w:footnote>
  <w:footnote w:type="continuationSeparator" w:id="0">
    <w:p w14:paraId="78E84218" w14:textId="77777777" w:rsidR="00B75A0A" w:rsidRDefault="00B75A0A" w:rsidP="00BC2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6885" w14:textId="1010C8AA" w:rsidR="00BC2D7F" w:rsidRDefault="00CA6D8B" w:rsidP="00BC2D7F">
    <w:pPr>
      <w:pStyle w:val="Header"/>
      <w:jc w:val="center"/>
    </w:pPr>
    <w:r>
      <w:rPr>
        <w:rFonts w:ascii="Calibri" w:hAnsi="Calibri" w:cs="Calibri"/>
        <w:b/>
        <w:bCs/>
      </w:rPr>
      <w:t xml:space="preserve">Government Response to </w:t>
    </w:r>
    <w:r w:rsidR="00BC2D7F" w:rsidRPr="00570C91">
      <w:rPr>
        <w:rFonts w:ascii="Calibri" w:hAnsi="Calibri" w:cs="Calibri"/>
        <w:b/>
        <w:bCs/>
      </w:rPr>
      <w:t>University-Industry Collaboration in Teaching and Learning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249DD"/>
    <w:multiLevelType w:val="hybridMultilevel"/>
    <w:tmpl w:val="3B661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7F"/>
    <w:rsid w:val="00013C00"/>
    <w:rsid w:val="000C7C7C"/>
    <w:rsid w:val="00223E57"/>
    <w:rsid w:val="00240205"/>
    <w:rsid w:val="002B5D6F"/>
    <w:rsid w:val="002C2EAA"/>
    <w:rsid w:val="002F5A3D"/>
    <w:rsid w:val="003B6921"/>
    <w:rsid w:val="004C0269"/>
    <w:rsid w:val="005051B2"/>
    <w:rsid w:val="005C7957"/>
    <w:rsid w:val="006118CF"/>
    <w:rsid w:val="008612F5"/>
    <w:rsid w:val="00941D9F"/>
    <w:rsid w:val="0094752C"/>
    <w:rsid w:val="00993023"/>
    <w:rsid w:val="00A10913"/>
    <w:rsid w:val="00AA29C1"/>
    <w:rsid w:val="00B75A0A"/>
    <w:rsid w:val="00BC2D7F"/>
    <w:rsid w:val="00BF018A"/>
    <w:rsid w:val="00C431B1"/>
    <w:rsid w:val="00CA6D8B"/>
    <w:rsid w:val="00CD52EC"/>
    <w:rsid w:val="00D602F0"/>
    <w:rsid w:val="00E46211"/>
    <w:rsid w:val="00F86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9F536"/>
  <w15:chartTrackingRefBased/>
  <w15:docId w15:val="{22911E13-6CBA-449B-A423-164FF900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D7F"/>
  </w:style>
  <w:style w:type="paragraph" w:styleId="Footer">
    <w:name w:val="footer"/>
    <w:basedOn w:val="Normal"/>
    <w:link w:val="FooterChar"/>
    <w:uiPriority w:val="99"/>
    <w:unhideWhenUsed/>
    <w:rsid w:val="00BC2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662</Words>
  <Characters>3780</Characters>
  <Application>Microsoft Office Word</Application>
  <DocSecurity>0</DocSecurity>
  <Lines>31</Lines>
  <Paragraphs>8</Paragraphs>
  <ScaleCrop>false</ScaleCrop>
  <Company>Australian Government</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CHANNING,Scott</dc:creator>
  <cp:keywords/>
  <dc:description/>
  <cp:lastModifiedBy>GUERREIRO-JAMES,Olivia</cp:lastModifiedBy>
  <cp:revision>3</cp:revision>
  <cp:lastPrinted>2022-01-04T01:11:00Z</cp:lastPrinted>
  <dcterms:created xsi:type="dcterms:W3CDTF">2022-01-04T00:27:00Z</dcterms:created>
  <dcterms:modified xsi:type="dcterms:W3CDTF">2022-01-04T01:11:00Z</dcterms:modified>
</cp:coreProperties>
</file>