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7.xml" ContentType="application/vnd.openxmlformats-officedocument.drawingml.chartshapes+xml"/>
  <Override PartName="/word/drawings/drawing6.xml" ContentType="application/vnd.openxmlformats-officedocument.drawingml.chartshapes+xml"/>
  <Override PartName="/word/drawings/drawing4.xml" ContentType="application/vnd.openxmlformats-officedocument.drawingml.chartshapes+xml"/>
  <Override PartName="/word/drawings/drawing8.xml" ContentType="application/vnd.openxmlformats-officedocument.drawingml.chartshapes+xml"/>
  <Override PartName="/word/drawings/drawing3.xml" ContentType="application/vnd.openxmlformats-officedocument.drawingml.chartshapes+xml"/>
  <Override PartName="/word/drawings/drawing5.xml" ContentType="application/vnd.openxmlformats-officedocument.drawingml.chartshapes+xml"/>
  <Override PartName="/word/drawings/drawing10.xml" ContentType="application/vnd.openxmlformats-officedocument.drawingml.chartshapes+xml"/>
  <Override PartName="/word/drawings/drawing2.xml" ContentType="application/vnd.openxmlformats-officedocument.drawingml.chartshapes+xml"/>
  <Override PartName="/word/drawings/drawing13.xml" ContentType="application/vnd.openxmlformats-officedocument.drawingml.chartshapes+xml"/>
  <Override PartName="/word/drawings/drawing12.xml" ContentType="application/vnd.openxmlformats-officedocument.drawingml.chartshapes+xml"/>
  <Override PartName="/word/drawings/drawing11.xml" ContentType="application/vnd.openxmlformats-officedocument.drawingml.chartshapes+xml"/>
  <Override PartName="/word/drawings/drawing9.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charts/chart27.xml" ContentType="application/vnd.openxmlformats-officedocument.drawingml.chart+xml"/>
  <Override PartName="/word/charts/chart26.xml" ContentType="application/vnd.openxmlformats-officedocument.drawingml.chart+xml"/>
  <Override PartName="/word/charts/chart25.xml" ContentType="application/vnd.openxmlformats-officedocument.drawingml.chart+xml"/>
  <Override PartName="/word/charts/chart24.xml" ContentType="application/vnd.openxmlformats-officedocument.drawingml.chart+xml"/>
  <Override PartName="/word/charts/chart23.xml" ContentType="application/vnd.openxmlformats-officedocument.drawingml.chart+xml"/>
  <Override PartName="/word/charts/chart22.xml" ContentType="application/vnd.openxmlformats-officedocument.drawingml.chart+xml"/>
  <Override PartName="/word/charts/chart21.xml" ContentType="application/vnd.openxmlformats-officedocument.drawingml.chart+xml"/>
  <Override PartName="/word/charts/chart20.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6.xml" ContentType="application/vnd.openxmlformats-officedocument.drawingml.chart+xml"/>
  <Override PartName="/word/charts/chart35.xml" ContentType="application/vnd.openxmlformats-officedocument.drawingml.chart+xml"/>
  <Override PartName="/word/charts/chart34.xml" ContentType="application/vnd.openxmlformats-officedocument.drawingml.chart+xml"/>
  <Override PartName="/word/charts/chart33.xml" ContentType="application/vnd.openxmlformats-officedocument.drawingml.chart+xml"/>
  <Override PartName="/word/charts/chart32.xml" ContentType="application/vnd.openxmlformats-officedocument.drawingml.chart+xml"/>
  <Override PartName="/word/charts/chart31.xml" ContentType="application/vnd.openxmlformats-officedocument.drawingml.chart+xml"/>
  <Override PartName="/word/charts/chart19.xml" ContentType="application/vnd.openxmlformats-officedocument.drawingml.chart+xml"/>
  <Override PartName="/word/charts/chart18.xml" ContentType="application/vnd.openxmlformats-officedocument.drawingml.chart+xml"/>
  <Override PartName="/word/charts/chart17.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6.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51.xml" ContentType="application/vnd.openxmlformats-officedocument.drawingml.chart+xml"/>
  <Override PartName="/word/charts/chart50.xml" ContentType="application/vnd.openxmlformats-officedocument.drawingml.chart+xml"/>
  <Override PartName="/word/charts/chart49.xml" ContentType="application/vnd.openxmlformats-officedocument.drawingml.chart+xml"/>
  <Override PartName="/word/charts/chart48.xml" ContentType="application/vnd.openxmlformats-officedocument.drawingml.chart+xml"/>
  <Override PartName="/word/charts/chart53.xml" ContentType="application/vnd.openxmlformats-officedocument.drawingml.chart+xml"/>
  <Override PartName="/word/theme/themeOverride2.xml" ContentType="application/vnd.openxmlformats-officedocument.themeOverride+xml"/>
  <Override PartName="/word/charts/chart54.xml" ContentType="application/vnd.openxmlformats-officedocument.drawingml.chart+xml"/>
  <Override PartName="/word/charts/chart52.xml" ContentType="application/vnd.openxmlformats-officedocument.drawingml.chart+xml"/>
  <Override PartName="/word/charts/chart39.xml" ContentType="application/vnd.openxmlformats-officedocument.drawingml.chart+xml"/>
  <Override PartName="/word/charts/chart42.xml" ContentType="application/vnd.openxmlformats-officedocument.drawingml.chart+xml"/>
  <Override PartName="/word/charts/chart41.xml" ContentType="application/vnd.openxmlformats-officedocument.drawingml.chart+xml"/>
  <Override PartName="/word/charts/chart40.xml" ContentType="application/vnd.openxmlformats-officedocument.drawingml.chart+xml"/>
  <Override PartName="/word/charts/chart47.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word/glossary/stylesWithEffects.xml" ContentType="application/vnd.ms-word.stylesWithEffects+xml"/>
  <Override PartName="/word/glossary/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Y="4650"/>
        <w:tblOverlap w:val="never"/>
        <w:tblW w:w="0" w:type="auto"/>
        <w:tblLook w:val="04A0" w:firstRow="1" w:lastRow="0" w:firstColumn="1" w:lastColumn="0" w:noHBand="0" w:noVBand="1"/>
      </w:tblPr>
      <w:tblGrid>
        <w:gridCol w:w="9734"/>
      </w:tblGrid>
      <w:tr w:rsidR="004D69B2" w14:paraId="4BB9AD24" w14:textId="77777777" w:rsidTr="00E47932">
        <w:trPr>
          <w:trHeight w:val="1758"/>
        </w:trPr>
        <w:tc>
          <w:tcPr>
            <w:tcW w:w="9734" w:type="dxa"/>
          </w:tcPr>
          <w:p w14:paraId="31555E30" w14:textId="72DA19D7" w:rsidR="004D69B2" w:rsidRPr="00B76DDF" w:rsidRDefault="006E18F0" w:rsidP="00940EA9">
            <w:pPr>
              <w:pStyle w:val="Title"/>
              <w:rPr>
                <w:sz w:val="72"/>
                <w:szCs w:val="72"/>
              </w:rPr>
            </w:pPr>
            <w:bookmarkStart w:id="0" w:name="_GoBack"/>
            <w:bookmarkEnd w:id="0"/>
            <w:r>
              <w:rPr>
                <w:sz w:val="72"/>
                <w:szCs w:val="72"/>
              </w:rPr>
              <w:t xml:space="preserve">Second </w:t>
            </w:r>
            <w:r w:rsidR="00B76DDF" w:rsidRPr="00B76DDF">
              <w:rPr>
                <w:sz w:val="72"/>
                <w:szCs w:val="72"/>
              </w:rPr>
              <w:t>Interim Evaluation of the National Partnership on Youth Attainment and Transitions</w:t>
            </w:r>
            <w:r w:rsidR="0056511F" w:rsidRPr="00B76DDF">
              <w:rPr>
                <w:sz w:val="72"/>
                <w:szCs w:val="72"/>
              </w:rPr>
              <w:fldChar w:fldCharType="begin"/>
            </w:r>
            <w:r w:rsidR="003F55B7" w:rsidRPr="00B76DDF">
              <w:rPr>
                <w:sz w:val="72"/>
                <w:szCs w:val="72"/>
              </w:rPr>
              <w:instrText xml:space="preserve"> Macrobutton NoMacro  </w:instrText>
            </w:r>
            <w:r w:rsidR="0056511F" w:rsidRPr="00B76DDF">
              <w:rPr>
                <w:sz w:val="72"/>
                <w:szCs w:val="72"/>
              </w:rPr>
              <w:fldChar w:fldCharType="end"/>
            </w:r>
          </w:p>
          <w:p w14:paraId="330B188D" w14:textId="77777777" w:rsidR="004D69B2" w:rsidRPr="00B76DDF" w:rsidRDefault="00B76DDF" w:rsidP="003F55B7">
            <w:pPr>
              <w:pStyle w:val="Subtitle"/>
              <w:rPr>
                <w:sz w:val="44"/>
                <w:szCs w:val="44"/>
              </w:rPr>
            </w:pPr>
            <w:r w:rsidRPr="00B76DDF">
              <w:rPr>
                <w:sz w:val="44"/>
                <w:szCs w:val="44"/>
              </w:rPr>
              <w:t>A report for the Department of Education, Employment and Workplace Relations</w:t>
            </w:r>
          </w:p>
        </w:tc>
      </w:tr>
      <w:tr w:rsidR="004D69B2" w14:paraId="450A4713" w14:textId="77777777" w:rsidTr="00B5276A">
        <w:trPr>
          <w:trHeight w:val="737"/>
        </w:trPr>
        <w:sdt>
          <w:sdtPr>
            <w:alias w:val="Date"/>
            <w:tag w:val="Date"/>
            <w:id w:val="47923343"/>
            <w:placeholder>
              <w:docPart w:val="9052CE256526DB488092C0487FE6F677"/>
            </w:placeholder>
            <w:date w:fullDate="2012-12-21T00:00:00Z">
              <w:dateFormat w:val="d MMMM yyyy"/>
              <w:lid w:val="en-AU"/>
              <w:storeMappedDataAs w:val="dateTime"/>
              <w:calendar w:val="gregorian"/>
            </w:date>
          </w:sdtPr>
          <w:sdtEndPr/>
          <w:sdtContent>
            <w:tc>
              <w:tcPr>
                <w:tcW w:w="9734" w:type="dxa"/>
              </w:tcPr>
              <w:p w14:paraId="2D3428B4" w14:textId="11092E1D" w:rsidR="004D69B2" w:rsidRDefault="00144631" w:rsidP="00144631">
                <w:pPr>
                  <w:pStyle w:val="Date"/>
                </w:pPr>
                <w:r>
                  <w:t>21 December 2012</w:t>
                </w:r>
              </w:p>
            </w:tc>
          </w:sdtContent>
        </w:sdt>
      </w:tr>
    </w:tbl>
    <w:p w14:paraId="36557AE5" w14:textId="77777777" w:rsidR="004B5489" w:rsidRDefault="004B5489" w:rsidP="004B5489">
      <w:pPr>
        <w:pStyle w:val="BodyText"/>
      </w:pPr>
    </w:p>
    <w:p w14:paraId="0858789D" w14:textId="77777777" w:rsidR="004B5489" w:rsidRDefault="004B5489" w:rsidP="004D69B2">
      <w:pPr>
        <w:rPr>
          <w:color w:val="800000"/>
          <w:sz w:val="54"/>
          <w:szCs w:val="32"/>
        </w:rPr>
      </w:pPr>
      <w:r>
        <w:br w:type="page"/>
      </w:r>
    </w:p>
    <w:p w14:paraId="4517D535" w14:textId="77777777" w:rsidR="00326E3B" w:rsidRPr="00C31E7C" w:rsidRDefault="005C4490" w:rsidP="00F013AC">
      <w:pPr>
        <w:pStyle w:val="TOCHeading"/>
        <w:spacing w:before="480" w:after="1100"/>
      </w:pPr>
      <w:r w:rsidRPr="00C31E7C">
        <w:lastRenderedPageBreak/>
        <w:t>Contents</w:t>
      </w:r>
      <w:r w:rsidR="005A7ED1" w:rsidRPr="00C31E7C">
        <w:t xml:space="preserve"> </w:t>
      </w:r>
    </w:p>
    <w:sdt>
      <w:sdtPr>
        <w:rPr>
          <w:rFonts w:ascii="Cambria" w:eastAsia="Cambria" w:hAnsi="Cambria" w:cs="Times New Roman"/>
          <w:noProof w:val="0"/>
          <w:color w:val="auto"/>
          <w:sz w:val="20"/>
          <w:szCs w:val="24"/>
          <w:highlight w:val="yellow"/>
          <w:lang w:eastAsia="en-US"/>
        </w:rPr>
        <w:id w:val="134466052"/>
        <w:docPartObj>
          <w:docPartGallery w:val="Table of Contents"/>
          <w:docPartUnique/>
        </w:docPartObj>
      </w:sdtPr>
      <w:sdtEndPr>
        <w:rPr>
          <w:rFonts w:ascii="Arial Narrow" w:eastAsiaTheme="minorEastAsia" w:hAnsi="Arial Narrow" w:cstheme="minorBidi"/>
          <w:noProof/>
          <w:color w:val="931B2F"/>
          <w:sz w:val="24"/>
          <w:szCs w:val="22"/>
          <w:highlight w:val="none"/>
          <w:lang w:eastAsia="en-AU"/>
        </w:rPr>
      </w:sdtEndPr>
      <w:sdtContent>
        <w:p w14:paraId="5F2E734A" w14:textId="77777777" w:rsidR="00FB590A" w:rsidRDefault="0056511F">
          <w:pPr>
            <w:pStyle w:val="TOC1"/>
            <w:rPr>
              <w:rFonts w:asciiTheme="minorHAnsi" w:hAnsiTheme="minorHAnsi"/>
              <w:bCs w:val="0"/>
              <w:color w:val="auto"/>
              <w:szCs w:val="24"/>
              <w:lang w:eastAsia="ja-JP"/>
            </w:rPr>
          </w:pPr>
          <w:r w:rsidRPr="00CA4863">
            <w:rPr>
              <w:color w:val="800000"/>
              <w:kern w:val="32"/>
              <w:highlight w:val="yellow"/>
            </w:rPr>
            <w:fldChar w:fldCharType="begin"/>
          </w:r>
          <w:r w:rsidR="00620011" w:rsidRPr="00CA4863">
            <w:rPr>
              <w:color w:val="800000"/>
              <w:kern w:val="32"/>
              <w:highlight w:val="yellow"/>
            </w:rPr>
            <w:instrText xml:space="preserve"> TOC \o "1-2" </w:instrText>
          </w:r>
          <w:r w:rsidRPr="00CA4863">
            <w:rPr>
              <w:color w:val="800000"/>
              <w:kern w:val="32"/>
              <w:highlight w:val="yellow"/>
            </w:rPr>
            <w:fldChar w:fldCharType="separate"/>
          </w:r>
          <w:r w:rsidR="00FB590A">
            <w:t>Executive summary</w:t>
          </w:r>
          <w:r w:rsidR="00FB590A">
            <w:tab/>
          </w:r>
          <w:r w:rsidR="00FB590A">
            <w:fldChar w:fldCharType="begin"/>
          </w:r>
          <w:r w:rsidR="00FB590A">
            <w:instrText xml:space="preserve"> PAGEREF _Toc219347225 \h </w:instrText>
          </w:r>
          <w:r w:rsidR="00FB590A">
            <w:fldChar w:fldCharType="separate"/>
          </w:r>
          <w:r w:rsidR="00FB590A">
            <w:t>4</w:t>
          </w:r>
          <w:r w:rsidR="00FB590A">
            <w:fldChar w:fldCharType="end"/>
          </w:r>
        </w:p>
        <w:p w14:paraId="1409B913" w14:textId="77777777" w:rsidR="00FB590A" w:rsidRDefault="00FB590A">
          <w:pPr>
            <w:pStyle w:val="TOC2"/>
            <w:rPr>
              <w:rFonts w:asciiTheme="minorHAnsi" w:hAnsiTheme="minorHAnsi"/>
              <w:sz w:val="24"/>
              <w:szCs w:val="24"/>
              <w:lang w:eastAsia="ja-JP"/>
            </w:rPr>
          </w:pPr>
          <w:r>
            <w:t>Focus of the study</w:t>
          </w:r>
          <w:r>
            <w:tab/>
          </w:r>
          <w:r>
            <w:fldChar w:fldCharType="begin"/>
          </w:r>
          <w:r>
            <w:instrText xml:space="preserve"> PAGEREF _Toc219347226 \h </w:instrText>
          </w:r>
          <w:r>
            <w:fldChar w:fldCharType="separate"/>
          </w:r>
          <w:r>
            <w:t>4</w:t>
          </w:r>
          <w:r>
            <w:fldChar w:fldCharType="end"/>
          </w:r>
        </w:p>
        <w:p w14:paraId="540DC38D" w14:textId="77777777" w:rsidR="00FB590A" w:rsidRDefault="00FB590A">
          <w:pPr>
            <w:pStyle w:val="TOC2"/>
            <w:rPr>
              <w:rFonts w:asciiTheme="minorHAnsi" w:hAnsiTheme="minorHAnsi"/>
              <w:sz w:val="24"/>
              <w:szCs w:val="24"/>
              <w:lang w:eastAsia="ja-JP"/>
            </w:rPr>
          </w:pPr>
          <w:r>
            <w:t>Approach</w:t>
          </w:r>
          <w:r>
            <w:tab/>
          </w:r>
          <w:r>
            <w:fldChar w:fldCharType="begin"/>
          </w:r>
          <w:r>
            <w:instrText xml:space="preserve"> PAGEREF _Toc219347227 \h </w:instrText>
          </w:r>
          <w:r>
            <w:fldChar w:fldCharType="separate"/>
          </w:r>
          <w:r>
            <w:t>4</w:t>
          </w:r>
          <w:r>
            <w:fldChar w:fldCharType="end"/>
          </w:r>
        </w:p>
        <w:p w14:paraId="2F13D429" w14:textId="77777777" w:rsidR="00FB590A" w:rsidRDefault="00FB590A">
          <w:pPr>
            <w:pStyle w:val="TOC2"/>
            <w:rPr>
              <w:rFonts w:asciiTheme="minorHAnsi" w:hAnsiTheme="minorHAnsi"/>
              <w:sz w:val="24"/>
              <w:szCs w:val="24"/>
              <w:lang w:eastAsia="ja-JP"/>
            </w:rPr>
          </w:pPr>
          <w:r>
            <w:t>Impact of the National Partnership on Youth Attainment and Transitions</w:t>
          </w:r>
          <w:r>
            <w:tab/>
          </w:r>
          <w:r>
            <w:fldChar w:fldCharType="begin"/>
          </w:r>
          <w:r>
            <w:instrText xml:space="preserve"> PAGEREF _Toc219347228 \h </w:instrText>
          </w:r>
          <w:r>
            <w:fldChar w:fldCharType="separate"/>
          </w:r>
          <w:r>
            <w:t>5</w:t>
          </w:r>
          <w:r>
            <w:fldChar w:fldCharType="end"/>
          </w:r>
        </w:p>
        <w:p w14:paraId="26BEFDDD" w14:textId="77777777" w:rsidR="00FB590A" w:rsidRDefault="00FB590A">
          <w:pPr>
            <w:pStyle w:val="TOC2"/>
            <w:rPr>
              <w:rFonts w:asciiTheme="minorHAnsi" w:hAnsiTheme="minorHAnsi"/>
              <w:sz w:val="24"/>
              <w:szCs w:val="24"/>
              <w:lang w:eastAsia="ja-JP"/>
            </w:rPr>
          </w:pPr>
          <w:r>
            <w:t>Beyond the current National Partnership</w:t>
          </w:r>
          <w:r>
            <w:tab/>
          </w:r>
          <w:r>
            <w:fldChar w:fldCharType="begin"/>
          </w:r>
          <w:r>
            <w:instrText xml:space="preserve"> PAGEREF _Toc219347229 \h </w:instrText>
          </w:r>
          <w:r>
            <w:fldChar w:fldCharType="separate"/>
          </w:r>
          <w:r>
            <w:t>6</w:t>
          </w:r>
          <w:r>
            <w:fldChar w:fldCharType="end"/>
          </w:r>
        </w:p>
        <w:p w14:paraId="081DE061" w14:textId="77777777" w:rsidR="00FB590A" w:rsidRDefault="00FB590A">
          <w:pPr>
            <w:pStyle w:val="TOC1"/>
            <w:tabs>
              <w:tab w:val="left" w:pos="349"/>
            </w:tabs>
            <w:rPr>
              <w:rFonts w:asciiTheme="minorHAnsi" w:hAnsiTheme="minorHAnsi"/>
              <w:bCs w:val="0"/>
              <w:color w:val="auto"/>
              <w:szCs w:val="24"/>
              <w:lang w:eastAsia="ja-JP"/>
            </w:rPr>
          </w:pPr>
          <w:r>
            <w:t>1</w:t>
          </w:r>
          <w:r>
            <w:rPr>
              <w:rFonts w:asciiTheme="minorHAnsi" w:hAnsiTheme="minorHAnsi"/>
              <w:bCs w:val="0"/>
              <w:color w:val="auto"/>
              <w:szCs w:val="24"/>
              <w:lang w:eastAsia="ja-JP"/>
            </w:rPr>
            <w:tab/>
          </w:r>
          <w:r>
            <w:t>Context and background</w:t>
          </w:r>
          <w:r>
            <w:tab/>
          </w:r>
          <w:r>
            <w:fldChar w:fldCharType="begin"/>
          </w:r>
          <w:r>
            <w:instrText xml:space="preserve"> PAGEREF _Toc219347230 \h </w:instrText>
          </w:r>
          <w:r>
            <w:fldChar w:fldCharType="separate"/>
          </w:r>
          <w:r>
            <w:t>8</w:t>
          </w:r>
          <w:r>
            <w:fldChar w:fldCharType="end"/>
          </w:r>
        </w:p>
        <w:p w14:paraId="7D359B96" w14:textId="77777777" w:rsidR="00FB590A" w:rsidRDefault="00FB590A">
          <w:pPr>
            <w:pStyle w:val="TOC2"/>
            <w:tabs>
              <w:tab w:val="left" w:pos="468"/>
            </w:tabs>
            <w:rPr>
              <w:rFonts w:asciiTheme="minorHAnsi" w:hAnsiTheme="minorHAnsi"/>
              <w:sz w:val="24"/>
              <w:szCs w:val="24"/>
              <w:lang w:eastAsia="ja-JP"/>
            </w:rPr>
          </w:pPr>
          <w:r>
            <w:t>1.1</w:t>
          </w:r>
          <w:r>
            <w:rPr>
              <w:rFonts w:asciiTheme="minorHAnsi" w:hAnsiTheme="minorHAnsi"/>
              <w:sz w:val="24"/>
              <w:szCs w:val="24"/>
              <w:lang w:eastAsia="ja-JP"/>
            </w:rPr>
            <w:tab/>
          </w:r>
          <w:r>
            <w:t>The importance of youth attainment and transitions</w:t>
          </w:r>
          <w:r>
            <w:tab/>
          </w:r>
          <w:r>
            <w:fldChar w:fldCharType="begin"/>
          </w:r>
          <w:r>
            <w:instrText xml:space="preserve"> PAGEREF _Toc219347231 \h </w:instrText>
          </w:r>
          <w:r>
            <w:fldChar w:fldCharType="separate"/>
          </w:r>
          <w:r>
            <w:t>8</w:t>
          </w:r>
          <w:r>
            <w:fldChar w:fldCharType="end"/>
          </w:r>
        </w:p>
        <w:p w14:paraId="0C9ECC18" w14:textId="77777777" w:rsidR="00FB590A" w:rsidRDefault="00FB590A">
          <w:pPr>
            <w:pStyle w:val="TOC2"/>
            <w:tabs>
              <w:tab w:val="left" w:pos="468"/>
            </w:tabs>
            <w:rPr>
              <w:rFonts w:asciiTheme="minorHAnsi" w:hAnsiTheme="minorHAnsi"/>
              <w:sz w:val="24"/>
              <w:szCs w:val="24"/>
              <w:lang w:eastAsia="ja-JP"/>
            </w:rPr>
          </w:pPr>
          <w:r>
            <w:t>1.2</w:t>
          </w:r>
          <w:r>
            <w:rPr>
              <w:rFonts w:asciiTheme="minorHAnsi" w:hAnsiTheme="minorHAnsi"/>
              <w:sz w:val="24"/>
              <w:szCs w:val="24"/>
              <w:lang w:eastAsia="ja-JP"/>
            </w:rPr>
            <w:tab/>
          </w:r>
          <w:r>
            <w:t>The National Partnership on Youth Attainment and Transitions</w:t>
          </w:r>
          <w:r>
            <w:tab/>
          </w:r>
          <w:r>
            <w:fldChar w:fldCharType="begin"/>
          </w:r>
          <w:r>
            <w:instrText xml:space="preserve"> PAGEREF _Toc219347232 \h </w:instrText>
          </w:r>
          <w:r>
            <w:fldChar w:fldCharType="separate"/>
          </w:r>
          <w:r>
            <w:t>9</w:t>
          </w:r>
          <w:r>
            <w:fldChar w:fldCharType="end"/>
          </w:r>
        </w:p>
        <w:p w14:paraId="43087F46" w14:textId="77777777" w:rsidR="00FB590A" w:rsidRDefault="00FB590A">
          <w:pPr>
            <w:pStyle w:val="TOC2"/>
            <w:tabs>
              <w:tab w:val="left" w:pos="468"/>
            </w:tabs>
            <w:rPr>
              <w:rFonts w:asciiTheme="minorHAnsi" w:hAnsiTheme="minorHAnsi"/>
              <w:sz w:val="24"/>
              <w:szCs w:val="24"/>
              <w:lang w:eastAsia="ja-JP"/>
            </w:rPr>
          </w:pPr>
          <w:r>
            <w:t>1.3</w:t>
          </w:r>
          <w:r>
            <w:rPr>
              <w:rFonts w:asciiTheme="minorHAnsi" w:hAnsiTheme="minorHAnsi"/>
              <w:sz w:val="24"/>
              <w:szCs w:val="24"/>
              <w:lang w:eastAsia="ja-JP"/>
            </w:rPr>
            <w:tab/>
          </w:r>
          <w:r>
            <w:t>This evaluation</w:t>
          </w:r>
          <w:r>
            <w:tab/>
          </w:r>
          <w:r>
            <w:fldChar w:fldCharType="begin"/>
          </w:r>
          <w:r>
            <w:instrText xml:space="preserve"> PAGEREF _Toc219347233 \h </w:instrText>
          </w:r>
          <w:r>
            <w:fldChar w:fldCharType="separate"/>
          </w:r>
          <w:r>
            <w:t>12</w:t>
          </w:r>
          <w:r>
            <w:fldChar w:fldCharType="end"/>
          </w:r>
        </w:p>
        <w:p w14:paraId="38077001" w14:textId="77777777" w:rsidR="00FB590A" w:rsidRDefault="00FB590A">
          <w:pPr>
            <w:pStyle w:val="TOC1"/>
            <w:rPr>
              <w:rFonts w:asciiTheme="minorHAnsi" w:hAnsiTheme="minorHAnsi"/>
              <w:bCs w:val="0"/>
              <w:color w:val="auto"/>
              <w:szCs w:val="24"/>
              <w:lang w:eastAsia="ja-JP"/>
            </w:rPr>
          </w:pPr>
          <w:r>
            <w:t>Part A – Impact of the National Partnership</w:t>
          </w:r>
          <w:r>
            <w:tab/>
          </w:r>
          <w:r>
            <w:fldChar w:fldCharType="begin"/>
          </w:r>
          <w:r>
            <w:instrText xml:space="preserve"> PAGEREF _Toc219347234 \h </w:instrText>
          </w:r>
          <w:r>
            <w:fldChar w:fldCharType="separate"/>
          </w:r>
          <w:r>
            <w:t>17</w:t>
          </w:r>
          <w:r>
            <w:fldChar w:fldCharType="end"/>
          </w:r>
        </w:p>
        <w:p w14:paraId="1060AC76" w14:textId="77777777" w:rsidR="00FB590A" w:rsidRDefault="00FB590A">
          <w:pPr>
            <w:pStyle w:val="TOC1"/>
            <w:tabs>
              <w:tab w:val="left" w:pos="349"/>
            </w:tabs>
            <w:rPr>
              <w:rFonts w:asciiTheme="minorHAnsi" w:hAnsiTheme="minorHAnsi"/>
              <w:bCs w:val="0"/>
              <w:color w:val="auto"/>
              <w:szCs w:val="24"/>
              <w:lang w:eastAsia="ja-JP"/>
            </w:rPr>
          </w:pPr>
          <w:r>
            <w:t>2</w:t>
          </w:r>
          <w:r>
            <w:rPr>
              <w:rFonts w:asciiTheme="minorHAnsi" w:hAnsiTheme="minorHAnsi"/>
              <w:bCs w:val="0"/>
              <w:color w:val="auto"/>
              <w:szCs w:val="24"/>
              <w:lang w:eastAsia="ja-JP"/>
            </w:rPr>
            <w:tab/>
          </w:r>
          <w:r>
            <w:t>Changes in the YAT NP outcomes</w:t>
          </w:r>
          <w:r>
            <w:tab/>
          </w:r>
          <w:r>
            <w:fldChar w:fldCharType="begin"/>
          </w:r>
          <w:r>
            <w:instrText xml:space="preserve"> PAGEREF _Toc219347235 \h </w:instrText>
          </w:r>
          <w:r>
            <w:fldChar w:fldCharType="separate"/>
          </w:r>
          <w:r>
            <w:t>18</w:t>
          </w:r>
          <w:r>
            <w:fldChar w:fldCharType="end"/>
          </w:r>
        </w:p>
        <w:p w14:paraId="67C4D307" w14:textId="77777777" w:rsidR="00FB590A" w:rsidRDefault="00FB590A">
          <w:pPr>
            <w:pStyle w:val="TOC2"/>
            <w:tabs>
              <w:tab w:val="left" w:pos="468"/>
            </w:tabs>
            <w:rPr>
              <w:rFonts w:asciiTheme="minorHAnsi" w:hAnsiTheme="minorHAnsi"/>
              <w:sz w:val="24"/>
              <w:szCs w:val="24"/>
              <w:lang w:eastAsia="ja-JP"/>
            </w:rPr>
          </w:pPr>
          <w:r>
            <w:t>2.1</w:t>
          </w:r>
          <w:r>
            <w:rPr>
              <w:rFonts w:asciiTheme="minorHAnsi" w:hAnsiTheme="minorHAnsi"/>
              <w:sz w:val="24"/>
              <w:szCs w:val="24"/>
              <w:lang w:eastAsia="ja-JP"/>
            </w:rPr>
            <w:tab/>
          </w:r>
          <w:r>
            <w:t>Data context and limitations</w:t>
          </w:r>
          <w:r>
            <w:tab/>
          </w:r>
          <w:r>
            <w:fldChar w:fldCharType="begin"/>
          </w:r>
          <w:r>
            <w:instrText xml:space="preserve"> PAGEREF _Toc219347236 \h </w:instrText>
          </w:r>
          <w:r>
            <w:fldChar w:fldCharType="separate"/>
          </w:r>
          <w:r>
            <w:t>18</w:t>
          </w:r>
          <w:r>
            <w:fldChar w:fldCharType="end"/>
          </w:r>
        </w:p>
        <w:p w14:paraId="04E09B2C" w14:textId="77777777" w:rsidR="00FB590A" w:rsidRDefault="00FB590A">
          <w:pPr>
            <w:pStyle w:val="TOC2"/>
            <w:tabs>
              <w:tab w:val="left" w:pos="468"/>
            </w:tabs>
            <w:rPr>
              <w:rFonts w:asciiTheme="minorHAnsi" w:hAnsiTheme="minorHAnsi"/>
              <w:sz w:val="24"/>
              <w:szCs w:val="24"/>
              <w:lang w:eastAsia="ja-JP"/>
            </w:rPr>
          </w:pPr>
          <w:r>
            <w:t>2.2</w:t>
          </w:r>
          <w:r>
            <w:rPr>
              <w:rFonts w:asciiTheme="minorHAnsi" w:hAnsiTheme="minorHAnsi"/>
              <w:sz w:val="24"/>
              <w:szCs w:val="24"/>
              <w:lang w:eastAsia="ja-JP"/>
            </w:rPr>
            <w:tab/>
          </w:r>
          <w:r>
            <w:t>Young people’s participation in education and training</w:t>
          </w:r>
          <w:r>
            <w:tab/>
          </w:r>
          <w:r>
            <w:fldChar w:fldCharType="begin"/>
          </w:r>
          <w:r>
            <w:instrText xml:space="preserve"> PAGEREF _Toc219347237 \h </w:instrText>
          </w:r>
          <w:r>
            <w:fldChar w:fldCharType="separate"/>
          </w:r>
          <w:r>
            <w:t>18</w:t>
          </w:r>
          <w:r>
            <w:fldChar w:fldCharType="end"/>
          </w:r>
        </w:p>
        <w:p w14:paraId="37ADA27A" w14:textId="77777777" w:rsidR="00FB590A" w:rsidRDefault="00FB590A">
          <w:pPr>
            <w:pStyle w:val="TOC2"/>
            <w:tabs>
              <w:tab w:val="left" w:pos="468"/>
            </w:tabs>
            <w:rPr>
              <w:rFonts w:asciiTheme="minorHAnsi" w:hAnsiTheme="minorHAnsi"/>
              <w:sz w:val="24"/>
              <w:szCs w:val="24"/>
              <w:lang w:eastAsia="ja-JP"/>
            </w:rPr>
          </w:pPr>
          <w:r>
            <w:t>2.3</w:t>
          </w:r>
          <w:r>
            <w:rPr>
              <w:rFonts w:asciiTheme="minorHAnsi" w:hAnsiTheme="minorHAnsi"/>
              <w:sz w:val="24"/>
              <w:szCs w:val="24"/>
              <w:lang w:eastAsia="ja-JP"/>
            </w:rPr>
            <w:tab/>
          </w:r>
          <w:r>
            <w:t>Attainment by young people aged 15–24 years</w:t>
          </w:r>
          <w:r>
            <w:tab/>
          </w:r>
          <w:r>
            <w:fldChar w:fldCharType="begin"/>
          </w:r>
          <w:r>
            <w:instrText xml:space="preserve"> PAGEREF _Toc219347238 \h </w:instrText>
          </w:r>
          <w:r>
            <w:fldChar w:fldCharType="separate"/>
          </w:r>
          <w:r>
            <w:t>26</w:t>
          </w:r>
          <w:r>
            <w:fldChar w:fldCharType="end"/>
          </w:r>
        </w:p>
        <w:p w14:paraId="1B3F04B4" w14:textId="77777777" w:rsidR="00FB590A" w:rsidRDefault="00FB590A">
          <w:pPr>
            <w:pStyle w:val="TOC2"/>
            <w:tabs>
              <w:tab w:val="left" w:pos="468"/>
            </w:tabs>
            <w:rPr>
              <w:rFonts w:asciiTheme="minorHAnsi" w:hAnsiTheme="minorHAnsi"/>
              <w:sz w:val="24"/>
              <w:szCs w:val="24"/>
              <w:lang w:eastAsia="ja-JP"/>
            </w:rPr>
          </w:pPr>
          <w:r>
            <w:t>2.4</w:t>
          </w:r>
          <w:r>
            <w:rPr>
              <w:rFonts w:asciiTheme="minorHAnsi" w:hAnsiTheme="minorHAnsi"/>
              <w:sz w:val="24"/>
              <w:szCs w:val="24"/>
              <w:lang w:eastAsia="ja-JP"/>
            </w:rPr>
            <w:tab/>
          </w:r>
          <w:r>
            <w:t>Transitions to further education, training and employment</w:t>
          </w:r>
          <w:r>
            <w:tab/>
          </w:r>
          <w:r>
            <w:fldChar w:fldCharType="begin"/>
          </w:r>
          <w:r>
            <w:instrText xml:space="preserve"> PAGEREF _Toc219347239 \h </w:instrText>
          </w:r>
          <w:r>
            <w:fldChar w:fldCharType="separate"/>
          </w:r>
          <w:r>
            <w:t>30</w:t>
          </w:r>
          <w:r>
            <w:fldChar w:fldCharType="end"/>
          </w:r>
        </w:p>
        <w:p w14:paraId="5BA433D2" w14:textId="77777777" w:rsidR="00FB590A" w:rsidRDefault="00FB590A">
          <w:pPr>
            <w:pStyle w:val="TOC2"/>
            <w:tabs>
              <w:tab w:val="left" w:pos="468"/>
            </w:tabs>
            <w:rPr>
              <w:rFonts w:asciiTheme="minorHAnsi" w:hAnsiTheme="minorHAnsi"/>
              <w:sz w:val="24"/>
              <w:szCs w:val="24"/>
              <w:lang w:eastAsia="ja-JP"/>
            </w:rPr>
          </w:pPr>
          <w:r>
            <w:t>2.5</w:t>
          </w:r>
          <w:r>
            <w:rPr>
              <w:rFonts w:asciiTheme="minorHAnsi" w:hAnsiTheme="minorHAnsi"/>
              <w:sz w:val="24"/>
              <w:szCs w:val="24"/>
              <w:lang w:eastAsia="ja-JP"/>
            </w:rPr>
            <w:tab/>
          </w:r>
          <w:r>
            <w:t>Summary and conclusion</w:t>
          </w:r>
          <w:r>
            <w:tab/>
          </w:r>
          <w:r>
            <w:fldChar w:fldCharType="begin"/>
          </w:r>
          <w:r>
            <w:instrText xml:space="preserve"> PAGEREF _Toc219347240 \h </w:instrText>
          </w:r>
          <w:r>
            <w:fldChar w:fldCharType="separate"/>
          </w:r>
          <w:r>
            <w:t>36</w:t>
          </w:r>
          <w:r>
            <w:fldChar w:fldCharType="end"/>
          </w:r>
        </w:p>
        <w:p w14:paraId="4564F59A" w14:textId="77777777" w:rsidR="00FB590A" w:rsidRDefault="00FB590A">
          <w:pPr>
            <w:pStyle w:val="TOC1"/>
            <w:tabs>
              <w:tab w:val="left" w:pos="349"/>
            </w:tabs>
            <w:rPr>
              <w:rFonts w:asciiTheme="minorHAnsi" w:hAnsiTheme="minorHAnsi"/>
              <w:bCs w:val="0"/>
              <w:color w:val="auto"/>
              <w:szCs w:val="24"/>
              <w:lang w:eastAsia="ja-JP"/>
            </w:rPr>
          </w:pPr>
          <w:r>
            <w:t>3</w:t>
          </w:r>
          <w:r>
            <w:rPr>
              <w:rFonts w:asciiTheme="minorHAnsi" w:hAnsiTheme="minorHAnsi"/>
              <w:bCs w:val="0"/>
              <w:color w:val="auto"/>
              <w:szCs w:val="24"/>
              <w:lang w:eastAsia="ja-JP"/>
            </w:rPr>
            <w:tab/>
          </w:r>
          <w:r>
            <w:t>Assessment of the NP to date</w:t>
          </w:r>
          <w:r>
            <w:tab/>
          </w:r>
          <w:r>
            <w:fldChar w:fldCharType="begin"/>
          </w:r>
          <w:r>
            <w:instrText xml:space="preserve"> PAGEREF _Toc219347241 \h </w:instrText>
          </w:r>
          <w:r>
            <w:fldChar w:fldCharType="separate"/>
          </w:r>
          <w:r>
            <w:t>38</w:t>
          </w:r>
          <w:r>
            <w:fldChar w:fldCharType="end"/>
          </w:r>
        </w:p>
        <w:p w14:paraId="4D2EE784" w14:textId="77777777" w:rsidR="00FB590A" w:rsidRDefault="00FB590A">
          <w:pPr>
            <w:pStyle w:val="TOC2"/>
            <w:tabs>
              <w:tab w:val="left" w:pos="468"/>
            </w:tabs>
            <w:rPr>
              <w:rFonts w:asciiTheme="minorHAnsi" w:hAnsiTheme="minorHAnsi"/>
              <w:sz w:val="24"/>
              <w:szCs w:val="24"/>
              <w:lang w:eastAsia="ja-JP"/>
            </w:rPr>
          </w:pPr>
          <w:r>
            <w:t>3.1</w:t>
          </w:r>
          <w:r>
            <w:rPr>
              <w:rFonts w:asciiTheme="minorHAnsi" w:hAnsiTheme="minorHAnsi"/>
              <w:sz w:val="24"/>
              <w:szCs w:val="24"/>
              <w:lang w:eastAsia="ja-JP"/>
            </w:rPr>
            <w:tab/>
          </w:r>
          <w:r>
            <w:t>Overview of the assessment of the NP to date</w:t>
          </w:r>
          <w:r>
            <w:tab/>
          </w:r>
          <w:r>
            <w:fldChar w:fldCharType="begin"/>
          </w:r>
          <w:r>
            <w:instrText xml:space="preserve"> PAGEREF _Toc219347242 \h </w:instrText>
          </w:r>
          <w:r>
            <w:fldChar w:fldCharType="separate"/>
          </w:r>
          <w:r>
            <w:t>38</w:t>
          </w:r>
          <w:r>
            <w:fldChar w:fldCharType="end"/>
          </w:r>
        </w:p>
        <w:p w14:paraId="1B74933D" w14:textId="77777777" w:rsidR="00FB590A" w:rsidRDefault="00FB590A">
          <w:pPr>
            <w:pStyle w:val="TOC2"/>
            <w:tabs>
              <w:tab w:val="left" w:pos="468"/>
            </w:tabs>
            <w:rPr>
              <w:rFonts w:asciiTheme="minorHAnsi" w:hAnsiTheme="minorHAnsi"/>
              <w:sz w:val="24"/>
              <w:szCs w:val="24"/>
              <w:lang w:eastAsia="ja-JP"/>
            </w:rPr>
          </w:pPr>
          <w:r>
            <w:t>3.2</w:t>
          </w:r>
          <w:r>
            <w:rPr>
              <w:rFonts w:asciiTheme="minorHAnsi" w:hAnsiTheme="minorHAnsi"/>
              <w:sz w:val="24"/>
              <w:szCs w:val="24"/>
              <w:lang w:eastAsia="ja-JP"/>
            </w:rPr>
            <w:tab/>
          </w:r>
          <w:r>
            <w:t>Changes to what is happening under the NP since the Year 1 evaluation</w:t>
          </w:r>
          <w:r>
            <w:tab/>
          </w:r>
          <w:r>
            <w:fldChar w:fldCharType="begin"/>
          </w:r>
          <w:r>
            <w:instrText xml:space="preserve"> PAGEREF _Toc219347243 \h </w:instrText>
          </w:r>
          <w:r>
            <w:fldChar w:fldCharType="separate"/>
          </w:r>
          <w:r>
            <w:t>40</w:t>
          </w:r>
          <w:r>
            <w:fldChar w:fldCharType="end"/>
          </w:r>
        </w:p>
        <w:p w14:paraId="62414E4B" w14:textId="77777777" w:rsidR="00FB590A" w:rsidRDefault="00FB590A">
          <w:pPr>
            <w:pStyle w:val="TOC2"/>
            <w:tabs>
              <w:tab w:val="left" w:pos="468"/>
            </w:tabs>
            <w:rPr>
              <w:rFonts w:asciiTheme="minorHAnsi" w:hAnsiTheme="minorHAnsi"/>
              <w:sz w:val="24"/>
              <w:szCs w:val="24"/>
              <w:lang w:eastAsia="ja-JP"/>
            </w:rPr>
          </w:pPr>
          <w:r>
            <w:t>3.3</w:t>
          </w:r>
          <w:r>
            <w:rPr>
              <w:rFonts w:asciiTheme="minorHAnsi" w:hAnsiTheme="minorHAnsi"/>
              <w:sz w:val="24"/>
              <w:szCs w:val="24"/>
              <w:lang w:eastAsia="ja-JP"/>
            </w:rPr>
            <w:tab/>
          </w:r>
          <w:r>
            <w:t>Effectiveness</w:t>
          </w:r>
          <w:r>
            <w:tab/>
          </w:r>
          <w:r>
            <w:fldChar w:fldCharType="begin"/>
          </w:r>
          <w:r>
            <w:instrText xml:space="preserve"> PAGEREF _Toc219347244 \h </w:instrText>
          </w:r>
          <w:r>
            <w:fldChar w:fldCharType="separate"/>
          </w:r>
          <w:r>
            <w:t>41</w:t>
          </w:r>
          <w:r>
            <w:fldChar w:fldCharType="end"/>
          </w:r>
        </w:p>
        <w:p w14:paraId="7E6589DB" w14:textId="77777777" w:rsidR="00FB590A" w:rsidRDefault="00FB590A">
          <w:pPr>
            <w:pStyle w:val="TOC2"/>
            <w:tabs>
              <w:tab w:val="left" w:pos="468"/>
            </w:tabs>
            <w:rPr>
              <w:rFonts w:asciiTheme="minorHAnsi" w:hAnsiTheme="minorHAnsi"/>
              <w:sz w:val="24"/>
              <w:szCs w:val="24"/>
              <w:lang w:eastAsia="ja-JP"/>
            </w:rPr>
          </w:pPr>
          <w:r>
            <w:t>3.4</w:t>
          </w:r>
          <w:r>
            <w:rPr>
              <w:rFonts w:asciiTheme="minorHAnsi" w:hAnsiTheme="minorHAnsi"/>
              <w:sz w:val="24"/>
              <w:szCs w:val="24"/>
              <w:lang w:eastAsia="ja-JP"/>
            </w:rPr>
            <w:tab/>
          </w:r>
          <w:r>
            <w:t>Appropriateness</w:t>
          </w:r>
          <w:r>
            <w:tab/>
          </w:r>
          <w:r>
            <w:fldChar w:fldCharType="begin"/>
          </w:r>
          <w:r>
            <w:instrText xml:space="preserve"> PAGEREF _Toc219347245 \h </w:instrText>
          </w:r>
          <w:r>
            <w:fldChar w:fldCharType="separate"/>
          </w:r>
          <w:r>
            <w:t>55</w:t>
          </w:r>
          <w:r>
            <w:fldChar w:fldCharType="end"/>
          </w:r>
        </w:p>
        <w:p w14:paraId="18668501" w14:textId="77777777" w:rsidR="00FB590A" w:rsidRDefault="00FB590A">
          <w:pPr>
            <w:pStyle w:val="TOC2"/>
            <w:tabs>
              <w:tab w:val="left" w:pos="468"/>
            </w:tabs>
            <w:rPr>
              <w:rFonts w:asciiTheme="minorHAnsi" w:hAnsiTheme="minorHAnsi"/>
              <w:sz w:val="24"/>
              <w:szCs w:val="24"/>
              <w:lang w:eastAsia="ja-JP"/>
            </w:rPr>
          </w:pPr>
          <w:r>
            <w:t>3.5</w:t>
          </w:r>
          <w:r>
            <w:rPr>
              <w:rFonts w:asciiTheme="minorHAnsi" w:hAnsiTheme="minorHAnsi"/>
              <w:sz w:val="24"/>
              <w:szCs w:val="24"/>
              <w:lang w:eastAsia="ja-JP"/>
            </w:rPr>
            <w:tab/>
          </w:r>
          <w:r>
            <w:t>Efficiency</w:t>
          </w:r>
          <w:r>
            <w:tab/>
          </w:r>
          <w:r>
            <w:fldChar w:fldCharType="begin"/>
          </w:r>
          <w:r>
            <w:instrText xml:space="preserve"> PAGEREF _Toc219347246 \h </w:instrText>
          </w:r>
          <w:r>
            <w:fldChar w:fldCharType="separate"/>
          </w:r>
          <w:r>
            <w:t>62</w:t>
          </w:r>
          <w:r>
            <w:fldChar w:fldCharType="end"/>
          </w:r>
        </w:p>
        <w:p w14:paraId="30094750" w14:textId="77777777" w:rsidR="00FB590A" w:rsidRDefault="00FB590A">
          <w:pPr>
            <w:pStyle w:val="TOC2"/>
            <w:tabs>
              <w:tab w:val="left" w:pos="468"/>
            </w:tabs>
            <w:rPr>
              <w:rFonts w:asciiTheme="minorHAnsi" w:hAnsiTheme="minorHAnsi"/>
              <w:sz w:val="24"/>
              <w:szCs w:val="24"/>
              <w:lang w:eastAsia="ja-JP"/>
            </w:rPr>
          </w:pPr>
          <w:r>
            <w:t>3.6</w:t>
          </w:r>
          <w:r>
            <w:rPr>
              <w:rFonts w:asciiTheme="minorHAnsi" w:hAnsiTheme="minorHAnsi"/>
              <w:sz w:val="24"/>
              <w:szCs w:val="24"/>
              <w:lang w:eastAsia="ja-JP"/>
            </w:rPr>
            <w:tab/>
          </w:r>
          <w:r>
            <w:t>Governance and implementation</w:t>
          </w:r>
          <w:r>
            <w:tab/>
          </w:r>
          <w:r>
            <w:fldChar w:fldCharType="begin"/>
          </w:r>
          <w:r>
            <w:instrText xml:space="preserve"> PAGEREF _Toc219347247 \h </w:instrText>
          </w:r>
          <w:r>
            <w:fldChar w:fldCharType="separate"/>
          </w:r>
          <w:r>
            <w:t>63</w:t>
          </w:r>
          <w:r>
            <w:fldChar w:fldCharType="end"/>
          </w:r>
        </w:p>
        <w:p w14:paraId="6F019AA2" w14:textId="77777777" w:rsidR="00FB590A" w:rsidRDefault="00FB590A">
          <w:pPr>
            <w:pStyle w:val="TOC2"/>
            <w:tabs>
              <w:tab w:val="left" w:pos="468"/>
            </w:tabs>
            <w:rPr>
              <w:rFonts w:asciiTheme="minorHAnsi" w:hAnsiTheme="minorHAnsi"/>
              <w:sz w:val="24"/>
              <w:szCs w:val="24"/>
              <w:lang w:eastAsia="ja-JP"/>
            </w:rPr>
          </w:pPr>
          <w:r>
            <w:t>3.7</w:t>
          </w:r>
          <w:r>
            <w:rPr>
              <w:rFonts w:asciiTheme="minorHAnsi" w:hAnsiTheme="minorHAnsi"/>
              <w:sz w:val="24"/>
              <w:szCs w:val="24"/>
              <w:lang w:eastAsia="ja-JP"/>
            </w:rPr>
            <w:tab/>
          </w:r>
          <w:r>
            <w:t>Refinements to the National Partnership</w:t>
          </w:r>
          <w:r>
            <w:tab/>
          </w:r>
          <w:r>
            <w:fldChar w:fldCharType="begin"/>
          </w:r>
          <w:r>
            <w:instrText xml:space="preserve"> PAGEREF _Toc219347248 \h </w:instrText>
          </w:r>
          <w:r>
            <w:fldChar w:fldCharType="separate"/>
          </w:r>
          <w:r>
            <w:t>66</w:t>
          </w:r>
          <w:r>
            <w:fldChar w:fldCharType="end"/>
          </w:r>
        </w:p>
        <w:p w14:paraId="2B961923" w14:textId="77777777" w:rsidR="00FB590A" w:rsidRDefault="00FB590A">
          <w:pPr>
            <w:pStyle w:val="TOC2"/>
            <w:tabs>
              <w:tab w:val="left" w:pos="468"/>
            </w:tabs>
            <w:rPr>
              <w:rFonts w:asciiTheme="minorHAnsi" w:hAnsiTheme="minorHAnsi"/>
              <w:sz w:val="24"/>
              <w:szCs w:val="24"/>
              <w:lang w:eastAsia="ja-JP"/>
            </w:rPr>
          </w:pPr>
          <w:r>
            <w:t>3.8</w:t>
          </w:r>
          <w:r>
            <w:rPr>
              <w:rFonts w:asciiTheme="minorHAnsi" w:hAnsiTheme="minorHAnsi"/>
              <w:sz w:val="24"/>
              <w:szCs w:val="24"/>
              <w:lang w:eastAsia="ja-JP"/>
            </w:rPr>
            <w:tab/>
          </w:r>
          <w:r>
            <w:t>Conclusion</w:t>
          </w:r>
          <w:r>
            <w:tab/>
          </w:r>
          <w:r>
            <w:fldChar w:fldCharType="begin"/>
          </w:r>
          <w:r>
            <w:instrText xml:space="preserve"> PAGEREF _Toc219347249 \h </w:instrText>
          </w:r>
          <w:r>
            <w:fldChar w:fldCharType="separate"/>
          </w:r>
          <w:r>
            <w:t>67</w:t>
          </w:r>
          <w:r>
            <w:fldChar w:fldCharType="end"/>
          </w:r>
        </w:p>
        <w:p w14:paraId="384F16ED" w14:textId="77777777" w:rsidR="00FB590A" w:rsidRDefault="00FB590A">
          <w:pPr>
            <w:pStyle w:val="TOC1"/>
            <w:rPr>
              <w:rFonts w:asciiTheme="minorHAnsi" w:hAnsiTheme="minorHAnsi"/>
              <w:bCs w:val="0"/>
              <w:color w:val="auto"/>
              <w:szCs w:val="24"/>
              <w:lang w:eastAsia="ja-JP"/>
            </w:rPr>
          </w:pPr>
          <w:r>
            <w:lastRenderedPageBreak/>
            <w:t>Part B – Beyond the current National Partnership</w:t>
          </w:r>
          <w:r>
            <w:tab/>
          </w:r>
          <w:r>
            <w:fldChar w:fldCharType="begin"/>
          </w:r>
          <w:r>
            <w:instrText xml:space="preserve"> PAGEREF _Toc219347250 \h </w:instrText>
          </w:r>
          <w:r>
            <w:fldChar w:fldCharType="separate"/>
          </w:r>
          <w:r>
            <w:t>68</w:t>
          </w:r>
          <w:r>
            <w:fldChar w:fldCharType="end"/>
          </w:r>
        </w:p>
        <w:p w14:paraId="4D2F5950" w14:textId="77777777" w:rsidR="00FB590A" w:rsidRDefault="00FB590A">
          <w:pPr>
            <w:pStyle w:val="TOC1"/>
            <w:tabs>
              <w:tab w:val="left" w:pos="349"/>
            </w:tabs>
            <w:rPr>
              <w:rFonts w:asciiTheme="minorHAnsi" w:hAnsiTheme="minorHAnsi"/>
              <w:bCs w:val="0"/>
              <w:color w:val="auto"/>
              <w:szCs w:val="24"/>
              <w:lang w:eastAsia="ja-JP"/>
            </w:rPr>
          </w:pPr>
          <w:r>
            <w:t>4</w:t>
          </w:r>
          <w:r>
            <w:rPr>
              <w:rFonts w:asciiTheme="minorHAnsi" w:hAnsiTheme="minorHAnsi"/>
              <w:bCs w:val="0"/>
              <w:color w:val="auto"/>
              <w:szCs w:val="24"/>
              <w:lang w:eastAsia="ja-JP"/>
            </w:rPr>
            <w:tab/>
          </w:r>
          <w:r>
            <w:t>Youth attainment and transition challenges</w:t>
          </w:r>
          <w:r>
            <w:tab/>
          </w:r>
          <w:r>
            <w:fldChar w:fldCharType="begin"/>
          </w:r>
          <w:r>
            <w:instrText xml:space="preserve"> PAGEREF _Toc219347251 \h </w:instrText>
          </w:r>
          <w:r>
            <w:fldChar w:fldCharType="separate"/>
          </w:r>
          <w:r>
            <w:t>69</w:t>
          </w:r>
          <w:r>
            <w:fldChar w:fldCharType="end"/>
          </w:r>
        </w:p>
        <w:p w14:paraId="2C823C63" w14:textId="77777777" w:rsidR="00FB590A" w:rsidRDefault="00FB590A">
          <w:pPr>
            <w:pStyle w:val="TOC2"/>
            <w:tabs>
              <w:tab w:val="left" w:pos="468"/>
            </w:tabs>
            <w:rPr>
              <w:rFonts w:asciiTheme="minorHAnsi" w:hAnsiTheme="minorHAnsi"/>
              <w:sz w:val="24"/>
              <w:szCs w:val="24"/>
              <w:lang w:eastAsia="ja-JP"/>
            </w:rPr>
          </w:pPr>
          <w:r>
            <w:t>4.1</w:t>
          </w:r>
          <w:r>
            <w:rPr>
              <w:rFonts w:asciiTheme="minorHAnsi" w:hAnsiTheme="minorHAnsi"/>
              <w:sz w:val="24"/>
              <w:szCs w:val="24"/>
              <w:lang w:eastAsia="ja-JP"/>
            </w:rPr>
            <w:tab/>
          </w:r>
          <w:r>
            <w:t>The importance of a youth attainment and transition policy</w:t>
          </w:r>
          <w:r>
            <w:tab/>
          </w:r>
          <w:r>
            <w:fldChar w:fldCharType="begin"/>
          </w:r>
          <w:r>
            <w:instrText xml:space="preserve"> PAGEREF _Toc219347252 \h </w:instrText>
          </w:r>
          <w:r>
            <w:fldChar w:fldCharType="separate"/>
          </w:r>
          <w:r>
            <w:t>69</w:t>
          </w:r>
          <w:r>
            <w:fldChar w:fldCharType="end"/>
          </w:r>
        </w:p>
        <w:p w14:paraId="1B537224" w14:textId="77777777" w:rsidR="00FB590A" w:rsidRDefault="00FB590A">
          <w:pPr>
            <w:pStyle w:val="TOC2"/>
            <w:tabs>
              <w:tab w:val="left" w:pos="468"/>
            </w:tabs>
            <w:rPr>
              <w:rFonts w:asciiTheme="minorHAnsi" w:hAnsiTheme="minorHAnsi"/>
              <w:sz w:val="24"/>
              <w:szCs w:val="24"/>
              <w:lang w:eastAsia="ja-JP"/>
            </w:rPr>
          </w:pPr>
          <w:r>
            <w:t>4.2</w:t>
          </w:r>
          <w:r>
            <w:rPr>
              <w:rFonts w:asciiTheme="minorHAnsi" w:hAnsiTheme="minorHAnsi"/>
              <w:sz w:val="24"/>
              <w:szCs w:val="24"/>
              <w:lang w:eastAsia="ja-JP"/>
            </w:rPr>
            <w:tab/>
          </w:r>
          <w:r>
            <w:t>Influences on youth attainment and transitions</w:t>
          </w:r>
          <w:r>
            <w:tab/>
          </w:r>
          <w:r>
            <w:fldChar w:fldCharType="begin"/>
          </w:r>
          <w:r>
            <w:instrText xml:space="preserve"> PAGEREF _Toc219347253 \h </w:instrText>
          </w:r>
          <w:r>
            <w:fldChar w:fldCharType="separate"/>
          </w:r>
          <w:r>
            <w:t>70</w:t>
          </w:r>
          <w:r>
            <w:fldChar w:fldCharType="end"/>
          </w:r>
        </w:p>
        <w:p w14:paraId="6B4E9030" w14:textId="77777777" w:rsidR="00FB590A" w:rsidRDefault="00FB590A">
          <w:pPr>
            <w:pStyle w:val="TOC2"/>
            <w:tabs>
              <w:tab w:val="left" w:pos="468"/>
            </w:tabs>
            <w:rPr>
              <w:rFonts w:asciiTheme="minorHAnsi" w:hAnsiTheme="minorHAnsi"/>
              <w:sz w:val="24"/>
              <w:szCs w:val="24"/>
              <w:lang w:eastAsia="ja-JP"/>
            </w:rPr>
          </w:pPr>
          <w:r>
            <w:t>4.3</w:t>
          </w:r>
          <w:r>
            <w:rPr>
              <w:rFonts w:asciiTheme="minorHAnsi" w:hAnsiTheme="minorHAnsi"/>
              <w:sz w:val="24"/>
              <w:szCs w:val="24"/>
              <w:lang w:eastAsia="ja-JP"/>
            </w:rPr>
            <w:tab/>
          </w:r>
          <w:r>
            <w:t>How Australia is faring</w:t>
          </w:r>
          <w:r>
            <w:tab/>
          </w:r>
          <w:r>
            <w:fldChar w:fldCharType="begin"/>
          </w:r>
          <w:r>
            <w:instrText xml:space="preserve"> PAGEREF _Toc219347254 \h </w:instrText>
          </w:r>
          <w:r>
            <w:fldChar w:fldCharType="separate"/>
          </w:r>
          <w:r>
            <w:t>71</w:t>
          </w:r>
          <w:r>
            <w:fldChar w:fldCharType="end"/>
          </w:r>
        </w:p>
        <w:p w14:paraId="3FFE7BB9" w14:textId="77777777" w:rsidR="00FB590A" w:rsidRDefault="00FB590A">
          <w:pPr>
            <w:pStyle w:val="TOC1"/>
            <w:tabs>
              <w:tab w:val="left" w:pos="349"/>
            </w:tabs>
            <w:rPr>
              <w:rFonts w:asciiTheme="minorHAnsi" w:hAnsiTheme="minorHAnsi"/>
              <w:bCs w:val="0"/>
              <w:color w:val="auto"/>
              <w:szCs w:val="24"/>
              <w:lang w:eastAsia="ja-JP"/>
            </w:rPr>
          </w:pPr>
          <w:r>
            <w:t>5</w:t>
          </w:r>
          <w:r>
            <w:rPr>
              <w:rFonts w:asciiTheme="minorHAnsi" w:hAnsiTheme="minorHAnsi"/>
              <w:bCs w:val="0"/>
              <w:color w:val="auto"/>
              <w:szCs w:val="24"/>
              <w:lang w:eastAsia="ja-JP"/>
            </w:rPr>
            <w:tab/>
          </w:r>
          <w:r>
            <w:t>Focus areas for improving youth attainment and transition outcomes</w:t>
          </w:r>
          <w:r>
            <w:tab/>
          </w:r>
          <w:r>
            <w:fldChar w:fldCharType="begin"/>
          </w:r>
          <w:r>
            <w:instrText xml:space="preserve"> PAGEREF _Toc219347255 \h </w:instrText>
          </w:r>
          <w:r>
            <w:fldChar w:fldCharType="separate"/>
          </w:r>
          <w:r>
            <w:t>82</w:t>
          </w:r>
          <w:r>
            <w:fldChar w:fldCharType="end"/>
          </w:r>
        </w:p>
        <w:p w14:paraId="20DD2C78" w14:textId="77777777" w:rsidR="00FB590A" w:rsidRDefault="00FB590A">
          <w:pPr>
            <w:pStyle w:val="TOC2"/>
            <w:tabs>
              <w:tab w:val="left" w:pos="468"/>
            </w:tabs>
            <w:rPr>
              <w:rFonts w:asciiTheme="minorHAnsi" w:hAnsiTheme="minorHAnsi"/>
              <w:sz w:val="24"/>
              <w:szCs w:val="24"/>
              <w:lang w:eastAsia="ja-JP"/>
            </w:rPr>
          </w:pPr>
          <w:r>
            <w:t>5.1</w:t>
          </w:r>
          <w:r>
            <w:rPr>
              <w:rFonts w:asciiTheme="minorHAnsi" w:hAnsiTheme="minorHAnsi"/>
              <w:sz w:val="24"/>
              <w:szCs w:val="24"/>
              <w:lang w:eastAsia="ja-JP"/>
            </w:rPr>
            <w:tab/>
          </w:r>
          <w:r>
            <w:t>Principles and examples of intervention features, and challenges for a future policy</w:t>
          </w:r>
          <w:r>
            <w:tab/>
          </w:r>
          <w:r>
            <w:fldChar w:fldCharType="begin"/>
          </w:r>
          <w:r>
            <w:instrText xml:space="preserve"> PAGEREF _Toc219347256 \h </w:instrText>
          </w:r>
          <w:r>
            <w:fldChar w:fldCharType="separate"/>
          </w:r>
          <w:r>
            <w:t>82</w:t>
          </w:r>
          <w:r>
            <w:fldChar w:fldCharType="end"/>
          </w:r>
        </w:p>
        <w:p w14:paraId="5FFFBD47" w14:textId="77777777" w:rsidR="00FB590A" w:rsidRDefault="00FB590A">
          <w:pPr>
            <w:pStyle w:val="TOC2"/>
            <w:tabs>
              <w:tab w:val="left" w:pos="468"/>
            </w:tabs>
            <w:rPr>
              <w:rFonts w:asciiTheme="minorHAnsi" w:hAnsiTheme="minorHAnsi"/>
              <w:sz w:val="24"/>
              <w:szCs w:val="24"/>
              <w:lang w:eastAsia="ja-JP"/>
            </w:rPr>
          </w:pPr>
          <w:r>
            <w:t>5.2</w:t>
          </w:r>
          <w:r>
            <w:rPr>
              <w:rFonts w:asciiTheme="minorHAnsi" w:hAnsiTheme="minorHAnsi"/>
              <w:sz w:val="24"/>
              <w:szCs w:val="24"/>
              <w:lang w:eastAsia="ja-JP"/>
            </w:rPr>
            <w:tab/>
          </w:r>
          <w:r>
            <w:t>Improving YAT outcomes</w:t>
          </w:r>
          <w:r>
            <w:tab/>
          </w:r>
          <w:r>
            <w:fldChar w:fldCharType="begin"/>
          </w:r>
          <w:r>
            <w:instrText xml:space="preserve"> PAGEREF _Toc219347257 \h </w:instrText>
          </w:r>
          <w:r>
            <w:fldChar w:fldCharType="separate"/>
          </w:r>
          <w:r>
            <w:t>90</w:t>
          </w:r>
          <w:r>
            <w:fldChar w:fldCharType="end"/>
          </w:r>
        </w:p>
        <w:p w14:paraId="710D23C8" w14:textId="77777777" w:rsidR="00FB590A" w:rsidRDefault="00FB590A">
          <w:pPr>
            <w:pStyle w:val="TOC2"/>
            <w:tabs>
              <w:tab w:val="left" w:pos="468"/>
            </w:tabs>
            <w:rPr>
              <w:rFonts w:asciiTheme="minorHAnsi" w:hAnsiTheme="minorHAnsi"/>
              <w:sz w:val="24"/>
              <w:szCs w:val="24"/>
              <w:lang w:eastAsia="ja-JP"/>
            </w:rPr>
          </w:pPr>
          <w:r>
            <w:t>5.3</w:t>
          </w:r>
          <w:r>
            <w:rPr>
              <w:rFonts w:asciiTheme="minorHAnsi" w:hAnsiTheme="minorHAnsi"/>
              <w:sz w:val="24"/>
              <w:szCs w:val="24"/>
              <w:lang w:eastAsia="ja-JP"/>
            </w:rPr>
            <w:tab/>
          </w:r>
          <w:r>
            <w:t>Implications for different funding models</w:t>
          </w:r>
          <w:r>
            <w:tab/>
          </w:r>
          <w:r>
            <w:fldChar w:fldCharType="begin"/>
          </w:r>
          <w:r>
            <w:instrText xml:space="preserve"> PAGEREF _Toc219347258 \h </w:instrText>
          </w:r>
          <w:r>
            <w:fldChar w:fldCharType="separate"/>
          </w:r>
          <w:r>
            <w:t>94</w:t>
          </w:r>
          <w:r>
            <w:fldChar w:fldCharType="end"/>
          </w:r>
        </w:p>
        <w:p w14:paraId="2022AB71" w14:textId="77777777" w:rsidR="00FB590A" w:rsidRDefault="00FB590A">
          <w:pPr>
            <w:pStyle w:val="TOC1"/>
            <w:tabs>
              <w:tab w:val="left" w:pos="349"/>
            </w:tabs>
            <w:rPr>
              <w:rFonts w:asciiTheme="minorHAnsi" w:hAnsiTheme="minorHAnsi"/>
              <w:bCs w:val="0"/>
              <w:color w:val="auto"/>
              <w:szCs w:val="24"/>
              <w:lang w:eastAsia="ja-JP"/>
            </w:rPr>
          </w:pPr>
          <w:r>
            <w:t>6</w:t>
          </w:r>
          <w:r>
            <w:rPr>
              <w:rFonts w:asciiTheme="minorHAnsi" w:hAnsiTheme="minorHAnsi"/>
              <w:bCs w:val="0"/>
              <w:color w:val="auto"/>
              <w:szCs w:val="24"/>
              <w:lang w:eastAsia="ja-JP"/>
            </w:rPr>
            <w:tab/>
          </w:r>
          <w:r>
            <w:t>Looking ahead</w:t>
          </w:r>
          <w:r>
            <w:tab/>
          </w:r>
          <w:r>
            <w:fldChar w:fldCharType="begin"/>
          </w:r>
          <w:r>
            <w:instrText xml:space="preserve"> PAGEREF _Toc219347259 \h </w:instrText>
          </w:r>
          <w:r>
            <w:fldChar w:fldCharType="separate"/>
          </w:r>
          <w:r>
            <w:t>97</w:t>
          </w:r>
          <w:r>
            <w:fldChar w:fldCharType="end"/>
          </w:r>
        </w:p>
        <w:p w14:paraId="6D17C439" w14:textId="77777777" w:rsidR="00FB590A" w:rsidRDefault="00FB590A">
          <w:pPr>
            <w:pStyle w:val="TOC2"/>
            <w:tabs>
              <w:tab w:val="left" w:pos="468"/>
            </w:tabs>
            <w:rPr>
              <w:rFonts w:asciiTheme="minorHAnsi" w:hAnsiTheme="minorHAnsi"/>
              <w:sz w:val="24"/>
              <w:szCs w:val="24"/>
              <w:lang w:eastAsia="ja-JP"/>
            </w:rPr>
          </w:pPr>
          <w:r>
            <w:t>6.1</w:t>
          </w:r>
          <w:r>
            <w:rPr>
              <w:rFonts w:asciiTheme="minorHAnsi" w:hAnsiTheme="minorHAnsi"/>
              <w:sz w:val="24"/>
              <w:szCs w:val="24"/>
              <w:lang w:eastAsia="ja-JP"/>
            </w:rPr>
            <w:tab/>
          </w:r>
          <w:r>
            <w:t>Roles for government</w:t>
          </w:r>
          <w:r>
            <w:tab/>
          </w:r>
          <w:r>
            <w:fldChar w:fldCharType="begin"/>
          </w:r>
          <w:r>
            <w:instrText xml:space="preserve"> PAGEREF _Toc219347260 \h </w:instrText>
          </w:r>
          <w:r>
            <w:fldChar w:fldCharType="separate"/>
          </w:r>
          <w:r>
            <w:t>97</w:t>
          </w:r>
          <w:r>
            <w:fldChar w:fldCharType="end"/>
          </w:r>
        </w:p>
        <w:p w14:paraId="43CFA50F" w14:textId="77777777" w:rsidR="00FB590A" w:rsidRDefault="00FB590A">
          <w:pPr>
            <w:pStyle w:val="TOC2"/>
            <w:tabs>
              <w:tab w:val="left" w:pos="468"/>
            </w:tabs>
            <w:rPr>
              <w:rFonts w:asciiTheme="minorHAnsi" w:hAnsiTheme="minorHAnsi"/>
              <w:sz w:val="24"/>
              <w:szCs w:val="24"/>
              <w:lang w:eastAsia="ja-JP"/>
            </w:rPr>
          </w:pPr>
          <w:r>
            <w:t>6.2</w:t>
          </w:r>
          <w:r>
            <w:rPr>
              <w:rFonts w:asciiTheme="minorHAnsi" w:hAnsiTheme="minorHAnsi"/>
              <w:sz w:val="24"/>
              <w:szCs w:val="24"/>
              <w:lang w:eastAsia="ja-JP"/>
            </w:rPr>
            <w:tab/>
          </w:r>
          <w:r>
            <w:t>Roles for non-government stakeholders</w:t>
          </w:r>
          <w:r>
            <w:tab/>
          </w:r>
          <w:r>
            <w:fldChar w:fldCharType="begin"/>
          </w:r>
          <w:r>
            <w:instrText xml:space="preserve"> PAGEREF _Toc219347261 \h </w:instrText>
          </w:r>
          <w:r>
            <w:fldChar w:fldCharType="separate"/>
          </w:r>
          <w:r>
            <w:t>98</w:t>
          </w:r>
          <w:r>
            <w:fldChar w:fldCharType="end"/>
          </w:r>
        </w:p>
        <w:p w14:paraId="0FFC0F16" w14:textId="77777777" w:rsidR="00FB590A" w:rsidRDefault="00FB590A">
          <w:pPr>
            <w:pStyle w:val="TOC2"/>
            <w:tabs>
              <w:tab w:val="left" w:pos="468"/>
            </w:tabs>
            <w:rPr>
              <w:rFonts w:asciiTheme="minorHAnsi" w:hAnsiTheme="minorHAnsi"/>
              <w:sz w:val="24"/>
              <w:szCs w:val="24"/>
              <w:lang w:eastAsia="ja-JP"/>
            </w:rPr>
          </w:pPr>
          <w:r>
            <w:t>6.3</w:t>
          </w:r>
          <w:r>
            <w:rPr>
              <w:rFonts w:asciiTheme="minorHAnsi" w:hAnsiTheme="minorHAnsi"/>
              <w:sz w:val="24"/>
              <w:szCs w:val="24"/>
              <w:lang w:eastAsia="ja-JP"/>
            </w:rPr>
            <w:tab/>
          </w:r>
          <w:r>
            <w:t>Moving from principles to application</w:t>
          </w:r>
          <w:r>
            <w:tab/>
          </w:r>
          <w:r>
            <w:fldChar w:fldCharType="begin"/>
          </w:r>
          <w:r>
            <w:instrText xml:space="preserve"> PAGEREF _Toc219347262 \h </w:instrText>
          </w:r>
          <w:r>
            <w:fldChar w:fldCharType="separate"/>
          </w:r>
          <w:r>
            <w:t>99</w:t>
          </w:r>
          <w:r>
            <w:fldChar w:fldCharType="end"/>
          </w:r>
        </w:p>
        <w:p w14:paraId="53DB8247" w14:textId="77777777" w:rsidR="00FB590A" w:rsidRDefault="00FB590A">
          <w:pPr>
            <w:pStyle w:val="TOC1"/>
            <w:rPr>
              <w:rFonts w:asciiTheme="minorHAnsi" w:hAnsiTheme="minorHAnsi"/>
              <w:bCs w:val="0"/>
              <w:color w:val="auto"/>
              <w:szCs w:val="24"/>
              <w:lang w:eastAsia="ja-JP"/>
            </w:rPr>
          </w:pPr>
          <w:r>
            <w:t>Appendix 1: Evaluation Framework</w:t>
          </w:r>
          <w:r>
            <w:tab/>
          </w:r>
          <w:r>
            <w:fldChar w:fldCharType="begin"/>
          </w:r>
          <w:r>
            <w:instrText xml:space="preserve"> PAGEREF _Toc219347263 \h </w:instrText>
          </w:r>
          <w:r>
            <w:fldChar w:fldCharType="separate"/>
          </w:r>
          <w:r>
            <w:t>105</w:t>
          </w:r>
          <w:r>
            <w:fldChar w:fldCharType="end"/>
          </w:r>
        </w:p>
        <w:p w14:paraId="2721BBFB" w14:textId="77777777" w:rsidR="00FB590A" w:rsidRDefault="00FB590A">
          <w:pPr>
            <w:pStyle w:val="TOC2"/>
            <w:rPr>
              <w:rFonts w:asciiTheme="minorHAnsi" w:hAnsiTheme="minorHAnsi"/>
              <w:sz w:val="24"/>
              <w:szCs w:val="24"/>
              <w:lang w:eastAsia="ja-JP"/>
            </w:rPr>
          </w:pPr>
          <w:r>
            <w:t>Year two evaluation framework</w:t>
          </w:r>
          <w:r>
            <w:tab/>
          </w:r>
          <w:r>
            <w:fldChar w:fldCharType="begin"/>
          </w:r>
          <w:r>
            <w:instrText xml:space="preserve"> PAGEREF _Toc219347264 \h </w:instrText>
          </w:r>
          <w:r>
            <w:fldChar w:fldCharType="separate"/>
          </w:r>
          <w:r>
            <w:t>106</w:t>
          </w:r>
          <w:r>
            <w:fldChar w:fldCharType="end"/>
          </w:r>
        </w:p>
        <w:p w14:paraId="54354C06" w14:textId="77777777" w:rsidR="00FB590A" w:rsidRDefault="00FB590A">
          <w:pPr>
            <w:pStyle w:val="TOC1"/>
            <w:rPr>
              <w:rFonts w:asciiTheme="minorHAnsi" w:hAnsiTheme="minorHAnsi"/>
              <w:bCs w:val="0"/>
              <w:color w:val="auto"/>
              <w:szCs w:val="24"/>
              <w:lang w:eastAsia="ja-JP"/>
            </w:rPr>
          </w:pPr>
          <w:r>
            <w:t>Appendix 2: Youth attainment and transitions data</w:t>
          </w:r>
          <w:r>
            <w:tab/>
          </w:r>
          <w:r>
            <w:fldChar w:fldCharType="begin"/>
          </w:r>
          <w:r>
            <w:instrText xml:space="preserve"> PAGEREF _Toc219347265 \h </w:instrText>
          </w:r>
          <w:r>
            <w:fldChar w:fldCharType="separate"/>
          </w:r>
          <w:r>
            <w:t>125</w:t>
          </w:r>
          <w:r>
            <w:fldChar w:fldCharType="end"/>
          </w:r>
        </w:p>
        <w:p w14:paraId="1BB252BB" w14:textId="77777777" w:rsidR="00FB590A" w:rsidRDefault="00FB590A">
          <w:pPr>
            <w:pStyle w:val="TOC2"/>
            <w:rPr>
              <w:rFonts w:asciiTheme="minorHAnsi" w:hAnsiTheme="minorHAnsi"/>
              <w:sz w:val="24"/>
              <w:szCs w:val="24"/>
              <w:lang w:eastAsia="ja-JP"/>
            </w:rPr>
          </w:pPr>
          <w:r>
            <w:t>Participation overall</w:t>
          </w:r>
          <w:r>
            <w:tab/>
          </w:r>
          <w:r>
            <w:fldChar w:fldCharType="begin"/>
          </w:r>
          <w:r>
            <w:instrText xml:space="preserve"> PAGEREF _Toc219347266 \h </w:instrText>
          </w:r>
          <w:r>
            <w:fldChar w:fldCharType="separate"/>
          </w:r>
          <w:r>
            <w:t>125</w:t>
          </w:r>
          <w:r>
            <w:fldChar w:fldCharType="end"/>
          </w:r>
        </w:p>
        <w:p w14:paraId="231C8D87" w14:textId="77777777" w:rsidR="00FB590A" w:rsidRDefault="00FB590A">
          <w:pPr>
            <w:pStyle w:val="TOC2"/>
            <w:rPr>
              <w:rFonts w:asciiTheme="minorHAnsi" w:hAnsiTheme="minorHAnsi"/>
              <w:sz w:val="24"/>
              <w:szCs w:val="24"/>
              <w:lang w:eastAsia="ja-JP"/>
            </w:rPr>
          </w:pPr>
          <w:r>
            <w:t>Participation- by sector</w:t>
          </w:r>
          <w:r>
            <w:tab/>
          </w:r>
          <w:r>
            <w:fldChar w:fldCharType="begin"/>
          </w:r>
          <w:r>
            <w:instrText xml:space="preserve"> PAGEREF _Toc219347267 \h </w:instrText>
          </w:r>
          <w:r>
            <w:fldChar w:fldCharType="separate"/>
          </w:r>
          <w:r>
            <w:t>125</w:t>
          </w:r>
          <w:r>
            <w:fldChar w:fldCharType="end"/>
          </w:r>
        </w:p>
        <w:p w14:paraId="196E335C" w14:textId="77777777" w:rsidR="00FB590A" w:rsidRDefault="00FB590A">
          <w:pPr>
            <w:pStyle w:val="TOC2"/>
            <w:rPr>
              <w:rFonts w:asciiTheme="minorHAnsi" w:hAnsiTheme="minorHAnsi"/>
              <w:sz w:val="24"/>
              <w:szCs w:val="24"/>
              <w:lang w:eastAsia="ja-JP"/>
            </w:rPr>
          </w:pPr>
          <w:r>
            <w:t>Participation – Indigenous</w:t>
          </w:r>
          <w:r>
            <w:tab/>
          </w:r>
          <w:r>
            <w:fldChar w:fldCharType="begin"/>
          </w:r>
          <w:r>
            <w:instrText xml:space="preserve"> PAGEREF _Toc219347268 \h </w:instrText>
          </w:r>
          <w:r>
            <w:fldChar w:fldCharType="separate"/>
          </w:r>
          <w:r>
            <w:t>127</w:t>
          </w:r>
          <w:r>
            <w:fldChar w:fldCharType="end"/>
          </w:r>
        </w:p>
        <w:p w14:paraId="33B5168E" w14:textId="77777777" w:rsidR="00FB590A" w:rsidRDefault="00FB590A">
          <w:pPr>
            <w:pStyle w:val="TOC2"/>
            <w:rPr>
              <w:rFonts w:asciiTheme="minorHAnsi" w:hAnsiTheme="minorHAnsi"/>
              <w:sz w:val="24"/>
              <w:szCs w:val="24"/>
              <w:lang w:eastAsia="ja-JP"/>
            </w:rPr>
          </w:pPr>
          <w:r>
            <w:t>Participation – other target groups</w:t>
          </w:r>
          <w:r>
            <w:tab/>
          </w:r>
          <w:r>
            <w:fldChar w:fldCharType="begin"/>
          </w:r>
          <w:r>
            <w:instrText xml:space="preserve"> PAGEREF _Toc219347269 \h </w:instrText>
          </w:r>
          <w:r>
            <w:fldChar w:fldCharType="separate"/>
          </w:r>
          <w:r>
            <w:t>128</w:t>
          </w:r>
          <w:r>
            <w:fldChar w:fldCharType="end"/>
          </w:r>
        </w:p>
        <w:p w14:paraId="452F2006" w14:textId="77777777" w:rsidR="00FB590A" w:rsidRDefault="00FB590A">
          <w:pPr>
            <w:pStyle w:val="TOC2"/>
            <w:rPr>
              <w:rFonts w:asciiTheme="minorHAnsi" w:hAnsiTheme="minorHAnsi"/>
              <w:sz w:val="24"/>
              <w:szCs w:val="24"/>
              <w:lang w:eastAsia="ja-JP"/>
            </w:rPr>
          </w:pPr>
          <w:r>
            <w:t>Attainment – overall</w:t>
          </w:r>
          <w:r>
            <w:tab/>
          </w:r>
          <w:r>
            <w:fldChar w:fldCharType="begin"/>
          </w:r>
          <w:r>
            <w:instrText xml:space="preserve"> PAGEREF _Toc219347270 \h </w:instrText>
          </w:r>
          <w:r>
            <w:fldChar w:fldCharType="separate"/>
          </w:r>
          <w:r>
            <w:t>132</w:t>
          </w:r>
          <w:r>
            <w:fldChar w:fldCharType="end"/>
          </w:r>
        </w:p>
        <w:p w14:paraId="3BEC693C" w14:textId="77777777" w:rsidR="00FB590A" w:rsidRDefault="00FB590A">
          <w:pPr>
            <w:pStyle w:val="TOC2"/>
            <w:rPr>
              <w:rFonts w:asciiTheme="minorHAnsi" w:hAnsiTheme="minorHAnsi"/>
              <w:sz w:val="24"/>
              <w:szCs w:val="24"/>
              <w:lang w:eastAsia="ja-JP"/>
            </w:rPr>
          </w:pPr>
          <w:r>
            <w:t>Attainment – by sector</w:t>
          </w:r>
          <w:r>
            <w:tab/>
          </w:r>
          <w:r>
            <w:fldChar w:fldCharType="begin"/>
          </w:r>
          <w:r>
            <w:instrText xml:space="preserve"> PAGEREF _Toc219347271 \h </w:instrText>
          </w:r>
          <w:r>
            <w:fldChar w:fldCharType="separate"/>
          </w:r>
          <w:r>
            <w:t>132</w:t>
          </w:r>
          <w:r>
            <w:fldChar w:fldCharType="end"/>
          </w:r>
        </w:p>
        <w:p w14:paraId="778E0194" w14:textId="77777777" w:rsidR="00FB590A" w:rsidRDefault="00FB590A">
          <w:pPr>
            <w:pStyle w:val="TOC2"/>
            <w:rPr>
              <w:rFonts w:asciiTheme="minorHAnsi" w:hAnsiTheme="minorHAnsi"/>
              <w:sz w:val="24"/>
              <w:szCs w:val="24"/>
              <w:lang w:eastAsia="ja-JP"/>
            </w:rPr>
          </w:pPr>
          <w:r>
            <w:t>Attainment – Indigenous</w:t>
          </w:r>
          <w:r>
            <w:tab/>
          </w:r>
          <w:r>
            <w:fldChar w:fldCharType="begin"/>
          </w:r>
          <w:r>
            <w:instrText xml:space="preserve"> PAGEREF _Toc219347272 \h </w:instrText>
          </w:r>
          <w:r>
            <w:fldChar w:fldCharType="separate"/>
          </w:r>
          <w:r>
            <w:t>134</w:t>
          </w:r>
          <w:r>
            <w:fldChar w:fldCharType="end"/>
          </w:r>
        </w:p>
        <w:p w14:paraId="1DDF825B" w14:textId="77777777" w:rsidR="00FB590A" w:rsidRDefault="00FB590A">
          <w:pPr>
            <w:pStyle w:val="TOC2"/>
            <w:rPr>
              <w:rFonts w:asciiTheme="minorHAnsi" w:hAnsiTheme="minorHAnsi"/>
              <w:sz w:val="24"/>
              <w:szCs w:val="24"/>
              <w:lang w:eastAsia="ja-JP"/>
            </w:rPr>
          </w:pPr>
          <w:r>
            <w:t>Attainment – other target groups</w:t>
          </w:r>
          <w:r>
            <w:tab/>
          </w:r>
          <w:r>
            <w:fldChar w:fldCharType="begin"/>
          </w:r>
          <w:r>
            <w:instrText xml:space="preserve"> PAGEREF _Toc219347273 \h </w:instrText>
          </w:r>
          <w:r>
            <w:fldChar w:fldCharType="separate"/>
          </w:r>
          <w:r>
            <w:t>135</w:t>
          </w:r>
          <w:r>
            <w:fldChar w:fldCharType="end"/>
          </w:r>
        </w:p>
        <w:p w14:paraId="22988CA4" w14:textId="77777777" w:rsidR="00FB590A" w:rsidRDefault="00FB590A">
          <w:pPr>
            <w:pStyle w:val="TOC2"/>
            <w:rPr>
              <w:rFonts w:asciiTheme="minorHAnsi" w:hAnsiTheme="minorHAnsi"/>
              <w:sz w:val="24"/>
              <w:szCs w:val="24"/>
              <w:lang w:eastAsia="ja-JP"/>
            </w:rPr>
          </w:pPr>
          <w:r>
            <w:t>Transition – overall</w:t>
          </w:r>
          <w:r>
            <w:tab/>
          </w:r>
          <w:r>
            <w:fldChar w:fldCharType="begin"/>
          </w:r>
          <w:r>
            <w:instrText xml:space="preserve"> PAGEREF _Toc219347274 \h </w:instrText>
          </w:r>
          <w:r>
            <w:fldChar w:fldCharType="separate"/>
          </w:r>
          <w:r>
            <w:t>138</w:t>
          </w:r>
          <w:r>
            <w:fldChar w:fldCharType="end"/>
          </w:r>
        </w:p>
        <w:p w14:paraId="5158302A" w14:textId="77777777" w:rsidR="00FB590A" w:rsidRDefault="00FB590A">
          <w:pPr>
            <w:pStyle w:val="TOC2"/>
            <w:rPr>
              <w:rFonts w:asciiTheme="minorHAnsi" w:hAnsiTheme="minorHAnsi"/>
              <w:sz w:val="24"/>
              <w:szCs w:val="24"/>
              <w:lang w:eastAsia="ja-JP"/>
            </w:rPr>
          </w:pPr>
          <w:r>
            <w:t>Transition – other target groups</w:t>
          </w:r>
          <w:r>
            <w:tab/>
          </w:r>
          <w:r>
            <w:fldChar w:fldCharType="begin"/>
          </w:r>
          <w:r>
            <w:instrText xml:space="preserve"> PAGEREF _Toc219347275 \h </w:instrText>
          </w:r>
          <w:r>
            <w:fldChar w:fldCharType="separate"/>
          </w:r>
          <w:r>
            <w:t>144</w:t>
          </w:r>
          <w:r>
            <w:fldChar w:fldCharType="end"/>
          </w:r>
        </w:p>
        <w:p w14:paraId="3F3CAB20" w14:textId="77777777" w:rsidR="00FB590A" w:rsidRDefault="00FB590A">
          <w:pPr>
            <w:pStyle w:val="TOC1"/>
            <w:rPr>
              <w:rFonts w:asciiTheme="minorHAnsi" w:hAnsiTheme="minorHAnsi"/>
              <w:bCs w:val="0"/>
              <w:color w:val="auto"/>
              <w:szCs w:val="24"/>
              <w:lang w:eastAsia="ja-JP"/>
            </w:rPr>
          </w:pPr>
          <w:r>
            <w:t>Appendix 3: Stakeholder engagement</w:t>
          </w:r>
          <w:r>
            <w:tab/>
          </w:r>
          <w:r>
            <w:fldChar w:fldCharType="begin"/>
          </w:r>
          <w:r>
            <w:instrText xml:space="preserve"> PAGEREF _Toc219347276 \h </w:instrText>
          </w:r>
          <w:r>
            <w:fldChar w:fldCharType="separate"/>
          </w:r>
          <w:r>
            <w:t>151</w:t>
          </w:r>
          <w:r>
            <w:fldChar w:fldCharType="end"/>
          </w:r>
        </w:p>
        <w:p w14:paraId="17549F21" w14:textId="77777777" w:rsidR="00326E3B" w:rsidRDefault="0056511F" w:rsidP="00AE3199">
          <w:pPr>
            <w:pStyle w:val="TOC1"/>
          </w:pPr>
          <w:r w:rsidRPr="00CA4863">
            <w:rPr>
              <w:color w:val="800000"/>
              <w:kern w:val="32"/>
              <w:highlight w:val="yellow"/>
            </w:rPr>
            <w:fldChar w:fldCharType="end"/>
          </w:r>
        </w:p>
      </w:sdtContent>
    </w:sdt>
    <w:p w14:paraId="24697727" w14:textId="77777777" w:rsidR="00F573D2" w:rsidRDefault="00F573D2" w:rsidP="002D1057">
      <w:pPr>
        <w:pStyle w:val="Listbullet2indented"/>
        <w:sectPr w:rsidR="00F573D2" w:rsidSect="00DC72F5">
          <w:headerReference w:type="default" r:id="rId9"/>
          <w:footerReference w:type="even" r:id="rId10"/>
          <w:footerReference w:type="default" r:id="rId11"/>
          <w:headerReference w:type="first" r:id="rId12"/>
          <w:footerReference w:type="first" r:id="rId13"/>
          <w:pgSz w:w="11899" w:h="16838" w:code="9"/>
          <w:pgMar w:top="1077" w:right="1247" w:bottom="1361" w:left="1134" w:header="284" w:footer="1021" w:gutter="0"/>
          <w:pgNumType w:start="1"/>
          <w:cols w:space="708"/>
          <w:titlePg/>
          <w:docGrid w:linePitch="272"/>
        </w:sectPr>
      </w:pPr>
    </w:p>
    <w:p w14:paraId="7D0CD58D" w14:textId="77777777" w:rsidR="00A75FA6" w:rsidRPr="00385081" w:rsidRDefault="00A75FA6" w:rsidP="00A75FA6">
      <w:pPr>
        <w:pStyle w:val="Heading1NoNumbering"/>
      </w:pPr>
      <w:bookmarkStart w:id="1" w:name="_Toc210355102"/>
      <w:bookmarkStart w:id="2" w:name="_Toc219347225"/>
      <w:bookmarkStart w:id="3" w:name="_Toc303792089"/>
      <w:r w:rsidRPr="00385081">
        <w:lastRenderedPageBreak/>
        <w:t>Executive summary</w:t>
      </w:r>
      <w:bookmarkEnd w:id="1"/>
      <w:bookmarkEnd w:id="2"/>
    </w:p>
    <w:p w14:paraId="70697FE0" w14:textId="77777777" w:rsidR="00A75FA6" w:rsidRPr="00DD6707" w:rsidRDefault="00A75FA6" w:rsidP="00332FE8">
      <w:pPr>
        <w:pStyle w:val="Heading2NoNumbering"/>
      </w:pPr>
      <w:bookmarkStart w:id="4" w:name="_Toc219347226"/>
      <w:r w:rsidRPr="00DD6707">
        <w:t>Focus of the study</w:t>
      </w:r>
      <w:bookmarkEnd w:id="4"/>
    </w:p>
    <w:p w14:paraId="1A5BA5BE" w14:textId="77777777" w:rsidR="00A75FA6" w:rsidRPr="002165CB" w:rsidRDefault="00A75FA6" w:rsidP="000629F8">
      <w:pPr>
        <w:pStyle w:val="BodyText"/>
      </w:pPr>
      <w:r w:rsidRPr="002165CB">
        <w:t>The Council of Australian Governments (COAG) agreed to the National Partnership on Youth Attainment and Transitions (the NP)</w:t>
      </w:r>
      <w:r w:rsidRPr="00F620EF">
        <w:rPr>
          <w:rStyle w:val="FootnoteReference"/>
        </w:rPr>
        <w:footnoteReference w:id="1"/>
      </w:r>
      <w:r w:rsidRPr="000629F8">
        <w:t xml:space="preserve"> in July 2009. The NP seeks to </w:t>
      </w:r>
      <w:r w:rsidRPr="002165CB">
        <w:t>improve educational outcomes and transitions for young Australians</w:t>
      </w:r>
      <w:r w:rsidR="00D54A32">
        <w:t xml:space="preserve"> from school</w:t>
      </w:r>
      <w:r w:rsidRPr="002165CB">
        <w:t xml:space="preserve"> to further education, training or employment. Specifically, the NP focuses on 15–24-year-olds, young people at risk, and the educational attainment and engagement of young Indigenous Australians. The NP comprises five elements:</w:t>
      </w:r>
    </w:p>
    <w:p w14:paraId="48F23D1E" w14:textId="77777777" w:rsidR="00A75FA6" w:rsidRPr="003D541D" w:rsidRDefault="00A75FA6" w:rsidP="003D541D">
      <w:pPr>
        <w:pStyle w:val="ListBullet"/>
      </w:pPr>
      <w:r w:rsidRPr="003D541D">
        <w:t>Maximising Engagement, Attainment and Successful Transitions (MEAST; $150 million) – State/Territory-based initiatives supporting multiple learning pathways, career development and mentoring</w:t>
      </w:r>
    </w:p>
    <w:p w14:paraId="101F9299" w14:textId="77777777" w:rsidR="00A75FA6" w:rsidRPr="00B41322" w:rsidRDefault="00A75FA6" w:rsidP="003D541D">
      <w:pPr>
        <w:pStyle w:val="ListBullet"/>
      </w:pPr>
      <w:r w:rsidRPr="003D541D">
        <w:t>School Business Community Partnership Brokers ($139 million) – Australian Government program focused on building partnerships involving schools, businesses, community groups and fami</w:t>
      </w:r>
      <w:r w:rsidRPr="00B41322">
        <w:t>lies</w:t>
      </w:r>
    </w:p>
    <w:p w14:paraId="2647C43C" w14:textId="77777777" w:rsidR="00A75FA6" w:rsidRPr="00B41322" w:rsidRDefault="00A75FA6" w:rsidP="00B41322">
      <w:pPr>
        <w:pStyle w:val="ListBullet"/>
      </w:pPr>
      <w:r w:rsidRPr="00B41322">
        <w:t>Youth Connections ($288 million) – Australian Government program that provides support to young people who are disengaged or at risk of disengaging from education or training</w:t>
      </w:r>
    </w:p>
    <w:p w14:paraId="2A4004AB" w14:textId="77777777" w:rsidR="00A75FA6" w:rsidRPr="000629F8" w:rsidRDefault="00A75FA6" w:rsidP="000629F8">
      <w:pPr>
        <w:pStyle w:val="ListBullet"/>
      </w:pPr>
      <w:r w:rsidRPr="000629F8">
        <w:t>National Career Development ($30 million) – Funding for a range of national projects and resources, including the development of a National Career Development Strategy</w:t>
      </w:r>
    </w:p>
    <w:p w14:paraId="74FFE9E9" w14:textId="77777777" w:rsidR="00A75FA6" w:rsidRPr="000629F8" w:rsidRDefault="00A75FA6" w:rsidP="000629F8">
      <w:pPr>
        <w:pStyle w:val="ListBullet"/>
      </w:pPr>
      <w:r w:rsidRPr="000629F8">
        <w:t>The Compact with Young Australians ($0 million) – Strengthened youth education and training participation requirements and changes to income-support entitlements.</w:t>
      </w:r>
    </w:p>
    <w:p w14:paraId="18BD8F06" w14:textId="77777777" w:rsidR="00A75FA6" w:rsidRPr="00385081" w:rsidRDefault="00A75FA6" w:rsidP="002165CB">
      <w:pPr>
        <w:pStyle w:val="BodyText"/>
      </w:pPr>
      <w:r>
        <w:t>T</w:t>
      </w:r>
      <w:r w:rsidRPr="00385081">
        <w:t>he second of the three scheduled evaluations of the NP</w:t>
      </w:r>
      <w:r>
        <w:t xml:space="preserve"> was conducted this year</w:t>
      </w:r>
      <w:r w:rsidRPr="00385081">
        <w:t>:</w:t>
      </w:r>
    </w:p>
    <w:p w14:paraId="3B24AAED" w14:textId="77777777" w:rsidR="00A75FA6" w:rsidRDefault="00A75FA6" w:rsidP="00CB48A2">
      <w:pPr>
        <w:pStyle w:val="ListBullet"/>
      </w:pPr>
      <w:r w:rsidRPr="00385081">
        <w:t>The first</w:t>
      </w:r>
      <w:r>
        <w:t>-</w:t>
      </w:r>
      <w:r w:rsidRPr="00385081">
        <w:t>year</w:t>
      </w:r>
      <w:r>
        <w:t xml:space="preserve"> review</w:t>
      </w:r>
      <w:r w:rsidRPr="00385081">
        <w:t xml:space="preserve"> focused on understanding what was happening in jurisdictions and across sectors to inform improvements in the NP and its elements</w:t>
      </w:r>
    </w:p>
    <w:p w14:paraId="08BE2676" w14:textId="77777777" w:rsidR="00A75FA6" w:rsidRPr="00385081" w:rsidRDefault="00A75FA6" w:rsidP="00CB48A2">
      <w:pPr>
        <w:pStyle w:val="ListBullet"/>
      </w:pPr>
      <w:r w:rsidRPr="00385081">
        <w:t>The (current) second</w:t>
      </w:r>
      <w:r>
        <w:t>-</w:t>
      </w:r>
      <w:r w:rsidRPr="00385081">
        <w:t xml:space="preserve">year </w:t>
      </w:r>
      <w:r>
        <w:t xml:space="preserve">review </w:t>
      </w:r>
      <w:r w:rsidRPr="00385081">
        <w:t>focuses on what has changed since Year 1 (Part A)</w:t>
      </w:r>
      <w:r>
        <w:t>. It presents</w:t>
      </w:r>
      <w:r w:rsidRPr="00385081">
        <w:t xml:space="preserve"> findings and suggested areas of focus to inform a decision about </w:t>
      </w:r>
      <w:r>
        <w:t>what should occur</w:t>
      </w:r>
      <w:r w:rsidRPr="00385081">
        <w:t xml:space="preserve"> beyond the NP (Part B)</w:t>
      </w:r>
    </w:p>
    <w:p w14:paraId="01D6209D" w14:textId="77777777" w:rsidR="00A75FA6" w:rsidRPr="00385081" w:rsidRDefault="00A75FA6" w:rsidP="00CB48A2">
      <w:pPr>
        <w:pStyle w:val="ListBullet"/>
      </w:pPr>
      <w:r w:rsidRPr="00385081">
        <w:t>The third</w:t>
      </w:r>
      <w:r>
        <w:t>-</w:t>
      </w:r>
      <w:r w:rsidRPr="00385081">
        <w:t xml:space="preserve">year </w:t>
      </w:r>
      <w:r>
        <w:t xml:space="preserve">review </w:t>
      </w:r>
      <w:r w:rsidRPr="00385081">
        <w:t xml:space="preserve">will focus on summing up the impact of the NP and presenting options for </w:t>
      </w:r>
      <w:r>
        <w:t>what should occur</w:t>
      </w:r>
      <w:r w:rsidRPr="00385081">
        <w:t xml:space="preserve"> beyond the NP.</w:t>
      </w:r>
    </w:p>
    <w:p w14:paraId="0EADCCCD" w14:textId="77777777" w:rsidR="00A75FA6" w:rsidRPr="00385081" w:rsidRDefault="00A75FA6" w:rsidP="00391FEF">
      <w:pPr>
        <w:pStyle w:val="BodyText"/>
      </w:pPr>
      <w:r w:rsidRPr="00385081">
        <w:t>The overarching question for th</w:t>
      </w:r>
      <w:r>
        <w:t>is</w:t>
      </w:r>
      <w:r w:rsidRPr="00385081">
        <w:t xml:space="preserve"> evaluation is: </w:t>
      </w:r>
      <w:r>
        <w:t>‘</w:t>
      </w:r>
      <w:r w:rsidRPr="00385081">
        <w:t>Have the National Partnership elements, as a package, contributed to improved participation, engagement, attainment and transition outcomes for young Australians, including young Indigenous Australians?</w:t>
      </w:r>
      <w:r>
        <w:t>’</w:t>
      </w:r>
      <w:r w:rsidRPr="00385081">
        <w:t xml:space="preserve"> The </w:t>
      </w:r>
      <w:r>
        <w:t>purpose of</w:t>
      </w:r>
      <w:r w:rsidRPr="00385081">
        <w:t xml:space="preserve"> this project is </w:t>
      </w:r>
      <w:r>
        <w:t>to evaluate</w:t>
      </w:r>
      <w:r w:rsidRPr="00385081">
        <w:t xml:space="preserve"> the NP as a whole</w:t>
      </w:r>
      <w:r>
        <w:t>, not</w:t>
      </w:r>
      <w:r w:rsidRPr="00385081">
        <w:t xml:space="preserve"> to provide a detailed assessment of the individual programs and activities that are operating under the NP.</w:t>
      </w:r>
    </w:p>
    <w:p w14:paraId="3C969CEE" w14:textId="77777777" w:rsidR="00A75FA6" w:rsidRDefault="00A75FA6" w:rsidP="00DF79FC">
      <w:pPr>
        <w:pStyle w:val="Heading2NoNumbering"/>
      </w:pPr>
      <w:bookmarkStart w:id="5" w:name="_Toc219347227"/>
      <w:r w:rsidRPr="00385081">
        <w:t>Approach</w:t>
      </w:r>
      <w:bookmarkEnd w:id="5"/>
    </w:p>
    <w:p w14:paraId="790F39BD" w14:textId="77777777" w:rsidR="00A75FA6" w:rsidRPr="00385081" w:rsidRDefault="00A75FA6" w:rsidP="00DF79FC">
      <w:pPr>
        <w:pStyle w:val="BodyText"/>
        <w:spacing w:after="0"/>
      </w:pPr>
      <w:r w:rsidRPr="00385081">
        <w:t xml:space="preserve">Part A details what has changed since Year 1. It </w:t>
      </w:r>
      <w:r>
        <w:t>is based on</w:t>
      </w:r>
      <w:r w:rsidRPr="00385081">
        <w:t xml:space="preserve"> an analysis of:</w:t>
      </w:r>
    </w:p>
    <w:p w14:paraId="5826FB59" w14:textId="77777777" w:rsidR="00A75FA6" w:rsidRDefault="00A75FA6" w:rsidP="00DF79FC">
      <w:pPr>
        <w:pStyle w:val="ListBullet"/>
      </w:pPr>
      <w:r w:rsidRPr="00385081">
        <w:t xml:space="preserve">ABS and NCVER data sources measuring </w:t>
      </w:r>
      <w:r w:rsidR="00B37C0C">
        <w:t xml:space="preserve">the </w:t>
      </w:r>
      <w:r w:rsidRPr="00385081">
        <w:t>participation, attainment and transition</w:t>
      </w:r>
      <w:r w:rsidR="00B37C0C">
        <w:t xml:space="preserve"> outcomes</w:t>
      </w:r>
      <w:r w:rsidR="00BC5229">
        <w:t xml:space="preserve"> included in the NP</w:t>
      </w:r>
      <w:r>
        <w:t>,</w:t>
      </w:r>
      <w:r w:rsidRPr="00385081">
        <w:t xml:space="preserve"> supplemented by a range of more detailed indicators across sectors</w:t>
      </w:r>
    </w:p>
    <w:p w14:paraId="6A85708D" w14:textId="77777777" w:rsidR="00A75FA6" w:rsidRPr="00385081" w:rsidRDefault="00A75FA6" w:rsidP="00DF79FC">
      <w:pPr>
        <w:pStyle w:val="ListBullet"/>
      </w:pPr>
      <w:r w:rsidRPr="00916E38">
        <w:t xml:space="preserve">DEEWR’s Youth Attainment and Transitions Management </w:t>
      </w:r>
      <w:r w:rsidR="009A62AD">
        <w:t xml:space="preserve">Information </w:t>
      </w:r>
      <w:r w:rsidRPr="00916E38">
        <w:t>System</w:t>
      </w:r>
      <w:r w:rsidRPr="00385081">
        <w:t xml:space="preserve"> </w:t>
      </w:r>
      <w:r>
        <w:t>(</w:t>
      </w:r>
      <w:r w:rsidRPr="00385081">
        <w:t>YATMIS</w:t>
      </w:r>
      <w:r>
        <w:t>)</w:t>
      </w:r>
      <w:r w:rsidRPr="00385081">
        <w:t xml:space="preserve"> data and interviews with DEEWR staff</w:t>
      </w:r>
    </w:p>
    <w:p w14:paraId="1C3BCEA8" w14:textId="77777777" w:rsidR="00A75FA6" w:rsidRPr="00385081" w:rsidRDefault="00BC5229" w:rsidP="00DF79FC">
      <w:pPr>
        <w:pStyle w:val="ListBullet"/>
      </w:pPr>
      <w:r>
        <w:lastRenderedPageBreak/>
        <w:t>State and Territory</w:t>
      </w:r>
      <w:r w:rsidRPr="00385081">
        <w:t xml:space="preserve"> </w:t>
      </w:r>
      <w:r w:rsidR="00A75FA6" w:rsidRPr="00385081">
        <w:t>annual reports on the NP and interviews with jurisdictional representatives</w:t>
      </w:r>
    </w:p>
    <w:p w14:paraId="3D73B90E" w14:textId="77777777" w:rsidR="00A75FA6" w:rsidRPr="00385081" w:rsidRDefault="00A75FA6" w:rsidP="00DF79FC">
      <w:pPr>
        <w:pStyle w:val="ListBullet"/>
      </w:pPr>
      <w:r>
        <w:t>S</w:t>
      </w:r>
      <w:r w:rsidRPr="00385081">
        <w:t>urveys of PB and YC providers and stakeholders undertaken by DEEWR</w:t>
      </w:r>
    </w:p>
    <w:p w14:paraId="1B8F2681" w14:textId="77777777" w:rsidR="00A75FA6" w:rsidRPr="00385081" w:rsidRDefault="00A75FA6" w:rsidP="00DF79FC">
      <w:pPr>
        <w:pStyle w:val="ListBullet"/>
      </w:pPr>
      <w:r>
        <w:t>T</w:t>
      </w:r>
      <w:r w:rsidRPr="00385081">
        <w:t>ailored surveys of PB and YC providers undertaken on our behalf by DEEWR</w:t>
      </w:r>
    </w:p>
    <w:p w14:paraId="5DC4E33A" w14:textId="77777777" w:rsidR="00A75FA6" w:rsidRPr="00385081" w:rsidRDefault="00B37C0C" w:rsidP="00DF79FC">
      <w:pPr>
        <w:pStyle w:val="ListBullet"/>
      </w:pPr>
      <w:r>
        <w:t>PB and YC program s</w:t>
      </w:r>
      <w:r w:rsidR="00A75FA6" w:rsidRPr="00385081">
        <w:t>takeholder interviews.</w:t>
      </w:r>
    </w:p>
    <w:p w14:paraId="654E0308" w14:textId="77777777" w:rsidR="00A75FA6" w:rsidRPr="00385081" w:rsidRDefault="00A75FA6" w:rsidP="00DF79FC">
      <w:pPr>
        <w:pStyle w:val="BodyText"/>
      </w:pPr>
      <w:r w:rsidRPr="00385081">
        <w:t>As for the first</w:t>
      </w:r>
      <w:r>
        <w:t>-</w:t>
      </w:r>
      <w:r w:rsidRPr="00385081">
        <w:t>year review, it is important to recognise that a complex range of influences impact on youth participation, attainment and transition</w:t>
      </w:r>
      <w:r w:rsidR="00B37C0C">
        <w:t>s</w:t>
      </w:r>
      <w:r w:rsidRPr="00385081">
        <w:t xml:space="preserve">. It is therefore difficult to prove causality. Also, </w:t>
      </w:r>
      <w:r>
        <w:t xml:space="preserve">it will take time for </w:t>
      </w:r>
      <w:r w:rsidRPr="00385081">
        <w:t>some initiatives to have their full impact. Nevertheless, it is possible to make some confident judgements about the effectiveness (impact), appropriateness, governance and implementation of the NP</w:t>
      </w:r>
      <w:r w:rsidR="00B37C0C">
        <w:t xml:space="preserve"> and its elements</w:t>
      </w:r>
      <w:r w:rsidRPr="00385081">
        <w:t>.</w:t>
      </w:r>
    </w:p>
    <w:p w14:paraId="7CD73760" w14:textId="77777777" w:rsidR="00A75FA6" w:rsidRPr="00385081" w:rsidRDefault="00A75FA6" w:rsidP="00DF79FC">
      <w:pPr>
        <w:pStyle w:val="BodyText"/>
        <w:spacing w:after="0"/>
      </w:pPr>
      <w:r w:rsidRPr="00385081">
        <w:t>Part B provides an overview of challenges and key policy focus areas for improving youth attainment and transition outcomes. It involved:</w:t>
      </w:r>
    </w:p>
    <w:p w14:paraId="6774462C" w14:textId="77777777" w:rsidR="00A75FA6" w:rsidRPr="00385081" w:rsidRDefault="00A75FA6" w:rsidP="00DF79FC">
      <w:pPr>
        <w:pStyle w:val="ListBullet"/>
      </w:pPr>
      <w:r>
        <w:t>R</w:t>
      </w:r>
      <w:r w:rsidRPr="00385081">
        <w:t>esearch on national and international policies and performance in the area of youth participation, attainment and transition</w:t>
      </w:r>
    </w:p>
    <w:p w14:paraId="72B50031" w14:textId="77777777" w:rsidR="00A75FA6" w:rsidRPr="00385081" w:rsidRDefault="00A75FA6" w:rsidP="00DF79FC">
      <w:pPr>
        <w:pStyle w:val="ListBullet"/>
      </w:pPr>
      <w:r>
        <w:t>T</w:t>
      </w:r>
      <w:r w:rsidRPr="00385081">
        <w:t>he preparation of a discussion paper</w:t>
      </w:r>
    </w:p>
    <w:p w14:paraId="24D53B75" w14:textId="77777777" w:rsidR="00A75FA6" w:rsidRPr="00385081" w:rsidRDefault="00A75FA6" w:rsidP="00DF79FC">
      <w:pPr>
        <w:pStyle w:val="ListBullet"/>
      </w:pPr>
      <w:r>
        <w:t>S</w:t>
      </w:r>
      <w:r w:rsidRPr="00385081">
        <w:t>takeholder workshops and interviews.</w:t>
      </w:r>
    </w:p>
    <w:p w14:paraId="2356C176" w14:textId="77777777" w:rsidR="00A75FA6" w:rsidRDefault="00A75FA6" w:rsidP="00DF79FC">
      <w:pPr>
        <w:pStyle w:val="Heading2NoNumbering"/>
      </w:pPr>
      <w:bookmarkStart w:id="6" w:name="_Toc219347228"/>
      <w:r w:rsidRPr="00385081">
        <w:t>Impact of the National Partnership on Youth Attainment and Transitions</w:t>
      </w:r>
      <w:bookmarkEnd w:id="6"/>
    </w:p>
    <w:p w14:paraId="52488A0F" w14:textId="77777777" w:rsidR="00A75FA6" w:rsidRPr="00385081" w:rsidRDefault="00A75FA6" w:rsidP="00DF79FC">
      <w:pPr>
        <w:pStyle w:val="BodyText"/>
      </w:pPr>
      <w:r w:rsidRPr="00385081">
        <w:t>The</w:t>
      </w:r>
      <w:r>
        <w:t xml:space="preserve"> Australian Government, States and Territories are collectively committed</w:t>
      </w:r>
      <w:r w:rsidRPr="00385081">
        <w:t xml:space="preserve"> to the goal of improved </w:t>
      </w:r>
      <w:r>
        <w:t>youth attainment and transition (</w:t>
      </w:r>
      <w:r w:rsidRPr="00385081">
        <w:t>YAT</w:t>
      </w:r>
      <w:r>
        <w:t>)</w:t>
      </w:r>
      <w:r w:rsidRPr="00385081">
        <w:t xml:space="preserve"> outcomes. No diminution of effort was evident in this year’s assessment. Steady progress has been made in implementing the majority of the NP elements.</w:t>
      </w:r>
      <w:r w:rsidRPr="00385081">
        <w:rPr>
          <w:rStyle w:val="FootnoteReference"/>
        </w:rPr>
        <w:footnoteReference w:id="2"/>
      </w:r>
    </w:p>
    <w:p w14:paraId="43E53226" w14:textId="77777777" w:rsidR="00A75FA6" w:rsidRDefault="00A75FA6" w:rsidP="00DF79FC">
      <w:pPr>
        <w:pStyle w:val="BodyText"/>
      </w:pPr>
      <w:r w:rsidRPr="00385081">
        <w:t>While the NP elements address some but not all of the factors that influence YAT outcomes, an analysis of high-level data suggests th</w:t>
      </w:r>
      <w:r>
        <w:t>e following</w:t>
      </w:r>
      <w:r w:rsidRPr="00385081">
        <w:t>:</w:t>
      </w:r>
    </w:p>
    <w:p w14:paraId="4AC1A755" w14:textId="77777777" w:rsidR="00A75FA6" w:rsidRDefault="00A75FA6" w:rsidP="00DF79FC">
      <w:pPr>
        <w:pStyle w:val="ListBullet"/>
      </w:pPr>
      <w:r w:rsidRPr="00385081">
        <w:t>Since the NP commenced, participation and attainment</w:t>
      </w:r>
      <w:r>
        <w:t xml:space="preserve"> rates</w:t>
      </w:r>
      <w:r w:rsidRPr="00385081">
        <w:t xml:space="preserve"> have increased, although the number of disengaged young people remains high</w:t>
      </w:r>
      <w:r w:rsidRPr="00385081">
        <w:rPr>
          <w:rStyle w:val="FootnoteReference"/>
        </w:rPr>
        <w:footnoteReference w:id="3"/>
      </w:r>
    </w:p>
    <w:p w14:paraId="023D4552" w14:textId="77777777" w:rsidR="00A75FA6" w:rsidRPr="00385081" w:rsidRDefault="00A75FA6" w:rsidP="00DF79FC">
      <w:pPr>
        <w:pStyle w:val="ListBullet"/>
      </w:pPr>
      <w:r w:rsidRPr="00385081">
        <w:t>The Compact</w:t>
      </w:r>
      <w:r>
        <w:t xml:space="preserve"> with Young Australians</w:t>
      </w:r>
      <w:r w:rsidRPr="00385081">
        <w:t xml:space="preserve"> seems to have had an impact on the target cohort</w:t>
      </w:r>
    </w:p>
    <w:p w14:paraId="0398FB50" w14:textId="77777777" w:rsidR="00A75FA6" w:rsidRPr="00B41322" w:rsidRDefault="00A75FA6" w:rsidP="003D541D">
      <w:pPr>
        <w:pStyle w:val="Listdash"/>
      </w:pPr>
      <w:r w:rsidRPr="003D541D">
        <w:t>Educational participation is increasing among 16–17-year-olds</w:t>
      </w:r>
    </w:p>
    <w:p w14:paraId="1EEDD919" w14:textId="77777777" w:rsidR="00A75FA6" w:rsidRPr="00B41322" w:rsidRDefault="00A75FA6" w:rsidP="00B41322">
      <w:pPr>
        <w:pStyle w:val="Listdash"/>
      </w:pPr>
      <w:r w:rsidRPr="00B41322">
        <w:t>The major impact has been on extending participation by those in education, rather than encouraging re-entry into education by the unemployed</w:t>
      </w:r>
    </w:p>
    <w:p w14:paraId="25AE64EC" w14:textId="77777777" w:rsidR="00A75FA6" w:rsidRPr="003D541D" w:rsidRDefault="00A75FA6" w:rsidP="00B41322">
      <w:pPr>
        <w:pStyle w:val="Listdash"/>
      </w:pPr>
      <w:r w:rsidRPr="000629F8">
        <w:t>An unforeseen consequence may have been a rise in the number of inactive</w:t>
      </w:r>
      <w:r w:rsidR="008B11F2" w:rsidRPr="00BC5229">
        <w:rPr>
          <w:rStyle w:val="FootnoteReference"/>
        </w:rPr>
        <w:footnoteReference w:id="4"/>
      </w:r>
      <w:r w:rsidRPr="003D541D">
        <w:t xml:space="preserve"> young people</w:t>
      </w:r>
      <w:r w:rsidR="00C90A89" w:rsidRPr="00E45705">
        <w:t>, although this will need further investigation</w:t>
      </w:r>
      <w:r w:rsidRPr="003D541D">
        <w:t xml:space="preserve">. Countering this, </w:t>
      </w:r>
      <w:r w:rsidR="001213DB">
        <w:t>t</w:t>
      </w:r>
      <w:r w:rsidRPr="003D541D">
        <w:t xml:space="preserve">he Compact also appears to be associated with a fall in the number of </w:t>
      </w:r>
      <w:r w:rsidR="00C70E9A">
        <w:t>young job seekers receiving income support and also the number of</w:t>
      </w:r>
      <w:r w:rsidR="001213DB">
        <w:t xml:space="preserve"> </w:t>
      </w:r>
      <w:r w:rsidR="00C70E9A">
        <w:t xml:space="preserve">families of </w:t>
      </w:r>
      <w:r w:rsidRPr="003D541D">
        <w:t>young people eligible for Family Tax Benefit Part A</w:t>
      </w:r>
    </w:p>
    <w:p w14:paraId="2E627BF4" w14:textId="77777777" w:rsidR="00A75FA6" w:rsidRPr="000629F8" w:rsidRDefault="00A75FA6" w:rsidP="00B41322">
      <w:pPr>
        <w:pStyle w:val="Listdash"/>
      </w:pPr>
      <w:r w:rsidRPr="00B41322">
        <w:t xml:space="preserve">Now that the legislation is in place, the focus needs to be on assessing how the supporting processes work (e.g., responsibility for following up </w:t>
      </w:r>
      <w:r w:rsidRPr="000629F8">
        <w:t>young people</w:t>
      </w:r>
      <w:r w:rsidR="000B1203">
        <w:t xml:space="preserve"> that are disengaged</w:t>
      </w:r>
      <w:r w:rsidRPr="000629F8">
        <w:t>).</w:t>
      </w:r>
    </w:p>
    <w:p w14:paraId="133A030B" w14:textId="77777777" w:rsidR="00A75FA6" w:rsidRPr="00385081" w:rsidRDefault="00A75FA6" w:rsidP="00DF79FC">
      <w:pPr>
        <w:pStyle w:val="BodyText"/>
      </w:pPr>
      <w:r w:rsidRPr="00385081">
        <w:lastRenderedPageBreak/>
        <w:t>The data on Youth Connections client numbers and outcomes suggest it is also making a measurable contribution to improving participation. The quantitative impacts on participation, attainment and transition of the other elements of the NP are less clear</w:t>
      </w:r>
      <w:r>
        <w:t>,</w:t>
      </w:r>
      <w:r w:rsidRPr="00385081">
        <w:t xml:space="preserve"> although qualitative information suggests that they are generally making a contribution consistent with NP objectives.</w:t>
      </w:r>
    </w:p>
    <w:p w14:paraId="33936C17" w14:textId="77777777" w:rsidR="00A75FA6" w:rsidRPr="00385081" w:rsidRDefault="00A75FA6" w:rsidP="00445D7E">
      <w:pPr>
        <w:pStyle w:val="BodyText"/>
        <w:spacing w:after="160"/>
      </w:pPr>
      <w:r w:rsidRPr="00385081">
        <w:t>In terms of efficiency objectives:</w:t>
      </w:r>
    </w:p>
    <w:p w14:paraId="39A67B32" w14:textId="77777777" w:rsidR="00A75FA6" w:rsidRDefault="00A75FA6" w:rsidP="00901920">
      <w:pPr>
        <w:pStyle w:val="ListBullet"/>
      </w:pPr>
      <w:r w:rsidRPr="00385081">
        <w:t>Measurements against objectives are being effectively tracked</w:t>
      </w:r>
    </w:p>
    <w:p w14:paraId="42D0FE46" w14:textId="77777777" w:rsidR="00A75FA6" w:rsidRPr="00385081" w:rsidRDefault="00A75FA6" w:rsidP="00D57147">
      <w:pPr>
        <w:pStyle w:val="ListBullet"/>
      </w:pPr>
      <w:r w:rsidRPr="00385081">
        <w:t xml:space="preserve">A number of </w:t>
      </w:r>
      <w:r w:rsidR="000B1203">
        <w:t xml:space="preserve">NP </w:t>
      </w:r>
      <w:r w:rsidRPr="00385081">
        <w:t>targets are being achieved</w:t>
      </w:r>
    </w:p>
    <w:p w14:paraId="66B7A223" w14:textId="77777777" w:rsidR="00A75FA6" w:rsidRPr="00385081" w:rsidRDefault="00A75FA6" w:rsidP="00520FB3">
      <w:pPr>
        <w:pStyle w:val="ListBullet"/>
      </w:pPr>
      <w:r w:rsidRPr="00385081">
        <w:t>The NP has created efficiencies in the YAT area through better coordination of initiatives and information sharing</w:t>
      </w:r>
    </w:p>
    <w:p w14:paraId="2DD40955" w14:textId="77777777" w:rsidR="00A75FA6" w:rsidRPr="00385081" w:rsidRDefault="00A75FA6" w:rsidP="00715899">
      <w:pPr>
        <w:pStyle w:val="ListBullet"/>
      </w:pPr>
      <w:r w:rsidRPr="00385081">
        <w:t>The Compact seems to have increased participation and reduced the number of job seekers receiving benefits, at minimal cost.</w:t>
      </w:r>
    </w:p>
    <w:p w14:paraId="3A76DBF2" w14:textId="77777777" w:rsidR="00A75FA6" w:rsidRPr="00385081" w:rsidRDefault="00A75FA6" w:rsidP="00715899">
      <w:pPr>
        <w:pStyle w:val="BodyText"/>
      </w:pPr>
      <w:r w:rsidRPr="00385081">
        <w:t>The effectiveness of governance and implementation is generally sound</w:t>
      </w:r>
      <w:r>
        <w:t>,</w:t>
      </w:r>
      <w:r w:rsidRPr="00385081">
        <w:t xml:space="preserve"> with progress noted in some areas where scope for improvement was identified in the Year 1 evaluation.</w:t>
      </w:r>
    </w:p>
    <w:p w14:paraId="7CE09320" w14:textId="77777777" w:rsidR="00A75FA6" w:rsidRPr="00385081" w:rsidRDefault="00A75FA6" w:rsidP="00715899">
      <w:pPr>
        <w:pStyle w:val="BodyText"/>
      </w:pPr>
      <w:r w:rsidRPr="00385081">
        <w:t>Some refinements to the implementation of individual NP elements warrant consideration. However, these are generally ‘continuous improvement’ in nature rather than activit</w:t>
      </w:r>
      <w:r>
        <w:t>ies</w:t>
      </w:r>
      <w:r w:rsidRPr="00385081">
        <w:t xml:space="preserve"> requiring </w:t>
      </w:r>
      <w:r>
        <w:t>significant</w:t>
      </w:r>
      <w:r w:rsidRPr="00385081">
        <w:t xml:space="preserve"> intervention.</w:t>
      </w:r>
    </w:p>
    <w:p w14:paraId="4E792604" w14:textId="77777777" w:rsidR="00A75FA6" w:rsidRDefault="00A75FA6" w:rsidP="00B94D6A">
      <w:pPr>
        <w:pStyle w:val="Heading2NoNumbering"/>
      </w:pPr>
      <w:bookmarkStart w:id="7" w:name="_Toc219347229"/>
      <w:r>
        <w:t>B</w:t>
      </w:r>
      <w:r w:rsidRPr="00385081">
        <w:t>eyond the current National Partnership</w:t>
      </w:r>
      <w:bookmarkEnd w:id="7"/>
    </w:p>
    <w:p w14:paraId="18B436CE" w14:textId="77777777" w:rsidR="00A75FA6" w:rsidRDefault="00A75FA6" w:rsidP="00A01453">
      <w:pPr>
        <w:pStyle w:val="BodyText"/>
      </w:pPr>
      <w:r w:rsidRPr="00385081">
        <w:t>YAT outcomes are important in terms of life outcomes for individuals as well as national economic outcomes and reducing income support dependency. Australia's performance in terms of YAT outcomes has been weak relative to other OECD countries for much of the last decade. Given the most recent OECD data was published in 2010, any positive outcomes associated with the NP are not yet reflected in reports but should be evident when future OECD reports are published</w:t>
      </w:r>
      <w:r>
        <w:t>.</w:t>
      </w:r>
    </w:p>
    <w:p w14:paraId="54A73E06" w14:textId="77777777" w:rsidR="00A75FA6" w:rsidRPr="00385081" w:rsidRDefault="00A75FA6" w:rsidP="00A01453">
      <w:pPr>
        <w:pStyle w:val="BodyText"/>
      </w:pPr>
      <w:r>
        <w:t>It is now evident</w:t>
      </w:r>
      <w:r w:rsidRPr="00385081">
        <w:t xml:space="preserve"> what is needed to improve outcomes and the challenges that need to be overcome. It seems clear that better outcomes require comprehensive and coordinated actions and initiatives across jurisdictions. There is therefore a continued need for a coherent, long-term</w:t>
      </w:r>
      <w:r>
        <w:t>,</w:t>
      </w:r>
      <w:r w:rsidRPr="00385081">
        <w:t xml:space="preserve"> national YAT policy </w:t>
      </w:r>
      <w:r>
        <w:t>that</w:t>
      </w:r>
      <w:r w:rsidRPr="00385081">
        <w:t>:</w:t>
      </w:r>
    </w:p>
    <w:p w14:paraId="2F034712" w14:textId="77777777" w:rsidR="00A75FA6" w:rsidRPr="00385081" w:rsidRDefault="00A75FA6">
      <w:pPr>
        <w:pStyle w:val="ListBullet"/>
      </w:pPr>
      <w:r>
        <w:t>B</w:t>
      </w:r>
      <w:r w:rsidRPr="00385081">
        <w:t>uild</w:t>
      </w:r>
      <w:r>
        <w:t>s</w:t>
      </w:r>
      <w:r w:rsidRPr="00385081">
        <w:t xml:space="preserve"> on the gains being made in participation and attainment through improved engagement</w:t>
      </w:r>
    </w:p>
    <w:p w14:paraId="2BCA3DAE" w14:textId="77777777" w:rsidR="00A75FA6" w:rsidRPr="00385081" w:rsidRDefault="00A75FA6">
      <w:pPr>
        <w:pStyle w:val="ListBullet"/>
      </w:pPr>
      <w:r>
        <w:t>D</w:t>
      </w:r>
      <w:r w:rsidRPr="00385081">
        <w:t>ecreas</w:t>
      </w:r>
      <w:r>
        <w:t>es</w:t>
      </w:r>
      <w:r w:rsidRPr="00385081">
        <w:t xml:space="preserve"> the number of disengaged young people.</w:t>
      </w:r>
    </w:p>
    <w:p w14:paraId="08AD0246" w14:textId="77777777" w:rsidR="00A75FA6" w:rsidRPr="00385081" w:rsidRDefault="00A75FA6">
      <w:pPr>
        <w:pStyle w:val="BodyText"/>
        <w:spacing w:after="160"/>
      </w:pPr>
      <w:r w:rsidRPr="00385081">
        <w:t>While the current NP addresses many areas where action</w:t>
      </w:r>
      <w:r>
        <w:t xml:space="preserve"> is</w:t>
      </w:r>
      <w:r w:rsidRPr="00385081">
        <w:t xml:space="preserve"> required, a renewed and more comprehensive focus is warranted when it ends.</w:t>
      </w:r>
    </w:p>
    <w:p w14:paraId="703CE489" w14:textId="77777777" w:rsidR="000C29CF" w:rsidRPr="00E47BDC" w:rsidRDefault="000C29CF" w:rsidP="000C29CF">
      <w:pPr>
        <w:pStyle w:val="BodyText"/>
        <w:spacing w:after="160"/>
      </w:pPr>
      <w:r>
        <w:t>Achieving YAT goals requires a</w:t>
      </w:r>
      <w:r w:rsidRPr="00E47BDC">
        <w:t xml:space="preserve"> </w:t>
      </w:r>
      <w:r w:rsidR="000B1203">
        <w:t xml:space="preserve">national </w:t>
      </w:r>
      <w:r w:rsidRPr="00E47BDC">
        <w:t xml:space="preserve">policy </w:t>
      </w:r>
      <w:r>
        <w:t>focus concentrated in</w:t>
      </w:r>
      <w:r w:rsidR="00AF26AB">
        <w:t xml:space="preserve"> five</w:t>
      </w:r>
      <w:r w:rsidRPr="00E47BDC">
        <w:t xml:space="preserve"> areas:</w:t>
      </w:r>
    </w:p>
    <w:p w14:paraId="6B1842F2" w14:textId="77777777" w:rsidR="000C29CF" w:rsidRPr="00E47BDC" w:rsidRDefault="000C29CF" w:rsidP="000629F8">
      <w:pPr>
        <w:pStyle w:val="ListBullet"/>
      </w:pPr>
      <w:r w:rsidRPr="00E47BDC">
        <w:t xml:space="preserve">The educational fundamentals need to be put in place. This </w:t>
      </w:r>
      <w:r w:rsidR="000B1203">
        <w:t>area</w:t>
      </w:r>
      <w:r w:rsidRPr="00E47BDC">
        <w:t xml:space="preserve"> </w:t>
      </w:r>
      <w:r w:rsidR="000B1203">
        <w:t>is</w:t>
      </w:r>
      <w:r w:rsidRPr="00E47BDC">
        <w:t xml:space="preserve"> much broader than </w:t>
      </w:r>
      <w:r w:rsidR="000B1203">
        <w:t>YAT</w:t>
      </w:r>
      <w:r w:rsidR="000D344C">
        <w:t>. This</w:t>
      </w:r>
      <w:r w:rsidRPr="00E47BDC">
        <w:t xml:space="preserve"> is the focus of much national policy consideration and is not expanded on further in this report.</w:t>
      </w:r>
    </w:p>
    <w:p w14:paraId="1CCD1C67" w14:textId="77777777" w:rsidR="000C29CF" w:rsidRPr="00E47BDC" w:rsidRDefault="000C29CF" w:rsidP="002165CB">
      <w:pPr>
        <w:pStyle w:val="ListBullet"/>
      </w:pPr>
      <w:r w:rsidRPr="00E47BDC">
        <w:t>The specific capability of upper secondary schooling needs to be strengthened around YAT through improved leadership, relevant professional skills, research and curriculum</w:t>
      </w:r>
    </w:p>
    <w:p w14:paraId="03C750D9" w14:textId="77777777" w:rsidR="000C29CF" w:rsidRPr="00E47BDC" w:rsidRDefault="000C29CF" w:rsidP="002165CB">
      <w:pPr>
        <w:pStyle w:val="ListBullet"/>
      </w:pPr>
      <w:r w:rsidRPr="00E47BDC">
        <w:t>Community-strengthening initiatives need to be deepened to further engage young people, parents, schools and training providers, and business and community groups</w:t>
      </w:r>
    </w:p>
    <w:p w14:paraId="10753581" w14:textId="77777777" w:rsidR="000C29CF" w:rsidRDefault="000C29CF" w:rsidP="002165CB">
      <w:pPr>
        <w:pStyle w:val="ListBullet"/>
      </w:pPr>
      <w:r w:rsidRPr="00E47BDC">
        <w:t>More systematic career development and pathway planning initiatives and r</w:t>
      </w:r>
      <w:r w:rsidR="00AF26AB">
        <w:t>esources need to be implemented</w:t>
      </w:r>
    </w:p>
    <w:p w14:paraId="7B9250D4" w14:textId="77777777" w:rsidR="00AF26AB" w:rsidRPr="000629F8" w:rsidRDefault="00AF26AB" w:rsidP="002165CB">
      <w:pPr>
        <w:pStyle w:val="ListBullet"/>
        <w:rPr>
          <w:bCs/>
          <w:iCs/>
        </w:rPr>
      </w:pPr>
      <w:r w:rsidRPr="00A31CDE">
        <w:rPr>
          <w:bCs/>
          <w:iCs/>
        </w:rPr>
        <w:t>Ensuring that</w:t>
      </w:r>
      <w:r w:rsidR="000B1203">
        <w:rPr>
          <w:bCs/>
          <w:iCs/>
        </w:rPr>
        <w:t xml:space="preserve"> tailored support</w:t>
      </w:r>
      <w:r w:rsidRPr="00A31CDE">
        <w:rPr>
          <w:bCs/>
          <w:iCs/>
        </w:rPr>
        <w:t xml:space="preserve"> services are </w:t>
      </w:r>
      <w:r w:rsidR="000B1203">
        <w:rPr>
          <w:bCs/>
          <w:iCs/>
        </w:rPr>
        <w:t>available to meet</w:t>
      </w:r>
      <w:r w:rsidRPr="00A31CDE">
        <w:rPr>
          <w:bCs/>
          <w:iCs/>
        </w:rPr>
        <w:t xml:space="preserve"> </w:t>
      </w:r>
      <w:r w:rsidR="000B1203">
        <w:rPr>
          <w:bCs/>
          <w:iCs/>
        </w:rPr>
        <w:t xml:space="preserve">the demands of all </w:t>
      </w:r>
      <w:r w:rsidRPr="00A31CDE">
        <w:rPr>
          <w:bCs/>
          <w:iCs/>
        </w:rPr>
        <w:t xml:space="preserve">young people </w:t>
      </w:r>
      <w:r w:rsidR="000B1203">
        <w:rPr>
          <w:bCs/>
          <w:iCs/>
        </w:rPr>
        <w:t xml:space="preserve">that are </w:t>
      </w:r>
      <w:r w:rsidRPr="00A31CDE">
        <w:rPr>
          <w:bCs/>
          <w:iCs/>
        </w:rPr>
        <w:t>at risk</w:t>
      </w:r>
      <w:r w:rsidR="000B1203">
        <w:rPr>
          <w:bCs/>
          <w:iCs/>
        </w:rPr>
        <w:t xml:space="preserve"> of disengaging or are disengaged</w:t>
      </w:r>
      <w:r w:rsidRPr="00A31CDE">
        <w:rPr>
          <w:bCs/>
          <w:iCs/>
        </w:rPr>
        <w:t>.</w:t>
      </w:r>
    </w:p>
    <w:p w14:paraId="3733D358" w14:textId="77777777" w:rsidR="000C29CF" w:rsidRPr="00FF3C71" w:rsidRDefault="000C29CF" w:rsidP="00E45705">
      <w:pPr>
        <w:pStyle w:val="BodyText"/>
      </w:pPr>
      <w:r>
        <w:lastRenderedPageBreak/>
        <w:t xml:space="preserve">It is acknowledged that a broad range of policy initiatives related to productivity and participation impact on these areas, and a replacement for the YAT NP will only be a part of an overall policy agenda. </w:t>
      </w:r>
      <w:r w:rsidR="003D57B1">
        <w:t>The future national policy</w:t>
      </w:r>
      <w:r>
        <w:t xml:space="preserve"> </w:t>
      </w:r>
      <w:r w:rsidR="003D57B1">
        <w:t>needs to</w:t>
      </w:r>
      <w:r>
        <w:t xml:space="preserve"> primarily focus on </w:t>
      </w:r>
      <w:r w:rsidRPr="002E4639">
        <w:t>a set of arrangements that offer support direct</w:t>
      </w:r>
      <w:r>
        <w:t xml:space="preserve">ly to young people, support relevant </w:t>
      </w:r>
      <w:r w:rsidRPr="002E4639">
        <w:t xml:space="preserve">reform occurring within schools, build community capacity, and provide disincentives to nonparticipation </w:t>
      </w:r>
      <w:r>
        <w:t xml:space="preserve">However, it is </w:t>
      </w:r>
      <w:r w:rsidR="003D57B1">
        <w:t xml:space="preserve">also </w:t>
      </w:r>
      <w:r>
        <w:t>important that the alignment between the full set of initiatives is improved and that any</w:t>
      </w:r>
      <w:r w:rsidR="00AF26AB">
        <w:t xml:space="preserve"> ‘gaps’ with respect to the five</w:t>
      </w:r>
      <w:r>
        <w:t xml:space="preserve"> areas outlined above are fil</w:t>
      </w:r>
      <w:r w:rsidR="000D344C">
        <w:t>led</w:t>
      </w:r>
      <w:r>
        <w:t>.</w:t>
      </w:r>
    </w:p>
    <w:p w14:paraId="5A3FBA66" w14:textId="77777777" w:rsidR="00A75FA6" w:rsidRDefault="00A75FA6">
      <w:pPr>
        <w:pStyle w:val="BodyText"/>
      </w:pPr>
      <w:r w:rsidRPr="00385081">
        <w:t xml:space="preserve">These elements need to be underpinned by a coordinated partnership between the </w:t>
      </w:r>
      <w:r>
        <w:t>Australian Government</w:t>
      </w:r>
      <w:r w:rsidRPr="00385081">
        <w:t>, States and Territories</w:t>
      </w:r>
      <w:r>
        <w:t>,</w:t>
      </w:r>
      <w:r w:rsidRPr="00385081">
        <w:t xml:space="preserve"> who have a shared interest in improving youth attainment and transition outcomes.</w:t>
      </w:r>
    </w:p>
    <w:p w14:paraId="59DEB651" w14:textId="77777777" w:rsidR="00A75FA6" w:rsidRPr="00385081" w:rsidRDefault="00A75FA6" w:rsidP="00A75FA6">
      <w:pPr>
        <w:pStyle w:val="Heading1"/>
        <w:spacing w:before="900" w:after="680" w:line="240" w:lineRule="auto"/>
      </w:pPr>
      <w:bookmarkStart w:id="8" w:name="_Toc210355103"/>
      <w:bookmarkStart w:id="9" w:name="_Toc219347230"/>
      <w:bookmarkEnd w:id="3"/>
      <w:r w:rsidRPr="00385081">
        <w:lastRenderedPageBreak/>
        <w:t>Context and background</w:t>
      </w:r>
      <w:bookmarkEnd w:id="8"/>
      <w:bookmarkEnd w:id="9"/>
    </w:p>
    <w:p w14:paraId="50052468" w14:textId="77777777" w:rsidR="00A75FA6" w:rsidRPr="00385081" w:rsidRDefault="00A75FA6" w:rsidP="00A75FA6">
      <w:pPr>
        <w:pStyle w:val="Heading2"/>
      </w:pPr>
      <w:bookmarkStart w:id="10" w:name="_Toc210355104"/>
      <w:bookmarkStart w:id="11" w:name="_Toc219347231"/>
      <w:r w:rsidRPr="00385081">
        <w:t>The importance of youth attainment and transitions</w:t>
      </w:r>
      <w:bookmarkEnd w:id="10"/>
      <w:bookmarkEnd w:id="11"/>
    </w:p>
    <w:p w14:paraId="70528198" w14:textId="77777777" w:rsidR="00A75FA6" w:rsidRDefault="00A75FA6" w:rsidP="005446CB">
      <w:pPr>
        <w:pStyle w:val="BodyText"/>
      </w:pPr>
      <w:r w:rsidRPr="00385081">
        <w:t>The distinctive institutional arrangements and policy settings</w:t>
      </w:r>
      <w:r>
        <w:t xml:space="preserve"> </w:t>
      </w:r>
      <w:r w:rsidRPr="00385081">
        <w:t xml:space="preserve">in education, the labour market and the income support system </w:t>
      </w:r>
      <w:r>
        <w:t>for the</w:t>
      </w:r>
      <w:r w:rsidRPr="00385081">
        <w:t xml:space="preserve"> transition phase reflect the importance of successful school</w:t>
      </w:r>
      <w:r>
        <w:t>-</w:t>
      </w:r>
      <w:r w:rsidRPr="00385081">
        <w:t>to</w:t>
      </w:r>
      <w:r>
        <w:t>-</w:t>
      </w:r>
      <w:r w:rsidRPr="00385081">
        <w:t xml:space="preserve">work transitions not only for the individual, but also for society and the economy as a whole. </w:t>
      </w:r>
      <w:r>
        <w:t>Failure</w:t>
      </w:r>
      <w:r w:rsidRPr="00385081">
        <w:t xml:space="preserve"> to complete high school </w:t>
      </w:r>
      <w:r w:rsidR="009A62AD">
        <w:t xml:space="preserve">(or a vocational training equivalent) </w:t>
      </w:r>
      <w:r w:rsidRPr="00385081">
        <w:t xml:space="preserve">carries costs for individuals: </w:t>
      </w:r>
      <w:r>
        <w:t xml:space="preserve">an </w:t>
      </w:r>
      <w:r w:rsidRPr="00385081">
        <w:t>increased risk of unemployment, lower earnings and lower labour force participation rates. These risks are apparent in the short and the long term. For the economy as a whole</w:t>
      </w:r>
      <w:r>
        <w:t>,</w:t>
      </w:r>
      <w:r w:rsidRPr="00385081">
        <w:t xml:space="preserve"> they translate into reduced levels of GDP and lower national productivity. Wider social costs can be found in health, civic and social engagement and crime. While labour market outcomes from the transition phase are quite good in Australia compared </w:t>
      </w:r>
      <w:r>
        <w:t>with</w:t>
      </w:r>
      <w:r w:rsidRPr="00385081">
        <w:t xml:space="preserve"> many other OECD countries, upper secondary completion rates are only a little above average and have been static until very recently</w:t>
      </w:r>
      <w:r w:rsidR="002B14E7">
        <w:t>,</w:t>
      </w:r>
      <w:r w:rsidRPr="00385081">
        <w:t xml:space="preserve"> in the face of ongoing improvement </w:t>
      </w:r>
      <w:r>
        <w:t>across</w:t>
      </w:r>
      <w:r w:rsidRPr="00385081">
        <w:t xml:space="preserve"> the OECD</w:t>
      </w:r>
      <w:r>
        <w:t xml:space="preserve"> countries</w:t>
      </w:r>
      <w:r w:rsidRPr="00385081">
        <w:t>.</w:t>
      </w:r>
    </w:p>
    <w:p w14:paraId="28429FED" w14:textId="77777777" w:rsidR="00A75FA6" w:rsidRPr="00385081" w:rsidRDefault="00A75FA6" w:rsidP="000629F8">
      <w:pPr>
        <w:pStyle w:val="BodyText"/>
      </w:pPr>
      <w:r w:rsidRPr="00385081">
        <w:t>Transition outcomes are the result of a complex mix of the economic and social context</w:t>
      </w:r>
      <w:r>
        <w:t>s</w:t>
      </w:r>
      <w:r w:rsidRPr="00385081">
        <w:t>, institutional arrangements in education, the labour market</w:t>
      </w:r>
      <w:r>
        <w:t>,</w:t>
      </w:r>
      <w:r w:rsidRPr="00385081">
        <w:t xml:space="preserve"> the income support system and personal qualities, such as resilience and self-confidence. Among the more important influences are the state of the labour market, the structure of </w:t>
      </w:r>
      <w:r>
        <w:t xml:space="preserve">socioeconomic </w:t>
      </w:r>
      <w:r w:rsidRPr="00385081">
        <w:t>advantage and disadvantage</w:t>
      </w:r>
      <w:r>
        <w:t xml:space="preserve"> within society,</w:t>
      </w:r>
      <w:r w:rsidRPr="00385081">
        <w:t xml:space="preserve"> and in particular socioeconomic status, early educational achievement and the ways in which school climate and quality influence engagement with and interest in learning. Labour market conditions appear to have a greater impact on some transition outcomes in Australia than elsewhere, with youth unemployment rates being more susceptible to economic downturns than in many other OECD countries.</w:t>
      </w:r>
    </w:p>
    <w:p w14:paraId="1EFE1CBE" w14:textId="77777777" w:rsidR="00A75FA6" w:rsidRPr="00385081" w:rsidRDefault="00A75FA6" w:rsidP="002165CB">
      <w:pPr>
        <w:pStyle w:val="BodyText"/>
      </w:pPr>
      <w:r w:rsidRPr="00385081">
        <w:t xml:space="preserve">The transition process in Australia has </w:t>
      </w:r>
      <w:r>
        <w:t>changed</w:t>
      </w:r>
      <w:r w:rsidRPr="00385081">
        <w:t xml:space="preserve"> in recent years, increasing the policy challenge associated with achieving improved outcomes. Full-time employment opportunities have been declining, the transition to stable employment after leaving education has become </w:t>
      </w:r>
      <w:r>
        <w:t>harder,</w:t>
      </w:r>
      <w:r w:rsidRPr="00385081">
        <w:t xml:space="preserve"> and transitions are more uncertain and more unstable. Since the early 1990s</w:t>
      </w:r>
      <w:r>
        <w:t>,</w:t>
      </w:r>
      <w:r w:rsidRPr="00385081">
        <w:t xml:space="preserve"> there has been a notable increase in the proportion of young people who are neither in education, employment nor training.</w:t>
      </w:r>
    </w:p>
    <w:p w14:paraId="15A1701B" w14:textId="77777777" w:rsidR="00A75FA6" w:rsidRPr="00385081" w:rsidRDefault="00A75FA6" w:rsidP="002165CB">
      <w:pPr>
        <w:pStyle w:val="BodyText"/>
      </w:pPr>
      <w:r w:rsidRPr="00385081">
        <w:t>The key to improving Australia’s transition outcomes overall is to raise outcomes among the lowest achievers and the most disadvantaged. While many of the factors listed above have a strong impact, they are not all determining. For example, many young people who are disadvantaged or low achievers are characterised by good transition outcomes.</w:t>
      </w:r>
    </w:p>
    <w:p w14:paraId="6D566F6F" w14:textId="77777777" w:rsidR="00A75FA6" w:rsidRPr="00385081" w:rsidRDefault="00A75FA6" w:rsidP="002165CB">
      <w:pPr>
        <w:pStyle w:val="BodyText"/>
      </w:pPr>
      <w:r w:rsidRPr="00385081">
        <w:t>Strategies that can improve outcomes for low achievers and the disadvantaged are evident from the research literature</w:t>
      </w:r>
      <w:r>
        <w:t>; f</w:t>
      </w:r>
      <w:r w:rsidRPr="00385081">
        <w:t>or example</w:t>
      </w:r>
      <w:r>
        <w:t>,</w:t>
      </w:r>
      <w:r w:rsidRPr="00385081">
        <w:t xml:space="preserve"> a positive school climate that increases learning engagement; motivation and having a career goal; self-confidence; and personal support in the form of mentoring, tutoring and addressing welfare needs. Whole-of-school approaches are important, not only interventions that target the individual student. For those young people who do drop out of school, international </w:t>
      </w:r>
      <w:r w:rsidR="00725FC6">
        <w:t xml:space="preserve">and Australian </w:t>
      </w:r>
      <w:r w:rsidRPr="00385081">
        <w:t xml:space="preserve">experience shows that early intervention designed to reinsert them into education is important, as are mutual obligation approaches to income support. International </w:t>
      </w:r>
      <w:r w:rsidR="00725FC6">
        <w:t xml:space="preserve">and Australian </w:t>
      </w:r>
      <w:r w:rsidRPr="00385081">
        <w:t xml:space="preserve">experience also suggests that good overall transition outcomes can result </w:t>
      </w:r>
      <w:r>
        <w:t>from</w:t>
      </w:r>
      <w:r w:rsidRPr="00385081">
        <w:t xml:space="preserve"> a range of policy settings </w:t>
      </w:r>
      <w:r>
        <w:t>–</w:t>
      </w:r>
      <w:r w:rsidRPr="00385081">
        <w:t xml:space="preserve"> there is no silver bullet.</w:t>
      </w:r>
    </w:p>
    <w:p w14:paraId="27FDD4EF" w14:textId="77777777" w:rsidR="00A75FA6" w:rsidRPr="00385081" w:rsidRDefault="00A75FA6" w:rsidP="00A75FA6">
      <w:pPr>
        <w:pStyle w:val="Heading2"/>
      </w:pPr>
      <w:bookmarkStart w:id="12" w:name="_Toc210355105"/>
      <w:bookmarkStart w:id="13" w:name="_Toc219347232"/>
      <w:r w:rsidRPr="00385081">
        <w:lastRenderedPageBreak/>
        <w:t>The National Partnership on Youth Attainment and Transitions</w:t>
      </w:r>
      <w:bookmarkEnd w:id="12"/>
      <w:bookmarkEnd w:id="13"/>
    </w:p>
    <w:p w14:paraId="4FDEA5F9" w14:textId="77777777" w:rsidR="00A75FA6" w:rsidRPr="002165CB" w:rsidRDefault="00A75FA6" w:rsidP="002165CB">
      <w:pPr>
        <w:pStyle w:val="Heading3"/>
      </w:pPr>
      <w:r w:rsidRPr="002165CB">
        <w:t>Background</w:t>
      </w:r>
    </w:p>
    <w:p w14:paraId="2B92106F" w14:textId="77777777" w:rsidR="00A75FA6" w:rsidRPr="00385081" w:rsidRDefault="00A75FA6" w:rsidP="002165CB">
      <w:pPr>
        <w:pStyle w:val="BodyText"/>
      </w:pPr>
      <w:r w:rsidRPr="00385081">
        <w:t xml:space="preserve">COAG agreed to the National Partnership on Youth Attainment and Transitions in July 2009. The NP seeks to </w:t>
      </w:r>
      <w:r>
        <w:t>improve</w:t>
      </w:r>
      <w:r w:rsidRPr="00385081">
        <w:t xml:space="preserve"> educational outcomes and transitions for young Australians to further education, training or employment. Specifically, the NP focuses on 15</w:t>
      </w:r>
      <w:r w:rsidR="002B14E7">
        <w:t xml:space="preserve"> to </w:t>
      </w:r>
      <w:r w:rsidRPr="00385081">
        <w:t>24</w:t>
      </w:r>
      <w:r w:rsidR="002B14E7">
        <w:t xml:space="preserve"> </w:t>
      </w:r>
      <w:r w:rsidRPr="00385081">
        <w:t>year</w:t>
      </w:r>
      <w:r w:rsidR="002B14E7">
        <w:t xml:space="preserve"> </w:t>
      </w:r>
      <w:r w:rsidRPr="00385081">
        <w:t>olds, young people at risk</w:t>
      </w:r>
      <w:r>
        <w:t>,</w:t>
      </w:r>
      <w:r w:rsidRPr="00385081">
        <w:t xml:space="preserve"> and the educational attainment and engagement of young Indigenous Australians.</w:t>
      </w:r>
    </w:p>
    <w:p w14:paraId="1D8D3709" w14:textId="77777777" w:rsidR="00A75FA6" w:rsidRPr="00385081" w:rsidRDefault="00A75FA6" w:rsidP="000629F8">
      <w:pPr>
        <w:pStyle w:val="BodyText"/>
      </w:pPr>
      <w:r w:rsidRPr="00385081">
        <w:t xml:space="preserve">The NP builds on the previous COAG commitments to lift the Year 12 or equivalent attainment to 90 per cent by 2020, and to at least halve the gap in attainment for Indigenous </w:t>
      </w:r>
      <w:r w:rsidR="00725FC6">
        <w:t>young people</w:t>
      </w:r>
      <w:r w:rsidRPr="00385081">
        <w:t>. Following the global financial crisis (GFC), young people with low education and skill levels were thought to be particularly vulnerable</w:t>
      </w:r>
      <w:r>
        <w:t>. I</w:t>
      </w:r>
      <w:r w:rsidRPr="00385081">
        <w:t xml:space="preserve">t was recognised that even greater priority needed to be given to maximising youth retention, engagement and attainment. As a result, it was agreed to accelerate the development of the NP </w:t>
      </w:r>
      <w:r>
        <w:t>and to bring</w:t>
      </w:r>
      <w:r w:rsidRPr="00385081">
        <w:t xml:space="preserve"> forward the 2020 attainment target to 2015, which is a key outcome of the NP.</w:t>
      </w:r>
    </w:p>
    <w:p w14:paraId="4D851D66" w14:textId="77777777" w:rsidR="00A75FA6" w:rsidRDefault="00A75FA6" w:rsidP="002165CB">
      <w:pPr>
        <w:pStyle w:val="BodyText"/>
      </w:pPr>
      <w:r w:rsidRPr="00385081">
        <w:t xml:space="preserve">To support the COAG resolution, the </w:t>
      </w:r>
      <w:r>
        <w:t>Australian Government</w:t>
      </w:r>
      <w:r w:rsidRPr="00385081">
        <w:t xml:space="preserve"> agreed to consolidate and streamline the existing suite of </w:t>
      </w:r>
      <w:r>
        <w:t>federal</w:t>
      </w:r>
      <w:r w:rsidRPr="00385081">
        <w:t xml:space="preserve"> youth career and transitions programs and funding (which primarily </w:t>
      </w:r>
      <w:r>
        <w:t xml:space="preserve">appeared </w:t>
      </w:r>
      <w:r w:rsidRPr="00385081">
        <w:t xml:space="preserve">under the banner of Career Advice Australia) into four of the elements </w:t>
      </w:r>
      <w:r>
        <w:t>of</w:t>
      </w:r>
      <w:r w:rsidRPr="00385081">
        <w:t xml:space="preserve"> the NP. Given the economic climate at the time, and to minimise disruption to services and enable a rapid response, the </w:t>
      </w:r>
      <w:r>
        <w:t>Australian Government</w:t>
      </w:r>
      <w:r w:rsidRPr="00385081">
        <w:t xml:space="preserve"> decided to build on existing </w:t>
      </w:r>
      <w:r>
        <w:t>national</w:t>
      </w:r>
      <w:r w:rsidRPr="00385081">
        <w:t xml:space="preserve"> investments in the short term.</w:t>
      </w:r>
    </w:p>
    <w:p w14:paraId="06C5B6B0" w14:textId="77777777" w:rsidR="00A75FA6" w:rsidRDefault="00A75FA6" w:rsidP="00A75FA6">
      <w:pPr>
        <w:pStyle w:val="Heading3"/>
      </w:pPr>
      <w:r w:rsidRPr="00385081">
        <w:t>Objectives, outcomes, performance indicators and outputs</w:t>
      </w:r>
    </w:p>
    <w:p w14:paraId="69FE2F3D" w14:textId="77777777" w:rsidR="00A75FA6" w:rsidRPr="00385081" w:rsidRDefault="00A75FA6" w:rsidP="00A75FA6">
      <w:pPr>
        <w:pStyle w:val="BodyText"/>
      </w:pPr>
      <w:r w:rsidRPr="00385081">
        <w:t>The NP sets out a number of objectives, outcomes, performance indicators and outputs</w:t>
      </w:r>
      <w:r>
        <w:t xml:space="preserve"> (see Table 1.1).</w:t>
      </w:r>
    </w:p>
    <w:p w14:paraId="576724EE" w14:textId="77777777" w:rsidR="00951C96" w:rsidRDefault="00951C96">
      <w:pPr>
        <w:spacing w:line="380" w:lineRule="atLeast"/>
        <w:rPr>
          <w:bCs/>
          <w:caps/>
          <w:color w:val="3C3C3B"/>
          <w:sz w:val="16"/>
          <w:szCs w:val="18"/>
        </w:rPr>
      </w:pPr>
      <w:bookmarkStart w:id="14" w:name="_Ref206573628"/>
      <w:r>
        <w:br w:type="page"/>
      </w:r>
    </w:p>
    <w:p w14:paraId="2B009C46" w14:textId="77777777" w:rsidR="00A75FA6" w:rsidRPr="00385081" w:rsidRDefault="00A75FA6" w:rsidP="00A75FA6">
      <w:pPr>
        <w:pStyle w:val="Caption"/>
        <w:keepNext/>
      </w:pPr>
      <w:r w:rsidRPr="00385081">
        <w:lastRenderedPageBreak/>
        <w:t xml:space="preserve">Table </w:t>
      </w:r>
      <w:r w:rsidR="001D7D12">
        <w:fldChar w:fldCharType="begin"/>
      </w:r>
      <w:r w:rsidR="001D7D12">
        <w:instrText xml:space="preserve"> SEQ Table \* A</w:instrText>
      </w:r>
      <w:r w:rsidR="001D7D12">
        <w:instrText xml:space="preserve">RABIC </w:instrText>
      </w:r>
      <w:r w:rsidR="001D7D12">
        <w:fldChar w:fldCharType="separate"/>
      </w:r>
      <w:r w:rsidR="00A76CFC">
        <w:rPr>
          <w:noProof/>
        </w:rPr>
        <w:t>1</w:t>
      </w:r>
      <w:r w:rsidR="001D7D12">
        <w:rPr>
          <w:noProof/>
        </w:rPr>
        <w:fldChar w:fldCharType="end"/>
      </w:r>
      <w:bookmarkEnd w:id="14"/>
      <w:r>
        <w:t>.1</w:t>
      </w:r>
      <w:r w:rsidRPr="00385081">
        <w:t>: Objectives, Outcomes, Performance Indicators and Outputs</w:t>
      </w:r>
    </w:p>
    <w:tbl>
      <w:tblPr>
        <w:tblStyle w:val="DandoloTableCentred"/>
        <w:tblW w:w="0" w:type="auto"/>
        <w:tblLook w:val="04A0" w:firstRow="1" w:lastRow="0" w:firstColumn="1" w:lastColumn="0" w:noHBand="0" w:noVBand="1"/>
        <w:tblCaption w:val="Objectives, Outcomes, Performance Indicators and Outputs"/>
        <w:tblDescription w:val="Objectives, Outcomes, Performance Indicators and Outputs of the NP"/>
      </w:tblPr>
      <w:tblGrid>
        <w:gridCol w:w="1134"/>
        <w:gridCol w:w="2794"/>
        <w:gridCol w:w="2795"/>
        <w:gridCol w:w="2795"/>
      </w:tblGrid>
      <w:tr w:rsidR="00A75FA6" w:rsidRPr="00385081" w14:paraId="6C16EECE"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177ECCA" w14:textId="77777777" w:rsidR="00A75FA6" w:rsidRPr="00385081" w:rsidRDefault="00A75FA6" w:rsidP="00F935CF">
            <w:pPr>
              <w:pStyle w:val="BodyText"/>
            </w:pPr>
            <w:r w:rsidRPr="00385081">
              <w:t>Objectives</w:t>
            </w:r>
          </w:p>
        </w:tc>
        <w:tc>
          <w:tcPr>
            <w:tcW w:w="8384" w:type="dxa"/>
            <w:gridSpan w:val="3"/>
            <w:vAlign w:val="top"/>
          </w:tcPr>
          <w:p w14:paraId="00C3E68A" w14:textId="77777777" w:rsidR="00A75FA6" w:rsidRPr="00385081" w:rsidRDefault="00A75FA6" w:rsidP="00F935CF">
            <w:pPr>
              <w:pStyle w:val="TableCellText"/>
              <w:jc w:val="left"/>
              <w:cnfStyle w:val="100000000000" w:firstRow="1" w:lastRow="0" w:firstColumn="0" w:lastColumn="0" w:oddVBand="0" w:evenVBand="0" w:oddHBand="0" w:evenHBand="0" w:firstRowFirstColumn="0" w:firstRowLastColumn="0" w:lastRowFirstColumn="0" w:lastRowLastColumn="0"/>
            </w:pPr>
            <w:r w:rsidRPr="00385081">
              <w:t>Work towards achieving improvements in high</w:t>
            </w:r>
            <w:r>
              <w:t>-</w:t>
            </w:r>
            <w:r w:rsidRPr="00385081">
              <w:t>level outcomes for schooling</w:t>
            </w:r>
          </w:p>
          <w:p w14:paraId="766FF7D9" w14:textId="77777777" w:rsidR="00A75FA6" w:rsidRPr="00385081" w:rsidRDefault="00A75FA6" w:rsidP="00F935CF">
            <w:pPr>
              <w:pStyle w:val="TableCellText"/>
              <w:jc w:val="left"/>
              <w:cnfStyle w:val="100000000000" w:firstRow="1" w:lastRow="0" w:firstColumn="0" w:lastColumn="0" w:oddVBand="0" w:evenVBand="0" w:oddHBand="0" w:evenHBand="0" w:firstRowFirstColumn="0" w:firstRowLastColumn="0" w:lastRowFirstColumn="0" w:lastRowLastColumn="0"/>
            </w:pPr>
            <w:r w:rsidRPr="00385081">
              <w:t>Work towards increasing the qualifications and skill level of the Australian population</w:t>
            </w:r>
          </w:p>
          <w:p w14:paraId="4084371F" w14:textId="77777777" w:rsidR="00A75FA6" w:rsidRPr="00385081" w:rsidRDefault="00A75FA6" w:rsidP="00F935CF">
            <w:pPr>
              <w:pStyle w:val="TableCellText"/>
              <w:jc w:val="left"/>
              <w:cnfStyle w:val="100000000000" w:firstRow="1" w:lastRow="0" w:firstColumn="0" w:lastColumn="0" w:oddVBand="0" w:evenVBand="0" w:oddHBand="0" w:evenHBand="0" w:firstRowFirstColumn="0" w:firstRowLastColumn="0" w:lastRowFirstColumn="0" w:lastRowLastColumn="0"/>
            </w:pPr>
            <w:r w:rsidRPr="00385081">
              <w:t xml:space="preserve">Achieve </w:t>
            </w:r>
            <w:r>
              <w:t>increases</w:t>
            </w:r>
            <w:r w:rsidRPr="00385081">
              <w:t xml:space="preserve"> in the numbers of young Australians making successful transitions from schooling to further education, training or employment</w:t>
            </w:r>
          </w:p>
          <w:p w14:paraId="2B4365DF" w14:textId="77777777" w:rsidR="00A75FA6" w:rsidRPr="00385081" w:rsidRDefault="00A75FA6" w:rsidP="00F935CF">
            <w:pPr>
              <w:pStyle w:val="TableCellText"/>
              <w:jc w:val="left"/>
              <w:cnfStyle w:val="100000000000" w:firstRow="1" w:lastRow="0" w:firstColumn="0" w:lastColumn="0" w:oddVBand="0" w:evenVBand="0" w:oddHBand="0" w:evenHBand="0" w:firstRowFirstColumn="0" w:firstRowLastColumn="0" w:lastRowFirstColumn="0" w:lastRowLastColumn="0"/>
            </w:pPr>
            <w:r w:rsidRPr="00385081">
              <w:t>Work collaboratively to improve the support provided to young Australians to increase educational outcomes</w:t>
            </w:r>
            <w:r>
              <w:t xml:space="preserve"> and</w:t>
            </w:r>
            <w:r w:rsidRPr="00385081">
              <w:t xml:space="preserve"> attainment</w:t>
            </w:r>
            <w:r>
              <w:t>,</w:t>
            </w:r>
            <w:r w:rsidRPr="00385081">
              <w:t xml:space="preserve"> and improve transitions</w:t>
            </w:r>
          </w:p>
          <w:p w14:paraId="53A7EC09" w14:textId="77777777" w:rsidR="00A75FA6" w:rsidRPr="00385081" w:rsidRDefault="00A75FA6" w:rsidP="00F935CF">
            <w:pPr>
              <w:pStyle w:val="TableCellText"/>
              <w:jc w:val="left"/>
              <w:cnfStyle w:val="100000000000" w:firstRow="1" w:lastRow="0" w:firstColumn="0" w:lastColumn="0" w:oddVBand="0" w:evenVBand="0" w:oddHBand="0" w:evenHBand="0" w:firstRowFirstColumn="0" w:firstRowLastColumn="0" w:lastRowFirstColumn="0" w:lastRowLastColumn="0"/>
            </w:pPr>
            <w:r w:rsidRPr="00385081">
              <w:t>Develop a skilled and work</w:t>
            </w:r>
            <w:r>
              <w:t>-</w:t>
            </w:r>
            <w:r w:rsidRPr="00385081">
              <w:t>ready Indigenous workforce by increasing the educational attainment and engagement of young Indigenous Australians</w:t>
            </w:r>
          </w:p>
        </w:tc>
      </w:tr>
      <w:tr w:rsidR="00A75FA6" w:rsidRPr="00385081" w14:paraId="3A2940D3" w14:textId="77777777" w:rsidTr="00F935CF">
        <w:tc>
          <w:tcPr>
            <w:cnfStyle w:val="001000000000" w:firstRow="0" w:lastRow="0" w:firstColumn="1" w:lastColumn="0" w:oddVBand="0" w:evenVBand="0" w:oddHBand="0" w:evenHBand="0" w:firstRowFirstColumn="0" w:firstRowLastColumn="0" w:lastRowFirstColumn="0" w:lastRowLastColumn="0"/>
            <w:tcW w:w="1134" w:type="dxa"/>
          </w:tcPr>
          <w:p w14:paraId="46D4575C" w14:textId="77777777" w:rsidR="00A75FA6" w:rsidRPr="00385081" w:rsidRDefault="00A75FA6" w:rsidP="00F935CF">
            <w:pPr>
              <w:pStyle w:val="BodyText"/>
              <w:rPr>
                <w:color w:val="800000"/>
              </w:rPr>
            </w:pPr>
            <w:r w:rsidRPr="00385081">
              <w:rPr>
                <w:color w:val="800000"/>
              </w:rPr>
              <w:t>Outcomes</w:t>
            </w:r>
          </w:p>
        </w:tc>
        <w:tc>
          <w:tcPr>
            <w:tcW w:w="2794" w:type="dxa"/>
            <w:vAlign w:val="top"/>
          </w:tcPr>
          <w:p w14:paraId="5B284E72"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Increased participation of young people in education and training</w:t>
            </w:r>
          </w:p>
          <w:p w14:paraId="34564614"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Improved Indigenous attendance</w:t>
            </w:r>
          </w:p>
          <w:p w14:paraId="6CCB3EDC"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Improved Indigenous retention</w:t>
            </w:r>
          </w:p>
        </w:tc>
        <w:tc>
          <w:tcPr>
            <w:tcW w:w="2795" w:type="dxa"/>
            <w:vAlign w:val="top"/>
          </w:tcPr>
          <w:p w14:paraId="4C3776B5"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t>More y</w:t>
            </w:r>
            <w:r w:rsidRPr="00385081">
              <w:t>oung people make a successful transition from school to further education, training or full-time employment</w:t>
            </w:r>
          </w:p>
        </w:tc>
        <w:tc>
          <w:tcPr>
            <w:tcW w:w="2795" w:type="dxa"/>
            <w:vAlign w:val="top"/>
          </w:tcPr>
          <w:p w14:paraId="06D1D01B"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Increased attainment of young people aged 15</w:t>
            </w:r>
            <w:r>
              <w:t xml:space="preserve"> to </w:t>
            </w:r>
            <w:r w:rsidRPr="00385081">
              <w:t>24, including Indigenous youth</w:t>
            </w:r>
          </w:p>
        </w:tc>
      </w:tr>
      <w:tr w:rsidR="00A75FA6" w:rsidRPr="00385081" w14:paraId="1D8DC0E6" w14:textId="77777777" w:rsidTr="00F935CF">
        <w:tc>
          <w:tcPr>
            <w:cnfStyle w:val="001000000000" w:firstRow="0" w:lastRow="0" w:firstColumn="1" w:lastColumn="0" w:oddVBand="0" w:evenVBand="0" w:oddHBand="0" w:evenHBand="0" w:firstRowFirstColumn="0" w:firstRowLastColumn="0" w:lastRowFirstColumn="0" w:lastRowLastColumn="0"/>
            <w:tcW w:w="1134" w:type="dxa"/>
          </w:tcPr>
          <w:p w14:paraId="5BA8AE26" w14:textId="77777777" w:rsidR="00A75FA6" w:rsidRPr="00385081" w:rsidRDefault="00A75FA6" w:rsidP="00F935CF">
            <w:pPr>
              <w:pStyle w:val="BodyText"/>
              <w:rPr>
                <w:color w:val="800000"/>
              </w:rPr>
            </w:pPr>
            <w:r w:rsidRPr="00385081">
              <w:rPr>
                <w:color w:val="800000"/>
              </w:rPr>
              <w:t>Performance indicators</w:t>
            </w:r>
          </w:p>
        </w:tc>
        <w:tc>
          <w:tcPr>
            <w:tcW w:w="2794" w:type="dxa"/>
            <w:vAlign w:val="top"/>
          </w:tcPr>
          <w:p w14:paraId="712DDD4A"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Enrolment of full-time equivalent students in Years 11 and 12</w:t>
            </w:r>
          </w:p>
          <w:p w14:paraId="078F58E5"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Number of 15</w:t>
            </w:r>
            <w:r>
              <w:t>–</w:t>
            </w:r>
            <w:r w:rsidRPr="00385081">
              <w:t>19</w:t>
            </w:r>
            <w:r>
              <w:t>-</w:t>
            </w:r>
            <w:r w:rsidRPr="00385081">
              <w:t>year</w:t>
            </w:r>
            <w:r>
              <w:t>-</w:t>
            </w:r>
            <w:r w:rsidRPr="00385081">
              <w:t>olds without Year 12 and not enrolled in school who are enrolled in a VET course at Certificate II level or above</w:t>
            </w:r>
          </w:p>
          <w:p w14:paraId="21520A28"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Attendance rates for Indigenous students in Years 1</w:t>
            </w:r>
            <w:r>
              <w:t>–</w:t>
            </w:r>
            <w:r w:rsidRPr="00385081">
              <w:t>10 in government schools</w:t>
            </w:r>
          </w:p>
          <w:p w14:paraId="635C6683"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Apparent retention Years 7/8 to Year 10, by Indigenous status</w:t>
            </w:r>
          </w:p>
          <w:p w14:paraId="6AD5A274"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rPr>
                <w:rFonts w:cs="Corbel"/>
              </w:rPr>
              <w:t>Apparent retention Years 7/8 to Year 12, by Indigenous status</w:t>
            </w:r>
          </w:p>
        </w:tc>
        <w:tc>
          <w:tcPr>
            <w:tcW w:w="2795" w:type="dxa"/>
            <w:vAlign w:val="top"/>
          </w:tcPr>
          <w:p w14:paraId="20C62771"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Proportion of young people aged 15</w:t>
            </w:r>
            <w:r>
              <w:t xml:space="preserve"> to </w:t>
            </w:r>
            <w:r w:rsidRPr="00385081">
              <w:t>24 participating in post-school education, training or employment six months after leaving school</w:t>
            </w:r>
          </w:p>
        </w:tc>
        <w:tc>
          <w:tcPr>
            <w:tcW w:w="2795" w:type="dxa"/>
            <w:vAlign w:val="top"/>
          </w:tcPr>
          <w:p w14:paraId="6CE3D1B8"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Proportion of young people aged 20</w:t>
            </w:r>
            <w:r>
              <w:t xml:space="preserve"> to </w:t>
            </w:r>
            <w:r w:rsidRPr="00385081">
              <w:t>24 who have attained Year 12 or equivalent</w:t>
            </w:r>
            <w:r>
              <w:t>,</w:t>
            </w:r>
            <w:r w:rsidRPr="00385081">
              <w:t xml:space="preserve"> or AQF Certificate II or above</w:t>
            </w:r>
          </w:p>
          <w:p w14:paraId="7AF17E78"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Proportion of young Indigenous people aged</w:t>
            </w:r>
            <w:r>
              <w:t xml:space="preserve"> </w:t>
            </w:r>
            <w:r w:rsidRPr="00385081">
              <w:t>20</w:t>
            </w:r>
            <w:r>
              <w:t xml:space="preserve"> to </w:t>
            </w:r>
            <w:r w:rsidRPr="00385081">
              <w:t>24 who have attained Year 12 or equivalent</w:t>
            </w:r>
            <w:r>
              <w:t>,</w:t>
            </w:r>
            <w:r w:rsidRPr="00385081">
              <w:t xml:space="preserve"> or AQF Certificate II or above</w:t>
            </w:r>
          </w:p>
        </w:tc>
      </w:tr>
      <w:tr w:rsidR="00A75FA6" w:rsidRPr="00385081" w14:paraId="3D4AD205" w14:textId="77777777" w:rsidTr="00F935CF">
        <w:tc>
          <w:tcPr>
            <w:cnfStyle w:val="001000000000" w:firstRow="0" w:lastRow="0" w:firstColumn="1" w:lastColumn="0" w:oddVBand="0" w:evenVBand="0" w:oddHBand="0" w:evenHBand="0" w:firstRowFirstColumn="0" w:firstRowLastColumn="0" w:lastRowFirstColumn="0" w:lastRowLastColumn="0"/>
            <w:tcW w:w="1134" w:type="dxa"/>
          </w:tcPr>
          <w:p w14:paraId="622E0268" w14:textId="77777777" w:rsidR="00A75FA6" w:rsidRPr="00385081" w:rsidRDefault="00A75FA6" w:rsidP="00F935CF">
            <w:pPr>
              <w:pStyle w:val="BodyText"/>
              <w:rPr>
                <w:color w:val="800000"/>
              </w:rPr>
            </w:pPr>
            <w:r w:rsidRPr="00385081">
              <w:rPr>
                <w:color w:val="800000"/>
              </w:rPr>
              <w:t>Outputs</w:t>
            </w:r>
          </w:p>
        </w:tc>
        <w:tc>
          <w:tcPr>
            <w:tcW w:w="8384" w:type="dxa"/>
            <w:gridSpan w:val="3"/>
            <w:vAlign w:val="top"/>
          </w:tcPr>
          <w:p w14:paraId="1A1F3B3B"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Improved access to, delivery of and quality of education, training and employment programs for young people aged 15</w:t>
            </w:r>
            <w:r>
              <w:t xml:space="preserve"> to </w:t>
            </w:r>
            <w:r w:rsidRPr="00385081">
              <w:t>24</w:t>
            </w:r>
          </w:p>
          <w:p w14:paraId="3B300C0B" w14:textId="77777777" w:rsidR="00A75FA6" w:rsidRPr="00385081" w:rsidRDefault="00A75FA6" w:rsidP="00F935CF">
            <w:pPr>
              <w:pStyle w:val="TableCellText"/>
              <w:jc w:val="left"/>
              <w:cnfStyle w:val="000000000000" w:firstRow="0" w:lastRow="0" w:firstColumn="0" w:lastColumn="0" w:oddVBand="0" w:evenVBand="0" w:oddHBand="0" w:evenHBand="0" w:firstRowFirstColumn="0" w:firstRowLastColumn="0" w:lastRowFirstColumn="0" w:lastRowLastColumn="0"/>
            </w:pPr>
            <w:r w:rsidRPr="00385081">
              <w:t>Implementation of a package of measures focused on strengthening participation requirements</w:t>
            </w:r>
            <w:r>
              <w:t>,</w:t>
            </w:r>
            <w:r w:rsidRPr="00385081">
              <w:t xml:space="preserve"> </w:t>
            </w:r>
            <w:r>
              <w:t>raising</w:t>
            </w:r>
            <w:r w:rsidRPr="00385081">
              <w:t xml:space="preserve"> qualification levels</w:t>
            </w:r>
            <w:r>
              <w:t>,</w:t>
            </w:r>
            <w:r w:rsidRPr="00385081">
              <w:t xml:space="preserve"> supporting successful transitions from school</w:t>
            </w:r>
            <w:r>
              <w:t>,</w:t>
            </w:r>
            <w:r w:rsidRPr="00385081">
              <w:t xml:space="preserve"> and communicating the importance of education and training for young people</w:t>
            </w:r>
          </w:p>
        </w:tc>
      </w:tr>
    </w:tbl>
    <w:p w14:paraId="7A67E35A" w14:textId="77777777" w:rsidR="00A75FA6" w:rsidRDefault="00A75FA6" w:rsidP="00A75FA6">
      <w:pPr>
        <w:pStyle w:val="Tablenote"/>
      </w:pPr>
      <w:r w:rsidRPr="00385081">
        <w:t>Source</w:t>
      </w:r>
      <w:r>
        <w:t>s</w:t>
      </w:r>
      <w:r w:rsidRPr="00385081">
        <w:t>: Council of Australian Governments</w:t>
      </w:r>
      <w:r>
        <w:t xml:space="preserve"> (2009)</w:t>
      </w:r>
      <w:r w:rsidRPr="00385081">
        <w:t xml:space="preserve"> </w:t>
      </w:r>
      <w:r w:rsidRPr="00DD538A">
        <w:rPr>
          <w:i/>
        </w:rPr>
        <w:t>National Partnership Agreement on Youth Attainment and Transitions</w:t>
      </w:r>
      <w:r w:rsidRPr="00385081">
        <w:t>, p.</w:t>
      </w:r>
      <w:r>
        <w:t xml:space="preserve"> </w:t>
      </w:r>
      <w:r w:rsidRPr="00385081">
        <w:t>5</w:t>
      </w:r>
      <w:r>
        <w:t>;</w:t>
      </w:r>
      <w:r w:rsidRPr="00385081">
        <w:t xml:space="preserve"> and </w:t>
      </w:r>
      <w:r>
        <w:t>Department of Education, Employment and Workplace Relations (2011)</w:t>
      </w:r>
      <w:r w:rsidRPr="00385081">
        <w:t xml:space="preserve"> </w:t>
      </w:r>
      <w:r w:rsidRPr="00DD538A">
        <w:rPr>
          <w:i/>
        </w:rPr>
        <w:t>National Partnership on Youth Attainment and Transitions Annual Report</w:t>
      </w:r>
      <w:r w:rsidRPr="00385081">
        <w:t>.</w:t>
      </w:r>
    </w:p>
    <w:p w14:paraId="7E89F638" w14:textId="77777777" w:rsidR="00A75FA6" w:rsidRPr="00385081" w:rsidRDefault="00A75FA6" w:rsidP="00A75FA6">
      <w:pPr>
        <w:pStyle w:val="Heading3"/>
      </w:pPr>
      <w:r w:rsidRPr="00385081">
        <w:t>Funding</w:t>
      </w:r>
    </w:p>
    <w:p w14:paraId="0DB7AC5F" w14:textId="77777777" w:rsidR="00A75FA6" w:rsidRPr="00385081" w:rsidRDefault="00A75FA6" w:rsidP="005446CB">
      <w:pPr>
        <w:pStyle w:val="BodyText"/>
      </w:pPr>
      <w:r w:rsidRPr="00385081">
        <w:t>Initially, up to $723 million was allocated to the NP over five years from 2009</w:t>
      </w:r>
      <w:r>
        <w:t>/</w:t>
      </w:r>
      <w:r w:rsidRPr="00385081">
        <w:t>10 to 2013</w:t>
      </w:r>
      <w:r>
        <w:t>/</w:t>
      </w:r>
      <w:r w:rsidRPr="00385081">
        <w:t>14 (including $100 million in potential reward funding). This comprised $149 million in payments to the States and Territories and $474 million in Commonwealth Own Purpose Expense (COPE).</w:t>
      </w:r>
      <w:r w:rsidRPr="00385081">
        <w:rPr>
          <w:vertAlign w:val="superscript"/>
        </w:rPr>
        <w:footnoteReference w:id="5"/>
      </w:r>
    </w:p>
    <w:p w14:paraId="5A5C6CE3" w14:textId="77777777" w:rsidR="00A75FA6" w:rsidRPr="00385081" w:rsidRDefault="00A75FA6" w:rsidP="000629F8">
      <w:pPr>
        <w:pStyle w:val="BodyText"/>
      </w:pPr>
      <w:r w:rsidRPr="00385081">
        <w:t>In the 2012</w:t>
      </w:r>
      <w:r>
        <w:t>/</w:t>
      </w:r>
      <w:r w:rsidRPr="00385081">
        <w:t xml:space="preserve">13 </w:t>
      </w:r>
      <w:r w:rsidR="002B14E7">
        <w:t>Australian Government</w:t>
      </w:r>
      <w:r w:rsidR="002B14E7" w:rsidRPr="00385081">
        <w:t xml:space="preserve"> </w:t>
      </w:r>
      <w:r w:rsidRPr="00385081">
        <w:t>Budget</w:t>
      </w:r>
      <w:r>
        <w:t>,</w:t>
      </w:r>
      <w:r w:rsidRPr="00385081">
        <w:t xml:space="preserve"> funding for the National Career Development element was reduced by $17 million over three years to $30 million overall. The funding arrangements per financial year are outlined in </w:t>
      </w:r>
      <w:r w:rsidR="0056511F" w:rsidRPr="00385081">
        <w:fldChar w:fldCharType="begin"/>
      </w:r>
      <w:r w:rsidRPr="00385081">
        <w:instrText xml:space="preserve"> REF _Ref206494057 \h </w:instrText>
      </w:r>
      <w:r w:rsidR="0056511F" w:rsidRPr="00385081">
        <w:fldChar w:fldCharType="separate"/>
      </w:r>
      <w:r w:rsidR="00A76CFC" w:rsidRPr="00385081">
        <w:t xml:space="preserve">Table </w:t>
      </w:r>
      <w:r w:rsidR="00A76CFC">
        <w:t>1.</w:t>
      </w:r>
      <w:r w:rsidR="00A76CFC">
        <w:rPr>
          <w:noProof/>
        </w:rPr>
        <w:t>2</w:t>
      </w:r>
      <w:r w:rsidR="0056511F" w:rsidRPr="00385081">
        <w:fldChar w:fldCharType="end"/>
      </w:r>
      <w:r w:rsidRPr="00385081">
        <w:t>.</w:t>
      </w:r>
    </w:p>
    <w:p w14:paraId="26CA1908" w14:textId="77777777" w:rsidR="00A75FA6" w:rsidRPr="00385081" w:rsidRDefault="00A75FA6" w:rsidP="00A75FA6">
      <w:pPr>
        <w:pStyle w:val="Caption"/>
        <w:keepNext/>
      </w:pPr>
      <w:bookmarkStart w:id="15" w:name="_Ref206494057"/>
      <w:r w:rsidRPr="00385081">
        <w:lastRenderedPageBreak/>
        <w:t xml:space="preserve">Table </w:t>
      </w:r>
      <w:r>
        <w:t>1.</w:t>
      </w:r>
      <w:r w:rsidR="001D7D12">
        <w:fldChar w:fldCharType="begin"/>
      </w:r>
      <w:r w:rsidR="001D7D12">
        <w:instrText xml:space="preserve"> SEQ Table \* ARABIC </w:instrText>
      </w:r>
      <w:r w:rsidR="001D7D12">
        <w:fldChar w:fldCharType="separate"/>
      </w:r>
      <w:r w:rsidR="00A76CFC">
        <w:rPr>
          <w:noProof/>
        </w:rPr>
        <w:t>2</w:t>
      </w:r>
      <w:r w:rsidR="001D7D12">
        <w:rPr>
          <w:noProof/>
        </w:rPr>
        <w:fldChar w:fldCharType="end"/>
      </w:r>
      <w:bookmarkEnd w:id="15"/>
      <w:r w:rsidRPr="00385081">
        <w:t>: Funding allocation across NP elements, 2009</w:t>
      </w:r>
      <w:r>
        <w:t>/</w:t>
      </w:r>
      <w:r w:rsidRPr="00385081">
        <w:t>10 to 2013</w:t>
      </w:r>
      <w:r>
        <w:t>/</w:t>
      </w:r>
      <w:r w:rsidRPr="00385081">
        <w:t>14</w:t>
      </w:r>
    </w:p>
    <w:tbl>
      <w:tblPr>
        <w:tblStyle w:val="DandoloTableLeft"/>
        <w:tblW w:w="0" w:type="auto"/>
        <w:tblLayout w:type="fixed"/>
        <w:tblLook w:val="04A0" w:firstRow="1" w:lastRow="0" w:firstColumn="1" w:lastColumn="0" w:noHBand="0" w:noVBand="1"/>
        <w:tblCaption w:val="Funding allocation across NP elements, 2009/10 to 2013/14"/>
        <w:tblDescription w:val="Funding allocation across NP elements, 2009/10 to 2013/14"/>
      </w:tblPr>
      <w:tblGrid>
        <w:gridCol w:w="2835"/>
        <w:gridCol w:w="992"/>
        <w:gridCol w:w="992"/>
        <w:gridCol w:w="993"/>
        <w:gridCol w:w="992"/>
        <w:gridCol w:w="992"/>
        <w:gridCol w:w="993"/>
      </w:tblGrid>
      <w:tr w:rsidR="00A75FA6" w:rsidRPr="00385081" w14:paraId="345FA1B5" w14:textId="77777777" w:rsidTr="00E4570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Pr>
          <w:p w14:paraId="322F1635" w14:textId="77777777" w:rsidR="00A75FA6" w:rsidRPr="00385081" w:rsidRDefault="00A75FA6" w:rsidP="00F935CF">
            <w:pPr>
              <w:spacing w:before="120" w:after="120"/>
              <w:jc w:val="both"/>
              <w:rPr>
                <w:b/>
              </w:rPr>
            </w:pPr>
            <w:r w:rsidRPr="00385081">
              <w:rPr>
                <w:b/>
              </w:rPr>
              <w:t>Element</w:t>
            </w:r>
          </w:p>
        </w:tc>
        <w:tc>
          <w:tcPr>
            <w:tcW w:w="992" w:type="dxa"/>
          </w:tcPr>
          <w:p w14:paraId="5373C1F9"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2009</w:t>
            </w:r>
            <w:r>
              <w:rPr>
                <w:b/>
              </w:rPr>
              <w:t>/</w:t>
            </w:r>
            <w:r w:rsidRPr="00385081">
              <w:rPr>
                <w:b/>
              </w:rPr>
              <w:t>10</w:t>
            </w:r>
          </w:p>
          <w:p w14:paraId="1AE55BAE"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$000</w:t>
            </w:r>
          </w:p>
        </w:tc>
        <w:tc>
          <w:tcPr>
            <w:tcW w:w="992" w:type="dxa"/>
          </w:tcPr>
          <w:p w14:paraId="6BFADD1A"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2010</w:t>
            </w:r>
            <w:r>
              <w:rPr>
                <w:b/>
              </w:rPr>
              <w:t>/</w:t>
            </w:r>
            <w:r w:rsidRPr="00385081">
              <w:rPr>
                <w:b/>
              </w:rPr>
              <w:t>11</w:t>
            </w:r>
          </w:p>
          <w:p w14:paraId="120125CF"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$000</w:t>
            </w:r>
          </w:p>
        </w:tc>
        <w:tc>
          <w:tcPr>
            <w:tcW w:w="993" w:type="dxa"/>
          </w:tcPr>
          <w:p w14:paraId="51143750"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2011</w:t>
            </w:r>
            <w:r>
              <w:rPr>
                <w:b/>
              </w:rPr>
              <w:t>/</w:t>
            </w:r>
            <w:r w:rsidRPr="00385081">
              <w:rPr>
                <w:b/>
              </w:rPr>
              <w:t>12</w:t>
            </w:r>
          </w:p>
          <w:p w14:paraId="0F9ACBFC"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$000</w:t>
            </w:r>
          </w:p>
        </w:tc>
        <w:tc>
          <w:tcPr>
            <w:tcW w:w="992" w:type="dxa"/>
          </w:tcPr>
          <w:p w14:paraId="409046CF"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2012</w:t>
            </w:r>
            <w:r>
              <w:rPr>
                <w:b/>
              </w:rPr>
              <w:t>/</w:t>
            </w:r>
            <w:r w:rsidRPr="00385081">
              <w:rPr>
                <w:b/>
              </w:rPr>
              <w:t>13</w:t>
            </w:r>
          </w:p>
          <w:p w14:paraId="79F938E1"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$000</w:t>
            </w:r>
          </w:p>
        </w:tc>
        <w:tc>
          <w:tcPr>
            <w:tcW w:w="992" w:type="dxa"/>
          </w:tcPr>
          <w:p w14:paraId="69080D17"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2013</w:t>
            </w:r>
            <w:r>
              <w:rPr>
                <w:b/>
              </w:rPr>
              <w:t>/</w:t>
            </w:r>
            <w:r w:rsidRPr="00385081">
              <w:rPr>
                <w:b/>
              </w:rPr>
              <w:t>14</w:t>
            </w:r>
          </w:p>
          <w:p w14:paraId="74EB2736"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$000</w:t>
            </w:r>
          </w:p>
        </w:tc>
        <w:tc>
          <w:tcPr>
            <w:tcW w:w="993" w:type="dxa"/>
          </w:tcPr>
          <w:p w14:paraId="7C4C261E"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Total</w:t>
            </w:r>
          </w:p>
          <w:p w14:paraId="105F557F" w14:textId="77777777" w:rsidR="00A75FA6" w:rsidRPr="00385081" w:rsidRDefault="00A75FA6" w:rsidP="00F935CF">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385081">
              <w:rPr>
                <w:b/>
              </w:rPr>
              <w:t>$000</w:t>
            </w:r>
          </w:p>
        </w:tc>
      </w:tr>
      <w:tr w:rsidR="00A75FA6" w:rsidRPr="00385081" w14:paraId="7892C569" w14:textId="77777777" w:rsidTr="00E45705">
        <w:trPr>
          <w:cantSplit/>
        </w:trPr>
        <w:tc>
          <w:tcPr>
            <w:cnfStyle w:val="001000000000" w:firstRow="0" w:lastRow="0" w:firstColumn="1" w:lastColumn="0" w:oddVBand="0" w:evenVBand="0" w:oddHBand="0" w:evenHBand="0" w:firstRowFirstColumn="0" w:firstRowLastColumn="0" w:lastRowFirstColumn="0" w:lastRowLastColumn="0"/>
            <w:tcW w:w="2835" w:type="dxa"/>
          </w:tcPr>
          <w:p w14:paraId="53CB7BE9" w14:textId="77777777" w:rsidR="00A75FA6" w:rsidRPr="00385081" w:rsidRDefault="00A75FA6" w:rsidP="00F935CF">
            <w:pPr>
              <w:spacing w:before="120" w:after="120"/>
              <w:rPr>
                <w:b w:val="0"/>
              </w:rPr>
            </w:pPr>
            <w:r w:rsidRPr="00385081">
              <w:rPr>
                <w:b w:val="0"/>
              </w:rPr>
              <w:t>Maximising Engagement, Attainment and Successful Transitions</w:t>
            </w:r>
          </w:p>
        </w:tc>
        <w:tc>
          <w:tcPr>
            <w:tcW w:w="992" w:type="dxa"/>
          </w:tcPr>
          <w:p w14:paraId="405D8DB5"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18,751</w:t>
            </w:r>
          </w:p>
        </w:tc>
        <w:tc>
          <w:tcPr>
            <w:tcW w:w="992" w:type="dxa"/>
          </w:tcPr>
          <w:p w14:paraId="60124074"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37,501</w:t>
            </w:r>
          </w:p>
        </w:tc>
        <w:tc>
          <w:tcPr>
            <w:tcW w:w="993" w:type="dxa"/>
          </w:tcPr>
          <w:p w14:paraId="373F8AF7"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37,501</w:t>
            </w:r>
          </w:p>
        </w:tc>
        <w:tc>
          <w:tcPr>
            <w:tcW w:w="992" w:type="dxa"/>
          </w:tcPr>
          <w:p w14:paraId="1BC303FE"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37,501</w:t>
            </w:r>
          </w:p>
        </w:tc>
        <w:tc>
          <w:tcPr>
            <w:tcW w:w="992" w:type="dxa"/>
          </w:tcPr>
          <w:p w14:paraId="237CEE15"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18,751</w:t>
            </w:r>
          </w:p>
        </w:tc>
        <w:tc>
          <w:tcPr>
            <w:tcW w:w="993" w:type="dxa"/>
          </w:tcPr>
          <w:p w14:paraId="0AC6680F"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150,007</w:t>
            </w:r>
          </w:p>
        </w:tc>
      </w:tr>
      <w:tr w:rsidR="00A75FA6" w:rsidRPr="00385081" w14:paraId="086677A2" w14:textId="77777777" w:rsidTr="00E45705">
        <w:trPr>
          <w:cantSplit/>
        </w:trPr>
        <w:tc>
          <w:tcPr>
            <w:cnfStyle w:val="001000000000" w:firstRow="0" w:lastRow="0" w:firstColumn="1" w:lastColumn="0" w:oddVBand="0" w:evenVBand="0" w:oddHBand="0" w:evenHBand="0" w:firstRowFirstColumn="0" w:firstRowLastColumn="0" w:lastRowFirstColumn="0" w:lastRowLastColumn="0"/>
            <w:tcW w:w="2835" w:type="dxa"/>
          </w:tcPr>
          <w:p w14:paraId="31AC55AA" w14:textId="77777777" w:rsidR="00A75FA6" w:rsidRPr="00385081" w:rsidRDefault="00A75FA6" w:rsidP="00F935CF">
            <w:pPr>
              <w:spacing w:before="120" w:after="120"/>
              <w:rPr>
                <w:b w:val="0"/>
              </w:rPr>
            </w:pPr>
            <w:r w:rsidRPr="00385081">
              <w:rPr>
                <w:b w:val="0"/>
              </w:rPr>
              <w:t>School Business Community Partnership Brokers (COPE)</w:t>
            </w:r>
          </w:p>
        </w:tc>
        <w:tc>
          <w:tcPr>
            <w:tcW w:w="992" w:type="dxa"/>
          </w:tcPr>
          <w:p w14:paraId="3B5F32CD"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17,409</w:t>
            </w:r>
          </w:p>
        </w:tc>
        <w:tc>
          <w:tcPr>
            <w:tcW w:w="992" w:type="dxa"/>
          </w:tcPr>
          <w:p w14:paraId="4E2CA65B"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34,818</w:t>
            </w:r>
          </w:p>
        </w:tc>
        <w:tc>
          <w:tcPr>
            <w:tcW w:w="993" w:type="dxa"/>
          </w:tcPr>
          <w:p w14:paraId="21F6E0A1"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34,818</w:t>
            </w:r>
          </w:p>
        </w:tc>
        <w:tc>
          <w:tcPr>
            <w:tcW w:w="992" w:type="dxa"/>
          </w:tcPr>
          <w:p w14:paraId="171445BA"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34,818</w:t>
            </w:r>
          </w:p>
        </w:tc>
        <w:tc>
          <w:tcPr>
            <w:tcW w:w="992" w:type="dxa"/>
          </w:tcPr>
          <w:p w14:paraId="7FC39DC0"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17,409</w:t>
            </w:r>
          </w:p>
        </w:tc>
        <w:tc>
          <w:tcPr>
            <w:tcW w:w="993" w:type="dxa"/>
          </w:tcPr>
          <w:p w14:paraId="0E87BCE6"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139,271</w:t>
            </w:r>
          </w:p>
        </w:tc>
      </w:tr>
      <w:tr w:rsidR="00A75FA6" w:rsidRPr="00385081" w14:paraId="47998ED7" w14:textId="77777777" w:rsidTr="00E45705">
        <w:trPr>
          <w:cantSplit/>
        </w:trPr>
        <w:tc>
          <w:tcPr>
            <w:cnfStyle w:val="001000000000" w:firstRow="0" w:lastRow="0" w:firstColumn="1" w:lastColumn="0" w:oddVBand="0" w:evenVBand="0" w:oddHBand="0" w:evenHBand="0" w:firstRowFirstColumn="0" w:firstRowLastColumn="0" w:lastRowFirstColumn="0" w:lastRowLastColumn="0"/>
            <w:tcW w:w="2835" w:type="dxa"/>
          </w:tcPr>
          <w:p w14:paraId="5E083E8B" w14:textId="77777777" w:rsidR="00A75FA6" w:rsidRPr="00385081" w:rsidRDefault="00A75FA6" w:rsidP="00F935CF">
            <w:pPr>
              <w:spacing w:before="120" w:after="120"/>
              <w:rPr>
                <w:b w:val="0"/>
              </w:rPr>
            </w:pPr>
            <w:r w:rsidRPr="00385081">
              <w:rPr>
                <w:b w:val="0"/>
              </w:rPr>
              <w:t>Youth Connections (COPE)</w:t>
            </w:r>
          </w:p>
        </w:tc>
        <w:tc>
          <w:tcPr>
            <w:tcW w:w="992" w:type="dxa"/>
          </w:tcPr>
          <w:p w14:paraId="7D543947"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35,850</w:t>
            </w:r>
          </w:p>
        </w:tc>
        <w:tc>
          <w:tcPr>
            <w:tcW w:w="992" w:type="dxa"/>
          </w:tcPr>
          <w:p w14:paraId="23265061"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71,700</w:t>
            </w:r>
          </w:p>
        </w:tc>
        <w:tc>
          <w:tcPr>
            <w:tcW w:w="993" w:type="dxa"/>
          </w:tcPr>
          <w:p w14:paraId="0FE66F2F"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72,254</w:t>
            </w:r>
          </w:p>
        </w:tc>
        <w:tc>
          <w:tcPr>
            <w:tcW w:w="992" w:type="dxa"/>
          </w:tcPr>
          <w:p w14:paraId="16441EAA"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72,254</w:t>
            </w:r>
          </w:p>
        </w:tc>
        <w:tc>
          <w:tcPr>
            <w:tcW w:w="992" w:type="dxa"/>
          </w:tcPr>
          <w:p w14:paraId="4E592943"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36,325</w:t>
            </w:r>
          </w:p>
        </w:tc>
        <w:tc>
          <w:tcPr>
            <w:tcW w:w="993" w:type="dxa"/>
          </w:tcPr>
          <w:p w14:paraId="4D90D072"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288,383</w:t>
            </w:r>
          </w:p>
        </w:tc>
      </w:tr>
      <w:tr w:rsidR="00A75FA6" w:rsidRPr="00385081" w14:paraId="61065A40" w14:textId="77777777" w:rsidTr="00E45705">
        <w:trPr>
          <w:cantSplit/>
        </w:trPr>
        <w:tc>
          <w:tcPr>
            <w:cnfStyle w:val="001000000000" w:firstRow="0" w:lastRow="0" w:firstColumn="1" w:lastColumn="0" w:oddVBand="0" w:evenVBand="0" w:oddHBand="0" w:evenHBand="0" w:firstRowFirstColumn="0" w:firstRowLastColumn="0" w:lastRowFirstColumn="0" w:lastRowLastColumn="0"/>
            <w:tcW w:w="2835" w:type="dxa"/>
          </w:tcPr>
          <w:p w14:paraId="69099762" w14:textId="77777777" w:rsidR="00A75FA6" w:rsidRPr="00385081" w:rsidRDefault="00A75FA6" w:rsidP="00F935CF">
            <w:pPr>
              <w:spacing w:before="120" w:after="120"/>
              <w:rPr>
                <w:b w:val="0"/>
              </w:rPr>
            </w:pPr>
            <w:r w:rsidRPr="00385081">
              <w:rPr>
                <w:b w:val="0"/>
              </w:rPr>
              <w:t>National Career Development (COPE)</w:t>
            </w:r>
          </w:p>
        </w:tc>
        <w:tc>
          <w:tcPr>
            <w:tcW w:w="992" w:type="dxa"/>
          </w:tcPr>
          <w:p w14:paraId="30017D2B"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4650</w:t>
            </w:r>
          </w:p>
        </w:tc>
        <w:tc>
          <w:tcPr>
            <w:tcW w:w="992" w:type="dxa"/>
          </w:tcPr>
          <w:p w14:paraId="442BAA0C"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9442</w:t>
            </w:r>
          </w:p>
        </w:tc>
        <w:tc>
          <w:tcPr>
            <w:tcW w:w="993" w:type="dxa"/>
          </w:tcPr>
          <w:p w14:paraId="5A275684"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5980</w:t>
            </w:r>
          </w:p>
        </w:tc>
        <w:tc>
          <w:tcPr>
            <w:tcW w:w="992" w:type="dxa"/>
          </w:tcPr>
          <w:p w14:paraId="322EDCB9"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6558</w:t>
            </w:r>
          </w:p>
        </w:tc>
        <w:tc>
          <w:tcPr>
            <w:tcW w:w="992" w:type="dxa"/>
          </w:tcPr>
          <w:p w14:paraId="4AD665B8"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3362</w:t>
            </w:r>
          </w:p>
        </w:tc>
        <w:tc>
          <w:tcPr>
            <w:tcW w:w="993" w:type="dxa"/>
          </w:tcPr>
          <w:p w14:paraId="1E092CBF"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pPr>
            <w:r w:rsidRPr="00385081">
              <w:t>30,022</w:t>
            </w:r>
          </w:p>
        </w:tc>
      </w:tr>
      <w:tr w:rsidR="00A75FA6" w:rsidRPr="00385081" w14:paraId="6DD696F5" w14:textId="77777777" w:rsidTr="00E45705">
        <w:trPr>
          <w:cantSplit/>
        </w:trPr>
        <w:tc>
          <w:tcPr>
            <w:cnfStyle w:val="001000000000" w:firstRow="0" w:lastRow="0" w:firstColumn="1" w:lastColumn="0" w:oddVBand="0" w:evenVBand="0" w:oddHBand="0" w:evenHBand="0" w:firstRowFirstColumn="0" w:firstRowLastColumn="0" w:lastRowFirstColumn="0" w:lastRowLastColumn="0"/>
            <w:tcW w:w="2835" w:type="dxa"/>
          </w:tcPr>
          <w:p w14:paraId="4BC1324D" w14:textId="77777777" w:rsidR="00A75FA6" w:rsidRPr="00385081" w:rsidRDefault="00A75FA6" w:rsidP="00F935CF">
            <w:pPr>
              <w:spacing w:before="120" w:after="120"/>
              <w:rPr>
                <w:b w:val="0"/>
              </w:rPr>
            </w:pPr>
            <w:r w:rsidRPr="00385081">
              <w:rPr>
                <w:b w:val="0"/>
              </w:rPr>
              <w:t>The Compact for Young Australians</w:t>
            </w:r>
          </w:p>
        </w:tc>
        <w:tc>
          <w:tcPr>
            <w:tcW w:w="992" w:type="dxa"/>
          </w:tcPr>
          <w:p w14:paraId="4DB380C6" w14:textId="77777777" w:rsidR="00A75FA6" w:rsidRPr="00385081" w:rsidRDefault="00A75FA6" w:rsidP="00F935CF">
            <w:pPr>
              <w:spacing w:before="120" w:after="120"/>
              <w:jc w:val="center"/>
              <w:cnfStyle w:val="000000000000" w:firstRow="0" w:lastRow="0" w:firstColumn="0" w:lastColumn="0" w:oddVBand="0" w:evenVBand="0" w:oddHBand="0" w:evenHBand="0" w:firstRowFirstColumn="0" w:firstRowLastColumn="0" w:lastRowFirstColumn="0" w:lastRowLastColumn="0"/>
            </w:pPr>
            <w:r>
              <w:t>–</w:t>
            </w:r>
          </w:p>
        </w:tc>
        <w:tc>
          <w:tcPr>
            <w:tcW w:w="992" w:type="dxa"/>
          </w:tcPr>
          <w:p w14:paraId="7A600CBC" w14:textId="77777777" w:rsidR="00A75FA6" w:rsidRPr="00385081" w:rsidRDefault="00A75FA6" w:rsidP="00F935CF">
            <w:pPr>
              <w:spacing w:before="120" w:after="120"/>
              <w:jc w:val="center"/>
              <w:cnfStyle w:val="000000000000" w:firstRow="0" w:lastRow="0" w:firstColumn="0" w:lastColumn="0" w:oddVBand="0" w:evenVBand="0" w:oddHBand="0" w:evenHBand="0" w:firstRowFirstColumn="0" w:firstRowLastColumn="0" w:lastRowFirstColumn="0" w:lastRowLastColumn="0"/>
            </w:pPr>
            <w:r>
              <w:t>–</w:t>
            </w:r>
          </w:p>
        </w:tc>
        <w:tc>
          <w:tcPr>
            <w:tcW w:w="993" w:type="dxa"/>
          </w:tcPr>
          <w:p w14:paraId="51D57C36" w14:textId="77777777" w:rsidR="00A75FA6" w:rsidRPr="00385081" w:rsidRDefault="00A75FA6" w:rsidP="00F935CF">
            <w:pPr>
              <w:spacing w:before="120" w:after="120"/>
              <w:jc w:val="center"/>
              <w:cnfStyle w:val="000000000000" w:firstRow="0" w:lastRow="0" w:firstColumn="0" w:lastColumn="0" w:oddVBand="0" w:evenVBand="0" w:oddHBand="0" w:evenHBand="0" w:firstRowFirstColumn="0" w:firstRowLastColumn="0" w:lastRowFirstColumn="0" w:lastRowLastColumn="0"/>
            </w:pPr>
            <w:r>
              <w:t>–</w:t>
            </w:r>
          </w:p>
        </w:tc>
        <w:tc>
          <w:tcPr>
            <w:tcW w:w="992" w:type="dxa"/>
          </w:tcPr>
          <w:p w14:paraId="060AFD76" w14:textId="77777777" w:rsidR="00A75FA6" w:rsidRPr="00385081" w:rsidRDefault="00A75FA6" w:rsidP="00F935CF">
            <w:pPr>
              <w:spacing w:before="120" w:after="120"/>
              <w:jc w:val="center"/>
              <w:cnfStyle w:val="000000000000" w:firstRow="0" w:lastRow="0" w:firstColumn="0" w:lastColumn="0" w:oddVBand="0" w:evenVBand="0" w:oddHBand="0" w:evenHBand="0" w:firstRowFirstColumn="0" w:firstRowLastColumn="0" w:lastRowFirstColumn="0" w:lastRowLastColumn="0"/>
            </w:pPr>
            <w:r>
              <w:t>–</w:t>
            </w:r>
          </w:p>
        </w:tc>
        <w:tc>
          <w:tcPr>
            <w:tcW w:w="992" w:type="dxa"/>
          </w:tcPr>
          <w:p w14:paraId="6EAA432C" w14:textId="77777777" w:rsidR="00A75FA6" w:rsidRPr="00385081" w:rsidRDefault="00A75FA6" w:rsidP="00F935CF">
            <w:pPr>
              <w:spacing w:before="120" w:after="120"/>
              <w:jc w:val="center"/>
              <w:cnfStyle w:val="000000000000" w:firstRow="0" w:lastRow="0" w:firstColumn="0" w:lastColumn="0" w:oddVBand="0" w:evenVBand="0" w:oddHBand="0" w:evenHBand="0" w:firstRowFirstColumn="0" w:firstRowLastColumn="0" w:lastRowFirstColumn="0" w:lastRowLastColumn="0"/>
            </w:pPr>
            <w:r>
              <w:t>–</w:t>
            </w:r>
          </w:p>
        </w:tc>
        <w:tc>
          <w:tcPr>
            <w:tcW w:w="993" w:type="dxa"/>
          </w:tcPr>
          <w:p w14:paraId="14DFEEBD" w14:textId="77777777" w:rsidR="00A75FA6" w:rsidRPr="00385081" w:rsidRDefault="00A75FA6" w:rsidP="00F935CF">
            <w:pPr>
              <w:spacing w:before="120" w:after="120"/>
              <w:jc w:val="center"/>
              <w:cnfStyle w:val="000000000000" w:firstRow="0" w:lastRow="0" w:firstColumn="0" w:lastColumn="0" w:oddVBand="0" w:evenVBand="0" w:oddHBand="0" w:evenHBand="0" w:firstRowFirstColumn="0" w:firstRowLastColumn="0" w:lastRowFirstColumn="0" w:lastRowLastColumn="0"/>
            </w:pPr>
            <w:r>
              <w:t>–</w:t>
            </w:r>
          </w:p>
        </w:tc>
      </w:tr>
      <w:tr w:rsidR="00A75FA6" w:rsidRPr="00385081" w14:paraId="7F0268CB" w14:textId="77777777" w:rsidTr="00E45705">
        <w:trPr>
          <w:cantSplit/>
        </w:trPr>
        <w:tc>
          <w:tcPr>
            <w:cnfStyle w:val="001000000000" w:firstRow="0" w:lastRow="0" w:firstColumn="1" w:lastColumn="0" w:oddVBand="0" w:evenVBand="0" w:oddHBand="0" w:evenHBand="0" w:firstRowFirstColumn="0" w:firstRowLastColumn="0" w:lastRowFirstColumn="0" w:lastRowLastColumn="0"/>
            <w:tcW w:w="2835" w:type="dxa"/>
          </w:tcPr>
          <w:p w14:paraId="5C6A2E16" w14:textId="77777777" w:rsidR="00A75FA6" w:rsidRPr="00385081" w:rsidRDefault="00A75FA6" w:rsidP="00F935CF">
            <w:pPr>
              <w:spacing w:before="120" w:after="120"/>
            </w:pPr>
            <w:r w:rsidRPr="00385081">
              <w:t>Total</w:t>
            </w:r>
          </w:p>
        </w:tc>
        <w:tc>
          <w:tcPr>
            <w:tcW w:w="992" w:type="dxa"/>
          </w:tcPr>
          <w:p w14:paraId="7076F036"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rPr>
                <w:b/>
              </w:rPr>
            </w:pPr>
            <w:r w:rsidRPr="00385081">
              <w:rPr>
                <w:b/>
              </w:rPr>
              <w:t>76,600</w:t>
            </w:r>
          </w:p>
        </w:tc>
        <w:tc>
          <w:tcPr>
            <w:tcW w:w="992" w:type="dxa"/>
          </w:tcPr>
          <w:p w14:paraId="1DEA28E0"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rPr>
                <w:b/>
              </w:rPr>
            </w:pPr>
            <w:r w:rsidRPr="00385081">
              <w:rPr>
                <w:b/>
              </w:rPr>
              <w:t>153,461</w:t>
            </w:r>
          </w:p>
        </w:tc>
        <w:tc>
          <w:tcPr>
            <w:tcW w:w="993" w:type="dxa"/>
            <w:vAlign w:val="top"/>
          </w:tcPr>
          <w:p w14:paraId="3B2EEA86"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rPr>
                <w:b/>
              </w:rPr>
            </w:pPr>
            <w:r w:rsidRPr="00385081">
              <w:rPr>
                <w:b/>
              </w:rPr>
              <w:t>150,553</w:t>
            </w:r>
          </w:p>
        </w:tc>
        <w:tc>
          <w:tcPr>
            <w:tcW w:w="992" w:type="dxa"/>
            <w:vAlign w:val="top"/>
          </w:tcPr>
          <w:p w14:paraId="11E7E5A8"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rPr>
                <w:b/>
              </w:rPr>
            </w:pPr>
            <w:r w:rsidRPr="00385081">
              <w:rPr>
                <w:b/>
              </w:rPr>
              <w:t>151,161</w:t>
            </w:r>
          </w:p>
        </w:tc>
        <w:tc>
          <w:tcPr>
            <w:tcW w:w="992" w:type="dxa"/>
            <w:vAlign w:val="top"/>
          </w:tcPr>
          <w:p w14:paraId="086222BF"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rPr>
                <w:b/>
              </w:rPr>
            </w:pPr>
            <w:r w:rsidRPr="00385081">
              <w:rPr>
                <w:b/>
              </w:rPr>
              <w:t>75,847</w:t>
            </w:r>
          </w:p>
        </w:tc>
        <w:tc>
          <w:tcPr>
            <w:tcW w:w="993" w:type="dxa"/>
            <w:vAlign w:val="top"/>
          </w:tcPr>
          <w:p w14:paraId="37DB9C27" w14:textId="77777777" w:rsidR="00A75FA6" w:rsidRPr="00385081" w:rsidRDefault="00A75FA6" w:rsidP="00F935CF">
            <w:pPr>
              <w:spacing w:before="120" w:after="120"/>
              <w:jc w:val="right"/>
              <w:cnfStyle w:val="000000000000" w:firstRow="0" w:lastRow="0" w:firstColumn="0" w:lastColumn="0" w:oddVBand="0" w:evenVBand="0" w:oddHBand="0" w:evenHBand="0" w:firstRowFirstColumn="0" w:firstRowLastColumn="0" w:lastRowFirstColumn="0" w:lastRowLastColumn="0"/>
              <w:rPr>
                <w:b/>
              </w:rPr>
            </w:pPr>
            <w:r w:rsidRPr="00385081">
              <w:rPr>
                <w:b/>
              </w:rPr>
              <w:t>607,683</w:t>
            </w:r>
          </w:p>
        </w:tc>
      </w:tr>
    </w:tbl>
    <w:p w14:paraId="1A7B31C7" w14:textId="77777777" w:rsidR="00A75FA6" w:rsidRPr="00385081" w:rsidRDefault="00A75FA6" w:rsidP="00A75FA6">
      <w:pPr>
        <w:pStyle w:val="Tablenote"/>
      </w:pPr>
      <w:r w:rsidRPr="00385081">
        <w:t>Source: Australian Government</w:t>
      </w:r>
      <w:r>
        <w:t xml:space="preserve"> (2012)</w:t>
      </w:r>
      <w:r w:rsidRPr="00385081">
        <w:t xml:space="preserve"> </w:t>
      </w:r>
      <w:r w:rsidRPr="00DD538A">
        <w:rPr>
          <w:i/>
        </w:rPr>
        <w:t>National Partnership Agreement on Youth Attainment and Transitions</w:t>
      </w:r>
      <w:r w:rsidRPr="00385081">
        <w:t xml:space="preserve">. Revised in line with </w:t>
      </w:r>
      <w:r>
        <w:t>Australian</w:t>
      </w:r>
      <w:r w:rsidRPr="00385081">
        <w:t xml:space="preserve"> Government Budget 2012</w:t>
      </w:r>
      <w:r>
        <w:t>/</w:t>
      </w:r>
      <w:r w:rsidRPr="00385081">
        <w:t>13.</w:t>
      </w:r>
    </w:p>
    <w:p w14:paraId="033166DB" w14:textId="77777777" w:rsidR="00A75FA6" w:rsidRPr="00385081" w:rsidRDefault="00A75FA6" w:rsidP="00A75FA6">
      <w:pPr>
        <w:pStyle w:val="Tablenote"/>
      </w:pPr>
      <w:r w:rsidRPr="00385081">
        <w:t>Note: Payments to States and Territories are provided under the M</w:t>
      </w:r>
      <w:r>
        <w:t>EAST</w:t>
      </w:r>
      <w:r w:rsidRPr="00385081">
        <w:t xml:space="preserve"> initiatives, and for Victoria only, $43 million </w:t>
      </w:r>
      <w:r>
        <w:t>under</w:t>
      </w:r>
      <w:r w:rsidRPr="00385081">
        <w:t xml:space="preserve"> the School</w:t>
      </w:r>
      <w:r w:rsidRPr="00523D02">
        <w:t xml:space="preserve"> </w:t>
      </w:r>
      <w:r w:rsidRPr="00385081">
        <w:t>Business Community Partnership Brokers initiative. COPE: Commonwealth Own Purpose Expense.</w:t>
      </w:r>
    </w:p>
    <w:p w14:paraId="19437E95" w14:textId="77777777" w:rsidR="00A75FA6" w:rsidRPr="00385081" w:rsidRDefault="00A75FA6" w:rsidP="00A75FA6">
      <w:pPr>
        <w:pStyle w:val="BodyText"/>
      </w:pPr>
      <w:r w:rsidRPr="00385081">
        <w:t xml:space="preserve">Reward funding was available to States and Territories based on the achievement of participation and attainment targets set out in the NP (see </w:t>
      </w:r>
      <w:r w:rsidR="0056511F" w:rsidRPr="00385081">
        <w:rPr>
          <w:highlight w:val="yellow"/>
        </w:rPr>
        <w:fldChar w:fldCharType="begin"/>
      </w:r>
      <w:r w:rsidRPr="00385081">
        <w:instrText xml:space="preserve"> REF _Ref206499963 \h </w:instrText>
      </w:r>
      <w:r w:rsidR="0056511F" w:rsidRPr="00385081">
        <w:rPr>
          <w:highlight w:val="yellow"/>
        </w:rPr>
      </w:r>
      <w:r w:rsidR="0056511F" w:rsidRPr="00385081">
        <w:rPr>
          <w:highlight w:val="yellow"/>
        </w:rPr>
        <w:fldChar w:fldCharType="separate"/>
      </w:r>
      <w:r w:rsidR="00A76CFC" w:rsidRPr="00385081">
        <w:t xml:space="preserve">Table </w:t>
      </w:r>
      <w:r w:rsidR="00A76CFC">
        <w:t>1.</w:t>
      </w:r>
      <w:r w:rsidR="00A76CFC">
        <w:rPr>
          <w:noProof/>
        </w:rPr>
        <w:t>3</w:t>
      </w:r>
      <w:r w:rsidR="0056511F" w:rsidRPr="00385081">
        <w:rPr>
          <w:highlight w:val="yellow"/>
        </w:rPr>
        <w:fldChar w:fldCharType="end"/>
      </w:r>
      <w:r w:rsidRPr="00385081">
        <w:t>).</w:t>
      </w:r>
      <w:r>
        <w:t xml:space="preserve"> </w:t>
      </w:r>
      <w:r w:rsidRPr="00385081">
        <w:t>These targets are designed to indicate progress towards the 2015 COAG target of 90 per cent Year 12 or equivalent attainment for 20–24</w:t>
      </w:r>
      <w:r>
        <w:t>-</w:t>
      </w:r>
      <w:r w:rsidRPr="00385081">
        <w:t>year</w:t>
      </w:r>
      <w:r>
        <w:t>-</w:t>
      </w:r>
      <w:r w:rsidRPr="00385081">
        <w:t>olds by 2015.</w:t>
      </w:r>
    </w:p>
    <w:p w14:paraId="4D5BD540" w14:textId="77777777" w:rsidR="00A75FA6" w:rsidRPr="00385081" w:rsidRDefault="00A75FA6" w:rsidP="00A75FA6">
      <w:pPr>
        <w:pStyle w:val="Caption"/>
        <w:keepNext/>
      </w:pPr>
      <w:bookmarkStart w:id="16" w:name="_Ref206499963"/>
      <w:r w:rsidRPr="00385081">
        <w:t xml:space="preserve">Table </w:t>
      </w:r>
      <w:r>
        <w:t>1.</w:t>
      </w:r>
      <w:r w:rsidR="001D7D12">
        <w:fldChar w:fldCharType="begin"/>
      </w:r>
      <w:r w:rsidR="001D7D12">
        <w:instrText xml:space="preserve"> SEQ Table \* ARABIC </w:instrText>
      </w:r>
      <w:r w:rsidR="001D7D12">
        <w:fldChar w:fldCharType="separate"/>
      </w:r>
      <w:r w:rsidR="00A76CFC">
        <w:rPr>
          <w:noProof/>
        </w:rPr>
        <w:t>3</w:t>
      </w:r>
      <w:r w:rsidR="001D7D12">
        <w:rPr>
          <w:noProof/>
        </w:rPr>
        <w:fldChar w:fldCharType="end"/>
      </w:r>
      <w:bookmarkEnd w:id="16"/>
      <w:r w:rsidRPr="00385081">
        <w:t>: Reward funding</w:t>
      </w:r>
    </w:p>
    <w:tbl>
      <w:tblPr>
        <w:tblStyle w:val="DandoloTableLeft"/>
        <w:tblW w:w="9498" w:type="dxa"/>
        <w:tblLook w:val="04A0" w:firstRow="1" w:lastRow="0" w:firstColumn="1" w:lastColumn="0" w:noHBand="0" w:noVBand="1"/>
        <w:tblCaption w:val="Reward funding"/>
        <w:tblDescription w:val="Reward funding for NP"/>
      </w:tblPr>
      <w:tblGrid>
        <w:gridCol w:w="1383"/>
        <w:gridCol w:w="1878"/>
        <w:gridCol w:w="3827"/>
        <w:gridCol w:w="2410"/>
      </w:tblGrid>
      <w:tr w:rsidR="00A75FA6" w:rsidRPr="00385081" w14:paraId="4C52103D"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Align w:val="top"/>
          </w:tcPr>
          <w:p w14:paraId="5710CECB" w14:textId="77777777" w:rsidR="00A75FA6" w:rsidRPr="00385081" w:rsidRDefault="00A75FA6" w:rsidP="00F935CF">
            <w:pPr>
              <w:pStyle w:val="BodyText"/>
              <w:spacing w:line="240" w:lineRule="auto"/>
              <w:rPr>
                <w:b/>
              </w:rPr>
            </w:pPr>
            <w:r w:rsidRPr="00385081">
              <w:rPr>
                <w:b/>
              </w:rPr>
              <w:t>Reward funding</w:t>
            </w:r>
          </w:p>
        </w:tc>
        <w:tc>
          <w:tcPr>
            <w:tcW w:w="1878" w:type="dxa"/>
            <w:vAlign w:val="top"/>
          </w:tcPr>
          <w:p w14:paraId="3ADA13B8" w14:textId="77777777" w:rsidR="00A75FA6" w:rsidRPr="00385081" w:rsidRDefault="00A75FA6" w:rsidP="00F935CF">
            <w:pPr>
              <w:pStyle w:val="BodyText"/>
              <w:spacing w:line="240" w:lineRule="auto"/>
              <w:cnfStyle w:val="100000000000" w:firstRow="1" w:lastRow="0" w:firstColumn="0" w:lastColumn="0" w:oddVBand="0" w:evenVBand="0" w:oddHBand="0" w:evenHBand="0" w:firstRowFirstColumn="0" w:firstRowLastColumn="0" w:lastRowFirstColumn="0" w:lastRowLastColumn="0"/>
              <w:rPr>
                <w:b/>
              </w:rPr>
            </w:pPr>
            <w:r w:rsidRPr="00385081">
              <w:rPr>
                <w:b/>
              </w:rPr>
              <w:t>Year funding available</w:t>
            </w:r>
          </w:p>
        </w:tc>
        <w:tc>
          <w:tcPr>
            <w:tcW w:w="3827" w:type="dxa"/>
            <w:vAlign w:val="top"/>
          </w:tcPr>
          <w:p w14:paraId="5B3348BE" w14:textId="77777777" w:rsidR="00A75FA6" w:rsidRPr="00385081" w:rsidRDefault="00A75FA6" w:rsidP="00F935CF">
            <w:pPr>
              <w:pStyle w:val="BodyText"/>
              <w:spacing w:line="240" w:lineRule="auto"/>
              <w:cnfStyle w:val="100000000000" w:firstRow="1" w:lastRow="0" w:firstColumn="0" w:lastColumn="0" w:oddVBand="0" w:evenVBand="0" w:oddHBand="0" w:evenHBand="0" w:firstRowFirstColumn="0" w:firstRowLastColumn="0" w:lastRowFirstColumn="0" w:lastRowLastColumn="0"/>
              <w:rPr>
                <w:b/>
              </w:rPr>
            </w:pPr>
            <w:r w:rsidRPr="00385081">
              <w:rPr>
                <w:b/>
              </w:rPr>
              <w:t>Targets</w:t>
            </w:r>
          </w:p>
        </w:tc>
        <w:tc>
          <w:tcPr>
            <w:tcW w:w="2410" w:type="dxa"/>
            <w:vAlign w:val="top"/>
          </w:tcPr>
          <w:p w14:paraId="597A8520" w14:textId="77777777" w:rsidR="00A75FA6" w:rsidRPr="00385081" w:rsidRDefault="00A75FA6" w:rsidP="00F935CF">
            <w:pPr>
              <w:pStyle w:val="BodyText"/>
              <w:spacing w:line="240" w:lineRule="auto"/>
              <w:cnfStyle w:val="100000000000" w:firstRow="1" w:lastRow="0" w:firstColumn="0" w:lastColumn="0" w:oddVBand="0" w:evenVBand="0" w:oddHBand="0" w:evenHBand="0" w:firstRowFirstColumn="0" w:firstRowLastColumn="0" w:lastRowFirstColumn="0" w:lastRowLastColumn="0"/>
              <w:rPr>
                <w:b/>
              </w:rPr>
            </w:pPr>
            <w:r w:rsidRPr="00385081">
              <w:rPr>
                <w:b/>
              </w:rPr>
              <w:t>Baseline</w:t>
            </w:r>
          </w:p>
        </w:tc>
      </w:tr>
      <w:tr w:rsidR="00A75FA6" w:rsidRPr="00385081" w14:paraId="3EFAE54A" w14:textId="77777777" w:rsidTr="00F935CF">
        <w:tc>
          <w:tcPr>
            <w:cnfStyle w:val="001000000000" w:firstRow="0" w:lastRow="0" w:firstColumn="1" w:lastColumn="0" w:oddVBand="0" w:evenVBand="0" w:oddHBand="0" w:evenHBand="0" w:firstRowFirstColumn="0" w:firstRowLastColumn="0" w:lastRowFirstColumn="0" w:lastRowLastColumn="0"/>
            <w:tcW w:w="1383" w:type="dxa"/>
            <w:vAlign w:val="top"/>
          </w:tcPr>
          <w:p w14:paraId="0345D86B" w14:textId="77777777" w:rsidR="00A75FA6" w:rsidRPr="00385081" w:rsidRDefault="00A75FA6" w:rsidP="00F935CF">
            <w:pPr>
              <w:pStyle w:val="BodyText"/>
              <w:spacing w:line="240" w:lineRule="auto"/>
            </w:pPr>
            <w:r w:rsidRPr="00385081">
              <w:t>Up to $50 million</w:t>
            </w:r>
          </w:p>
        </w:tc>
        <w:tc>
          <w:tcPr>
            <w:tcW w:w="1878" w:type="dxa"/>
            <w:vAlign w:val="top"/>
          </w:tcPr>
          <w:p w14:paraId="298C35B2"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pPr>
            <w:r w:rsidRPr="00385081">
              <w:t>2011</w:t>
            </w:r>
          </w:p>
        </w:tc>
        <w:tc>
          <w:tcPr>
            <w:tcW w:w="3827" w:type="dxa"/>
            <w:vAlign w:val="top"/>
          </w:tcPr>
          <w:p w14:paraId="02F4C9AF"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pPr>
            <w:r w:rsidRPr="00385081">
              <w:t>Total enrolment of full-time equivalent students in Years 11 and 12 and 15</w:t>
            </w:r>
            <w:r>
              <w:t>–</w:t>
            </w:r>
            <w:r w:rsidRPr="00385081">
              <w:t>19</w:t>
            </w:r>
            <w:r>
              <w:t>-</w:t>
            </w:r>
            <w:r w:rsidRPr="00385081">
              <w:t>year</w:t>
            </w:r>
            <w:r>
              <w:t>-</w:t>
            </w:r>
            <w:r w:rsidRPr="00385081">
              <w:t>olds without Year 12 and not enrolled in school who are enrolled in a VET course (full</w:t>
            </w:r>
            <w:r>
              <w:t>-time</w:t>
            </w:r>
            <w:r w:rsidRPr="00385081">
              <w:t xml:space="preserve"> or part-time) at Certificate II level or higher in 2010.</w:t>
            </w:r>
          </w:p>
        </w:tc>
        <w:tc>
          <w:tcPr>
            <w:tcW w:w="2410" w:type="dxa"/>
            <w:vAlign w:val="top"/>
          </w:tcPr>
          <w:p w14:paraId="03E9E4CB"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pPr>
            <w:r w:rsidRPr="00385081">
              <w:t xml:space="preserve">National Schools Statistics Collection August 2008 data (as published </w:t>
            </w:r>
            <w:r>
              <w:t>by</w:t>
            </w:r>
            <w:r w:rsidRPr="00385081">
              <w:t xml:space="preserve"> the Australian Bureau of Statistics</w:t>
            </w:r>
            <w:r>
              <w:t xml:space="preserve"> (ABS)</w:t>
            </w:r>
            <w:r w:rsidRPr="00385081">
              <w:t>) and VET enrolments from NCVER</w:t>
            </w:r>
          </w:p>
        </w:tc>
      </w:tr>
      <w:tr w:rsidR="00A75FA6" w:rsidRPr="00385081" w14:paraId="468FED76" w14:textId="77777777" w:rsidTr="00F935CF">
        <w:tc>
          <w:tcPr>
            <w:cnfStyle w:val="001000000000" w:firstRow="0" w:lastRow="0" w:firstColumn="1" w:lastColumn="0" w:oddVBand="0" w:evenVBand="0" w:oddHBand="0" w:evenHBand="0" w:firstRowFirstColumn="0" w:firstRowLastColumn="0" w:lastRowFirstColumn="0" w:lastRowLastColumn="0"/>
            <w:tcW w:w="1383" w:type="dxa"/>
            <w:vAlign w:val="top"/>
          </w:tcPr>
          <w:p w14:paraId="3A3B126E" w14:textId="77777777" w:rsidR="00A75FA6" w:rsidRPr="00385081" w:rsidRDefault="00A75FA6" w:rsidP="00F935CF">
            <w:pPr>
              <w:pStyle w:val="BodyText"/>
              <w:spacing w:line="240" w:lineRule="auto"/>
            </w:pPr>
            <w:r w:rsidRPr="00385081">
              <w:t>Up to $53.3 million</w:t>
            </w:r>
          </w:p>
        </w:tc>
        <w:tc>
          <w:tcPr>
            <w:tcW w:w="1878" w:type="dxa"/>
            <w:vAlign w:val="top"/>
          </w:tcPr>
          <w:p w14:paraId="073EC641"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pPr>
            <w:r w:rsidRPr="00385081">
              <w:t>2013</w:t>
            </w:r>
          </w:p>
        </w:tc>
        <w:tc>
          <w:tcPr>
            <w:tcW w:w="3827" w:type="dxa"/>
            <w:vAlign w:val="top"/>
          </w:tcPr>
          <w:p w14:paraId="0E48593F"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pPr>
            <w:r w:rsidRPr="00385081">
              <w:t>Proportion of young people aged 20</w:t>
            </w:r>
            <w:r>
              <w:t xml:space="preserve"> to </w:t>
            </w:r>
            <w:r w:rsidRPr="00385081">
              <w:t>24 who have attained Year 12 or equivalent</w:t>
            </w:r>
            <w:r>
              <w:t>,</w:t>
            </w:r>
            <w:r w:rsidRPr="00385081">
              <w:t xml:space="preserve"> or AQF Certificate II or above.</w:t>
            </w:r>
          </w:p>
        </w:tc>
        <w:tc>
          <w:tcPr>
            <w:tcW w:w="2410" w:type="dxa"/>
            <w:vAlign w:val="top"/>
          </w:tcPr>
          <w:p w14:paraId="0894911E"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pPr>
            <w:r>
              <w:t>To be determined.</w:t>
            </w:r>
            <w:r>
              <w:rPr>
                <w:rStyle w:val="FootnoteReference"/>
              </w:rPr>
              <w:footnoteReference w:id="6"/>
            </w:r>
          </w:p>
        </w:tc>
      </w:tr>
    </w:tbl>
    <w:p w14:paraId="1A959F3C" w14:textId="77777777" w:rsidR="00A75FA6" w:rsidRPr="00385081" w:rsidRDefault="00A75FA6" w:rsidP="00A75FA6">
      <w:pPr>
        <w:pStyle w:val="Tablenote"/>
      </w:pPr>
      <w:r w:rsidRPr="00B324AB">
        <w:t>Note</w:t>
      </w:r>
      <w:r w:rsidRPr="00523D02">
        <w:t xml:space="preserve">: </w:t>
      </w:r>
      <w:r w:rsidRPr="00385081">
        <w:t xml:space="preserve">The assessment of </w:t>
      </w:r>
      <w:r>
        <w:t>S</w:t>
      </w:r>
      <w:r w:rsidRPr="00385081">
        <w:t xml:space="preserve">tate and </w:t>
      </w:r>
      <w:r>
        <w:t>T</w:t>
      </w:r>
      <w:r w:rsidRPr="00385081">
        <w:t>erritory eligibility for reward payments is outside the scope of this evaluation.</w:t>
      </w:r>
    </w:p>
    <w:p w14:paraId="790A92B1" w14:textId="77777777" w:rsidR="00A75FA6" w:rsidRDefault="00A75FA6" w:rsidP="005446CB">
      <w:pPr>
        <w:pStyle w:val="BodyText"/>
      </w:pPr>
      <w:r w:rsidRPr="00385081">
        <w:t xml:space="preserve">The COAG Reform Council is responsible for assessing performance against </w:t>
      </w:r>
      <w:r>
        <w:t xml:space="preserve">set </w:t>
      </w:r>
      <w:r w:rsidRPr="00385081">
        <w:t>target</w:t>
      </w:r>
      <w:r>
        <w:t>s</w:t>
      </w:r>
      <w:r w:rsidRPr="00385081">
        <w:t xml:space="preserve">. The </w:t>
      </w:r>
      <w:r w:rsidR="002B14E7">
        <w:t>C</w:t>
      </w:r>
      <w:r w:rsidRPr="00385081">
        <w:t>ouncil’s 2011 performance report concluded</w:t>
      </w:r>
      <w:r>
        <w:t xml:space="preserve"> that</w:t>
      </w:r>
      <w:r w:rsidRPr="00385081">
        <w:t xml:space="preserve"> </w:t>
      </w:r>
      <w:r>
        <w:t>‘</w:t>
      </w:r>
      <w:r w:rsidRPr="00385081">
        <w:t xml:space="preserve">the majority of the States and Territories have only partially achieved their participation targets. Tasmania is the sole jurisdiction to fully achieve (and exceed) their target, while the Northern Territory made no progress toward their target, recording a result below the 2008 baseline. </w:t>
      </w:r>
      <w:r w:rsidR="00725FC6">
        <w:t>The Council’s initial assessment of the</w:t>
      </w:r>
      <w:r w:rsidR="00725FC6" w:rsidRPr="00385081">
        <w:t xml:space="preserve"> </w:t>
      </w:r>
      <w:r w:rsidRPr="00385081">
        <w:t xml:space="preserve">ACT </w:t>
      </w:r>
      <w:r w:rsidR="00725FC6">
        <w:t xml:space="preserve">indicated that </w:t>
      </w:r>
      <w:r w:rsidRPr="00385081">
        <w:t>little progress</w:t>
      </w:r>
      <w:r w:rsidR="00725FC6">
        <w:t xml:space="preserve"> was made</w:t>
      </w:r>
      <w:r w:rsidRPr="00385081">
        <w:t xml:space="preserve"> toward their target</w:t>
      </w:r>
      <w:r w:rsidR="00725FC6" w:rsidRPr="00385081">
        <w:rPr>
          <w:rStyle w:val="FootnoteReference"/>
        </w:rPr>
        <w:footnoteReference w:id="7"/>
      </w:r>
      <w:r w:rsidR="00725FC6">
        <w:t xml:space="preserve">, however, </w:t>
      </w:r>
      <w:r w:rsidR="002B14E7">
        <w:t xml:space="preserve">subsequent to this </w:t>
      </w:r>
      <w:r w:rsidR="00725FC6">
        <w:t xml:space="preserve">assessment additional VET participation data was </w:t>
      </w:r>
      <w:r w:rsidR="002B14E7">
        <w:t>identified</w:t>
      </w:r>
      <w:r w:rsidR="00725FC6">
        <w:t xml:space="preserve"> which indicated the ACT exceeded their target.</w:t>
      </w:r>
      <w:r w:rsidRPr="002302F7">
        <w:t>.</w:t>
      </w:r>
      <w:r w:rsidRPr="00385081">
        <w:t xml:space="preserve"> Based on this assessment, $46.7 million in reward funding was distributed to States and Territories. The remaining $3.3 million in reward funding will be rolled over into the allocated funds for the respective States and Territories for achievement against their attainment target.</w:t>
      </w:r>
    </w:p>
    <w:p w14:paraId="25AA7E99" w14:textId="77777777" w:rsidR="00A75FA6" w:rsidRPr="00385081" w:rsidRDefault="00A75FA6" w:rsidP="00A75FA6">
      <w:pPr>
        <w:pStyle w:val="Heading3"/>
        <w:jc w:val="both"/>
      </w:pPr>
      <w:r w:rsidRPr="00385081">
        <w:lastRenderedPageBreak/>
        <w:t>Elements of the National Partnership</w:t>
      </w:r>
    </w:p>
    <w:p w14:paraId="18C77572" w14:textId="77777777" w:rsidR="00A75FA6" w:rsidRPr="00385081" w:rsidRDefault="00A75FA6" w:rsidP="005446CB">
      <w:pPr>
        <w:pStyle w:val="BodyText"/>
      </w:pPr>
      <w:r w:rsidRPr="00385081">
        <w:t xml:space="preserve">Under the NP, the </w:t>
      </w:r>
      <w:r>
        <w:t>Australian</w:t>
      </w:r>
      <w:r w:rsidRPr="00385081">
        <w:t>, State and Territor</w:t>
      </w:r>
      <w:r>
        <w:t>y governments</w:t>
      </w:r>
      <w:r w:rsidRPr="00385081">
        <w:t xml:space="preserve"> have committed to implementing a range of initiatives that are focused on strengthening participation requirements</w:t>
      </w:r>
      <w:r>
        <w:t>;</w:t>
      </w:r>
      <w:r w:rsidRPr="00385081">
        <w:t xml:space="preserve"> lifting qualification levels</w:t>
      </w:r>
      <w:r>
        <w:t>;</w:t>
      </w:r>
      <w:r w:rsidRPr="00385081">
        <w:t xml:space="preserve"> supporting </w:t>
      </w:r>
      <w:r>
        <w:t xml:space="preserve">a </w:t>
      </w:r>
      <w:r w:rsidRPr="00385081">
        <w:t>successful transition from school, especially for young people at risk</w:t>
      </w:r>
      <w:r>
        <w:t>;</w:t>
      </w:r>
      <w:r w:rsidRPr="00385081">
        <w:t xml:space="preserve"> and communicating the importance of education and training for young people. </w:t>
      </w:r>
      <w:r w:rsidR="0056511F" w:rsidRPr="00385081">
        <w:rPr>
          <w:highlight w:val="yellow"/>
        </w:rPr>
        <w:fldChar w:fldCharType="begin"/>
      </w:r>
      <w:r w:rsidRPr="00385081">
        <w:instrText xml:space="preserve"> REF _Ref206499994 \h </w:instrText>
      </w:r>
      <w:r w:rsidR="0056511F" w:rsidRPr="00385081">
        <w:rPr>
          <w:highlight w:val="yellow"/>
        </w:rPr>
      </w:r>
      <w:r w:rsidR="0056511F" w:rsidRPr="00385081">
        <w:rPr>
          <w:highlight w:val="yellow"/>
        </w:rPr>
        <w:fldChar w:fldCharType="separate"/>
      </w:r>
      <w:r w:rsidR="00A76CFC" w:rsidRPr="00385081">
        <w:t xml:space="preserve">Table </w:t>
      </w:r>
      <w:r w:rsidR="00A76CFC">
        <w:t>1.</w:t>
      </w:r>
      <w:r w:rsidR="00A76CFC">
        <w:rPr>
          <w:noProof/>
        </w:rPr>
        <w:t>4</w:t>
      </w:r>
      <w:r w:rsidR="0056511F" w:rsidRPr="00385081">
        <w:rPr>
          <w:highlight w:val="yellow"/>
        </w:rPr>
        <w:fldChar w:fldCharType="end"/>
      </w:r>
      <w:r w:rsidRPr="00385081">
        <w:t xml:space="preserve"> provides a brief outline of the five NP elements. Further information is in the Year 1 interim evaluation report.</w:t>
      </w:r>
      <w:r w:rsidR="00363295">
        <w:rPr>
          <w:rStyle w:val="FootnoteReference"/>
        </w:rPr>
        <w:footnoteReference w:id="8"/>
      </w:r>
    </w:p>
    <w:p w14:paraId="36F1634B" w14:textId="77777777" w:rsidR="00A75FA6" w:rsidRPr="00385081" w:rsidRDefault="00A75FA6" w:rsidP="00A75FA6">
      <w:pPr>
        <w:pStyle w:val="Caption"/>
        <w:keepNext/>
      </w:pPr>
      <w:bookmarkStart w:id="17" w:name="_Ref206499994"/>
      <w:r w:rsidRPr="00385081">
        <w:t xml:space="preserve">Table </w:t>
      </w:r>
      <w:r>
        <w:t>1.</w:t>
      </w:r>
      <w:r w:rsidR="001D7D12">
        <w:fldChar w:fldCharType="begin"/>
      </w:r>
      <w:r w:rsidR="001D7D12">
        <w:instrText xml:space="preserve"> SEQ Table \* ARABIC </w:instrText>
      </w:r>
      <w:r w:rsidR="001D7D12">
        <w:fldChar w:fldCharType="separate"/>
      </w:r>
      <w:r w:rsidR="00A76CFC">
        <w:rPr>
          <w:noProof/>
        </w:rPr>
        <w:t>4</w:t>
      </w:r>
      <w:r w:rsidR="001D7D12">
        <w:rPr>
          <w:noProof/>
        </w:rPr>
        <w:fldChar w:fldCharType="end"/>
      </w:r>
      <w:bookmarkEnd w:id="17"/>
      <w:r w:rsidRPr="00385081">
        <w:t>: Overview of National Partnership elements</w:t>
      </w:r>
    </w:p>
    <w:tbl>
      <w:tblPr>
        <w:tblStyle w:val="DandoloTableLeft"/>
        <w:tblW w:w="9498" w:type="dxa"/>
        <w:tblLayout w:type="fixed"/>
        <w:tblLook w:val="04A0" w:firstRow="1" w:lastRow="0" w:firstColumn="1" w:lastColumn="0" w:noHBand="0" w:noVBand="1"/>
        <w:tblCaption w:val="Overview of National Partnership elements"/>
        <w:tblDescription w:val="Overview of National Partnership elements"/>
      </w:tblPr>
      <w:tblGrid>
        <w:gridCol w:w="1985"/>
        <w:gridCol w:w="7513"/>
      </w:tblGrid>
      <w:tr w:rsidR="00A75FA6" w:rsidRPr="00385081" w14:paraId="5F9801CA"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7AF5A8" w14:textId="77777777" w:rsidR="00A75FA6" w:rsidRPr="00385081" w:rsidRDefault="00A75FA6" w:rsidP="00F935CF">
            <w:pPr>
              <w:pStyle w:val="TableColumnHeading"/>
            </w:pPr>
            <w:r w:rsidRPr="00385081">
              <w:t>Element</w:t>
            </w:r>
          </w:p>
        </w:tc>
        <w:tc>
          <w:tcPr>
            <w:tcW w:w="7513" w:type="dxa"/>
          </w:tcPr>
          <w:p w14:paraId="392F1DD3" w14:textId="77777777" w:rsidR="00A75FA6" w:rsidRPr="00385081" w:rsidRDefault="00A75FA6" w:rsidP="00F935CF">
            <w:pPr>
              <w:pStyle w:val="TableColumnHeading"/>
              <w:cnfStyle w:val="100000000000" w:firstRow="1" w:lastRow="0" w:firstColumn="0" w:lastColumn="0" w:oddVBand="0" w:evenVBand="0" w:oddHBand="0" w:evenHBand="0" w:firstRowFirstColumn="0" w:firstRowLastColumn="0" w:lastRowFirstColumn="0" w:lastRowLastColumn="0"/>
            </w:pPr>
            <w:r w:rsidRPr="00385081">
              <w:t>Focus</w:t>
            </w:r>
          </w:p>
        </w:tc>
      </w:tr>
      <w:tr w:rsidR="00A75FA6" w:rsidRPr="00385081" w14:paraId="76279BDB" w14:textId="77777777" w:rsidTr="00F935CF">
        <w:tc>
          <w:tcPr>
            <w:cnfStyle w:val="001000000000" w:firstRow="0" w:lastRow="0" w:firstColumn="1" w:lastColumn="0" w:oddVBand="0" w:evenVBand="0" w:oddHBand="0" w:evenHBand="0" w:firstRowFirstColumn="0" w:firstRowLastColumn="0" w:lastRowFirstColumn="0" w:lastRowLastColumn="0"/>
            <w:tcW w:w="1985" w:type="dxa"/>
            <w:vAlign w:val="top"/>
          </w:tcPr>
          <w:p w14:paraId="65898FED" w14:textId="77777777" w:rsidR="00A75FA6" w:rsidRPr="00385081" w:rsidRDefault="00A75FA6" w:rsidP="00391FEF">
            <w:pPr>
              <w:pStyle w:val="BodyText"/>
              <w:spacing w:line="240" w:lineRule="auto"/>
              <w:jc w:val="left"/>
              <w:rPr>
                <w:b w:val="0"/>
                <w:color w:val="auto"/>
                <w:sz w:val="24"/>
              </w:rPr>
            </w:pPr>
            <w:r w:rsidRPr="00385081">
              <w:t>Maximising Engagement, Attainment and Successful Transitions (MEAST)</w:t>
            </w:r>
          </w:p>
        </w:tc>
        <w:tc>
          <w:tcPr>
            <w:tcW w:w="7513" w:type="dxa"/>
            <w:vAlign w:val="top"/>
          </w:tcPr>
          <w:p w14:paraId="6963665D" w14:textId="77777777" w:rsidR="00A75FA6" w:rsidRPr="00385081" w:rsidRDefault="00A75FA6" w:rsidP="002165CB">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auto"/>
                <w:sz w:val="24"/>
              </w:rPr>
            </w:pPr>
            <w:r w:rsidRPr="00385081">
              <w:t>The MEAST element supports the development and implementation of State-</w:t>
            </w:r>
            <w:r>
              <w:t xml:space="preserve"> and Territory-</w:t>
            </w:r>
            <w:r w:rsidRPr="00385081">
              <w:t>based initiatives to improve education and training outcomes for young people.</w:t>
            </w:r>
          </w:p>
          <w:p w14:paraId="255AF3E0"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auto"/>
                <w:sz w:val="24"/>
              </w:rPr>
            </w:pPr>
            <w:r w:rsidRPr="00385081">
              <w:t xml:space="preserve">Funding is available for </w:t>
            </w:r>
            <w:r w:rsidR="00391FEF">
              <w:t xml:space="preserve">activities in support of </w:t>
            </w:r>
            <w:r w:rsidRPr="00385081">
              <w:t>the three reform areas:</w:t>
            </w:r>
          </w:p>
          <w:p w14:paraId="2D4A960B" w14:textId="77777777" w:rsidR="00A75FA6" w:rsidRPr="00391FEF" w:rsidRDefault="00A75FA6" w:rsidP="00FC7F6A">
            <w:pPr>
              <w:pStyle w:val="ListBullet"/>
              <w:numPr>
                <w:ilvl w:val="0"/>
                <w:numId w:val="8"/>
              </w:numPr>
              <w:spacing w:line="240" w:lineRule="auto"/>
              <w:ind w:left="714" w:hanging="357"/>
              <w:cnfStyle w:val="000000000000" w:firstRow="0" w:lastRow="0" w:firstColumn="0" w:lastColumn="0" w:oddVBand="0" w:evenVBand="0" w:oddHBand="0" w:evenHBand="0" w:firstRowFirstColumn="0" w:firstRowLastColumn="0" w:lastRowFirstColumn="0" w:lastRowLastColumn="0"/>
            </w:pPr>
            <w:r w:rsidRPr="00385081">
              <w:t>multiple learning pathways</w:t>
            </w:r>
          </w:p>
          <w:p w14:paraId="216AEA48" w14:textId="77777777" w:rsidR="00A75FA6" w:rsidRPr="00391FEF" w:rsidRDefault="00A75FA6" w:rsidP="00FC7F6A">
            <w:pPr>
              <w:pStyle w:val="ListBullet"/>
              <w:numPr>
                <w:ilvl w:val="0"/>
                <w:numId w:val="8"/>
              </w:numPr>
              <w:spacing w:line="240" w:lineRule="auto"/>
              <w:ind w:left="714" w:hanging="357"/>
              <w:cnfStyle w:val="000000000000" w:firstRow="0" w:lastRow="0" w:firstColumn="0" w:lastColumn="0" w:oddVBand="0" w:evenVBand="0" w:oddHBand="0" w:evenHBand="0" w:firstRowFirstColumn="0" w:firstRowLastColumn="0" w:lastRowFirstColumn="0" w:lastRowLastColumn="0"/>
            </w:pPr>
            <w:r w:rsidRPr="00385081">
              <w:t>career development</w:t>
            </w:r>
          </w:p>
          <w:p w14:paraId="1DAA8E2C" w14:textId="77777777" w:rsidR="00A75FA6" w:rsidRPr="00391FEF" w:rsidRDefault="00A75FA6" w:rsidP="00FC7F6A">
            <w:pPr>
              <w:pStyle w:val="ListBullet"/>
              <w:numPr>
                <w:ilvl w:val="0"/>
                <w:numId w:val="8"/>
              </w:numPr>
              <w:spacing w:line="240" w:lineRule="auto"/>
              <w:ind w:left="714" w:hanging="357"/>
              <w:cnfStyle w:val="000000000000" w:firstRow="0" w:lastRow="0" w:firstColumn="0" w:lastColumn="0" w:oddVBand="0" w:evenVBand="0" w:oddHBand="0" w:evenHBand="0" w:firstRowFirstColumn="0" w:firstRowLastColumn="0" w:lastRowFirstColumn="0" w:lastRowLastColumn="0"/>
            </w:pPr>
            <w:r w:rsidRPr="00385081">
              <w:t>mentoring</w:t>
            </w:r>
            <w:r>
              <w:t>.</w:t>
            </w:r>
          </w:p>
          <w:p w14:paraId="331CE26F"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auto"/>
                <w:sz w:val="24"/>
              </w:rPr>
            </w:pPr>
            <w:r w:rsidRPr="00385081">
              <w:t>MEAST initiatives are implemented by the jurisdictions, including through non-government education sectors.</w:t>
            </w:r>
          </w:p>
        </w:tc>
      </w:tr>
      <w:tr w:rsidR="00A75FA6" w:rsidRPr="00385081" w14:paraId="229D90F7" w14:textId="77777777" w:rsidTr="00F935CF">
        <w:tc>
          <w:tcPr>
            <w:cnfStyle w:val="001000000000" w:firstRow="0" w:lastRow="0" w:firstColumn="1" w:lastColumn="0" w:oddVBand="0" w:evenVBand="0" w:oddHBand="0" w:evenHBand="0" w:firstRowFirstColumn="0" w:firstRowLastColumn="0" w:lastRowFirstColumn="0" w:lastRowLastColumn="0"/>
            <w:tcW w:w="1985" w:type="dxa"/>
            <w:vAlign w:val="top"/>
          </w:tcPr>
          <w:p w14:paraId="68931119" w14:textId="77777777" w:rsidR="00A75FA6" w:rsidRPr="00385081" w:rsidRDefault="00A75FA6" w:rsidP="00391FEF">
            <w:pPr>
              <w:pStyle w:val="BodyText"/>
              <w:spacing w:line="240" w:lineRule="auto"/>
              <w:jc w:val="left"/>
              <w:rPr>
                <w:b w:val="0"/>
                <w:color w:val="auto"/>
                <w:sz w:val="24"/>
              </w:rPr>
            </w:pPr>
            <w:r w:rsidRPr="00385081">
              <w:t>School Business Community Partnership Brokers (Partnership Brokers)</w:t>
            </w:r>
          </w:p>
        </w:tc>
        <w:tc>
          <w:tcPr>
            <w:tcW w:w="7513" w:type="dxa"/>
            <w:vAlign w:val="top"/>
          </w:tcPr>
          <w:p w14:paraId="6D03E5B0"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auto"/>
                <w:sz w:val="24"/>
              </w:rPr>
            </w:pPr>
            <w:r w:rsidRPr="00385081">
              <w:t>The Partnership Brokers element focuses on building partnerships with education and training providers, business and industry, parents and families, and community groups to support young people in attaining Year 12 or equivalent qualifications, and to reach their full educational and social potential.</w:t>
            </w:r>
          </w:p>
          <w:p w14:paraId="498F8992"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auto"/>
                <w:sz w:val="24"/>
              </w:rPr>
            </w:pPr>
            <w:r w:rsidRPr="00385081">
              <w:t>Contracted service providers deliver this element.</w:t>
            </w:r>
          </w:p>
        </w:tc>
      </w:tr>
      <w:tr w:rsidR="00A75FA6" w:rsidRPr="00385081" w14:paraId="0D0E8639" w14:textId="77777777" w:rsidTr="00F935CF">
        <w:tc>
          <w:tcPr>
            <w:cnfStyle w:val="001000000000" w:firstRow="0" w:lastRow="0" w:firstColumn="1" w:lastColumn="0" w:oddVBand="0" w:evenVBand="0" w:oddHBand="0" w:evenHBand="0" w:firstRowFirstColumn="0" w:firstRowLastColumn="0" w:lastRowFirstColumn="0" w:lastRowLastColumn="0"/>
            <w:tcW w:w="1985" w:type="dxa"/>
            <w:vAlign w:val="top"/>
          </w:tcPr>
          <w:p w14:paraId="11CF0EED" w14:textId="77777777" w:rsidR="00A75FA6" w:rsidRPr="00385081" w:rsidRDefault="00A75FA6" w:rsidP="00391FEF">
            <w:pPr>
              <w:pStyle w:val="BodyText"/>
              <w:spacing w:line="240" w:lineRule="auto"/>
              <w:jc w:val="left"/>
              <w:rPr>
                <w:b w:val="0"/>
                <w:color w:val="auto"/>
                <w:sz w:val="20"/>
              </w:rPr>
            </w:pPr>
            <w:r w:rsidRPr="00385081">
              <w:t>Youth Connections</w:t>
            </w:r>
          </w:p>
        </w:tc>
        <w:tc>
          <w:tcPr>
            <w:tcW w:w="7513" w:type="dxa"/>
            <w:vAlign w:val="top"/>
          </w:tcPr>
          <w:p w14:paraId="4F7C609B" w14:textId="77777777" w:rsidR="00A75FA6" w:rsidRPr="00385081" w:rsidRDefault="00A75FA6" w:rsidP="00E93D02">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auto"/>
                <w:sz w:val="24"/>
              </w:rPr>
            </w:pPr>
            <w:r w:rsidRPr="00385081">
              <w:t xml:space="preserve">The Youth Connections element offers a continuum of services to support young people at risk of disengaging from education or training, not attaining Year 12 or equivalent qualifications, and not making </w:t>
            </w:r>
            <w:r>
              <w:t xml:space="preserve">a </w:t>
            </w:r>
            <w:r w:rsidRPr="00385081">
              <w:t>successful transition to further study, training or work</w:t>
            </w:r>
            <w:r>
              <w:t>,</w:t>
            </w:r>
            <w:r w:rsidRPr="00385081">
              <w:t xml:space="preserve"> through:</w:t>
            </w:r>
          </w:p>
          <w:p w14:paraId="7192F139" w14:textId="77777777" w:rsidR="00A75FA6" w:rsidRPr="00391FEF" w:rsidRDefault="00A75FA6" w:rsidP="00FC7F6A">
            <w:pPr>
              <w:pStyle w:val="ListBullet"/>
              <w:numPr>
                <w:ilvl w:val="0"/>
                <w:numId w:val="8"/>
              </w:numPr>
              <w:spacing w:line="240" w:lineRule="auto"/>
              <w:ind w:left="714" w:hanging="357"/>
              <w:cnfStyle w:val="000000000000" w:firstRow="0" w:lastRow="0" w:firstColumn="0" w:lastColumn="0" w:oddVBand="0" w:evenVBand="0" w:oddHBand="0" w:evenHBand="0" w:firstRowFirstColumn="0" w:firstRowLastColumn="0" w:lastRowFirstColumn="0" w:lastRowLastColumn="0"/>
            </w:pPr>
            <w:r w:rsidRPr="00385081">
              <w:t>individualised and flexible support services</w:t>
            </w:r>
          </w:p>
          <w:p w14:paraId="2D3D0C86" w14:textId="77777777" w:rsidR="00A75FA6" w:rsidRPr="00391FEF" w:rsidRDefault="00A75FA6" w:rsidP="00FC7F6A">
            <w:pPr>
              <w:pStyle w:val="ListBullet"/>
              <w:numPr>
                <w:ilvl w:val="0"/>
                <w:numId w:val="8"/>
              </w:numPr>
              <w:spacing w:line="240" w:lineRule="auto"/>
              <w:ind w:left="714" w:hanging="357"/>
              <w:cnfStyle w:val="000000000000" w:firstRow="0" w:lastRow="0" w:firstColumn="0" w:lastColumn="0" w:oddVBand="0" w:evenVBand="0" w:oddHBand="0" w:evenHBand="0" w:firstRowFirstColumn="0" w:firstRowLastColumn="0" w:lastRowFirstColumn="0" w:lastRowLastColumn="0"/>
            </w:pPr>
            <w:r w:rsidRPr="00385081">
              <w:t>outreach and re-engagement activities</w:t>
            </w:r>
          </w:p>
          <w:p w14:paraId="1A162B0D" w14:textId="77777777" w:rsidR="00A75FA6" w:rsidRPr="00391FEF" w:rsidRDefault="00A75FA6" w:rsidP="00FC7F6A">
            <w:pPr>
              <w:pStyle w:val="ListBullet"/>
              <w:numPr>
                <w:ilvl w:val="0"/>
                <w:numId w:val="8"/>
              </w:numPr>
              <w:spacing w:line="240" w:lineRule="auto"/>
              <w:ind w:left="714" w:hanging="357"/>
              <w:cnfStyle w:val="000000000000" w:firstRow="0" w:lastRow="0" w:firstColumn="0" w:lastColumn="0" w:oddVBand="0" w:evenVBand="0" w:oddHBand="0" w:evenHBand="0" w:firstRowFirstColumn="0" w:firstRowLastColumn="0" w:lastRowFirstColumn="0" w:lastRowLastColumn="0"/>
            </w:pPr>
            <w:r w:rsidRPr="00385081">
              <w:t>strengthening services in the regions</w:t>
            </w:r>
            <w:r>
              <w:t>.</w:t>
            </w:r>
          </w:p>
          <w:p w14:paraId="5F7E584E"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auto"/>
                <w:sz w:val="24"/>
              </w:rPr>
            </w:pPr>
            <w:r w:rsidRPr="00385081">
              <w:t>Contracted service providers deliver this element.</w:t>
            </w:r>
          </w:p>
        </w:tc>
      </w:tr>
      <w:tr w:rsidR="00A75FA6" w:rsidRPr="00385081" w14:paraId="0658D96F" w14:textId="77777777" w:rsidTr="00F935CF">
        <w:tc>
          <w:tcPr>
            <w:cnfStyle w:val="001000000000" w:firstRow="0" w:lastRow="0" w:firstColumn="1" w:lastColumn="0" w:oddVBand="0" w:evenVBand="0" w:oddHBand="0" w:evenHBand="0" w:firstRowFirstColumn="0" w:firstRowLastColumn="0" w:lastRowFirstColumn="0" w:lastRowLastColumn="0"/>
            <w:tcW w:w="1985" w:type="dxa"/>
            <w:vAlign w:val="top"/>
          </w:tcPr>
          <w:p w14:paraId="0140030A" w14:textId="77777777" w:rsidR="00A75FA6" w:rsidRPr="00385081" w:rsidRDefault="00A75FA6" w:rsidP="00391FEF">
            <w:pPr>
              <w:pStyle w:val="BodyText"/>
              <w:spacing w:line="240" w:lineRule="auto"/>
              <w:jc w:val="left"/>
              <w:rPr>
                <w:b w:val="0"/>
                <w:color w:val="auto"/>
                <w:sz w:val="24"/>
              </w:rPr>
            </w:pPr>
            <w:r w:rsidRPr="00385081">
              <w:t>National Career Development</w:t>
            </w:r>
          </w:p>
        </w:tc>
        <w:tc>
          <w:tcPr>
            <w:tcW w:w="7513" w:type="dxa"/>
            <w:vAlign w:val="top"/>
          </w:tcPr>
          <w:p w14:paraId="0FC1514E"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auto"/>
                <w:sz w:val="24"/>
              </w:rPr>
            </w:pPr>
            <w:r w:rsidRPr="00385081">
              <w:t>A National Career Development Strategy is being formulated to provide a strategic approach to career development information, advice, guidance and support.</w:t>
            </w:r>
          </w:p>
        </w:tc>
      </w:tr>
      <w:tr w:rsidR="00A75FA6" w:rsidRPr="00385081" w14:paraId="1AFF1168" w14:textId="77777777" w:rsidTr="00F935CF">
        <w:tc>
          <w:tcPr>
            <w:cnfStyle w:val="001000000000" w:firstRow="0" w:lastRow="0" w:firstColumn="1" w:lastColumn="0" w:oddVBand="0" w:evenVBand="0" w:oddHBand="0" w:evenHBand="0" w:firstRowFirstColumn="0" w:firstRowLastColumn="0" w:lastRowFirstColumn="0" w:lastRowLastColumn="0"/>
            <w:tcW w:w="1985" w:type="dxa"/>
            <w:vAlign w:val="top"/>
          </w:tcPr>
          <w:p w14:paraId="199A29DE" w14:textId="77777777" w:rsidR="00A75FA6" w:rsidRPr="00385081" w:rsidRDefault="00A75FA6" w:rsidP="00391FEF">
            <w:pPr>
              <w:pStyle w:val="BodyText"/>
              <w:spacing w:line="240" w:lineRule="auto"/>
              <w:jc w:val="left"/>
              <w:rPr>
                <w:b w:val="0"/>
                <w:color w:val="auto"/>
                <w:sz w:val="24"/>
              </w:rPr>
            </w:pPr>
            <w:r w:rsidRPr="00385081">
              <w:t>The Compact with Young Australians</w:t>
            </w:r>
          </w:p>
        </w:tc>
        <w:tc>
          <w:tcPr>
            <w:tcW w:w="7513" w:type="dxa"/>
            <w:vAlign w:val="top"/>
          </w:tcPr>
          <w:p w14:paraId="4A44DDC3" w14:textId="77777777" w:rsidR="00A75FA6" w:rsidRPr="00385081" w:rsidRDefault="00A75FA6" w:rsidP="00F935CF">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auto"/>
                <w:sz w:val="24"/>
              </w:rPr>
            </w:pPr>
            <w:r w:rsidRPr="00385081">
              <w:t>The Compact with Young Australians has three elements to promote skills acquisition and ensure young people are learning or earning:</w:t>
            </w:r>
          </w:p>
          <w:p w14:paraId="4EFC5532" w14:textId="77777777" w:rsidR="00A75FA6" w:rsidRPr="00391FEF" w:rsidRDefault="00A75FA6" w:rsidP="00FC7F6A">
            <w:pPr>
              <w:pStyle w:val="ListBullet"/>
              <w:numPr>
                <w:ilvl w:val="0"/>
                <w:numId w:val="8"/>
              </w:numPr>
              <w:spacing w:line="240" w:lineRule="auto"/>
              <w:ind w:left="714" w:hanging="357"/>
              <w:cnfStyle w:val="000000000000" w:firstRow="0" w:lastRow="0" w:firstColumn="0" w:lastColumn="0" w:oddVBand="0" w:evenVBand="0" w:oddHBand="0" w:evenHBand="0" w:firstRowFirstColumn="0" w:firstRowLastColumn="0" w:lastRowFirstColumn="0" w:lastRowLastColumn="0"/>
            </w:pPr>
            <w:r w:rsidRPr="00385081">
              <w:t>a National Youth Participation Requirement for all young people to participate in schooling and/or education, training or employment until the age of 17 years</w:t>
            </w:r>
          </w:p>
          <w:p w14:paraId="415D4F1B" w14:textId="77777777" w:rsidR="00A75FA6" w:rsidRPr="00391FEF" w:rsidRDefault="00A75FA6" w:rsidP="00FC7F6A">
            <w:pPr>
              <w:pStyle w:val="ListBullet"/>
              <w:numPr>
                <w:ilvl w:val="0"/>
                <w:numId w:val="8"/>
              </w:numPr>
              <w:spacing w:line="240" w:lineRule="auto"/>
              <w:ind w:left="714" w:hanging="357"/>
              <w:cnfStyle w:val="000000000000" w:firstRow="0" w:lastRow="0" w:firstColumn="0" w:lastColumn="0" w:oddVBand="0" w:evenVBand="0" w:oddHBand="0" w:evenHBand="0" w:firstRowFirstColumn="0" w:firstRowLastColumn="0" w:lastRowFirstColumn="0" w:lastRowLastColumn="0"/>
            </w:pPr>
            <w:r w:rsidRPr="00385081">
              <w:t>entitlement to an education or training place for 15</w:t>
            </w:r>
            <w:r>
              <w:t>–</w:t>
            </w:r>
            <w:r w:rsidRPr="00385081">
              <w:t>24</w:t>
            </w:r>
            <w:r>
              <w:t>-</w:t>
            </w:r>
            <w:r w:rsidRPr="00385081">
              <w:t>year</w:t>
            </w:r>
            <w:r>
              <w:t>-</w:t>
            </w:r>
            <w:r w:rsidRPr="00385081">
              <w:t>olds</w:t>
            </w:r>
          </w:p>
          <w:p w14:paraId="33B0A6E3" w14:textId="77777777" w:rsidR="00A75FA6" w:rsidRPr="00385081" w:rsidRDefault="00A75FA6" w:rsidP="00FC7F6A">
            <w:pPr>
              <w:pStyle w:val="ListBullet"/>
              <w:numPr>
                <w:ilvl w:val="0"/>
                <w:numId w:val="8"/>
              </w:numPr>
              <w:spacing w:line="240" w:lineRule="auto"/>
              <w:ind w:left="714" w:hanging="357"/>
              <w:cnfStyle w:val="000000000000" w:firstRow="0" w:lastRow="0" w:firstColumn="0" w:lastColumn="0" w:oddVBand="0" w:evenVBand="0" w:oddHBand="0" w:evenHBand="0" w:firstRowFirstColumn="0" w:firstRowLastColumn="0" w:lastRowFirstColumn="0" w:lastRowLastColumn="0"/>
              <w:rPr>
                <w:color w:val="auto"/>
                <w:sz w:val="24"/>
              </w:rPr>
            </w:pPr>
            <w:r w:rsidRPr="00385081">
              <w:t>strengthened participation requirements for some types of income support</w:t>
            </w:r>
            <w:r>
              <w:t>.</w:t>
            </w:r>
          </w:p>
        </w:tc>
      </w:tr>
    </w:tbl>
    <w:p w14:paraId="464B8C70" w14:textId="77777777" w:rsidR="00A75FA6" w:rsidRPr="00385081" w:rsidRDefault="00A75FA6" w:rsidP="00CB48A2">
      <w:pPr>
        <w:pStyle w:val="Heading2"/>
      </w:pPr>
      <w:bookmarkStart w:id="18" w:name="_Toc210355106"/>
      <w:bookmarkStart w:id="19" w:name="_Toc219347233"/>
      <w:r w:rsidRPr="00385081">
        <w:t>This evaluation</w:t>
      </w:r>
      <w:bookmarkEnd w:id="18"/>
      <w:bookmarkEnd w:id="19"/>
    </w:p>
    <w:p w14:paraId="5B576D5E" w14:textId="77777777" w:rsidR="00A75FA6" w:rsidRPr="00385081" w:rsidRDefault="00A75FA6" w:rsidP="00A75FA6">
      <w:pPr>
        <w:pStyle w:val="Heading3"/>
      </w:pPr>
      <w:r w:rsidRPr="00385081">
        <w:t>Purpose and scope of the evaluation</w:t>
      </w:r>
    </w:p>
    <w:p w14:paraId="440B9055" w14:textId="77777777" w:rsidR="00A75FA6" w:rsidRPr="00385081" w:rsidRDefault="00A75FA6" w:rsidP="00A75FA6">
      <w:pPr>
        <w:pStyle w:val="BodyText"/>
      </w:pPr>
      <w:r w:rsidRPr="00385081">
        <w:t>The purpose of this evaluation is to assess the effectiveness (impact), appropriateness, governance and implementation of the NP. In order to make that assessment, this evaluation has sought to answer the overarching question:</w:t>
      </w:r>
    </w:p>
    <w:p w14:paraId="0AACD6E9" w14:textId="77777777" w:rsidR="00A75FA6" w:rsidRPr="00385081" w:rsidRDefault="00A75FA6" w:rsidP="00A75FA6">
      <w:pPr>
        <w:pStyle w:val="BodyText"/>
        <w:jc w:val="center"/>
        <w:rPr>
          <w:b/>
          <w:i/>
        </w:rPr>
      </w:pPr>
      <w:r>
        <w:rPr>
          <w:b/>
        </w:rPr>
        <w:lastRenderedPageBreak/>
        <w:t>‘</w:t>
      </w:r>
      <w:r w:rsidRPr="00385081">
        <w:rPr>
          <w:b/>
          <w:i/>
        </w:rPr>
        <w:t>Have the National</w:t>
      </w:r>
      <w:r w:rsidRPr="00385081">
        <w:rPr>
          <w:b/>
        </w:rPr>
        <w:t xml:space="preserve"> </w:t>
      </w:r>
      <w:r w:rsidRPr="00385081">
        <w:rPr>
          <w:b/>
          <w:i/>
        </w:rPr>
        <w:t xml:space="preserve">Partnership elements, as a package, contributed </w:t>
      </w:r>
      <w:r>
        <w:rPr>
          <w:b/>
          <w:i/>
        </w:rPr>
        <w:t xml:space="preserve">to </w:t>
      </w:r>
      <w:r w:rsidRPr="00385081">
        <w:rPr>
          <w:b/>
          <w:i/>
        </w:rPr>
        <w:t>improved participation, engagement, attainment and transition outcomes for young Australians, including young Indigenous Australians?</w:t>
      </w:r>
      <w:r>
        <w:rPr>
          <w:b/>
          <w:i/>
        </w:rPr>
        <w:t>’</w:t>
      </w:r>
    </w:p>
    <w:p w14:paraId="23BD6DCE" w14:textId="77777777" w:rsidR="00A75FA6" w:rsidRPr="00385081" w:rsidRDefault="00A75FA6" w:rsidP="00A75FA6">
      <w:pPr>
        <w:pStyle w:val="BodyText"/>
      </w:pPr>
      <w:r w:rsidRPr="00385081">
        <w:t xml:space="preserve">The </w:t>
      </w:r>
      <w:r>
        <w:t>purpose of</w:t>
      </w:r>
      <w:r w:rsidRPr="00385081">
        <w:t xml:space="preserve"> this project is </w:t>
      </w:r>
      <w:r>
        <w:t>to evaluate</w:t>
      </w:r>
      <w:r w:rsidRPr="00385081">
        <w:t xml:space="preserve"> the NP as a whole</w:t>
      </w:r>
      <w:r>
        <w:t>, not</w:t>
      </w:r>
      <w:r w:rsidRPr="00385081">
        <w:t xml:space="preserve"> to provide a detailed assessment of the individual programs and activities that are operating under the NP. Specifically, the evaluation:</w:t>
      </w:r>
    </w:p>
    <w:tbl>
      <w:tblPr>
        <w:tblStyle w:val="DandoloTableLeft"/>
        <w:tblW w:w="0" w:type="auto"/>
        <w:tblLook w:val="04A0" w:firstRow="1" w:lastRow="0" w:firstColumn="1" w:lastColumn="0" w:noHBand="0" w:noVBand="1"/>
        <w:tblCaption w:val="Scope of the evaluation"/>
        <w:tblDescription w:val="Scope of the evaluation"/>
      </w:tblPr>
      <w:tblGrid>
        <w:gridCol w:w="4772"/>
        <w:gridCol w:w="4746"/>
      </w:tblGrid>
      <w:tr w:rsidR="00A75FA6" w:rsidRPr="00385081" w14:paraId="64BF300E"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352A446A" w14:textId="77777777" w:rsidR="00A75FA6" w:rsidRPr="00385081" w:rsidRDefault="00A75FA6" w:rsidP="00F935CF">
            <w:pPr>
              <w:pStyle w:val="BodyText"/>
              <w:spacing w:line="240" w:lineRule="auto"/>
              <w:rPr>
                <w:b/>
              </w:rPr>
            </w:pPr>
            <w:r w:rsidRPr="00385081">
              <w:rPr>
                <w:b/>
              </w:rPr>
              <w:t>Covers</w:t>
            </w:r>
          </w:p>
        </w:tc>
        <w:tc>
          <w:tcPr>
            <w:tcW w:w="4746" w:type="dxa"/>
          </w:tcPr>
          <w:p w14:paraId="318F6269" w14:textId="77777777" w:rsidR="00A75FA6" w:rsidRPr="00385081" w:rsidRDefault="00A75FA6" w:rsidP="00F935CF">
            <w:pPr>
              <w:pStyle w:val="BodyText"/>
              <w:spacing w:line="240" w:lineRule="auto"/>
              <w:cnfStyle w:val="100000000000" w:firstRow="1" w:lastRow="0" w:firstColumn="0" w:lastColumn="0" w:oddVBand="0" w:evenVBand="0" w:oddHBand="0" w:evenHBand="0" w:firstRowFirstColumn="0" w:firstRowLastColumn="0" w:lastRowFirstColumn="0" w:lastRowLastColumn="0"/>
              <w:rPr>
                <w:b/>
              </w:rPr>
            </w:pPr>
            <w:r w:rsidRPr="00385081">
              <w:rPr>
                <w:b/>
              </w:rPr>
              <w:t>Does not cover</w:t>
            </w:r>
          </w:p>
        </w:tc>
      </w:tr>
      <w:tr w:rsidR="00A75FA6" w:rsidRPr="00385081" w14:paraId="3DC9625E" w14:textId="77777777" w:rsidTr="00F935CF">
        <w:tc>
          <w:tcPr>
            <w:cnfStyle w:val="001000000000" w:firstRow="0" w:lastRow="0" w:firstColumn="1" w:lastColumn="0" w:oddVBand="0" w:evenVBand="0" w:oddHBand="0" w:evenHBand="0" w:firstRowFirstColumn="0" w:firstRowLastColumn="0" w:lastRowFirstColumn="0" w:lastRowLastColumn="0"/>
            <w:tcW w:w="4772" w:type="dxa"/>
            <w:vAlign w:val="top"/>
          </w:tcPr>
          <w:p w14:paraId="15A38818" w14:textId="77777777" w:rsidR="00A75FA6" w:rsidRPr="00385081" w:rsidRDefault="00A75FA6" w:rsidP="00FC7F6A">
            <w:pPr>
              <w:pStyle w:val="BodyText"/>
              <w:numPr>
                <w:ilvl w:val="0"/>
                <w:numId w:val="6"/>
              </w:numPr>
              <w:spacing w:line="240" w:lineRule="auto"/>
              <w:ind w:left="714" w:hanging="357"/>
              <w:rPr>
                <w:b w:val="0"/>
                <w:color w:val="3C3C3B"/>
                <w:sz w:val="24"/>
              </w:rPr>
            </w:pPr>
            <w:r>
              <w:rPr>
                <w:b w:val="0"/>
                <w:color w:val="3C3C3B"/>
              </w:rPr>
              <w:t>m</w:t>
            </w:r>
            <w:r w:rsidRPr="00385081">
              <w:rPr>
                <w:b w:val="0"/>
                <w:color w:val="3C3C3B"/>
              </w:rPr>
              <w:t>easurement of movement in participation, attainment and transition outcomes using reliable national data sources</w:t>
            </w:r>
          </w:p>
          <w:p w14:paraId="3DA8AFA0" w14:textId="77777777" w:rsidR="00A75FA6" w:rsidRPr="00385081" w:rsidRDefault="00A75FA6" w:rsidP="00FC7F6A">
            <w:pPr>
              <w:pStyle w:val="BodyText"/>
              <w:numPr>
                <w:ilvl w:val="0"/>
                <w:numId w:val="6"/>
              </w:numPr>
              <w:spacing w:line="240" w:lineRule="auto"/>
              <w:ind w:left="714" w:hanging="357"/>
              <w:rPr>
                <w:b w:val="0"/>
                <w:color w:val="3C3C3B"/>
                <w:sz w:val="24"/>
              </w:rPr>
            </w:pPr>
            <w:r>
              <w:rPr>
                <w:b w:val="0"/>
                <w:color w:val="3C3C3B"/>
              </w:rPr>
              <w:t>a</w:t>
            </w:r>
            <w:r w:rsidRPr="00385081">
              <w:rPr>
                <w:b w:val="0"/>
                <w:color w:val="3C3C3B"/>
              </w:rPr>
              <w:t>cknowledgement of other factors and initiatives that contribute to or impact targeted outcomes (e.g.</w:t>
            </w:r>
            <w:r>
              <w:rPr>
                <w:b w:val="0"/>
                <w:color w:val="3C3C3B"/>
              </w:rPr>
              <w:t>,</w:t>
            </w:r>
            <w:r w:rsidRPr="00385081">
              <w:rPr>
                <w:b w:val="0"/>
                <w:color w:val="3C3C3B"/>
              </w:rPr>
              <w:t xml:space="preserve"> impact of the GFC</w:t>
            </w:r>
            <w:r>
              <w:rPr>
                <w:b w:val="0"/>
                <w:color w:val="3C3C3B"/>
              </w:rPr>
              <w:t>;</w:t>
            </w:r>
            <w:r w:rsidRPr="00385081">
              <w:rPr>
                <w:b w:val="0"/>
                <w:color w:val="3C3C3B"/>
              </w:rPr>
              <w:t xml:space="preserve"> issues faced </w:t>
            </w:r>
            <w:r>
              <w:rPr>
                <w:b w:val="0"/>
                <w:color w:val="3C3C3B"/>
              </w:rPr>
              <w:t>by those in</w:t>
            </w:r>
            <w:r w:rsidRPr="00385081">
              <w:rPr>
                <w:b w:val="0"/>
                <w:color w:val="3C3C3B"/>
              </w:rPr>
              <w:t xml:space="preserve"> regional and remote areas)</w:t>
            </w:r>
          </w:p>
          <w:p w14:paraId="0B665BBA" w14:textId="77777777" w:rsidR="00A75FA6" w:rsidRPr="00385081" w:rsidRDefault="00A75FA6" w:rsidP="00FC7F6A">
            <w:pPr>
              <w:pStyle w:val="BodyText"/>
              <w:numPr>
                <w:ilvl w:val="0"/>
                <w:numId w:val="6"/>
              </w:numPr>
              <w:spacing w:line="240" w:lineRule="auto"/>
              <w:ind w:left="714" w:hanging="357"/>
              <w:rPr>
                <w:b w:val="0"/>
                <w:color w:val="3C3C3B"/>
                <w:sz w:val="24"/>
              </w:rPr>
            </w:pPr>
            <w:r>
              <w:rPr>
                <w:b w:val="0"/>
                <w:color w:val="3C3C3B"/>
              </w:rPr>
              <w:t>i</w:t>
            </w:r>
            <w:r w:rsidRPr="00385081">
              <w:rPr>
                <w:b w:val="0"/>
                <w:color w:val="3C3C3B"/>
              </w:rPr>
              <w:t>nvestigation of the value of a national, collaborative approach to initiatives aimed at improving those outcomes (predominantly through qualitative research and supported by literature review)</w:t>
            </w:r>
          </w:p>
          <w:p w14:paraId="70D9B6CC" w14:textId="77777777" w:rsidR="00A75FA6" w:rsidRPr="00385081" w:rsidRDefault="00A75FA6" w:rsidP="00FC7F6A">
            <w:pPr>
              <w:pStyle w:val="BodyText"/>
              <w:numPr>
                <w:ilvl w:val="0"/>
                <w:numId w:val="6"/>
              </w:numPr>
              <w:spacing w:line="240" w:lineRule="auto"/>
              <w:ind w:left="714" w:hanging="357"/>
              <w:rPr>
                <w:b w:val="0"/>
                <w:color w:val="3C3C3B"/>
                <w:sz w:val="24"/>
              </w:rPr>
            </w:pPr>
            <w:r>
              <w:rPr>
                <w:b w:val="0"/>
                <w:color w:val="3C3C3B"/>
              </w:rPr>
              <w:t>h</w:t>
            </w:r>
            <w:r w:rsidRPr="00385081">
              <w:rPr>
                <w:b w:val="0"/>
                <w:color w:val="3C3C3B"/>
              </w:rPr>
              <w:t>igh</w:t>
            </w:r>
            <w:r>
              <w:rPr>
                <w:b w:val="0"/>
                <w:color w:val="3C3C3B"/>
              </w:rPr>
              <w:t>-</w:t>
            </w:r>
            <w:r w:rsidRPr="00385081">
              <w:rPr>
                <w:b w:val="0"/>
                <w:color w:val="3C3C3B"/>
              </w:rPr>
              <w:t>level evaluation of elements in terms of their contribution to the NP goals</w:t>
            </w:r>
          </w:p>
          <w:p w14:paraId="6B46B435" w14:textId="77777777" w:rsidR="00A75FA6" w:rsidRPr="00385081" w:rsidRDefault="00A75FA6" w:rsidP="00FC7F6A">
            <w:pPr>
              <w:pStyle w:val="BodyText"/>
              <w:numPr>
                <w:ilvl w:val="0"/>
                <w:numId w:val="6"/>
              </w:numPr>
              <w:spacing w:line="240" w:lineRule="auto"/>
              <w:ind w:left="714" w:hanging="357"/>
              <w:rPr>
                <w:b w:val="0"/>
                <w:color w:val="3C3C3B"/>
                <w:sz w:val="24"/>
              </w:rPr>
            </w:pPr>
            <w:r>
              <w:rPr>
                <w:b w:val="0"/>
                <w:color w:val="3C3C3B"/>
              </w:rPr>
              <w:t>e</w:t>
            </w:r>
            <w:r w:rsidRPr="00385081">
              <w:rPr>
                <w:b w:val="0"/>
                <w:color w:val="3C3C3B"/>
              </w:rPr>
              <w:t>xamination of whether and how the separate elements of the NP work together</w:t>
            </w:r>
          </w:p>
          <w:p w14:paraId="127C3816" w14:textId="77777777" w:rsidR="00A75FA6" w:rsidRPr="00385081" w:rsidRDefault="00A75FA6" w:rsidP="00FC7F6A">
            <w:pPr>
              <w:pStyle w:val="BodyText"/>
              <w:numPr>
                <w:ilvl w:val="0"/>
                <w:numId w:val="6"/>
              </w:numPr>
              <w:spacing w:line="240" w:lineRule="auto"/>
              <w:ind w:left="714" w:hanging="357"/>
              <w:rPr>
                <w:b w:val="0"/>
                <w:color w:val="3C3C3B"/>
                <w:sz w:val="24"/>
              </w:rPr>
            </w:pPr>
            <w:r>
              <w:rPr>
                <w:b w:val="0"/>
                <w:color w:val="3C3C3B"/>
              </w:rPr>
              <w:t>s</w:t>
            </w:r>
            <w:r w:rsidRPr="00385081">
              <w:rPr>
                <w:b w:val="0"/>
                <w:color w:val="3C3C3B"/>
              </w:rPr>
              <w:t>ummary of findings and options for the future</w:t>
            </w:r>
            <w:r>
              <w:rPr>
                <w:b w:val="0"/>
                <w:color w:val="3C3C3B"/>
              </w:rPr>
              <w:t>.</w:t>
            </w:r>
          </w:p>
        </w:tc>
        <w:tc>
          <w:tcPr>
            <w:tcW w:w="4746" w:type="dxa"/>
            <w:vAlign w:val="top"/>
          </w:tcPr>
          <w:p w14:paraId="42806DF2" w14:textId="77777777" w:rsidR="00A75FA6" w:rsidRPr="00385081" w:rsidRDefault="00A75FA6" w:rsidP="00FC7F6A">
            <w:pPr>
              <w:pStyle w:val="BodyText"/>
              <w:numPr>
                <w:ilvl w:val="0"/>
                <w:numId w:val="6"/>
              </w:numPr>
              <w:spacing w:line="240" w:lineRule="auto"/>
              <w:ind w:left="714" w:hanging="357"/>
              <w:cnfStyle w:val="000000000000" w:firstRow="0" w:lastRow="0" w:firstColumn="0" w:lastColumn="0" w:oddVBand="0" w:evenVBand="0" w:oddHBand="0" w:evenHBand="0" w:firstRowFirstColumn="0" w:firstRowLastColumn="0" w:lastRowFirstColumn="0" w:lastRowLastColumn="0"/>
              <w:rPr>
                <w:color w:val="auto"/>
                <w:sz w:val="24"/>
              </w:rPr>
            </w:pPr>
            <w:r>
              <w:t>a</w:t>
            </w:r>
            <w:r w:rsidRPr="00385081">
              <w:t xml:space="preserve"> detailed evaluation of individual programs and activities that would require acquisition and analysis of new primary data</w:t>
            </w:r>
            <w:r>
              <w:t>; w</w:t>
            </w:r>
            <w:r w:rsidRPr="00385081">
              <w:t xml:space="preserve">here possible, findings from evaluations being conducted of elements/programs at </w:t>
            </w:r>
            <w:r>
              <w:t>the federal</w:t>
            </w:r>
            <w:r w:rsidRPr="00385081">
              <w:t>, jurisdiction or sector level will be incorporated</w:t>
            </w:r>
          </w:p>
          <w:p w14:paraId="5406C178" w14:textId="77777777" w:rsidR="00A75FA6" w:rsidRPr="00385081" w:rsidRDefault="00A75FA6" w:rsidP="00FC7F6A">
            <w:pPr>
              <w:pStyle w:val="BodyText"/>
              <w:numPr>
                <w:ilvl w:val="0"/>
                <w:numId w:val="6"/>
              </w:numPr>
              <w:spacing w:line="240" w:lineRule="auto"/>
              <w:ind w:left="714" w:hanging="357"/>
              <w:cnfStyle w:val="000000000000" w:firstRow="0" w:lastRow="0" w:firstColumn="0" w:lastColumn="0" w:oddVBand="0" w:evenVBand="0" w:oddHBand="0" w:evenHBand="0" w:firstRowFirstColumn="0" w:firstRowLastColumn="0" w:lastRowFirstColumn="0" w:lastRowLastColumn="0"/>
              <w:rPr>
                <w:color w:val="3C3C3B" w:themeColor="accent2"/>
                <w:sz w:val="24"/>
                <w:szCs w:val="18"/>
              </w:rPr>
            </w:pPr>
            <w:r>
              <w:t>a</w:t>
            </w:r>
            <w:r w:rsidRPr="00385081">
              <w:rPr>
                <w:color w:val="3C3C3B" w:themeColor="accent2"/>
                <w:szCs w:val="18"/>
              </w:rPr>
              <w:t xml:space="preserve"> comparative assessment of performance and contributions made by school sectors, States and Territories</w:t>
            </w:r>
            <w:r>
              <w:rPr>
                <w:color w:val="3C3C3B" w:themeColor="accent2"/>
                <w:szCs w:val="18"/>
              </w:rPr>
              <w:t>,</w:t>
            </w:r>
            <w:r w:rsidRPr="00385081">
              <w:rPr>
                <w:color w:val="3C3C3B" w:themeColor="accent2"/>
                <w:szCs w:val="18"/>
              </w:rPr>
              <w:t xml:space="preserve"> or service providers</w:t>
            </w:r>
          </w:p>
          <w:p w14:paraId="2238E94B" w14:textId="77777777" w:rsidR="00A75FA6" w:rsidRPr="00385081" w:rsidRDefault="00A75FA6" w:rsidP="00FC7F6A">
            <w:pPr>
              <w:pStyle w:val="BodyText"/>
              <w:numPr>
                <w:ilvl w:val="0"/>
                <w:numId w:val="6"/>
              </w:numPr>
              <w:spacing w:line="240" w:lineRule="auto"/>
              <w:ind w:left="714" w:hanging="357"/>
              <w:cnfStyle w:val="000000000000" w:firstRow="0" w:lastRow="0" w:firstColumn="0" w:lastColumn="0" w:oddVBand="0" w:evenVBand="0" w:oddHBand="0" w:evenHBand="0" w:firstRowFirstColumn="0" w:firstRowLastColumn="0" w:lastRowFirstColumn="0" w:lastRowLastColumn="0"/>
              <w:rPr>
                <w:color w:val="auto"/>
                <w:sz w:val="24"/>
              </w:rPr>
            </w:pPr>
            <w:r>
              <w:t>a</w:t>
            </w:r>
            <w:r w:rsidRPr="00385081">
              <w:t xml:space="preserve"> quantification of </w:t>
            </w:r>
            <w:r>
              <w:t xml:space="preserve">the </w:t>
            </w:r>
            <w:r w:rsidRPr="00385081">
              <w:t>elements’ contribution toward</w:t>
            </w:r>
            <w:r>
              <w:t>s</w:t>
            </w:r>
            <w:r w:rsidRPr="00385081">
              <w:t xml:space="preserve"> targeted outcomes</w:t>
            </w:r>
            <w:r>
              <w:t>,</w:t>
            </w:r>
            <w:r w:rsidRPr="00385081">
              <w:t xml:space="preserve"> as attribution is not possible</w:t>
            </w:r>
          </w:p>
          <w:p w14:paraId="7C5AADC5" w14:textId="77777777" w:rsidR="00A75FA6" w:rsidRPr="00385081" w:rsidRDefault="00A75FA6" w:rsidP="00FC7F6A">
            <w:pPr>
              <w:pStyle w:val="BodyText"/>
              <w:numPr>
                <w:ilvl w:val="0"/>
                <w:numId w:val="6"/>
              </w:numPr>
              <w:spacing w:line="240" w:lineRule="auto"/>
              <w:ind w:left="714" w:hanging="357"/>
              <w:cnfStyle w:val="000000000000" w:firstRow="0" w:lastRow="0" w:firstColumn="0" w:lastColumn="0" w:oddVBand="0" w:evenVBand="0" w:oddHBand="0" w:evenHBand="0" w:firstRowFirstColumn="0" w:firstRowLastColumn="0" w:lastRowFirstColumn="0" w:lastRowLastColumn="0"/>
              <w:rPr>
                <w:color w:val="auto"/>
                <w:sz w:val="24"/>
              </w:rPr>
            </w:pPr>
            <w:r>
              <w:t>r</w:t>
            </w:r>
            <w:r w:rsidRPr="00385081">
              <w:t xml:space="preserve">eward funding decisions – this evaluation will not contribute to </w:t>
            </w:r>
            <w:r>
              <w:t>these.</w:t>
            </w:r>
          </w:p>
        </w:tc>
      </w:tr>
    </w:tbl>
    <w:p w14:paraId="71CF771A" w14:textId="77777777" w:rsidR="00A75FA6" w:rsidRPr="00385081" w:rsidRDefault="00A75FA6" w:rsidP="00A75FA6">
      <w:pPr>
        <w:pStyle w:val="Heading3"/>
      </w:pPr>
      <w:r w:rsidRPr="00385081">
        <w:t>Challenges for the evaluation</w:t>
      </w:r>
    </w:p>
    <w:p w14:paraId="3F19212C" w14:textId="77777777" w:rsidR="00A75FA6" w:rsidRPr="00385081" w:rsidRDefault="00A75FA6" w:rsidP="00A75FA6">
      <w:pPr>
        <w:pStyle w:val="BodyText"/>
      </w:pPr>
      <w:r w:rsidRPr="00385081">
        <w:t>A number of challenges for this evaluation were identified and helped inform the evaluation approach that was adopted.</w:t>
      </w:r>
      <w:r>
        <w:t xml:space="preserve"> </w:t>
      </w:r>
      <w:r w:rsidRPr="00385081">
        <w:t xml:space="preserve">Some of the more significant anticipated challenges are outlined in </w:t>
      </w:r>
      <w:r w:rsidR="0056511F" w:rsidRPr="00385081">
        <w:fldChar w:fldCharType="begin"/>
      </w:r>
      <w:r w:rsidRPr="00385081">
        <w:instrText xml:space="preserve"> REF _Ref206554823 \h </w:instrText>
      </w:r>
      <w:r w:rsidR="0056511F" w:rsidRPr="00385081">
        <w:fldChar w:fldCharType="separate"/>
      </w:r>
      <w:r w:rsidR="00A76CFC" w:rsidRPr="00385081">
        <w:t xml:space="preserve">Table </w:t>
      </w:r>
      <w:r w:rsidR="00A76CFC">
        <w:t>1.</w:t>
      </w:r>
      <w:r w:rsidR="00A76CFC">
        <w:rPr>
          <w:noProof/>
        </w:rPr>
        <w:t>5</w:t>
      </w:r>
      <w:r w:rsidR="0056511F" w:rsidRPr="00385081">
        <w:fldChar w:fldCharType="end"/>
      </w:r>
      <w:r w:rsidRPr="00385081">
        <w:t xml:space="preserve">, together with </w:t>
      </w:r>
      <w:r>
        <w:t xml:space="preserve">the </w:t>
      </w:r>
      <w:r w:rsidRPr="00385081">
        <w:t>strategies adopted to address them.</w:t>
      </w:r>
    </w:p>
    <w:p w14:paraId="421A7139" w14:textId="77777777" w:rsidR="00A75FA6" w:rsidRPr="00385081" w:rsidRDefault="00A75FA6" w:rsidP="00A75FA6">
      <w:pPr>
        <w:pStyle w:val="Caption"/>
      </w:pPr>
      <w:bookmarkStart w:id="20" w:name="_Ref206554823"/>
      <w:r w:rsidRPr="00385081">
        <w:t xml:space="preserve">Table </w:t>
      </w:r>
      <w:r>
        <w:t>1.</w:t>
      </w:r>
      <w:r w:rsidR="001D7D12">
        <w:fldChar w:fldCharType="begin"/>
      </w:r>
      <w:r w:rsidR="001D7D12">
        <w:instrText xml:space="preserve"> SEQ Table \* ARABIC </w:instrText>
      </w:r>
      <w:r w:rsidR="001D7D12">
        <w:fldChar w:fldCharType="separate"/>
      </w:r>
      <w:r w:rsidR="00A76CFC">
        <w:rPr>
          <w:noProof/>
        </w:rPr>
        <w:t>5</w:t>
      </w:r>
      <w:r w:rsidR="001D7D12">
        <w:rPr>
          <w:noProof/>
        </w:rPr>
        <w:fldChar w:fldCharType="end"/>
      </w:r>
      <w:bookmarkEnd w:id="20"/>
      <w:r w:rsidRPr="00385081">
        <w:t>: Project challenges and strategies</w:t>
      </w:r>
    </w:p>
    <w:tbl>
      <w:tblPr>
        <w:tblStyle w:val="DandoloTableLeft"/>
        <w:tblW w:w="0" w:type="auto"/>
        <w:tblLook w:val="04A0" w:firstRow="1" w:lastRow="0" w:firstColumn="1" w:lastColumn="0" w:noHBand="0" w:noVBand="1"/>
        <w:tblCaption w:val="Project challenges and strategies"/>
        <w:tblDescription w:val="Project challenges and strategies"/>
      </w:tblPr>
      <w:tblGrid>
        <w:gridCol w:w="3119"/>
        <w:gridCol w:w="6379"/>
      </w:tblGrid>
      <w:tr w:rsidR="00A75FA6" w:rsidRPr="00385081" w14:paraId="6CB94435"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B766230" w14:textId="77777777" w:rsidR="00A75FA6" w:rsidRPr="00385081" w:rsidRDefault="00A75FA6" w:rsidP="00F935CF">
            <w:pPr>
              <w:pStyle w:val="BodyText"/>
              <w:spacing w:line="240" w:lineRule="auto"/>
              <w:rPr>
                <w:b/>
              </w:rPr>
            </w:pPr>
            <w:r w:rsidRPr="00385081">
              <w:rPr>
                <w:b/>
              </w:rPr>
              <w:t>Project challenge</w:t>
            </w:r>
          </w:p>
        </w:tc>
        <w:tc>
          <w:tcPr>
            <w:tcW w:w="6379" w:type="dxa"/>
          </w:tcPr>
          <w:p w14:paraId="57A1940B" w14:textId="77777777" w:rsidR="00A75FA6" w:rsidRPr="00385081" w:rsidRDefault="00A75FA6" w:rsidP="00F935CF">
            <w:pPr>
              <w:pStyle w:val="BodyText"/>
              <w:spacing w:line="240" w:lineRule="auto"/>
              <w:cnfStyle w:val="100000000000" w:firstRow="1" w:lastRow="0" w:firstColumn="0" w:lastColumn="0" w:oddVBand="0" w:evenVBand="0" w:oddHBand="0" w:evenHBand="0" w:firstRowFirstColumn="0" w:firstRowLastColumn="0" w:lastRowFirstColumn="0" w:lastRowLastColumn="0"/>
              <w:rPr>
                <w:b/>
              </w:rPr>
            </w:pPr>
            <w:r w:rsidRPr="00385081">
              <w:rPr>
                <w:b/>
              </w:rPr>
              <w:t>Strategies for addressing challenge</w:t>
            </w:r>
          </w:p>
        </w:tc>
      </w:tr>
      <w:tr w:rsidR="00A75FA6" w:rsidRPr="00385081" w14:paraId="71764898" w14:textId="77777777" w:rsidTr="00F935CF">
        <w:tc>
          <w:tcPr>
            <w:cnfStyle w:val="001000000000" w:firstRow="0" w:lastRow="0" w:firstColumn="1" w:lastColumn="0" w:oddVBand="0" w:evenVBand="0" w:oddHBand="0" w:evenHBand="0" w:firstRowFirstColumn="0" w:firstRowLastColumn="0" w:lastRowFirstColumn="0" w:lastRowLastColumn="0"/>
            <w:tcW w:w="3119" w:type="dxa"/>
            <w:vAlign w:val="top"/>
          </w:tcPr>
          <w:p w14:paraId="1A7A99C5" w14:textId="77777777" w:rsidR="00A75FA6" w:rsidRPr="00385081" w:rsidRDefault="00A75FA6" w:rsidP="00F935CF">
            <w:pPr>
              <w:pStyle w:val="BodyText"/>
              <w:spacing w:line="240" w:lineRule="auto"/>
              <w:ind w:left="142"/>
              <w:rPr>
                <w:b w:val="0"/>
                <w:color w:val="3C3C3B"/>
                <w:sz w:val="24"/>
              </w:rPr>
            </w:pPr>
            <w:r w:rsidRPr="00385081">
              <w:rPr>
                <w:color w:val="3C3C3B"/>
              </w:rPr>
              <w:t>Project causality</w:t>
            </w:r>
            <w:r>
              <w:rPr>
                <w:b w:val="0"/>
                <w:color w:val="3C3C3B"/>
              </w:rPr>
              <w:t xml:space="preserve"> –</w:t>
            </w:r>
            <w:r w:rsidRPr="00385081">
              <w:rPr>
                <w:b w:val="0"/>
                <w:color w:val="3C3C3B"/>
              </w:rPr>
              <w:t xml:space="preserve"> or accounting for the influence of external factors on youth attainment and transition outcomes. A wide range of factors (in addition to this NP) contribute to targeted outcomes. This evaluation needs to consider movements in targeted outcomes in </w:t>
            </w:r>
            <w:r>
              <w:rPr>
                <w:b w:val="0"/>
                <w:color w:val="3C3C3B"/>
              </w:rPr>
              <w:t xml:space="preserve">the </w:t>
            </w:r>
            <w:r w:rsidRPr="00385081">
              <w:rPr>
                <w:b w:val="0"/>
                <w:color w:val="3C3C3B"/>
              </w:rPr>
              <w:t xml:space="preserve">context </w:t>
            </w:r>
            <w:r>
              <w:rPr>
                <w:b w:val="0"/>
                <w:color w:val="3C3C3B"/>
              </w:rPr>
              <w:t>of</w:t>
            </w:r>
            <w:r w:rsidRPr="00385081">
              <w:rPr>
                <w:b w:val="0"/>
                <w:color w:val="3C3C3B"/>
              </w:rPr>
              <w:t xml:space="preserve"> influential </w:t>
            </w:r>
            <w:r>
              <w:rPr>
                <w:b w:val="0"/>
                <w:color w:val="3C3C3B"/>
              </w:rPr>
              <w:t>‘</w:t>
            </w:r>
            <w:r w:rsidRPr="00385081">
              <w:rPr>
                <w:b w:val="0"/>
                <w:color w:val="3C3C3B"/>
              </w:rPr>
              <w:t>external</w:t>
            </w:r>
            <w:r>
              <w:rPr>
                <w:b w:val="0"/>
                <w:color w:val="3C3C3B"/>
              </w:rPr>
              <w:t>’</w:t>
            </w:r>
            <w:r w:rsidRPr="00385081">
              <w:rPr>
                <w:b w:val="0"/>
                <w:color w:val="3C3C3B"/>
              </w:rPr>
              <w:t xml:space="preserve"> factors.</w:t>
            </w:r>
          </w:p>
        </w:tc>
        <w:tc>
          <w:tcPr>
            <w:tcW w:w="6379" w:type="dxa"/>
            <w:vAlign w:val="top"/>
          </w:tcPr>
          <w:p w14:paraId="6C69DF6C" w14:textId="77777777" w:rsidR="00A75FA6" w:rsidRPr="00385081" w:rsidRDefault="00A75FA6" w:rsidP="00FC7F6A">
            <w:pPr>
              <w:pStyle w:val="BodyText"/>
              <w:numPr>
                <w:ilvl w:val="0"/>
                <w:numId w:val="10"/>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rsidRPr="00385081">
              <w:t>Conduct research to identify and explore external factors that influence participation, attainment and transition outcomes</w:t>
            </w:r>
            <w:r>
              <w:t>.</w:t>
            </w:r>
          </w:p>
          <w:p w14:paraId="34AD2FAA" w14:textId="77777777" w:rsidR="00A75FA6" w:rsidRDefault="00A75FA6" w:rsidP="00FC7F6A">
            <w:pPr>
              <w:pStyle w:val="BodyText"/>
              <w:numPr>
                <w:ilvl w:val="0"/>
                <w:numId w:val="10"/>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rsidRPr="00385081">
              <w:t>Where possible, use proxies that identify progress being made toward</w:t>
            </w:r>
            <w:r>
              <w:t>s</w:t>
            </w:r>
            <w:r w:rsidRPr="00385081">
              <w:t xml:space="preserve"> achievement of outcomes – i.e.</w:t>
            </w:r>
            <w:r>
              <w:t>,</w:t>
            </w:r>
            <w:r w:rsidRPr="00385081">
              <w:t xml:space="preserve"> develop an understanding of what is being done at </w:t>
            </w:r>
            <w:r>
              <w:t>the federal</w:t>
            </w:r>
            <w:r w:rsidRPr="00385081">
              <w:t xml:space="preserve"> and jurisdictional levels to work toward</w:t>
            </w:r>
            <w:r>
              <w:t>s</w:t>
            </w:r>
            <w:r w:rsidRPr="00385081">
              <w:t xml:space="preserve"> improved outcomes</w:t>
            </w:r>
            <w:r>
              <w:t>.</w:t>
            </w:r>
          </w:p>
          <w:p w14:paraId="730A694B" w14:textId="77777777" w:rsidR="00A75FA6" w:rsidRPr="00385081" w:rsidRDefault="00A75FA6" w:rsidP="00FC7F6A">
            <w:pPr>
              <w:pStyle w:val="BodyText"/>
              <w:numPr>
                <w:ilvl w:val="0"/>
                <w:numId w:val="10"/>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rsidRPr="00385081">
              <w:t>Observe movements in targeted outcomes – before and since the introduction of the NP</w:t>
            </w:r>
            <w:r>
              <w:t>.</w:t>
            </w:r>
          </w:p>
        </w:tc>
      </w:tr>
      <w:tr w:rsidR="00A75FA6" w:rsidRPr="00385081" w14:paraId="72985D3D" w14:textId="77777777" w:rsidTr="00F935CF">
        <w:tc>
          <w:tcPr>
            <w:cnfStyle w:val="001000000000" w:firstRow="0" w:lastRow="0" w:firstColumn="1" w:lastColumn="0" w:oddVBand="0" w:evenVBand="0" w:oddHBand="0" w:evenHBand="0" w:firstRowFirstColumn="0" w:firstRowLastColumn="0" w:lastRowFirstColumn="0" w:lastRowLastColumn="0"/>
            <w:tcW w:w="3119" w:type="dxa"/>
            <w:vAlign w:val="top"/>
          </w:tcPr>
          <w:p w14:paraId="61CBF437" w14:textId="77777777" w:rsidR="00A75FA6" w:rsidRPr="00385081" w:rsidRDefault="00A75FA6" w:rsidP="00F935CF">
            <w:pPr>
              <w:pStyle w:val="BodyText"/>
              <w:spacing w:line="240" w:lineRule="auto"/>
              <w:ind w:left="142"/>
              <w:rPr>
                <w:b w:val="0"/>
                <w:color w:val="3C3C3B"/>
                <w:sz w:val="24"/>
              </w:rPr>
            </w:pPr>
            <w:r w:rsidRPr="00385081">
              <w:rPr>
                <w:color w:val="3C3C3B"/>
              </w:rPr>
              <w:t>Assessing comparable and reliable data</w:t>
            </w:r>
            <w:r w:rsidRPr="00385081">
              <w:rPr>
                <w:b w:val="0"/>
                <w:color w:val="3C3C3B"/>
              </w:rPr>
              <w:t xml:space="preserve"> – consistent data </w:t>
            </w:r>
            <w:r>
              <w:rPr>
                <w:b w:val="0"/>
                <w:color w:val="3C3C3B"/>
              </w:rPr>
              <w:t>are</w:t>
            </w:r>
            <w:r w:rsidRPr="00385081">
              <w:rPr>
                <w:b w:val="0"/>
                <w:color w:val="3C3C3B"/>
              </w:rPr>
              <w:t xml:space="preserve"> not collected across the States and Territories and available datasets have their limitations</w:t>
            </w:r>
            <w:r>
              <w:rPr>
                <w:b w:val="0"/>
                <w:color w:val="3C3C3B"/>
              </w:rPr>
              <w:t>.</w:t>
            </w:r>
          </w:p>
        </w:tc>
        <w:tc>
          <w:tcPr>
            <w:tcW w:w="6379" w:type="dxa"/>
            <w:vAlign w:val="top"/>
          </w:tcPr>
          <w:p w14:paraId="6864CBB4" w14:textId="77777777" w:rsidR="00A75FA6" w:rsidRPr="00385081" w:rsidRDefault="00A75FA6" w:rsidP="00FC7F6A">
            <w:pPr>
              <w:pStyle w:val="BodyText"/>
              <w:numPr>
                <w:ilvl w:val="0"/>
                <w:numId w:val="11"/>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rsidRPr="00385081">
              <w:t>Focus on available and reliable data and work with DEEWR to facilitate access to identified datasets</w:t>
            </w:r>
            <w:r>
              <w:t>.</w:t>
            </w:r>
          </w:p>
          <w:p w14:paraId="7DE79D8A" w14:textId="77777777" w:rsidR="00A75FA6" w:rsidRPr="00385081" w:rsidRDefault="00A75FA6" w:rsidP="00FC7F6A">
            <w:pPr>
              <w:pStyle w:val="BodyText"/>
              <w:numPr>
                <w:ilvl w:val="0"/>
                <w:numId w:val="11"/>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rsidRPr="00385081">
              <w:t>Utilise available program datasets and analyses</w:t>
            </w:r>
            <w:r>
              <w:t>.</w:t>
            </w:r>
          </w:p>
          <w:p w14:paraId="3993BF94" w14:textId="77777777" w:rsidR="00A75FA6" w:rsidRPr="00385081" w:rsidRDefault="00A75FA6" w:rsidP="00FC7F6A">
            <w:pPr>
              <w:pStyle w:val="BodyText"/>
              <w:numPr>
                <w:ilvl w:val="0"/>
                <w:numId w:val="11"/>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rsidRPr="00385081">
              <w:t>Address data gaps effectively and efficiently through qualitative research</w:t>
            </w:r>
            <w:r>
              <w:t>.</w:t>
            </w:r>
          </w:p>
          <w:p w14:paraId="742961C3" w14:textId="77777777" w:rsidR="00A75FA6" w:rsidRPr="00385081" w:rsidRDefault="00A75FA6" w:rsidP="00FC7F6A">
            <w:pPr>
              <w:pStyle w:val="BodyText"/>
              <w:numPr>
                <w:ilvl w:val="0"/>
                <w:numId w:val="11"/>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t>Undertake e</w:t>
            </w:r>
            <w:r w:rsidRPr="00385081">
              <w:t>arly development of the evaluation framework (including identified datasets and qualitative research methods) in collaboration with DEEWR and the NP Multilateral Working Group (MWG)</w:t>
            </w:r>
            <w:r>
              <w:t>.</w:t>
            </w:r>
          </w:p>
        </w:tc>
      </w:tr>
      <w:tr w:rsidR="00A75FA6" w:rsidRPr="00385081" w14:paraId="317B0D6F" w14:textId="77777777" w:rsidTr="00F935CF">
        <w:tc>
          <w:tcPr>
            <w:cnfStyle w:val="001000000000" w:firstRow="0" w:lastRow="0" w:firstColumn="1" w:lastColumn="0" w:oddVBand="0" w:evenVBand="0" w:oddHBand="0" w:evenHBand="0" w:firstRowFirstColumn="0" w:firstRowLastColumn="0" w:lastRowFirstColumn="0" w:lastRowLastColumn="0"/>
            <w:tcW w:w="3119" w:type="dxa"/>
            <w:vAlign w:val="top"/>
          </w:tcPr>
          <w:p w14:paraId="5A3DE079" w14:textId="77777777" w:rsidR="00A75FA6" w:rsidRPr="00385081" w:rsidRDefault="00A75FA6" w:rsidP="00391FEF">
            <w:pPr>
              <w:pStyle w:val="BodyText"/>
              <w:spacing w:line="240" w:lineRule="auto"/>
              <w:ind w:left="142"/>
              <w:rPr>
                <w:b w:val="0"/>
                <w:color w:val="3C3C3B"/>
                <w:sz w:val="24"/>
              </w:rPr>
            </w:pPr>
            <w:r w:rsidRPr="00385081">
              <w:rPr>
                <w:color w:val="3C3C3B"/>
              </w:rPr>
              <w:t xml:space="preserve">Understanding perspectives and managing sensitivities of a wide range </w:t>
            </w:r>
            <w:r w:rsidRPr="00385081">
              <w:rPr>
                <w:color w:val="3C3C3B"/>
              </w:rPr>
              <w:lastRenderedPageBreak/>
              <w:t>of stakeholders</w:t>
            </w:r>
            <w:r w:rsidRPr="00385081">
              <w:rPr>
                <w:b w:val="0"/>
                <w:color w:val="3C3C3B"/>
              </w:rPr>
              <w:t xml:space="preserve"> – the NP operates within a complex system of stakeholders and there are a number of sensitivities relevant to the evaluation and potential outcomes</w:t>
            </w:r>
            <w:r>
              <w:rPr>
                <w:b w:val="0"/>
                <w:color w:val="3C3C3B"/>
              </w:rPr>
              <w:t>. These include</w:t>
            </w:r>
            <w:r w:rsidRPr="00385081">
              <w:rPr>
                <w:b w:val="0"/>
                <w:color w:val="3C3C3B"/>
              </w:rPr>
              <w:t xml:space="preserve"> contextual factors, </w:t>
            </w:r>
            <w:r w:rsidR="00391FEF">
              <w:rPr>
                <w:b w:val="0"/>
                <w:color w:val="3C3C3B"/>
              </w:rPr>
              <w:t>stakeholders</w:t>
            </w:r>
            <w:r w:rsidR="00391FEF" w:rsidRPr="00385081">
              <w:rPr>
                <w:b w:val="0"/>
                <w:color w:val="3C3C3B"/>
              </w:rPr>
              <w:t xml:space="preserve"> </w:t>
            </w:r>
            <w:r w:rsidRPr="00385081">
              <w:rPr>
                <w:b w:val="0"/>
                <w:color w:val="3C3C3B"/>
              </w:rPr>
              <w:t>needing to be convinced of the credibility of the evidence base, findings and recommendations</w:t>
            </w:r>
            <w:r>
              <w:rPr>
                <w:b w:val="0"/>
                <w:color w:val="3C3C3B"/>
              </w:rPr>
              <w:t>.</w:t>
            </w:r>
          </w:p>
        </w:tc>
        <w:tc>
          <w:tcPr>
            <w:tcW w:w="6379" w:type="dxa"/>
            <w:vAlign w:val="top"/>
          </w:tcPr>
          <w:p w14:paraId="12D970C7" w14:textId="77777777" w:rsidR="00A75FA6" w:rsidRPr="00385081" w:rsidRDefault="00A75FA6" w:rsidP="00FC7F6A">
            <w:pPr>
              <w:pStyle w:val="BodyText"/>
              <w:numPr>
                <w:ilvl w:val="0"/>
                <w:numId w:val="11"/>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lastRenderedPageBreak/>
              <w:t>Arrange e</w:t>
            </w:r>
            <w:r w:rsidRPr="00385081">
              <w:t>arly engagement with the MW</w:t>
            </w:r>
            <w:r>
              <w:t>G</w:t>
            </w:r>
            <w:r w:rsidRPr="00385081">
              <w:t>, DEEWR and key decision</w:t>
            </w:r>
            <w:r>
              <w:t xml:space="preserve"> </w:t>
            </w:r>
            <w:r w:rsidRPr="00385081">
              <w:t xml:space="preserve">makers to confirm the evaluation purpose, questions and methodology, including </w:t>
            </w:r>
            <w:r w:rsidRPr="00385081">
              <w:lastRenderedPageBreak/>
              <w:t>stakeholders and engagement approach</w:t>
            </w:r>
            <w:r>
              <w:t>.</w:t>
            </w:r>
          </w:p>
          <w:p w14:paraId="3AC84E92" w14:textId="77777777" w:rsidR="00A75FA6" w:rsidRPr="00385081" w:rsidRDefault="00A75FA6" w:rsidP="00FC7F6A">
            <w:pPr>
              <w:pStyle w:val="BodyText"/>
              <w:numPr>
                <w:ilvl w:val="0"/>
                <w:numId w:val="11"/>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rsidRPr="00385081">
              <w:t>Adopt a systematic approach to stakeholder engagement to ensure a representative, structured and consistent method within the time and budget available</w:t>
            </w:r>
            <w:r>
              <w:t>.</w:t>
            </w:r>
          </w:p>
        </w:tc>
      </w:tr>
      <w:tr w:rsidR="00A75FA6" w:rsidRPr="00385081" w14:paraId="7D50EA69" w14:textId="77777777" w:rsidTr="00F935CF">
        <w:tc>
          <w:tcPr>
            <w:cnfStyle w:val="001000000000" w:firstRow="0" w:lastRow="0" w:firstColumn="1" w:lastColumn="0" w:oddVBand="0" w:evenVBand="0" w:oddHBand="0" w:evenHBand="0" w:firstRowFirstColumn="0" w:firstRowLastColumn="0" w:lastRowFirstColumn="0" w:lastRowLastColumn="0"/>
            <w:tcW w:w="3119" w:type="dxa"/>
            <w:vAlign w:val="top"/>
          </w:tcPr>
          <w:p w14:paraId="58BF1F5C" w14:textId="77777777" w:rsidR="00A75FA6" w:rsidRPr="00385081" w:rsidRDefault="00A75FA6" w:rsidP="00F935CF">
            <w:pPr>
              <w:pStyle w:val="BodyText"/>
              <w:spacing w:line="240" w:lineRule="auto"/>
              <w:ind w:left="142"/>
              <w:rPr>
                <w:b w:val="0"/>
                <w:color w:val="3C3C3B"/>
              </w:rPr>
            </w:pPr>
            <w:r w:rsidRPr="00385081">
              <w:rPr>
                <w:color w:val="3C3C3B"/>
              </w:rPr>
              <w:lastRenderedPageBreak/>
              <w:t>Representing the experience of young people at risk, particularly Indigenous youth</w:t>
            </w:r>
            <w:r w:rsidRPr="00385081">
              <w:rPr>
                <w:b w:val="0"/>
                <w:color w:val="3C3C3B"/>
              </w:rPr>
              <w:t xml:space="preserve"> – evaluation outcomes are heavily influenced by gains made with the most disadvantaged, and the engagement of young people is </w:t>
            </w:r>
            <w:r>
              <w:rPr>
                <w:b w:val="0"/>
                <w:color w:val="3C3C3B"/>
              </w:rPr>
              <w:t xml:space="preserve">a </w:t>
            </w:r>
            <w:r w:rsidRPr="00385081">
              <w:rPr>
                <w:b w:val="0"/>
                <w:color w:val="3C3C3B"/>
              </w:rPr>
              <w:t>complex and sensitive</w:t>
            </w:r>
            <w:r>
              <w:rPr>
                <w:b w:val="0"/>
                <w:color w:val="3C3C3B"/>
              </w:rPr>
              <w:t xml:space="preserve"> issue.</w:t>
            </w:r>
          </w:p>
        </w:tc>
        <w:tc>
          <w:tcPr>
            <w:tcW w:w="6379" w:type="dxa"/>
            <w:vAlign w:val="top"/>
          </w:tcPr>
          <w:p w14:paraId="3722E390" w14:textId="77777777" w:rsidR="00A75FA6" w:rsidRPr="00385081" w:rsidRDefault="00A75FA6" w:rsidP="00FC7F6A">
            <w:pPr>
              <w:pStyle w:val="BodyText"/>
              <w:numPr>
                <w:ilvl w:val="0"/>
                <w:numId w:val="11"/>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rsidRPr="00385081">
              <w:t xml:space="preserve">Engage with young people, youth service providers, youth representative organisations, parents, </w:t>
            </w:r>
            <w:r>
              <w:t xml:space="preserve">and </w:t>
            </w:r>
            <w:r w:rsidRPr="00385081">
              <w:t>family and community groups</w:t>
            </w:r>
            <w:r>
              <w:t>.</w:t>
            </w:r>
          </w:p>
          <w:p w14:paraId="5080EEAB" w14:textId="77777777" w:rsidR="00A75FA6" w:rsidRPr="00385081" w:rsidRDefault="00A75FA6" w:rsidP="00FC7F6A">
            <w:pPr>
              <w:pStyle w:val="BodyText"/>
              <w:numPr>
                <w:ilvl w:val="0"/>
                <w:numId w:val="11"/>
              </w:numPr>
              <w:spacing w:line="240" w:lineRule="auto"/>
              <w:ind w:left="850" w:hanging="425"/>
              <w:cnfStyle w:val="000000000000" w:firstRow="0" w:lastRow="0" w:firstColumn="0" w:lastColumn="0" w:oddVBand="0" w:evenVBand="0" w:oddHBand="0" w:evenHBand="0" w:firstRowFirstColumn="0" w:firstRowLastColumn="0" w:lastRowFirstColumn="0" w:lastRowLastColumn="0"/>
              <w:rPr>
                <w:color w:val="auto"/>
                <w:sz w:val="24"/>
              </w:rPr>
            </w:pPr>
            <w:r w:rsidRPr="00385081">
              <w:t xml:space="preserve">Where possible, understand movements in targeted outcomes in and outside of schools (particularly </w:t>
            </w:r>
            <w:r>
              <w:t xml:space="preserve">the </w:t>
            </w:r>
            <w:r w:rsidRPr="00385081">
              <w:t>VET sector) and for important cohorts (particularly Indigenous, low SES and remote)</w:t>
            </w:r>
            <w:r>
              <w:t>.</w:t>
            </w:r>
          </w:p>
        </w:tc>
      </w:tr>
    </w:tbl>
    <w:p w14:paraId="243DCB9C" w14:textId="77777777" w:rsidR="00A75FA6" w:rsidRDefault="00A75FA6" w:rsidP="00A75FA6">
      <w:pPr>
        <w:pStyle w:val="Heading3"/>
      </w:pPr>
      <w:r w:rsidRPr="00385081">
        <w:t>Evaluation approach</w:t>
      </w:r>
    </w:p>
    <w:p w14:paraId="71B8F71C" w14:textId="77777777" w:rsidR="00A75FA6" w:rsidRDefault="00A75FA6" w:rsidP="005446CB">
      <w:pPr>
        <w:pStyle w:val="BodyText"/>
        <w:spacing w:after="0"/>
      </w:pPr>
      <w:r w:rsidRPr="00385081">
        <w:t xml:space="preserve">The evaluation framework was developed at the outset of the project in consultation with DEEWR and the </w:t>
      </w:r>
      <w:r>
        <w:t>MWG</w:t>
      </w:r>
      <w:r w:rsidRPr="00385081">
        <w:t xml:space="preserve"> of State and Territory government and non-government education sector representatives. It was refined at the start of the second year in consultation with this group. </w:t>
      </w:r>
    </w:p>
    <w:p w14:paraId="5FECEC66" w14:textId="77777777" w:rsidR="00A75FA6" w:rsidRDefault="00A75FA6" w:rsidP="000629F8">
      <w:pPr>
        <w:pStyle w:val="BodyText"/>
        <w:spacing w:after="0"/>
      </w:pPr>
      <w:r w:rsidRPr="00385081">
        <w:t xml:space="preserve">The key questions to be </w:t>
      </w:r>
      <w:r>
        <w:t>addressed by</w:t>
      </w:r>
      <w:r w:rsidRPr="00385081">
        <w:t xml:space="preserve"> the evaluation are shown in </w:t>
      </w:r>
      <w:r w:rsidR="0056511F" w:rsidRPr="00385081">
        <w:fldChar w:fldCharType="begin"/>
      </w:r>
      <w:r w:rsidRPr="00385081">
        <w:instrText xml:space="preserve"> REF _Ref205267861 \h </w:instrText>
      </w:r>
      <w:r w:rsidR="0056511F" w:rsidRPr="00385081">
        <w:fldChar w:fldCharType="separate"/>
      </w:r>
      <w:r w:rsidR="00A76CFC" w:rsidRPr="00385081">
        <w:t xml:space="preserve">Figure </w:t>
      </w:r>
      <w:r w:rsidR="00A76CFC">
        <w:t>1.</w:t>
      </w:r>
      <w:r w:rsidR="00A76CFC">
        <w:rPr>
          <w:noProof/>
        </w:rPr>
        <w:t>1</w:t>
      </w:r>
      <w:r w:rsidR="0056511F" w:rsidRPr="00385081">
        <w:fldChar w:fldCharType="end"/>
      </w:r>
      <w:r w:rsidRPr="00385081">
        <w:t xml:space="preserve">. In the second year of </w:t>
      </w:r>
      <w:r w:rsidR="00391FEF">
        <w:t xml:space="preserve">the </w:t>
      </w:r>
      <w:r w:rsidRPr="00385081">
        <w:t>evaluation</w:t>
      </w:r>
      <w:r>
        <w:t>,</w:t>
      </w:r>
      <w:r w:rsidRPr="00385081">
        <w:t xml:space="preserve"> DEEWR requested that an assessment of the efficiency of the NP be added to the evaluation framework, in line with </w:t>
      </w:r>
      <w:r w:rsidR="00391FEF">
        <w:t xml:space="preserve">The Treasury’s </w:t>
      </w:r>
      <w:r>
        <w:t>‘</w:t>
      </w:r>
      <w:r w:rsidRPr="00385081">
        <w:t xml:space="preserve">A </w:t>
      </w:r>
      <w:r w:rsidR="00391FEF">
        <w:t>S</w:t>
      </w:r>
      <w:r w:rsidRPr="00385081">
        <w:t xml:space="preserve">hort </w:t>
      </w:r>
      <w:r w:rsidR="00391FEF">
        <w:t>G</w:t>
      </w:r>
      <w:r w:rsidRPr="00385081">
        <w:t xml:space="preserve">uide to </w:t>
      </w:r>
      <w:r w:rsidR="00391FEF">
        <w:t>R</w:t>
      </w:r>
      <w:r w:rsidRPr="00385081">
        <w:t>eviewing National Partnerships</w:t>
      </w:r>
      <w:r>
        <w:t>’</w:t>
      </w:r>
      <w:r w:rsidRPr="00385081">
        <w:t xml:space="preserve"> issued in 2012. The full revised evaluation framework is included at Appendix 1.</w:t>
      </w:r>
    </w:p>
    <w:p w14:paraId="1F35EF61" w14:textId="77777777" w:rsidR="00A75FA6" w:rsidRDefault="00A75FA6" w:rsidP="00A75FA6">
      <w:pPr>
        <w:pStyle w:val="Caption"/>
        <w:keepNext/>
        <w:jc w:val="both"/>
      </w:pPr>
      <w:bookmarkStart w:id="21" w:name="_Ref205267861"/>
      <w:r w:rsidRPr="00385081">
        <w:t xml:space="preserve">Figure </w:t>
      </w:r>
      <w:r>
        <w:t>1.</w:t>
      </w:r>
      <w:r w:rsidR="001D7D12">
        <w:fldChar w:fldCharType="begin"/>
      </w:r>
      <w:r w:rsidR="001D7D12">
        <w:instrText xml:space="preserve"> SEQ Figure \* ARABIC </w:instrText>
      </w:r>
      <w:r w:rsidR="001D7D12">
        <w:fldChar w:fldCharType="separate"/>
      </w:r>
      <w:r w:rsidR="00A76CFC">
        <w:rPr>
          <w:noProof/>
        </w:rPr>
        <w:t>1</w:t>
      </w:r>
      <w:r w:rsidR="001D7D12">
        <w:rPr>
          <w:noProof/>
        </w:rPr>
        <w:fldChar w:fldCharType="end"/>
      </w:r>
      <w:bookmarkEnd w:id="21"/>
      <w:r w:rsidRPr="00385081">
        <w:t>: Key Evaluation Questions</w:t>
      </w:r>
    </w:p>
    <w:p w14:paraId="732D2C69" w14:textId="77777777" w:rsidR="00A75FA6" w:rsidRPr="00385081" w:rsidRDefault="00A75FA6" w:rsidP="00A75FA6">
      <w:pPr>
        <w:pStyle w:val="BodyText"/>
        <w:spacing w:after="0"/>
      </w:pPr>
      <w:r>
        <w:rPr>
          <w:noProof/>
          <w:lang w:eastAsia="en-AU"/>
        </w:rPr>
        <w:drawing>
          <wp:inline distT="0" distB="0" distL="0" distR="0" wp14:anchorId="39D435CA" wp14:editId="0C572F1F">
            <wp:extent cx="6043930" cy="3328569"/>
            <wp:effectExtent l="0" t="0" r="1270" b="0"/>
            <wp:docPr id="6" name="Picture 1" descr="Key Evaluation Questions" title="Key Evalua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3930" cy="3328569"/>
                    </a:xfrm>
                    <a:prstGeom prst="rect">
                      <a:avLst/>
                    </a:prstGeom>
                    <a:noFill/>
                    <a:ln>
                      <a:noFill/>
                    </a:ln>
                  </pic:spPr>
                </pic:pic>
              </a:graphicData>
            </a:graphic>
          </wp:inline>
        </w:drawing>
      </w:r>
    </w:p>
    <w:p w14:paraId="270D9F9F" w14:textId="77777777" w:rsidR="00A75FA6" w:rsidRPr="00385081" w:rsidRDefault="00A75FA6" w:rsidP="002165CB">
      <w:pPr>
        <w:pStyle w:val="BodyText"/>
        <w:spacing w:after="0"/>
      </w:pPr>
      <w:r w:rsidRPr="00385081">
        <w:t xml:space="preserve">This is the second of the three </w:t>
      </w:r>
      <w:r>
        <w:t>annual</w:t>
      </w:r>
      <w:r w:rsidRPr="00385081">
        <w:t xml:space="preserve"> evaluation</w:t>
      </w:r>
      <w:r>
        <w:t>s</w:t>
      </w:r>
      <w:r w:rsidRPr="00385081">
        <w:t>:</w:t>
      </w:r>
    </w:p>
    <w:p w14:paraId="50B16AC1" w14:textId="77777777" w:rsidR="00A75FA6" w:rsidRDefault="00A75FA6" w:rsidP="00E93D02">
      <w:pPr>
        <w:pStyle w:val="ListBullet"/>
      </w:pPr>
      <w:r w:rsidRPr="00385081">
        <w:t>The first</w:t>
      </w:r>
      <w:r>
        <w:t>-</w:t>
      </w:r>
      <w:r w:rsidRPr="00385081">
        <w:t>year</w:t>
      </w:r>
      <w:r>
        <w:t xml:space="preserve"> review</w:t>
      </w:r>
      <w:r w:rsidRPr="00385081">
        <w:t xml:space="preserve"> focused on understanding what was happening in jurisdictions and across sectors to inform improvements in the NP and its elements</w:t>
      </w:r>
    </w:p>
    <w:p w14:paraId="41595FB4" w14:textId="77777777" w:rsidR="00A75FA6" w:rsidRPr="00385081" w:rsidRDefault="00A75FA6" w:rsidP="00FC7F6A">
      <w:pPr>
        <w:pStyle w:val="ListBullet"/>
        <w:numPr>
          <w:ilvl w:val="0"/>
          <w:numId w:val="7"/>
        </w:numPr>
      </w:pPr>
      <w:r w:rsidRPr="00385081">
        <w:lastRenderedPageBreak/>
        <w:t>The (current) second</w:t>
      </w:r>
      <w:r>
        <w:t>-</w:t>
      </w:r>
      <w:r w:rsidRPr="00385081">
        <w:t>year</w:t>
      </w:r>
      <w:r>
        <w:t xml:space="preserve"> review</w:t>
      </w:r>
      <w:r w:rsidRPr="00385081">
        <w:t xml:space="preserve"> focuses on what has changed since Year 1 (Part A)</w:t>
      </w:r>
      <w:r>
        <w:t>. It presents</w:t>
      </w:r>
      <w:r w:rsidRPr="00385081">
        <w:t xml:space="preserve"> findings and suggested areas of focus to inform a decision about </w:t>
      </w:r>
      <w:r>
        <w:t>what should occur</w:t>
      </w:r>
      <w:r w:rsidRPr="00385081">
        <w:t xml:space="preserve"> beyond the NP (Part B)</w:t>
      </w:r>
    </w:p>
    <w:p w14:paraId="1CB96452" w14:textId="77777777" w:rsidR="00A75FA6" w:rsidRPr="00385081" w:rsidRDefault="00A75FA6" w:rsidP="00CB48A2">
      <w:pPr>
        <w:pStyle w:val="ListBullet"/>
      </w:pPr>
      <w:r w:rsidRPr="00385081">
        <w:t>The third</w:t>
      </w:r>
      <w:r>
        <w:t>-</w:t>
      </w:r>
      <w:r w:rsidRPr="00385081">
        <w:t>year</w:t>
      </w:r>
      <w:r>
        <w:t xml:space="preserve"> review</w:t>
      </w:r>
      <w:r w:rsidRPr="00385081">
        <w:t xml:space="preserve"> will focus on summing up the impact of the NP and present options for </w:t>
      </w:r>
      <w:r>
        <w:t>what should occur beyond</w:t>
      </w:r>
      <w:r w:rsidRPr="00385081">
        <w:t xml:space="preserve"> the NP.</w:t>
      </w:r>
    </w:p>
    <w:p w14:paraId="0F4A4ECC" w14:textId="77777777" w:rsidR="00A75FA6" w:rsidRPr="00385081" w:rsidRDefault="00A75FA6" w:rsidP="00E45705">
      <w:pPr>
        <w:pStyle w:val="BodyText"/>
      </w:pPr>
      <w:r>
        <w:t xml:space="preserve">This </w:t>
      </w:r>
      <w:r w:rsidRPr="00385081">
        <w:t xml:space="preserve">Year </w:t>
      </w:r>
      <w:r>
        <w:t>2</w:t>
      </w:r>
      <w:r w:rsidRPr="00385081">
        <w:t xml:space="preserve"> evaluation </w:t>
      </w:r>
      <w:r>
        <w:t>presents</w:t>
      </w:r>
      <w:r w:rsidRPr="00385081">
        <w:t xml:space="preserve"> findings and areas of suggested focus to inform a decision about the future of the NP and its elements, based on</w:t>
      </w:r>
      <w:r>
        <w:t xml:space="preserve"> the following questions</w:t>
      </w:r>
      <w:r w:rsidRPr="00385081">
        <w:t>:</w:t>
      </w:r>
    </w:p>
    <w:p w14:paraId="30BD93A5" w14:textId="77777777" w:rsidR="00A75FA6" w:rsidRPr="00385081" w:rsidRDefault="00A75FA6" w:rsidP="00CB48A2">
      <w:pPr>
        <w:pStyle w:val="ListBullet"/>
      </w:pPr>
      <w:r w:rsidRPr="00385081">
        <w:t>Have there been measurable changes in youth attainment and transition outcomes since the NP was introduced?</w:t>
      </w:r>
    </w:p>
    <w:p w14:paraId="73D5E8DF" w14:textId="77777777" w:rsidR="00A75FA6" w:rsidRPr="00385081" w:rsidRDefault="00A75FA6" w:rsidP="00CB48A2">
      <w:pPr>
        <w:pStyle w:val="ListBullet"/>
      </w:pPr>
      <w:r w:rsidRPr="00385081">
        <w:t>Has the NP and its elements been implemented according to plan and achieved planned outcomes?</w:t>
      </w:r>
    </w:p>
    <w:p w14:paraId="70539B3C" w14:textId="77777777" w:rsidR="00A75FA6" w:rsidRPr="00385081" w:rsidRDefault="00A75FA6" w:rsidP="00CB48A2">
      <w:pPr>
        <w:pStyle w:val="ListBullet"/>
      </w:pPr>
      <w:r w:rsidRPr="00385081">
        <w:t>What refinements need to be made in the last year of the NP?</w:t>
      </w:r>
    </w:p>
    <w:p w14:paraId="5277401C" w14:textId="77777777" w:rsidR="00A75FA6" w:rsidRPr="00385081" w:rsidRDefault="00A75FA6" w:rsidP="00CB48A2">
      <w:pPr>
        <w:pStyle w:val="ListBullet"/>
      </w:pPr>
      <w:r w:rsidRPr="00385081">
        <w:t>Are there factors that have a significant influence on youth attainment and transition outcomes that are not addressed by the NP?</w:t>
      </w:r>
    </w:p>
    <w:p w14:paraId="43E360FE" w14:textId="77777777" w:rsidR="00A75FA6" w:rsidRPr="00385081" w:rsidRDefault="00A75FA6" w:rsidP="00E115DB">
      <w:pPr>
        <w:pStyle w:val="ListBullet"/>
      </w:pPr>
      <w:r w:rsidRPr="00385081">
        <w:t>What options are available to lift educational outcomes and improve transitions following the conclusion of the NP?</w:t>
      </w:r>
    </w:p>
    <w:p w14:paraId="050CBC8E" w14:textId="77777777" w:rsidR="00A75FA6" w:rsidRDefault="00A75FA6" w:rsidP="005446CB">
      <w:pPr>
        <w:pStyle w:val="BodyText"/>
      </w:pPr>
      <w:r w:rsidRPr="00385081">
        <w:t>In addition, there are element specific issues that were identified in Year 1 that warrant further review</w:t>
      </w:r>
      <w:r>
        <w:t>. These</w:t>
      </w:r>
      <w:r w:rsidRPr="00385081">
        <w:t xml:space="preserve"> have been included in </w:t>
      </w:r>
      <w:r>
        <w:t>this</w:t>
      </w:r>
      <w:r w:rsidRPr="00385081">
        <w:t xml:space="preserve"> evaluation for the respective element.</w:t>
      </w:r>
    </w:p>
    <w:p w14:paraId="54AA439D" w14:textId="77777777" w:rsidR="00A75FA6" w:rsidRPr="00385081" w:rsidRDefault="00A75FA6" w:rsidP="00E45705">
      <w:pPr>
        <w:pStyle w:val="Heading3"/>
        <w:jc w:val="both"/>
      </w:pPr>
      <w:r w:rsidRPr="00385081">
        <w:t>Evaluation methodology</w:t>
      </w:r>
    </w:p>
    <w:p w14:paraId="22F0C86F" w14:textId="77777777" w:rsidR="00A75FA6" w:rsidRPr="00385081" w:rsidRDefault="00A75FA6" w:rsidP="00E45705">
      <w:pPr>
        <w:pStyle w:val="BodyText"/>
        <w:spacing w:after="0"/>
      </w:pPr>
      <w:r w:rsidRPr="00385081">
        <w:t xml:space="preserve">The evaluation findings are based on </w:t>
      </w:r>
      <w:r w:rsidR="0064140A">
        <w:t>extensive l</w:t>
      </w:r>
      <w:r w:rsidRPr="00385081">
        <w:t>iterature review, data analysis and stakeholder consultation</w:t>
      </w:r>
      <w:r w:rsidR="0064140A">
        <w:t>.</w:t>
      </w:r>
    </w:p>
    <w:p w14:paraId="0A462178" w14:textId="77777777" w:rsidR="00A75FA6" w:rsidRPr="00385081" w:rsidRDefault="00A75FA6" w:rsidP="00E45705">
      <w:pPr>
        <w:pStyle w:val="BodyText"/>
        <w:spacing w:after="0"/>
      </w:pPr>
      <w:r w:rsidRPr="00385081">
        <w:t xml:space="preserve">Part A of the evaluation focuses on what’s changed since </w:t>
      </w:r>
      <w:r>
        <w:t xml:space="preserve">the </w:t>
      </w:r>
      <w:r w:rsidRPr="00385081">
        <w:t xml:space="preserve">Year 1 evaluation and </w:t>
      </w:r>
      <w:r>
        <w:t>wa</w:t>
      </w:r>
      <w:r w:rsidRPr="00385081">
        <w:t>s informed by:</w:t>
      </w:r>
    </w:p>
    <w:p w14:paraId="3F7EB596" w14:textId="77777777" w:rsidR="00A75FA6" w:rsidRPr="00385081" w:rsidRDefault="00A75FA6" w:rsidP="00E115DB">
      <w:pPr>
        <w:pStyle w:val="ListBullet"/>
      </w:pPr>
      <w:r>
        <w:t>A</w:t>
      </w:r>
      <w:r w:rsidRPr="00385081">
        <w:t>nalysis of national education and labour force datasets (see Appendix 2)</w:t>
      </w:r>
    </w:p>
    <w:p w14:paraId="7B090FC9" w14:textId="77777777" w:rsidR="00A75FA6" w:rsidRPr="00385081" w:rsidRDefault="00A75FA6" w:rsidP="00286D25">
      <w:pPr>
        <w:pStyle w:val="ListBullet"/>
      </w:pPr>
      <w:r>
        <w:t>A</w:t>
      </w:r>
      <w:r w:rsidRPr="00385081">
        <w:t xml:space="preserve"> written information request and follow</w:t>
      </w:r>
      <w:r>
        <w:t>-</w:t>
      </w:r>
      <w:r w:rsidRPr="00385081">
        <w:t>up interviews with all members of the NP MWG of State and Territory government and non-government education sector representatives</w:t>
      </w:r>
    </w:p>
    <w:p w14:paraId="25AF791F" w14:textId="77777777" w:rsidR="00A75FA6" w:rsidRPr="00385081" w:rsidRDefault="00A75FA6" w:rsidP="002E0407">
      <w:pPr>
        <w:pStyle w:val="ListBullet"/>
      </w:pPr>
      <w:r>
        <w:t>I</w:t>
      </w:r>
      <w:r w:rsidRPr="00385081">
        <w:t>nterviews with DEEWR program teams, and Partnership Broker</w:t>
      </w:r>
      <w:r>
        <w:t>s</w:t>
      </w:r>
      <w:r w:rsidRPr="00385081">
        <w:t xml:space="preserve"> and Youth Connections stakeholders</w:t>
      </w:r>
      <w:r w:rsidR="0064140A">
        <w:t xml:space="preserve"> (see Appendix 3)</w:t>
      </w:r>
    </w:p>
    <w:p w14:paraId="57C671B4" w14:textId="77777777" w:rsidR="00A75FA6" w:rsidRPr="00385081" w:rsidRDefault="00A75FA6" w:rsidP="007B6663">
      <w:pPr>
        <w:pStyle w:val="ListBullet"/>
      </w:pPr>
      <w:r>
        <w:t>O</w:t>
      </w:r>
      <w:r w:rsidRPr="00385081">
        <w:t>nline surveys of Partnership Broker</w:t>
      </w:r>
      <w:r>
        <w:t>s</w:t>
      </w:r>
      <w:r w:rsidRPr="00385081">
        <w:t xml:space="preserve"> and Youth Connections service providers</w:t>
      </w:r>
      <w:r>
        <w:t>,</w:t>
      </w:r>
      <w:r w:rsidRPr="00385081">
        <w:t xml:space="preserve"> and follow-up focus groups </w:t>
      </w:r>
      <w:r>
        <w:t>involving</w:t>
      </w:r>
      <w:r w:rsidRPr="00385081">
        <w:t xml:space="preserve"> national network representatives</w:t>
      </w:r>
    </w:p>
    <w:p w14:paraId="7304DF41" w14:textId="77777777" w:rsidR="00A75FA6" w:rsidRPr="00385081" w:rsidRDefault="00A75FA6" w:rsidP="00D15DCC">
      <w:pPr>
        <w:pStyle w:val="ListBullet"/>
      </w:pPr>
      <w:r>
        <w:t>A</w:t>
      </w:r>
      <w:r w:rsidRPr="00385081">
        <w:t xml:space="preserve"> written information request to a random sample of Job Services Australia providers </w:t>
      </w:r>
      <w:r>
        <w:t xml:space="preserve">that </w:t>
      </w:r>
      <w:r w:rsidRPr="00385081">
        <w:t xml:space="preserve">focused on their relationship with Youth Connections providers and the implementation of </w:t>
      </w:r>
      <w:r>
        <w:t>T</w:t>
      </w:r>
      <w:r w:rsidRPr="00385081">
        <w:t>he Compact with Young Australians</w:t>
      </w:r>
    </w:p>
    <w:p w14:paraId="1CF5AACA" w14:textId="77777777" w:rsidR="00A75FA6" w:rsidRPr="00385081" w:rsidRDefault="00A75FA6" w:rsidP="00844EC0">
      <w:pPr>
        <w:pStyle w:val="ListBullet"/>
      </w:pPr>
      <w:r>
        <w:t>A s</w:t>
      </w:r>
      <w:r w:rsidRPr="00385081">
        <w:t>ynthesis of State and Territory NP annual reports and DEEWR program reports.</w:t>
      </w:r>
    </w:p>
    <w:p w14:paraId="17A5C9B2" w14:textId="77777777" w:rsidR="00A75FA6" w:rsidRDefault="00A75FA6" w:rsidP="005446CB">
      <w:pPr>
        <w:pStyle w:val="BodyText"/>
        <w:spacing w:after="0"/>
      </w:pPr>
      <w:r w:rsidRPr="00385081">
        <w:t xml:space="preserve">Part B of the evaluation focuses on </w:t>
      </w:r>
      <w:r>
        <w:t>what should occur</w:t>
      </w:r>
      <w:r w:rsidRPr="00385081">
        <w:t xml:space="preserve"> beyond the current term of the NP and involved:</w:t>
      </w:r>
    </w:p>
    <w:p w14:paraId="4E3781FD" w14:textId="77777777" w:rsidR="00A75FA6" w:rsidRPr="00385081" w:rsidRDefault="00A75FA6" w:rsidP="00E93D02">
      <w:pPr>
        <w:pStyle w:val="ListBullet"/>
      </w:pPr>
      <w:r>
        <w:t>T</w:t>
      </w:r>
      <w:r w:rsidRPr="00385081">
        <w:t>he development of a discussion paper to serve as a basis for interaction with stakeholders</w:t>
      </w:r>
    </w:p>
    <w:p w14:paraId="428295F6" w14:textId="77777777" w:rsidR="00A75FA6" w:rsidRPr="00385081" w:rsidRDefault="00A75FA6" w:rsidP="00CB48A2">
      <w:pPr>
        <w:pStyle w:val="ListBullet"/>
      </w:pPr>
      <w:r>
        <w:t>A</w:t>
      </w:r>
      <w:r w:rsidRPr="00385081">
        <w:t xml:space="preserve"> series of workshops and interviews with DEEWR, MWG members, Expert Panel members (see below) and representatives from:</w:t>
      </w:r>
    </w:p>
    <w:p w14:paraId="26BFCA0C" w14:textId="77777777" w:rsidR="00A75FA6" w:rsidRPr="00385081" w:rsidRDefault="00A75FA6" w:rsidP="00E45705">
      <w:pPr>
        <w:pStyle w:val="Listdash"/>
      </w:pPr>
      <w:r>
        <w:t xml:space="preserve">the </w:t>
      </w:r>
      <w:r w:rsidRPr="00385081">
        <w:t>education and training sector (e.g.</w:t>
      </w:r>
      <w:r>
        <w:t>,</w:t>
      </w:r>
      <w:r w:rsidRPr="00385081">
        <w:t xml:space="preserve"> Australian Secondary Principals Association)</w:t>
      </w:r>
    </w:p>
    <w:p w14:paraId="26B6F35F" w14:textId="77777777" w:rsidR="00A75FA6" w:rsidRPr="00385081" w:rsidRDefault="00A75FA6">
      <w:pPr>
        <w:pStyle w:val="Listdash"/>
      </w:pPr>
      <w:r>
        <w:t>the b</w:t>
      </w:r>
      <w:r w:rsidRPr="00385081">
        <w:t>usiness and industry sector (e.g.</w:t>
      </w:r>
      <w:r>
        <w:t>,</w:t>
      </w:r>
      <w:r w:rsidRPr="00385081">
        <w:t xml:space="preserve"> Australian Industry Group)</w:t>
      </w:r>
    </w:p>
    <w:p w14:paraId="53A34227" w14:textId="77777777" w:rsidR="00A75FA6" w:rsidRPr="00385081" w:rsidRDefault="00A75FA6">
      <w:pPr>
        <w:pStyle w:val="Listdash"/>
      </w:pPr>
      <w:r>
        <w:t>the c</w:t>
      </w:r>
      <w:r w:rsidRPr="00385081">
        <w:t>ommunity and youth sector (e.g.</w:t>
      </w:r>
      <w:r>
        <w:t>,</w:t>
      </w:r>
      <w:r w:rsidRPr="00385081">
        <w:t xml:space="preserve"> Australian Youth Affairs Council)</w:t>
      </w:r>
    </w:p>
    <w:p w14:paraId="392DA650" w14:textId="77777777" w:rsidR="00A75FA6" w:rsidRPr="00385081" w:rsidRDefault="00A75FA6" w:rsidP="00E45705">
      <w:pPr>
        <w:pStyle w:val="ListBullet"/>
      </w:pPr>
      <w:r>
        <w:t>An a</w:t>
      </w:r>
      <w:r w:rsidRPr="00385081">
        <w:t>nalysis of research literature and data trends related to youth attainment and transitions</w:t>
      </w:r>
      <w:r>
        <w:t>.</w:t>
      </w:r>
    </w:p>
    <w:p w14:paraId="2752243B" w14:textId="77777777" w:rsidR="00A75FA6" w:rsidRPr="00385081" w:rsidRDefault="00A75FA6" w:rsidP="005446CB">
      <w:pPr>
        <w:pStyle w:val="BodyText"/>
        <w:spacing w:after="0"/>
      </w:pPr>
      <w:r w:rsidRPr="00385081">
        <w:lastRenderedPageBreak/>
        <w:t xml:space="preserve">Further details about the datasets analysed are available in the Year 1 evaluation report. A full list of </w:t>
      </w:r>
      <w:r>
        <w:t xml:space="preserve">the </w:t>
      </w:r>
      <w:r w:rsidRPr="00385081">
        <w:t>stakeholders consulted is attached at Appendix 3.</w:t>
      </w:r>
    </w:p>
    <w:p w14:paraId="1544A4C2" w14:textId="77777777" w:rsidR="00A75FA6" w:rsidRPr="00385081" w:rsidRDefault="00A75FA6" w:rsidP="00E45705">
      <w:pPr>
        <w:pStyle w:val="Heading3"/>
        <w:jc w:val="both"/>
      </w:pPr>
      <w:r w:rsidRPr="00385081">
        <w:t>Project governance</w:t>
      </w:r>
    </w:p>
    <w:p w14:paraId="0571583C" w14:textId="77777777" w:rsidR="00A75FA6" w:rsidRPr="00385081" w:rsidRDefault="00A75FA6" w:rsidP="00B50AD4">
      <w:pPr>
        <w:pStyle w:val="BodyText"/>
      </w:pPr>
      <w:r w:rsidRPr="00385081">
        <w:t>Representatives from DEEWR and the NP MWG have guided and provided input into each step of the evaluation to date. As part of their role this year, DEEWR and the MWG reviewed the revised evaluation project plan, participated in stakeholder consultations, provided reports</w:t>
      </w:r>
      <w:r>
        <w:t>,</w:t>
      </w:r>
      <w:r w:rsidRPr="00385081">
        <w:t xml:space="preserve"> and responded to the presentation of interim and </w:t>
      </w:r>
      <w:r w:rsidR="00B50AD4">
        <w:t>draft</w:t>
      </w:r>
      <w:r w:rsidR="00B50AD4" w:rsidRPr="00385081">
        <w:t xml:space="preserve"> </w:t>
      </w:r>
      <w:r w:rsidRPr="00385081">
        <w:t>findings. The dandolopartners evaluation team provides regular progress reports to the DEEWR project manager and executive team.</w:t>
      </w:r>
    </w:p>
    <w:p w14:paraId="68529A49" w14:textId="77777777" w:rsidR="00A75FA6" w:rsidRPr="00385081" w:rsidRDefault="00A75FA6" w:rsidP="00B50AD4">
      <w:pPr>
        <w:pStyle w:val="BodyText"/>
      </w:pPr>
      <w:r w:rsidRPr="00385081">
        <w:t xml:space="preserve">An Expert Panel of academic and public policy experts have guided the evaluation team throughout the project, providing input into framing the evaluation questions, </w:t>
      </w:r>
      <w:r>
        <w:t xml:space="preserve">which </w:t>
      </w:r>
      <w:r w:rsidRPr="00385081">
        <w:t>stakeholders to consult, and interpreting and contextualising findings. The Expert Panel members are:</w:t>
      </w:r>
    </w:p>
    <w:p w14:paraId="43F5CDF7" w14:textId="77777777" w:rsidR="00A75FA6" w:rsidRPr="00385081" w:rsidRDefault="00A75FA6" w:rsidP="00E115DB">
      <w:pPr>
        <w:pStyle w:val="ListBullet"/>
      </w:pPr>
      <w:r w:rsidRPr="00385081">
        <w:t>Jan Owen AM, Chief Executive Officer, Foundation for Young Australians</w:t>
      </w:r>
    </w:p>
    <w:p w14:paraId="47EB68B4" w14:textId="77777777" w:rsidR="00A75FA6" w:rsidRPr="00385081" w:rsidRDefault="00A75FA6" w:rsidP="00286D25">
      <w:pPr>
        <w:pStyle w:val="ListBullet"/>
      </w:pPr>
      <w:r w:rsidRPr="00385081">
        <w:t>Professor Larissa Behrendt, Director, Jumbunna Indigenous House of Learning, University of Technology Sydney</w:t>
      </w:r>
    </w:p>
    <w:p w14:paraId="2D1C916A" w14:textId="77777777" w:rsidR="00A75FA6" w:rsidRPr="00385081" w:rsidRDefault="00A75FA6" w:rsidP="002E0407">
      <w:pPr>
        <w:pStyle w:val="ListBullet"/>
      </w:pPr>
      <w:r w:rsidRPr="00385081">
        <w:t>Professor Margaret Vickers, Centre for Educational Research, University of Western Sydney</w:t>
      </w:r>
    </w:p>
    <w:p w14:paraId="3C03690C" w14:textId="77777777" w:rsidR="00A75FA6" w:rsidRPr="00385081" w:rsidRDefault="00A75FA6" w:rsidP="007B6663">
      <w:pPr>
        <w:pStyle w:val="ListBullet"/>
      </w:pPr>
      <w:r w:rsidRPr="00385081">
        <w:t>Professor Peter Dawkins, Vice</w:t>
      </w:r>
      <w:r>
        <w:t>-c</w:t>
      </w:r>
      <w:r w:rsidRPr="00385081">
        <w:t>hancellor, Victoria University</w:t>
      </w:r>
      <w:r w:rsidR="00E93D02">
        <w:t>.</w:t>
      </w:r>
    </w:p>
    <w:p w14:paraId="69E1CD85" w14:textId="77777777" w:rsidR="00A75FA6" w:rsidRDefault="00A75FA6" w:rsidP="005446CB">
      <w:pPr>
        <w:pStyle w:val="BodyText"/>
        <w:spacing w:after="0"/>
      </w:pPr>
      <w:r>
        <w:t>T</w:t>
      </w:r>
      <w:r w:rsidRPr="00385081">
        <w:t>he contribution</w:t>
      </w:r>
      <w:r>
        <w:t>s</w:t>
      </w:r>
      <w:r w:rsidRPr="00385081">
        <w:t xml:space="preserve"> of the Expert Panel members to th</w:t>
      </w:r>
      <w:r>
        <w:t>is</w:t>
      </w:r>
      <w:r w:rsidRPr="00385081">
        <w:t xml:space="preserve"> evaluation</w:t>
      </w:r>
      <w:r>
        <w:t xml:space="preserve"> are greatly appreciated by </w:t>
      </w:r>
      <w:r w:rsidRPr="00385081">
        <w:t>dandolopartners.</w:t>
      </w:r>
    </w:p>
    <w:p w14:paraId="16965131" w14:textId="77777777" w:rsidR="00A75FA6" w:rsidRDefault="00A75FA6">
      <w:pPr>
        <w:spacing w:line="380" w:lineRule="atLeast"/>
      </w:pPr>
      <w:r>
        <w:br w:type="page"/>
      </w:r>
    </w:p>
    <w:p w14:paraId="1FB59188" w14:textId="77777777" w:rsidR="00597BCB" w:rsidRPr="001B09E6" w:rsidRDefault="00597BCB" w:rsidP="00597BCB">
      <w:pPr>
        <w:pStyle w:val="Heading1NoNumbering"/>
      </w:pPr>
      <w:bookmarkStart w:id="22" w:name="_Toc210269991"/>
      <w:bookmarkStart w:id="23" w:name="_Toc219347234"/>
      <w:r w:rsidRPr="001B09E6">
        <w:lastRenderedPageBreak/>
        <w:t>Part A – Impact of the National Partnership</w:t>
      </w:r>
      <w:bookmarkEnd w:id="22"/>
      <w:bookmarkEnd w:id="23"/>
    </w:p>
    <w:p w14:paraId="139CC1E3" w14:textId="77777777" w:rsidR="00597BCB" w:rsidRPr="001B09E6" w:rsidRDefault="00597BCB" w:rsidP="00597BCB">
      <w:pPr>
        <w:pStyle w:val="BodyText"/>
      </w:pPr>
      <w:r w:rsidRPr="001B09E6">
        <w:t xml:space="preserve">This section of the report provides an overview of Australia’s performance against the National Partnership on Youth Attainment and Transitions </w:t>
      </w:r>
      <w:r w:rsidR="00B50AD4">
        <w:t xml:space="preserve">(NP) </w:t>
      </w:r>
      <w:r w:rsidRPr="001B09E6">
        <w:t>outcomes and the impact of the NP to date, in terms of its appropriateness, effectiveness, efficiency, governance and implementation. It concludes with some suggestions that can be made to improve the NP elements prior to its conclusion at the end of 2013.</w:t>
      </w:r>
    </w:p>
    <w:p w14:paraId="7FC6CCC5" w14:textId="77777777" w:rsidR="00597BCB" w:rsidRPr="001B09E6" w:rsidRDefault="00597BCB" w:rsidP="00597BCB">
      <w:pPr>
        <w:spacing w:line="380" w:lineRule="atLeast"/>
        <w:rPr>
          <w:sz w:val="24"/>
        </w:rPr>
        <w:sectPr w:rsidR="00597BCB" w:rsidRPr="001B09E6" w:rsidSect="0093471A">
          <w:headerReference w:type="even" r:id="rId15"/>
          <w:headerReference w:type="default" r:id="rId16"/>
          <w:footerReference w:type="even" r:id="rId17"/>
          <w:footerReference w:type="default" r:id="rId18"/>
          <w:headerReference w:type="first" r:id="rId19"/>
          <w:footerReference w:type="first" r:id="rId20"/>
          <w:pgSz w:w="11899" w:h="16838" w:code="9"/>
          <w:pgMar w:top="1077" w:right="1247" w:bottom="1361" w:left="1134" w:header="284" w:footer="1021" w:gutter="0"/>
          <w:cols w:space="708"/>
          <w:docGrid w:linePitch="272"/>
        </w:sectPr>
      </w:pPr>
    </w:p>
    <w:p w14:paraId="08AAA153" w14:textId="77777777" w:rsidR="00597BCB" w:rsidRPr="001B09E6" w:rsidRDefault="00597BCB" w:rsidP="00597BCB">
      <w:pPr>
        <w:pStyle w:val="Heading1"/>
        <w:spacing w:before="900" w:after="680" w:line="240" w:lineRule="auto"/>
      </w:pPr>
      <w:bookmarkStart w:id="24" w:name="_Toc333918961"/>
      <w:bookmarkStart w:id="25" w:name="_Toc219347235"/>
      <w:r w:rsidRPr="001B09E6">
        <w:lastRenderedPageBreak/>
        <w:t>Changes in the YAT NP outcomes</w:t>
      </w:r>
      <w:bookmarkEnd w:id="24"/>
      <w:bookmarkEnd w:id="25"/>
    </w:p>
    <w:p w14:paraId="14FB9518" w14:textId="77777777" w:rsidR="00C71C32" w:rsidRPr="001B09E6" w:rsidRDefault="00C71C32" w:rsidP="00C71C32">
      <w:pPr>
        <w:pStyle w:val="BodyText"/>
      </w:pPr>
      <w:bookmarkStart w:id="26" w:name="_Toc205266093"/>
      <w:r w:rsidRPr="001B09E6">
        <w:t>The NP aims to impact on young people’s participation in education and training, attainment of Year 12 and equivalent qualifications, and transitions to further education, training and employment. This section reports on overall movements in measures of participation, attainment and transition (including those in the NP), supplemented by a range of more detailed indicators across sectors (schools, VET in Schools and non-school VET) and disadvantaged cohorts (Indigenous, low SES, disability and rural/remote locations, where available). The full sets of measures are presented in Appendix 2.</w:t>
      </w:r>
    </w:p>
    <w:p w14:paraId="12936614" w14:textId="77777777" w:rsidR="00C71C32" w:rsidRPr="001B09E6" w:rsidRDefault="00C71C32" w:rsidP="00CB48A2">
      <w:pPr>
        <w:pStyle w:val="Heading2"/>
      </w:pPr>
      <w:bookmarkStart w:id="27" w:name="_Toc333918962"/>
      <w:bookmarkStart w:id="28" w:name="_Toc210890366"/>
      <w:bookmarkStart w:id="29" w:name="_Toc219347236"/>
      <w:bookmarkEnd w:id="26"/>
      <w:r w:rsidRPr="001B09E6">
        <w:t>Data context and limitations</w:t>
      </w:r>
      <w:bookmarkEnd w:id="27"/>
      <w:bookmarkEnd w:id="28"/>
      <w:bookmarkEnd w:id="29"/>
    </w:p>
    <w:p w14:paraId="3BBFD51F" w14:textId="77777777" w:rsidR="00C71C32" w:rsidRPr="001B09E6" w:rsidRDefault="00C71C32" w:rsidP="00C71C32">
      <w:pPr>
        <w:pStyle w:val="ListBullet"/>
        <w:numPr>
          <w:ilvl w:val="0"/>
          <w:numId w:val="0"/>
        </w:numPr>
      </w:pPr>
      <w:r w:rsidRPr="001B09E6">
        <w:t>There are a number of points that need to be kept in mind when reviewing the data presented, in particular the following:</w:t>
      </w:r>
    </w:p>
    <w:p w14:paraId="495FE785" w14:textId="77777777" w:rsidR="00C71C32" w:rsidRPr="001B09E6" w:rsidRDefault="00C71C32" w:rsidP="00C71C32">
      <w:pPr>
        <w:pStyle w:val="ListBullet"/>
      </w:pPr>
      <w:r w:rsidRPr="001B09E6">
        <w:t>It is still relatively early in the NP’s life cycle, with most NP elements only approved in 2010. The Compact is the exception here, with changes to participation requirements and allowance entitlements being implemented across jurisdictions by the end of 2009.</w:t>
      </w:r>
    </w:p>
    <w:p w14:paraId="7F41AA4F" w14:textId="77777777" w:rsidR="00C71C32" w:rsidRPr="001B09E6" w:rsidRDefault="00C71C32" w:rsidP="00C71C32">
      <w:pPr>
        <w:pStyle w:val="ListBullet"/>
      </w:pPr>
      <w:r w:rsidRPr="001B09E6">
        <w:t>There is a time lag in the collection and availability of data to assess movements in participation, attainment and transitions. Movements in participation are typically identified before movements in attainment and transitions, which can take longer to observe.</w:t>
      </w:r>
    </w:p>
    <w:p w14:paraId="152FA677" w14:textId="77777777" w:rsidR="00C71C32" w:rsidRPr="001B09E6" w:rsidRDefault="00C71C32" w:rsidP="00C71C32">
      <w:pPr>
        <w:pStyle w:val="ListBullet"/>
      </w:pPr>
      <w:r w:rsidRPr="001B09E6">
        <w:t>Change is not causation. Factors other than the NP influence outcomes. The labour market is a significant determinant of participation and transition outcomes in Australia, as are other factors such as other State and Territory government programs aimed at improving educational participation.</w:t>
      </w:r>
    </w:p>
    <w:p w14:paraId="6011F02E" w14:textId="77777777" w:rsidR="00C71C32" w:rsidRPr="001B09E6" w:rsidRDefault="00C71C32" w:rsidP="00C71C32">
      <w:pPr>
        <w:pStyle w:val="ListBullet"/>
      </w:pPr>
      <w:r w:rsidRPr="001B09E6">
        <w:t>The data presented here help set a benchmark for future evaluations. Any recent changes need to be monitored to determine if they are sustained. Similarly, a lack of movement in outcomes to date doesn’t necessarily mean there won’t be change in the future.</w:t>
      </w:r>
    </w:p>
    <w:p w14:paraId="2B380375" w14:textId="77777777" w:rsidR="00C71C32" w:rsidRPr="001B09E6" w:rsidRDefault="00C71C32" w:rsidP="00CB48A2">
      <w:pPr>
        <w:pStyle w:val="ListBullet"/>
      </w:pPr>
      <w:r w:rsidRPr="001B09E6">
        <w:t>The recording of Indigenous status has improved over time, impacting on reported data movements.</w:t>
      </w:r>
    </w:p>
    <w:p w14:paraId="1EE964D1" w14:textId="77777777" w:rsidR="00C71C32" w:rsidRPr="001B09E6" w:rsidRDefault="00C71C32" w:rsidP="00C71C32">
      <w:pPr>
        <w:pStyle w:val="ListBullet"/>
      </w:pPr>
      <w:r w:rsidRPr="001B09E6">
        <w:t>VET data only covers publically funded VET delivery, which can be delivered by public or private VET providers. Data relating to activity in the private VET (fee for service sector) are not available at the present time. However, private VET activity represents a large part of overall VET activity.</w:t>
      </w:r>
    </w:p>
    <w:p w14:paraId="7ACD5A13" w14:textId="77777777" w:rsidR="00C71C32" w:rsidRPr="001B09E6" w:rsidRDefault="00C71C32" w:rsidP="00C71C32">
      <w:pPr>
        <w:pStyle w:val="BodyText"/>
      </w:pPr>
      <w:r w:rsidRPr="001B09E6">
        <w:t>More detailed information about data limitations is included in Appendix 2.</w:t>
      </w:r>
    </w:p>
    <w:p w14:paraId="330574ED" w14:textId="77777777" w:rsidR="00C71C32" w:rsidRPr="001B09E6" w:rsidRDefault="00C71C32" w:rsidP="00CB48A2">
      <w:pPr>
        <w:pStyle w:val="Heading2"/>
      </w:pPr>
      <w:bookmarkStart w:id="30" w:name="_Toc205266094"/>
      <w:bookmarkStart w:id="31" w:name="_Toc333918963"/>
      <w:bookmarkStart w:id="32" w:name="_Toc210890367"/>
      <w:bookmarkStart w:id="33" w:name="_Toc219347237"/>
      <w:r w:rsidRPr="001B09E6">
        <w:t>Young people’s participation in education and training</w:t>
      </w:r>
      <w:bookmarkEnd w:id="30"/>
      <w:bookmarkEnd w:id="31"/>
      <w:bookmarkEnd w:id="32"/>
      <w:bookmarkEnd w:id="33"/>
    </w:p>
    <w:p w14:paraId="736382D5" w14:textId="77777777" w:rsidR="00C71C32" w:rsidRPr="00CB48A2" w:rsidRDefault="00C71C32" w:rsidP="00CB48A2">
      <w:pPr>
        <w:pStyle w:val="Heading3NoNumbering"/>
      </w:pPr>
      <w:r w:rsidRPr="00CB48A2">
        <w:t>Changes in participation</w:t>
      </w:r>
    </w:p>
    <w:p w14:paraId="4B9F244F" w14:textId="77777777" w:rsidR="00C71C32" w:rsidRDefault="00C71C32" w:rsidP="00C71C32">
      <w:pPr>
        <w:pStyle w:val="BodyText"/>
      </w:pPr>
      <w:r>
        <w:t>Figure 2.0 provides a summary view of the education and employment status of 15 to 19</w:t>
      </w:r>
      <w:r w:rsidR="00DD47E8">
        <w:t>-year-olds</w:t>
      </w:r>
      <w:r>
        <w:t xml:space="preserve"> from 2000 to 2012. The section that follows unpacks the changes that have occurred during this period.</w:t>
      </w:r>
    </w:p>
    <w:p w14:paraId="3340B926" w14:textId="77777777" w:rsidR="00666C65" w:rsidRDefault="00666C65" w:rsidP="00666C65">
      <w:pPr>
        <w:pStyle w:val="TableHeading"/>
      </w:pPr>
      <w:r>
        <w:lastRenderedPageBreak/>
        <w:t xml:space="preserve">Figure 2.0: </w:t>
      </w:r>
      <w:r>
        <w:tab/>
        <w:t>Education and employment participation of 15-19</w:t>
      </w:r>
      <w:r w:rsidR="00DD47E8">
        <w:t>-year-olds</w:t>
      </w:r>
      <w:r>
        <w:t xml:space="preserve"> 2000-2012 (as a percentage of all 15-19</w:t>
      </w:r>
      <w:r w:rsidR="00DD47E8">
        <w:t>-year-olds</w:t>
      </w:r>
      <w:r>
        <w:t>)</w:t>
      </w:r>
    </w:p>
    <w:p w14:paraId="550BC776" w14:textId="77777777" w:rsidR="00C71C32" w:rsidRDefault="00C71C32" w:rsidP="00C71C32">
      <w:pPr>
        <w:pStyle w:val="BodyText"/>
      </w:pPr>
      <w:r w:rsidRPr="00AF4309">
        <w:rPr>
          <w:noProof/>
          <w:lang w:eastAsia="en-AU"/>
        </w:rPr>
        <w:drawing>
          <wp:inline distT="0" distB="0" distL="0" distR="0" wp14:anchorId="7B71DAE5" wp14:editId="745CD687">
            <wp:extent cx="5937250" cy="3420000"/>
            <wp:effectExtent l="0" t="0" r="6350" b="9525"/>
            <wp:docPr id="62" name="Chart 62" descr="Figure 2.0:  Education and employment participation of 15-19-year-olds 2000-2012 (as a percentage of all 15-19-year-olds)&#10;" title="Figure 2.0:  Education and employment participation of 15-19-year-olds 2000-2012 (as a percentage of all 15-19-year-old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EFDFD8" w14:textId="77777777" w:rsidR="00666C65" w:rsidRPr="001B09E6" w:rsidRDefault="00666C65" w:rsidP="00666C65">
      <w:pPr>
        <w:pStyle w:val="Tablenote"/>
        <w:spacing w:line="240" w:lineRule="atLeast"/>
      </w:pPr>
      <w:r w:rsidRPr="001B09E6">
        <w:t xml:space="preserve">Source: ABS, </w:t>
      </w:r>
      <w:r w:rsidRPr="001B09E6">
        <w:rPr>
          <w:i/>
        </w:rPr>
        <w:t>Labour Force, Australia, Detailed –-Electronic Delivery</w:t>
      </w:r>
      <w:r w:rsidRPr="001B09E6">
        <w:t>, Table 03a, 6291.0.55.001.</w:t>
      </w:r>
    </w:p>
    <w:p w14:paraId="706B4379" w14:textId="77777777" w:rsidR="00666C65" w:rsidRPr="001B09E6" w:rsidRDefault="00666C65" w:rsidP="00666C65">
      <w:pPr>
        <w:pStyle w:val="Tablenote"/>
        <w:rPr>
          <w:lang w:eastAsia="en-AU"/>
        </w:rPr>
      </w:pPr>
      <w:r w:rsidRPr="001B09E6">
        <w:t xml:space="preserve">Note: </w:t>
      </w:r>
      <w:r w:rsidRPr="001B09E6">
        <w:rPr>
          <w:lang w:eastAsia="en-AU"/>
        </w:rPr>
        <w:t>The baseline number for calculating proportions for labour force status is the civilian population for the relevant age group.</w:t>
      </w:r>
    </w:p>
    <w:p w14:paraId="5E086946" w14:textId="77777777" w:rsidR="00C71C32" w:rsidRPr="001B09E6" w:rsidRDefault="00C71C32" w:rsidP="00C71C32">
      <w:pPr>
        <w:pStyle w:val="BodyText"/>
      </w:pPr>
      <w:r w:rsidRPr="001B09E6">
        <w:t>From 2000 to 2010, the proportion of 15–19-year-olds participating in full-time education remained fairly constant at around 69</w:t>
      </w:r>
      <w:r>
        <w:t xml:space="preserve"> to </w:t>
      </w:r>
      <w:r w:rsidRPr="001B09E6">
        <w:t>70 per cent, then increased by over 3 percentage points in the period 2010–12 (70.2</w:t>
      </w:r>
      <w:r>
        <w:t xml:space="preserve"> to </w:t>
      </w:r>
      <w:r w:rsidRPr="001B09E6">
        <w:t>73.4 per cent; see Figure 2.1). The proportion of 20–24-year-olds in full-time education increased from about 21</w:t>
      </w:r>
      <w:r>
        <w:t xml:space="preserve"> to </w:t>
      </w:r>
      <w:r w:rsidRPr="001B09E6">
        <w:t>29 per cent between 2000 and 2009, then stayed steady during 2010 and 2011 before increasing to 31.3 per cent in 2012.</w:t>
      </w:r>
    </w:p>
    <w:p w14:paraId="03BB8710" w14:textId="77777777" w:rsidR="00C71C32" w:rsidRPr="001B09E6" w:rsidRDefault="00C71C32" w:rsidP="00C71C32">
      <w:pPr>
        <w:pStyle w:val="BodyText"/>
      </w:pPr>
      <w:r w:rsidRPr="001B09E6">
        <w:t>While it is difficult to attribute exact causes for the increase in participation post-2009 for the 15–19-year-old cohort, it is likely that government policies aimed at increasing participation across the education sectors has had an impact.</w:t>
      </w:r>
    </w:p>
    <w:p w14:paraId="4C39221D" w14:textId="77777777" w:rsidR="00C71C32" w:rsidRPr="001B09E6" w:rsidRDefault="00C71C32" w:rsidP="00C71C32">
      <w:pPr>
        <w:pStyle w:val="TableHeading"/>
        <w:keepNext/>
        <w:jc w:val="both"/>
      </w:pPr>
      <w:r w:rsidRPr="001B09E6">
        <w:lastRenderedPageBreak/>
        <w:t>FIGURE 2.1:</w:t>
      </w:r>
      <w:r w:rsidRPr="001B09E6">
        <w:tab/>
      </w:r>
      <w:r>
        <w:t>Percentage of 15-24</w:t>
      </w:r>
      <w:r w:rsidR="00DD47E8">
        <w:t>-year-olds</w:t>
      </w:r>
      <w:r>
        <w:t xml:space="preserve"> in full-time education</w:t>
      </w:r>
      <w:r w:rsidRPr="001B09E6">
        <w:t>, 2000–12</w:t>
      </w:r>
    </w:p>
    <w:p w14:paraId="46DEA04E" w14:textId="77777777" w:rsidR="00C71C32" w:rsidRPr="001B09E6" w:rsidRDefault="00C71C32" w:rsidP="00FC7F6A">
      <w:pPr>
        <w:pStyle w:val="BodyText"/>
        <w:keepNext/>
        <w:numPr>
          <w:ilvl w:val="0"/>
          <w:numId w:val="18"/>
        </w:numPr>
        <w:rPr>
          <w:b/>
        </w:rPr>
      </w:pPr>
      <w:r w:rsidRPr="001B09E6">
        <w:rPr>
          <w:b/>
        </w:rPr>
        <w:t>15–19</w:t>
      </w:r>
      <w:r>
        <w:rPr>
          <w:b/>
        </w:rPr>
        <w:t xml:space="preserve"> </w:t>
      </w:r>
      <w:r w:rsidRPr="001B09E6">
        <w:rPr>
          <w:b/>
        </w:rPr>
        <w:t>year-olds</w:t>
      </w:r>
    </w:p>
    <w:p w14:paraId="65B8AE25" w14:textId="77777777" w:rsidR="00C71C32" w:rsidRPr="001B09E6" w:rsidRDefault="00C71C32" w:rsidP="00C71C32">
      <w:pPr>
        <w:pStyle w:val="Heading4"/>
      </w:pPr>
      <w:r w:rsidRPr="002C144A">
        <w:rPr>
          <w:noProof/>
          <w:lang w:eastAsia="en-AU"/>
        </w:rPr>
        <w:drawing>
          <wp:inline distT="0" distB="0" distL="0" distR="0" wp14:anchorId="239CB4F0" wp14:editId="137B4AF8">
            <wp:extent cx="5940000" cy="2700000"/>
            <wp:effectExtent l="0" t="0" r="3810" b="0"/>
            <wp:docPr id="161" name="Chart 161" descr="FIGURE 2.1: Percentage of 15-24-year-olds in full-time education, 2000–12&#10;" title="FIGURE 2.1: Percentage of 15-24-year-olds in full-time education, 200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FDAB29" w14:textId="77777777" w:rsidR="00C71C32" w:rsidRPr="001B09E6" w:rsidRDefault="00C71C32" w:rsidP="00C71C32">
      <w:pPr>
        <w:spacing w:line="380" w:lineRule="atLeast"/>
        <w:jc w:val="both"/>
        <w:rPr>
          <w:rFonts w:eastAsiaTheme="majorEastAsia" w:cstheme="majorBidi"/>
          <w:b/>
          <w:bCs/>
          <w:iCs/>
        </w:rPr>
      </w:pPr>
    </w:p>
    <w:p w14:paraId="369C4F69" w14:textId="77777777" w:rsidR="00C71C32" w:rsidRPr="001B09E6" w:rsidRDefault="00C71C32" w:rsidP="00FC7F6A">
      <w:pPr>
        <w:pStyle w:val="BodyText"/>
        <w:keepNext/>
        <w:numPr>
          <w:ilvl w:val="0"/>
          <w:numId w:val="18"/>
        </w:numPr>
        <w:rPr>
          <w:b/>
        </w:rPr>
      </w:pPr>
      <w:r w:rsidRPr="001B09E6">
        <w:rPr>
          <w:b/>
        </w:rPr>
        <w:t>20–24</w:t>
      </w:r>
      <w:r>
        <w:rPr>
          <w:b/>
        </w:rPr>
        <w:t xml:space="preserve"> </w:t>
      </w:r>
      <w:r w:rsidRPr="001B09E6">
        <w:rPr>
          <w:b/>
        </w:rPr>
        <w:t>year-olds</w:t>
      </w:r>
      <w:r>
        <w:rPr>
          <w:b/>
        </w:rPr>
        <w:t xml:space="preserve"> </w:t>
      </w:r>
    </w:p>
    <w:p w14:paraId="259F5161" w14:textId="77777777" w:rsidR="00C71C32" w:rsidRDefault="00C71C32" w:rsidP="00C71C32">
      <w:pPr>
        <w:pStyle w:val="BodyText"/>
        <w:rPr>
          <w:noProof/>
          <w:lang w:eastAsia="en-AU"/>
        </w:rPr>
      </w:pPr>
      <w:r w:rsidRPr="002C144A">
        <w:rPr>
          <w:noProof/>
          <w:lang w:eastAsia="en-AU"/>
        </w:rPr>
        <w:drawing>
          <wp:inline distT="0" distB="0" distL="0" distR="0" wp14:anchorId="2ABDA1BF" wp14:editId="6985E0D5">
            <wp:extent cx="5940000" cy="2700000"/>
            <wp:effectExtent l="0" t="0" r="3810" b="0"/>
            <wp:docPr id="164" name="Chart 164" descr="FIGURE 2.1: Percentage of 15-24-year-olds in full-time education, 2000–12&#10;" title="FIGURE 2.1: Percentage of 15-24-year-olds in full-time education, 200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01AEBB" w14:textId="77777777" w:rsidR="00C71C32" w:rsidRPr="001B09E6" w:rsidRDefault="00C71C32" w:rsidP="00C71C32">
      <w:pPr>
        <w:pStyle w:val="Tablenote"/>
        <w:jc w:val="both"/>
      </w:pPr>
      <w:r w:rsidRPr="001B09E6">
        <w:t xml:space="preserve">Source: ABS, </w:t>
      </w:r>
      <w:r w:rsidRPr="001B09E6">
        <w:rPr>
          <w:i/>
        </w:rPr>
        <w:t>Labour Force Survey</w:t>
      </w:r>
      <w:r w:rsidRPr="001B09E6">
        <w:t>.</w:t>
      </w:r>
    </w:p>
    <w:p w14:paraId="17993A7E" w14:textId="77777777" w:rsidR="00C71C32" w:rsidRDefault="00C71C32" w:rsidP="00C71C32">
      <w:pPr>
        <w:pStyle w:val="Heading3NoNumbering"/>
      </w:pPr>
      <w:r w:rsidRPr="001B09E6">
        <w:t>School participation</w:t>
      </w:r>
    </w:p>
    <w:p w14:paraId="6C659F4E" w14:textId="77777777" w:rsidR="00C71C32" w:rsidRPr="001B09E6" w:rsidRDefault="00C71C32" w:rsidP="00C71C32">
      <w:pPr>
        <w:pStyle w:val="BodyText"/>
      </w:pPr>
      <w:r w:rsidRPr="001B09E6">
        <w:t>There was little increase in school participation among 15–17-year-olds between 2000 and 2008 (see Figure 2.2). However, between 200</w:t>
      </w:r>
      <w:r>
        <w:t>8</w:t>
      </w:r>
      <w:r w:rsidRPr="001B09E6">
        <w:t xml:space="preserve"> and 2011, school participation rose 4.7 percentage points among 16-year-olds and 4.1 percentage points among 17-year-olds.</w:t>
      </w:r>
    </w:p>
    <w:p w14:paraId="119D61A2" w14:textId="77777777" w:rsidR="00C71C32" w:rsidRPr="0032077A" w:rsidRDefault="00C71C32" w:rsidP="00C71C32">
      <w:pPr>
        <w:pStyle w:val="TableHeading"/>
        <w:keepNext/>
        <w:jc w:val="both"/>
      </w:pPr>
      <w:r w:rsidRPr="0032077A">
        <w:lastRenderedPageBreak/>
        <w:t>Figure 2.2:</w:t>
      </w:r>
      <w:r w:rsidRPr="0032077A">
        <w:tab/>
        <w:t>Percentage of 15-17</w:t>
      </w:r>
      <w:r w:rsidR="00DD47E8" w:rsidRPr="0032077A">
        <w:t>-year-olds</w:t>
      </w:r>
      <w:r w:rsidRPr="0032077A">
        <w:t xml:space="preserve"> participating in full-time secondary education, 2000–11</w:t>
      </w:r>
    </w:p>
    <w:p w14:paraId="5DB745B6" w14:textId="77777777" w:rsidR="00C71C32" w:rsidRPr="0032077A" w:rsidRDefault="00C71C32" w:rsidP="00C71C32">
      <w:pPr>
        <w:pStyle w:val="BodyText"/>
        <w:rPr>
          <w:noProof/>
          <w:lang w:eastAsia="en-AU"/>
        </w:rPr>
      </w:pPr>
      <w:r w:rsidRPr="0032077A">
        <w:rPr>
          <w:noProof/>
          <w:lang w:eastAsia="en-AU"/>
        </w:rPr>
        <w:drawing>
          <wp:inline distT="0" distB="0" distL="0" distR="0" wp14:anchorId="4CF71699" wp14:editId="0A568CD6">
            <wp:extent cx="5940000" cy="2700000"/>
            <wp:effectExtent l="0" t="0" r="3810" b="0"/>
            <wp:docPr id="165" name="Chart 3" descr="Figure 2.2: Percentage of 15-17-year-olds participating in full-time secondary education, 2000–11&#10;" title="Figure 2.2: Percentage of 15-17-year-olds participating in full-time secondary education, 200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FA4A5B" w14:textId="77777777" w:rsidR="00C71C32" w:rsidRPr="0032077A" w:rsidRDefault="00C71C32" w:rsidP="00C71C32">
      <w:pPr>
        <w:pStyle w:val="Tablenote"/>
        <w:jc w:val="both"/>
      </w:pPr>
      <w:r w:rsidRPr="0032077A">
        <w:t xml:space="preserve">Source: ABS, </w:t>
      </w:r>
      <w:r w:rsidRPr="0032077A">
        <w:rPr>
          <w:i/>
        </w:rPr>
        <w:t>National Schools Statistics Collection</w:t>
      </w:r>
      <w:r w:rsidR="0032077A" w:rsidRPr="0032077A">
        <w:t xml:space="preserve">; ABS, </w:t>
      </w:r>
      <w:r w:rsidR="0032077A" w:rsidRPr="0032077A">
        <w:rPr>
          <w:i/>
        </w:rPr>
        <w:t>Population by Age and Sex</w:t>
      </w:r>
      <w:r w:rsidR="0032077A" w:rsidRPr="0032077A">
        <w:t>, cat. no. 3201.0.</w:t>
      </w:r>
    </w:p>
    <w:p w14:paraId="4F036CD5" w14:textId="77777777" w:rsidR="00C71C32" w:rsidRPr="001B09E6" w:rsidRDefault="00C71C32" w:rsidP="00C71C32">
      <w:pPr>
        <w:pStyle w:val="BodyText"/>
        <w:rPr>
          <w:lang w:eastAsia="en-AU"/>
        </w:rPr>
      </w:pPr>
      <w:r w:rsidRPr="0032077A">
        <w:rPr>
          <w:lang w:eastAsia="en-AU"/>
        </w:rPr>
        <w:t>Progression rates from Year 9 to Year 10 have continued to increase since 2009 (from 96.9 per cent in 2009 to 98.7 per cent in 2011). While there has been some fluctuation in progression rates between 2000 and 2008 from Years 10 to11 and Years 11 to 12, from 2008–11 they increased by 3.4 per cent and 2 per cent, respectively.</w:t>
      </w:r>
    </w:p>
    <w:p w14:paraId="5173172C" w14:textId="77777777" w:rsidR="00C71C32" w:rsidRDefault="00C71C32" w:rsidP="00C71C32">
      <w:pPr>
        <w:pStyle w:val="TableHeading"/>
        <w:keepNext/>
        <w:jc w:val="both"/>
        <w:rPr>
          <w:lang w:eastAsia="en-AU"/>
        </w:rPr>
      </w:pPr>
      <w:r w:rsidRPr="001B09E6">
        <w:rPr>
          <w:lang w:eastAsia="en-AU"/>
        </w:rPr>
        <w:t>Figure 2.3:</w:t>
      </w:r>
      <w:r w:rsidRPr="001B09E6">
        <w:rPr>
          <w:lang w:eastAsia="en-AU"/>
        </w:rPr>
        <w:tab/>
        <w:t>Apparent progression rates</w:t>
      </w:r>
      <w:r>
        <w:rPr>
          <w:lang w:eastAsia="en-AU"/>
        </w:rPr>
        <w:t xml:space="preserve"> (percent progressing)</w:t>
      </w:r>
      <w:r w:rsidRPr="001B09E6">
        <w:rPr>
          <w:lang w:eastAsia="en-AU"/>
        </w:rPr>
        <w:t>, years 9–12, 2000–11</w:t>
      </w:r>
    </w:p>
    <w:p w14:paraId="474CCD1F" w14:textId="77777777" w:rsidR="00C71C32" w:rsidRDefault="00C71C32" w:rsidP="00C71C32">
      <w:pPr>
        <w:pStyle w:val="BodyText"/>
        <w:rPr>
          <w:lang w:eastAsia="en-AU"/>
        </w:rPr>
      </w:pPr>
      <w:r w:rsidRPr="00DF7E3B">
        <w:rPr>
          <w:noProof/>
          <w:lang w:eastAsia="en-AU"/>
        </w:rPr>
        <w:drawing>
          <wp:inline distT="0" distB="0" distL="0" distR="0" wp14:anchorId="0AB66878" wp14:editId="0444C434">
            <wp:extent cx="5940000" cy="2700000"/>
            <wp:effectExtent l="0" t="0" r="0" b="0"/>
            <wp:docPr id="34" name="Chart 3" descr="Figure 2.3: Apparent progression rates (percent progressing), years 9–12, 2000–11&#10;" title="Figure 2.3: Apparent progression rates (percent progressing), years 9–12, 200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660BCE" w14:textId="77777777" w:rsidR="00C71C32" w:rsidRPr="001B09E6" w:rsidRDefault="00C71C32" w:rsidP="00C71C32">
      <w:pPr>
        <w:pStyle w:val="Tablenote"/>
        <w:jc w:val="both"/>
        <w:rPr>
          <w:lang w:eastAsia="en-AU"/>
        </w:rPr>
      </w:pPr>
      <w:r w:rsidRPr="001B09E6">
        <w:rPr>
          <w:lang w:eastAsia="en-AU"/>
        </w:rPr>
        <w:t xml:space="preserve">Source: ABS, </w:t>
      </w:r>
      <w:r w:rsidRPr="000E428A">
        <w:rPr>
          <w:i/>
          <w:lang w:eastAsia="en-AU"/>
        </w:rPr>
        <w:t>National School</w:t>
      </w:r>
      <w:r w:rsidRPr="001B09E6">
        <w:rPr>
          <w:i/>
          <w:lang w:eastAsia="en-AU"/>
        </w:rPr>
        <w:t>s</w:t>
      </w:r>
      <w:r w:rsidRPr="000E428A">
        <w:rPr>
          <w:i/>
          <w:lang w:eastAsia="en-AU"/>
        </w:rPr>
        <w:t xml:space="preserve"> Statistics Collection</w:t>
      </w:r>
      <w:r w:rsidRPr="001B09E6">
        <w:rPr>
          <w:lang w:eastAsia="en-AU"/>
        </w:rPr>
        <w:t>.</w:t>
      </w:r>
    </w:p>
    <w:p w14:paraId="2DDFCD1B" w14:textId="77777777" w:rsidR="00C71C32" w:rsidRDefault="00C71C32" w:rsidP="00CB48A2">
      <w:pPr>
        <w:pStyle w:val="Heading3NoNumbering"/>
      </w:pPr>
      <w:r w:rsidRPr="001B09E6">
        <w:t>VET participation</w:t>
      </w:r>
    </w:p>
    <w:p w14:paraId="7DCC5487" w14:textId="77777777" w:rsidR="00C71C32" w:rsidRPr="001B09E6" w:rsidRDefault="00C71C32" w:rsidP="00C71C32">
      <w:pPr>
        <w:pStyle w:val="BodyText"/>
      </w:pPr>
      <w:r w:rsidRPr="001B09E6">
        <w:t xml:space="preserve">Between 2002 and 2008/09, there was a slight decline in VET participation among 15–19-year-olds and 20–24-year-olds who were not attending school and who had not completed Year 12 (see Figure 2.4). Among non-school 20–24-year-olds who had not completed Year 12, VET participation fell somewhat faster than among 15–19-year-olds. This decline appears to have levelled out since 2009; indeed, during 2010–11 there was a slight increase (11.6–12.2 per cent for 15–19-year-olds and 7.8–8.1 per cent for </w:t>
      </w:r>
      <w:r w:rsidRPr="001B09E6">
        <w:lastRenderedPageBreak/>
        <w:t>20–24-year-olds). The rate for 16–17-year-olds also increased for 2010–11 (12.0–12.5 per cent) after declining from a rate of 12.8 per cent to 12 per cent from 2008–10.</w:t>
      </w:r>
    </w:p>
    <w:p w14:paraId="22D3C970" w14:textId="77777777" w:rsidR="00C71C32" w:rsidRDefault="00C71C32" w:rsidP="00C71C32">
      <w:pPr>
        <w:pStyle w:val="TableHeading"/>
        <w:keepNext/>
        <w:jc w:val="both"/>
      </w:pPr>
      <w:r w:rsidRPr="001B09E6">
        <w:t>Figure 2.4:</w:t>
      </w:r>
      <w:r w:rsidRPr="001B09E6">
        <w:tab/>
        <w:t xml:space="preserve">Vet Participation, persons aged 15–24 years not at school and without year 12 by age group, </w:t>
      </w:r>
      <w:r>
        <w:t>as a PERCENTAGE OF the population at that age group,</w:t>
      </w:r>
      <w:r w:rsidRPr="001B09E6">
        <w:t xml:space="preserve"> 2002–11</w:t>
      </w:r>
    </w:p>
    <w:p w14:paraId="31E3940C" w14:textId="77777777" w:rsidR="00C71C32" w:rsidRDefault="00C71C32" w:rsidP="00C71C32">
      <w:pPr>
        <w:pStyle w:val="BodyText"/>
      </w:pPr>
      <w:r w:rsidRPr="00FE6F30">
        <w:rPr>
          <w:noProof/>
          <w:lang w:eastAsia="en-AU"/>
        </w:rPr>
        <w:drawing>
          <wp:inline distT="0" distB="0" distL="0" distR="0" wp14:anchorId="30065583" wp14:editId="09988FE0">
            <wp:extent cx="5940000" cy="2700000"/>
            <wp:effectExtent l="0" t="0" r="3810" b="0"/>
            <wp:docPr id="35" name="Chart 4" descr="Figure 2.4: Vet Participation, persons aged 15–24 years not at school and without year 12 by age group, as a PERCENTAGE OF the population at that age group, 2002–11&#10;" title="Figure 2.4: Vet Participation, persons aged 15–24 years not at school and without year 12 by age group, as a PERCENTAGE OF the population at that age group, 2002–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B35958" w14:textId="77777777" w:rsidR="00C71C32" w:rsidRPr="00ED632C" w:rsidRDefault="00C71C32" w:rsidP="00C71C32">
      <w:pPr>
        <w:jc w:val="both"/>
        <w:rPr>
          <w:rFonts w:eastAsia="Times New Roman"/>
          <w:color w:val="808080"/>
          <w:sz w:val="16"/>
          <w:szCs w:val="16"/>
          <w:lang w:eastAsia="en-AU"/>
        </w:rPr>
      </w:pPr>
      <w:r w:rsidRPr="00ED632C">
        <w:rPr>
          <w:rFonts w:eastAsia="Times New Roman"/>
          <w:color w:val="808080"/>
          <w:sz w:val="16"/>
          <w:szCs w:val="16"/>
          <w:lang w:eastAsia="en-AU"/>
        </w:rPr>
        <w:t>Source: National VET Provider Collection, ABS Population by Age and Sex 3201.0</w:t>
      </w:r>
    </w:p>
    <w:p w14:paraId="3577354C" w14:textId="77777777" w:rsidR="00C71C32" w:rsidRPr="001B09E6" w:rsidRDefault="00C71C32" w:rsidP="00C71C32">
      <w:pPr>
        <w:jc w:val="both"/>
        <w:rPr>
          <w:rStyle w:val="TablenoteChar"/>
        </w:rPr>
      </w:pPr>
    </w:p>
    <w:p w14:paraId="39448485" w14:textId="77777777" w:rsidR="00C71C32" w:rsidRPr="001B09E6" w:rsidRDefault="00C71C32" w:rsidP="00C71C32">
      <w:pPr>
        <w:pStyle w:val="BodyText"/>
      </w:pPr>
      <w:r w:rsidRPr="001B09E6">
        <w:t>Since 2002, there has been a change in the composition of VET enrolments among young people who have left school without completing Year 12. Among 15–19-year-olds and 20–24-year-olds, enrolments in courses below Certificate II have been trending downwards since 2002. However, among both groups, participation in Certificate II courses rose slightly between 2008 and 2010 (refer to Figure 2.5). Participation in Certificate III level and above courses also increased between 2010 and 2011 for 15–19-year-olds and 20–24-year-olds.</w:t>
      </w:r>
    </w:p>
    <w:p w14:paraId="149CBFFB" w14:textId="77777777" w:rsidR="00C71C32" w:rsidRPr="001B09E6" w:rsidRDefault="00C71C32" w:rsidP="002E635C">
      <w:pPr>
        <w:pStyle w:val="TableHeading"/>
        <w:keepNext/>
        <w:keepLines/>
        <w:jc w:val="both"/>
      </w:pPr>
      <w:r w:rsidRPr="001B09E6">
        <w:lastRenderedPageBreak/>
        <w:t>Figure 2.5:</w:t>
      </w:r>
      <w:r w:rsidRPr="001B09E6">
        <w:tab/>
        <w:t>Vet Participation,</w:t>
      </w:r>
      <w:r>
        <w:t xml:space="preserve"> </w:t>
      </w:r>
      <w:r w:rsidRPr="001B09E6">
        <w:t xml:space="preserve">persons aged 15–24 years not at school and without year 12 by qualification level, </w:t>
      </w:r>
      <w:r>
        <w:t>as a PERCENTAGE OF</w:t>
      </w:r>
      <w:r w:rsidRPr="001B09E6">
        <w:t xml:space="preserve"> </w:t>
      </w:r>
      <w:r>
        <w:t>the population at that age group,</w:t>
      </w:r>
      <w:r w:rsidRPr="001B09E6">
        <w:t xml:space="preserve"> 2002–11</w:t>
      </w:r>
    </w:p>
    <w:p w14:paraId="5C7DB59B" w14:textId="77777777" w:rsidR="00C71C32" w:rsidRPr="001B09E6" w:rsidRDefault="00C71C32" w:rsidP="00FC7F6A">
      <w:pPr>
        <w:pStyle w:val="BodyText"/>
        <w:keepNext/>
        <w:keepLines/>
        <w:numPr>
          <w:ilvl w:val="0"/>
          <w:numId w:val="19"/>
        </w:numPr>
        <w:rPr>
          <w:b/>
        </w:rPr>
      </w:pPr>
      <w:r w:rsidRPr="001B09E6">
        <w:rPr>
          <w:b/>
        </w:rPr>
        <w:t>15–19-year-olds</w:t>
      </w:r>
    </w:p>
    <w:p w14:paraId="5DACE8B4" w14:textId="77777777" w:rsidR="00C71C32" w:rsidRPr="001B09E6" w:rsidRDefault="00C71C32" w:rsidP="002E635C">
      <w:pPr>
        <w:pStyle w:val="BodyText"/>
        <w:keepLines/>
      </w:pPr>
      <w:r w:rsidRPr="001B09E6">
        <w:rPr>
          <w:noProof/>
          <w:lang w:eastAsia="en-AU"/>
        </w:rPr>
        <w:drawing>
          <wp:inline distT="0" distB="0" distL="0" distR="0" wp14:anchorId="14811E2A" wp14:editId="29883D97">
            <wp:extent cx="5906062" cy="2700000"/>
            <wp:effectExtent l="0" t="0" r="0" b="0"/>
            <wp:docPr id="27" name="Chart 2" descr="Figure 2.5: Vet Participation, persons aged 15–24 years not at school and without year 12 by qualification level, as a PERCENTAGE OF the population at that age group, 2002–11&#10;" title="Figure 2.5: Vet Participation, persons aged 15–24 years not at school and without year 12 by qualification level, as a PERCENTAGE OF the population at that age group, 2002–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6822B9" w14:textId="77777777" w:rsidR="00C71C32" w:rsidRDefault="00C71C32" w:rsidP="00FC7F6A">
      <w:pPr>
        <w:pStyle w:val="Heading4"/>
        <w:keepNext w:val="0"/>
        <w:numPr>
          <w:ilvl w:val="0"/>
          <w:numId w:val="19"/>
        </w:numPr>
      </w:pPr>
      <w:r w:rsidRPr="001B09E6">
        <w:t>20–24-year-olds</w:t>
      </w:r>
    </w:p>
    <w:p w14:paraId="2F08EB2D" w14:textId="77777777" w:rsidR="00C71C32" w:rsidRPr="001B09E6" w:rsidRDefault="00C71C32" w:rsidP="002E635C">
      <w:pPr>
        <w:pStyle w:val="BodyText"/>
        <w:keepLines/>
      </w:pPr>
      <w:r w:rsidRPr="001B09E6">
        <w:rPr>
          <w:noProof/>
          <w:lang w:eastAsia="en-AU"/>
        </w:rPr>
        <w:drawing>
          <wp:inline distT="0" distB="0" distL="0" distR="0" wp14:anchorId="0FD9E287" wp14:editId="6D13ED42">
            <wp:extent cx="5940000" cy="2700000"/>
            <wp:effectExtent l="0" t="0" r="3810" b="0"/>
            <wp:docPr id="28" name="Chart 3" descr="Figure 2.5: Vet Participation, persons aged 15–24 years not at school and without year 12 by qualification level, as a PERCENTAGE OF the population at that age group, 2002–11&#10;" title="Figure 2.5: Vet Participation, persons aged 15–24 years not at school and without year 12 by qualification level, as a PERCENTAGE OF the population at that age group, 2002–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32DA45" w14:textId="77777777" w:rsidR="00C71C32" w:rsidRPr="00ED632C" w:rsidRDefault="00C71C32" w:rsidP="002E635C">
      <w:pPr>
        <w:keepLines/>
        <w:jc w:val="both"/>
        <w:rPr>
          <w:rFonts w:eastAsia="Times New Roman"/>
          <w:color w:val="808080"/>
          <w:sz w:val="16"/>
          <w:szCs w:val="16"/>
          <w:lang w:eastAsia="en-AU"/>
        </w:rPr>
      </w:pPr>
      <w:r w:rsidRPr="00ED632C">
        <w:rPr>
          <w:rFonts w:eastAsia="Times New Roman"/>
          <w:color w:val="808080"/>
          <w:sz w:val="16"/>
          <w:szCs w:val="16"/>
          <w:lang w:eastAsia="en-AU"/>
        </w:rPr>
        <w:t>Source: National VET Provider Collection, ABS Population by Age and Sex 3201.0</w:t>
      </w:r>
    </w:p>
    <w:p w14:paraId="2DEC3008" w14:textId="77777777" w:rsidR="00C71C32" w:rsidRDefault="00C71C32" w:rsidP="00C71C32">
      <w:pPr>
        <w:pStyle w:val="Heading3NoNumbering"/>
      </w:pPr>
    </w:p>
    <w:p w14:paraId="58FB67C4" w14:textId="77777777" w:rsidR="00C71C32" w:rsidRDefault="00C71C32" w:rsidP="00C71C32">
      <w:pPr>
        <w:pStyle w:val="Heading3NoNumbering"/>
      </w:pPr>
      <w:r w:rsidRPr="001B09E6">
        <w:t>Higher education participation</w:t>
      </w:r>
    </w:p>
    <w:p w14:paraId="3FC8A145" w14:textId="77777777" w:rsidR="00C71C32" w:rsidRPr="001B09E6" w:rsidRDefault="00C71C32" w:rsidP="00C71C32">
      <w:pPr>
        <w:pStyle w:val="BodyText"/>
      </w:pPr>
      <w:r w:rsidRPr="001B09E6">
        <w:t>Higher education participation for 18–24-year-olds increased steadily from 27.5 per cent in 2006 to 33 per cent in 2011 (see Figure 2.6). This is due to a variety of factors, including labour market conditions. Government policy aimed at increasing rates of participation in higher education may also have affected the participation rate.</w:t>
      </w:r>
    </w:p>
    <w:p w14:paraId="0EDFB075" w14:textId="77777777" w:rsidR="00C71C32" w:rsidRPr="001B09E6" w:rsidRDefault="00C71C32" w:rsidP="00C71C32">
      <w:pPr>
        <w:pStyle w:val="TableHeading"/>
        <w:keepNext/>
        <w:jc w:val="both"/>
        <w:rPr>
          <w:lang w:eastAsia="en-AU"/>
        </w:rPr>
      </w:pPr>
      <w:r w:rsidRPr="001B09E6">
        <w:rPr>
          <w:lang w:eastAsia="en-AU"/>
        </w:rPr>
        <w:lastRenderedPageBreak/>
        <w:t>figure 2.6:</w:t>
      </w:r>
      <w:r w:rsidRPr="001B09E6">
        <w:rPr>
          <w:lang w:eastAsia="en-AU"/>
        </w:rPr>
        <w:tab/>
        <w:t>Percentage of 18–24-year-olds enrolled in Higher Education, 2006–11</w:t>
      </w:r>
    </w:p>
    <w:p w14:paraId="36812A8F" w14:textId="77777777" w:rsidR="00C71C32" w:rsidRPr="001B09E6" w:rsidRDefault="00C71C32" w:rsidP="00C71C32">
      <w:pPr>
        <w:pStyle w:val="BodyText"/>
      </w:pPr>
      <w:r w:rsidRPr="00A4386F">
        <w:rPr>
          <w:noProof/>
          <w:lang w:eastAsia="en-AU"/>
        </w:rPr>
        <w:drawing>
          <wp:inline distT="0" distB="0" distL="0" distR="0" wp14:anchorId="43D67951" wp14:editId="145ED6C6">
            <wp:extent cx="5940000" cy="2700000"/>
            <wp:effectExtent l="0" t="0" r="3810" b="0"/>
            <wp:docPr id="166" name="Chart 4" descr="figure 2.6: Percentage of 18–24-year-olds enrolled in Higher Education, 2006–11&#10;" title="figure 2.6: Percentage of 18–24-year-olds enrolled in Higher Education, 2006–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4A7051" w14:textId="77777777" w:rsidR="00C71C32" w:rsidRPr="001B09E6" w:rsidRDefault="00C71C32" w:rsidP="00C71C32">
      <w:pPr>
        <w:pStyle w:val="Tablenote"/>
        <w:jc w:val="both"/>
        <w:rPr>
          <w:lang w:eastAsia="en-AU"/>
        </w:rPr>
      </w:pPr>
      <w:r w:rsidRPr="001B09E6">
        <w:rPr>
          <w:lang w:eastAsia="en-AU"/>
        </w:rPr>
        <w:t xml:space="preserve">Sources: DEEWR, </w:t>
      </w:r>
      <w:r w:rsidRPr="000E428A">
        <w:rPr>
          <w:i/>
          <w:lang w:eastAsia="en-AU"/>
        </w:rPr>
        <w:t>Higher Education Statistics Collection</w:t>
      </w:r>
      <w:r w:rsidRPr="001B09E6">
        <w:rPr>
          <w:lang w:eastAsia="en-AU"/>
        </w:rPr>
        <w:t xml:space="preserve">; ABS, </w:t>
      </w:r>
      <w:r w:rsidRPr="000E428A">
        <w:rPr>
          <w:i/>
          <w:lang w:eastAsia="en-AU"/>
        </w:rPr>
        <w:t>Australian Demographic Statistics</w:t>
      </w:r>
      <w:r w:rsidRPr="001B09E6">
        <w:rPr>
          <w:lang w:eastAsia="en-AU"/>
        </w:rPr>
        <w:t>, 3101.0.</w:t>
      </w:r>
    </w:p>
    <w:p w14:paraId="06C38807" w14:textId="77777777" w:rsidR="00C71C32" w:rsidRPr="00525C08" w:rsidRDefault="00C71C32" w:rsidP="00C71C32">
      <w:pPr>
        <w:pStyle w:val="Heading3NoNumbering"/>
      </w:pPr>
      <w:bookmarkStart w:id="34" w:name="_Toc333918965"/>
      <w:r w:rsidRPr="00525C08">
        <w:t xml:space="preserve">Participation of </w:t>
      </w:r>
      <w:bookmarkEnd w:id="34"/>
      <w:r w:rsidR="00CA4863" w:rsidRPr="00525C08">
        <w:t>disadvantaged cohorts</w:t>
      </w:r>
    </w:p>
    <w:p w14:paraId="16463BA7" w14:textId="77777777" w:rsidR="0080560A" w:rsidRPr="00525C08" w:rsidRDefault="00CB35C8" w:rsidP="00C71C32">
      <w:pPr>
        <w:pStyle w:val="BodyText"/>
      </w:pPr>
      <w:r w:rsidRPr="00525C08">
        <w:t>Data from the ABS 2006 and 2011 census collection shows that t</w:t>
      </w:r>
      <w:r w:rsidR="0080560A" w:rsidRPr="00525C08">
        <w:t xml:space="preserve">he participation rate of </w:t>
      </w:r>
      <w:r w:rsidRPr="00525C08">
        <w:t xml:space="preserve">15-19 year old </w:t>
      </w:r>
      <w:r w:rsidR="0080560A" w:rsidRPr="00525C08">
        <w:t xml:space="preserve">Indigenous youth in education increased between 2006 and 2011 (4.8 percentage point change), with secondary school participation making the biggest contribution to the overall increase (5.1 percentage point increase). The rate of increase </w:t>
      </w:r>
      <w:r w:rsidRPr="00525C08">
        <w:t xml:space="preserve">for </w:t>
      </w:r>
      <w:r w:rsidR="0080560A" w:rsidRPr="00525C08">
        <w:t xml:space="preserve">Indigenous youth has been greater than the rate of increase among non-Indigenous youth, although in absolute terms, it’s still 17.8 percentage points below that of non-Indigenous students (see </w:t>
      </w:r>
      <w:r w:rsidRPr="00525C08">
        <w:t>Table 2.1</w:t>
      </w:r>
      <w:r w:rsidR="0080560A" w:rsidRPr="00525C08">
        <w:t>).</w:t>
      </w:r>
    </w:p>
    <w:p w14:paraId="1F6B379B" w14:textId="77777777" w:rsidR="0080560A" w:rsidRPr="0080560A" w:rsidRDefault="00CB35C8" w:rsidP="0080560A">
      <w:pPr>
        <w:pStyle w:val="TableHeading"/>
        <w:jc w:val="both"/>
      </w:pPr>
      <w:r w:rsidRPr="00525C08">
        <w:t>Table 2.1</w:t>
      </w:r>
      <w:r w:rsidR="0080560A" w:rsidRPr="00525C08">
        <w:t>:</w:t>
      </w:r>
      <w:r w:rsidR="0080560A" w:rsidRPr="00525C08">
        <w:tab/>
        <w:t>PARTICIPATION rates 15–19-year-oldS by Indigenous Status, 2006 and 2011</w:t>
      </w:r>
    </w:p>
    <w:tbl>
      <w:tblPr>
        <w:tblStyle w:val="DandoloTableCentred"/>
        <w:tblW w:w="9639" w:type="dxa"/>
        <w:tblLook w:val="04A0" w:firstRow="1" w:lastRow="0" w:firstColumn="1" w:lastColumn="0" w:noHBand="0" w:noVBand="1"/>
        <w:tblCaption w:val="Participation rates 15-19 year olds by Indigenous Status, 2006 and 2011"/>
        <w:tblDescription w:val="Table 2.1: PARTICIPATION rates 15–19-year-oldS by Indigenous Status, 2006 and 2011&#10;"/>
      </w:tblPr>
      <w:tblGrid>
        <w:gridCol w:w="1988"/>
        <w:gridCol w:w="1275"/>
        <w:gridCol w:w="1275"/>
        <w:gridCol w:w="1275"/>
        <w:gridCol w:w="1275"/>
        <w:gridCol w:w="1275"/>
        <w:gridCol w:w="1276"/>
      </w:tblGrid>
      <w:tr w:rsidR="00DE3F5B" w:rsidRPr="00491343" w14:paraId="73937CFB" w14:textId="77777777" w:rsidTr="00CB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6F410927" w14:textId="77777777" w:rsidR="00DE3F5B" w:rsidRPr="00491343" w:rsidRDefault="00DE3F5B" w:rsidP="00DE3F5B">
            <w:pPr>
              <w:pStyle w:val="BodyText"/>
              <w:jc w:val="center"/>
            </w:pPr>
            <w:r w:rsidRPr="00491343">
              <w:t>Institution type</w:t>
            </w:r>
          </w:p>
        </w:tc>
        <w:tc>
          <w:tcPr>
            <w:tcW w:w="2550" w:type="dxa"/>
            <w:gridSpan w:val="2"/>
          </w:tcPr>
          <w:p w14:paraId="2D0900D3" w14:textId="77777777" w:rsidR="00DE3F5B" w:rsidRPr="00491343" w:rsidRDefault="00DE3F5B" w:rsidP="00DE3F5B">
            <w:pPr>
              <w:pStyle w:val="BodyText"/>
              <w:jc w:val="center"/>
              <w:cnfStyle w:val="100000000000" w:firstRow="1" w:lastRow="0" w:firstColumn="0" w:lastColumn="0" w:oddVBand="0" w:evenVBand="0" w:oddHBand="0" w:evenHBand="0" w:firstRowFirstColumn="0" w:firstRowLastColumn="0" w:lastRowFirstColumn="0" w:lastRowLastColumn="0"/>
              <w:rPr>
                <w:b/>
              </w:rPr>
            </w:pPr>
            <w:r w:rsidRPr="00491343">
              <w:rPr>
                <w:b/>
              </w:rPr>
              <w:t>Participation rate 2006</w:t>
            </w:r>
          </w:p>
        </w:tc>
        <w:tc>
          <w:tcPr>
            <w:tcW w:w="2550" w:type="dxa"/>
            <w:gridSpan w:val="2"/>
          </w:tcPr>
          <w:p w14:paraId="4D71689B" w14:textId="77777777" w:rsidR="00DE3F5B" w:rsidRPr="00491343" w:rsidRDefault="00DE3F5B" w:rsidP="00DE3F5B">
            <w:pPr>
              <w:pStyle w:val="BodyText"/>
              <w:jc w:val="center"/>
              <w:cnfStyle w:val="100000000000" w:firstRow="1" w:lastRow="0" w:firstColumn="0" w:lastColumn="0" w:oddVBand="0" w:evenVBand="0" w:oddHBand="0" w:evenHBand="0" w:firstRowFirstColumn="0" w:firstRowLastColumn="0" w:lastRowFirstColumn="0" w:lastRowLastColumn="0"/>
              <w:rPr>
                <w:b/>
              </w:rPr>
            </w:pPr>
            <w:r w:rsidRPr="00491343">
              <w:rPr>
                <w:b/>
              </w:rPr>
              <w:t>Participation rate 2011</w:t>
            </w:r>
          </w:p>
        </w:tc>
        <w:tc>
          <w:tcPr>
            <w:tcW w:w="2551" w:type="dxa"/>
            <w:gridSpan w:val="2"/>
          </w:tcPr>
          <w:p w14:paraId="12C6E6DE" w14:textId="77777777" w:rsidR="00DE3F5B" w:rsidRPr="00491343" w:rsidRDefault="00DE3F5B" w:rsidP="00DE3F5B">
            <w:pPr>
              <w:pStyle w:val="BodyText"/>
              <w:jc w:val="center"/>
              <w:cnfStyle w:val="100000000000" w:firstRow="1" w:lastRow="0" w:firstColumn="0" w:lastColumn="0" w:oddVBand="0" w:evenVBand="0" w:oddHBand="0" w:evenHBand="0" w:firstRowFirstColumn="0" w:firstRowLastColumn="0" w:lastRowFirstColumn="0" w:lastRowLastColumn="0"/>
              <w:rPr>
                <w:b/>
              </w:rPr>
            </w:pPr>
            <w:r w:rsidRPr="00491343">
              <w:rPr>
                <w:b/>
              </w:rPr>
              <w:t>Percentage point change (2006-2011)</w:t>
            </w:r>
          </w:p>
        </w:tc>
      </w:tr>
      <w:tr w:rsidR="00CB35C8" w:rsidRPr="00491343" w14:paraId="6AB927EF" w14:textId="77777777" w:rsidTr="00CB35C8">
        <w:tc>
          <w:tcPr>
            <w:cnfStyle w:val="001000000000" w:firstRow="0" w:lastRow="0" w:firstColumn="1" w:lastColumn="0" w:oddVBand="0" w:evenVBand="0" w:oddHBand="0" w:evenHBand="0" w:firstRowFirstColumn="0" w:firstRowLastColumn="0" w:lastRowFirstColumn="0" w:lastRowLastColumn="0"/>
            <w:tcW w:w="1988" w:type="dxa"/>
          </w:tcPr>
          <w:p w14:paraId="7C2E9B12" w14:textId="77777777" w:rsidR="00CB35C8" w:rsidRPr="00491343" w:rsidRDefault="00CB35C8" w:rsidP="00DE3F5B">
            <w:pPr>
              <w:pStyle w:val="BodyText"/>
              <w:jc w:val="center"/>
            </w:pPr>
          </w:p>
        </w:tc>
        <w:tc>
          <w:tcPr>
            <w:tcW w:w="2550" w:type="dxa"/>
            <w:gridSpan w:val="2"/>
          </w:tcPr>
          <w:p w14:paraId="23000557" w14:textId="77777777" w:rsidR="00CB35C8" w:rsidRPr="00491343" w:rsidRDefault="00CB35C8" w:rsidP="00CB35C8">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Indigenous        Non-Indigenous</w:t>
            </w:r>
          </w:p>
        </w:tc>
        <w:tc>
          <w:tcPr>
            <w:tcW w:w="2550" w:type="dxa"/>
            <w:gridSpan w:val="2"/>
          </w:tcPr>
          <w:p w14:paraId="52D9A190" w14:textId="77777777" w:rsidR="00CB35C8" w:rsidRPr="00491343" w:rsidRDefault="00CB35C8" w:rsidP="00CB35C8">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Indigenous        Non-Indigenous</w:t>
            </w:r>
          </w:p>
        </w:tc>
        <w:tc>
          <w:tcPr>
            <w:tcW w:w="2551" w:type="dxa"/>
            <w:gridSpan w:val="2"/>
          </w:tcPr>
          <w:p w14:paraId="0217EBAE" w14:textId="77777777" w:rsidR="00CB35C8" w:rsidRPr="00491343" w:rsidRDefault="00CB35C8" w:rsidP="00CB35C8">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Indigenous        Non-Indigenous</w:t>
            </w:r>
          </w:p>
        </w:tc>
      </w:tr>
      <w:tr w:rsidR="00DE3F5B" w14:paraId="233D5578" w14:textId="77777777" w:rsidTr="00DE3F5B">
        <w:tc>
          <w:tcPr>
            <w:cnfStyle w:val="001000000000" w:firstRow="0" w:lastRow="0" w:firstColumn="1" w:lastColumn="0" w:oddVBand="0" w:evenVBand="0" w:oddHBand="0" w:evenHBand="0" w:firstRowFirstColumn="0" w:firstRowLastColumn="0" w:lastRowFirstColumn="0" w:lastRowLastColumn="0"/>
            <w:tcW w:w="1988" w:type="dxa"/>
          </w:tcPr>
          <w:p w14:paraId="5C3DDEBB" w14:textId="77777777" w:rsidR="00DE3F5B" w:rsidRDefault="00DE3F5B" w:rsidP="00C71C32">
            <w:pPr>
              <w:pStyle w:val="BodyText"/>
            </w:pPr>
            <w:r>
              <w:t>Secondary school</w:t>
            </w:r>
          </w:p>
        </w:tc>
        <w:tc>
          <w:tcPr>
            <w:tcW w:w="1275" w:type="dxa"/>
            <w:vAlign w:val="bottom"/>
          </w:tcPr>
          <w:p w14:paraId="4C9693C9"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35.9</w:t>
            </w:r>
          </w:p>
        </w:tc>
        <w:tc>
          <w:tcPr>
            <w:tcW w:w="1275" w:type="dxa"/>
            <w:vAlign w:val="bottom"/>
          </w:tcPr>
          <w:p w14:paraId="47B0566B"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51.2</w:t>
            </w:r>
          </w:p>
        </w:tc>
        <w:tc>
          <w:tcPr>
            <w:tcW w:w="1275" w:type="dxa"/>
            <w:vAlign w:val="bottom"/>
          </w:tcPr>
          <w:p w14:paraId="52F01CE3"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41.1</w:t>
            </w:r>
          </w:p>
        </w:tc>
        <w:tc>
          <w:tcPr>
            <w:tcW w:w="1275" w:type="dxa"/>
            <w:vAlign w:val="bottom"/>
          </w:tcPr>
          <w:p w14:paraId="60911E62"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53.0</w:t>
            </w:r>
          </w:p>
        </w:tc>
        <w:tc>
          <w:tcPr>
            <w:tcW w:w="1275" w:type="dxa"/>
            <w:vAlign w:val="bottom"/>
          </w:tcPr>
          <w:p w14:paraId="3A478159"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5.1</w:t>
            </w:r>
          </w:p>
        </w:tc>
        <w:tc>
          <w:tcPr>
            <w:tcW w:w="1276" w:type="dxa"/>
            <w:vAlign w:val="bottom"/>
          </w:tcPr>
          <w:p w14:paraId="643A14D0"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1.8</w:t>
            </w:r>
          </w:p>
        </w:tc>
      </w:tr>
      <w:tr w:rsidR="00DE3F5B" w14:paraId="10A2A1F0" w14:textId="77777777" w:rsidTr="00DE3F5B">
        <w:tc>
          <w:tcPr>
            <w:cnfStyle w:val="001000000000" w:firstRow="0" w:lastRow="0" w:firstColumn="1" w:lastColumn="0" w:oddVBand="0" w:evenVBand="0" w:oddHBand="0" w:evenHBand="0" w:firstRowFirstColumn="0" w:firstRowLastColumn="0" w:lastRowFirstColumn="0" w:lastRowLastColumn="0"/>
            <w:tcW w:w="1988" w:type="dxa"/>
          </w:tcPr>
          <w:p w14:paraId="03049146" w14:textId="77777777" w:rsidR="00DE3F5B" w:rsidRDefault="00DE3F5B" w:rsidP="00C71C32">
            <w:pPr>
              <w:pStyle w:val="BodyText"/>
            </w:pPr>
            <w:r>
              <w:t>VET</w:t>
            </w:r>
          </w:p>
        </w:tc>
        <w:tc>
          <w:tcPr>
            <w:tcW w:w="1275" w:type="dxa"/>
            <w:vAlign w:val="bottom"/>
          </w:tcPr>
          <w:p w14:paraId="6145D224"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6.4</w:t>
            </w:r>
          </w:p>
        </w:tc>
        <w:tc>
          <w:tcPr>
            <w:tcW w:w="1275" w:type="dxa"/>
            <w:vAlign w:val="bottom"/>
          </w:tcPr>
          <w:p w14:paraId="4E9B9342"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8.5</w:t>
            </w:r>
          </w:p>
        </w:tc>
        <w:tc>
          <w:tcPr>
            <w:tcW w:w="1275" w:type="dxa"/>
            <w:vAlign w:val="bottom"/>
          </w:tcPr>
          <w:p w14:paraId="416D3633"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7.0</w:t>
            </w:r>
          </w:p>
        </w:tc>
        <w:tc>
          <w:tcPr>
            <w:tcW w:w="1275" w:type="dxa"/>
            <w:vAlign w:val="bottom"/>
          </w:tcPr>
          <w:p w14:paraId="15C51999"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7.9</w:t>
            </w:r>
          </w:p>
        </w:tc>
        <w:tc>
          <w:tcPr>
            <w:tcW w:w="1275" w:type="dxa"/>
            <w:vAlign w:val="bottom"/>
          </w:tcPr>
          <w:p w14:paraId="4573B89B"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0.6</w:t>
            </w:r>
          </w:p>
        </w:tc>
        <w:tc>
          <w:tcPr>
            <w:tcW w:w="1276" w:type="dxa"/>
            <w:vAlign w:val="bottom"/>
          </w:tcPr>
          <w:p w14:paraId="037DEABA"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-0.6</w:t>
            </w:r>
          </w:p>
        </w:tc>
      </w:tr>
      <w:tr w:rsidR="00DE3F5B" w14:paraId="35A30633" w14:textId="77777777" w:rsidTr="00DE3F5B">
        <w:tc>
          <w:tcPr>
            <w:cnfStyle w:val="001000000000" w:firstRow="0" w:lastRow="0" w:firstColumn="1" w:lastColumn="0" w:oddVBand="0" w:evenVBand="0" w:oddHBand="0" w:evenHBand="0" w:firstRowFirstColumn="0" w:firstRowLastColumn="0" w:lastRowFirstColumn="0" w:lastRowLastColumn="0"/>
            <w:tcW w:w="1988" w:type="dxa"/>
          </w:tcPr>
          <w:p w14:paraId="4A2B28C9" w14:textId="77777777" w:rsidR="00DE3F5B" w:rsidRDefault="00DE3F5B" w:rsidP="00C71C32">
            <w:pPr>
              <w:pStyle w:val="BodyText"/>
            </w:pPr>
            <w:r>
              <w:t>University</w:t>
            </w:r>
          </w:p>
        </w:tc>
        <w:tc>
          <w:tcPr>
            <w:tcW w:w="1275" w:type="dxa"/>
            <w:vAlign w:val="bottom"/>
          </w:tcPr>
          <w:p w14:paraId="74C8947D"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2.1</w:t>
            </w:r>
          </w:p>
        </w:tc>
        <w:tc>
          <w:tcPr>
            <w:tcW w:w="1275" w:type="dxa"/>
            <w:vAlign w:val="bottom"/>
          </w:tcPr>
          <w:p w14:paraId="4DF567B6"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11.1</w:t>
            </w:r>
          </w:p>
        </w:tc>
        <w:tc>
          <w:tcPr>
            <w:tcW w:w="1275" w:type="dxa"/>
            <w:vAlign w:val="bottom"/>
          </w:tcPr>
          <w:p w14:paraId="5A9884F6"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2.9</w:t>
            </w:r>
          </w:p>
        </w:tc>
        <w:tc>
          <w:tcPr>
            <w:tcW w:w="1275" w:type="dxa"/>
            <w:vAlign w:val="bottom"/>
          </w:tcPr>
          <w:p w14:paraId="2831B506"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13.1</w:t>
            </w:r>
          </w:p>
        </w:tc>
        <w:tc>
          <w:tcPr>
            <w:tcW w:w="1275" w:type="dxa"/>
            <w:vAlign w:val="bottom"/>
          </w:tcPr>
          <w:p w14:paraId="15FA70FD"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0.8</w:t>
            </w:r>
          </w:p>
        </w:tc>
        <w:tc>
          <w:tcPr>
            <w:tcW w:w="1276" w:type="dxa"/>
            <w:vAlign w:val="bottom"/>
          </w:tcPr>
          <w:p w14:paraId="43CD4A2A"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1.9</w:t>
            </w:r>
          </w:p>
        </w:tc>
      </w:tr>
      <w:tr w:rsidR="00DE3F5B" w14:paraId="6E72615A" w14:textId="77777777" w:rsidTr="00DE3F5B">
        <w:tc>
          <w:tcPr>
            <w:cnfStyle w:val="001000000000" w:firstRow="0" w:lastRow="0" w:firstColumn="1" w:lastColumn="0" w:oddVBand="0" w:evenVBand="0" w:oddHBand="0" w:evenHBand="0" w:firstRowFirstColumn="0" w:firstRowLastColumn="0" w:lastRowFirstColumn="0" w:lastRowLastColumn="0"/>
            <w:tcW w:w="1988" w:type="dxa"/>
          </w:tcPr>
          <w:p w14:paraId="4A319D4E" w14:textId="77777777" w:rsidR="00DE3F5B" w:rsidRDefault="00DE3F5B" w:rsidP="00C71C32">
            <w:pPr>
              <w:pStyle w:val="BodyText"/>
            </w:pPr>
            <w:r>
              <w:t>Other</w:t>
            </w:r>
          </w:p>
        </w:tc>
        <w:tc>
          <w:tcPr>
            <w:tcW w:w="1275" w:type="dxa"/>
            <w:vAlign w:val="bottom"/>
          </w:tcPr>
          <w:p w14:paraId="6C6C9DD0"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1.1</w:t>
            </w:r>
          </w:p>
        </w:tc>
        <w:tc>
          <w:tcPr>
            <w:tcW w:w="1275" w:type="dxa"/>
            <w:vAlign w:val="bottom"/>
          </w:tcPr>
          <w:p w14:paraId="1DEF24A8"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1.1</w:t>
            </w:r>
          </w:p>
        </w:tc>
        <w:tc>
          <w:tcPr>
            <w:tcW w:w="1275" w:type="dxa"/>
            <w:vAlign w:val="bottom"/>
          </w:tcPr>
          <w:p w14:paraId="7A5E10AD"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1.2</w:t>
            </w:r>
          </w:p>
        </w:tc>
        <w:tc>
          <w:tcPr>
            <w:tcW w:w="1275" w:type="dxa"/>
            <w:vAlign w:val="bottom"/>
          </w:tcPr>
          <w:p w14:paraId="05B2C047"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1.1</w:t>
            </w:r>
          </w:p>
        </w:tc>
        <w:tc>
          <w:tcPr>
            <w:tcW w:w="1275" w:type="dxa"/>
            <w:vAlign w:val="bottom"/>
          </w:tcPr>
          <w:p w14:paraId="358707FC"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0.1</w:t>
            </w:r>
          </w:p>
        </w:tc>
        <w:tc>
          <w:tcPr>
            <w:tcW w:w="1276" w:type="dxa"/>
            <w:vAlign w:val="bottom"/>
          </w:tcPr>
          <w:p w14:paraId="184A1E20"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0.1</w:t>
            </w:r>
          </w:p>
        </w:tc>
      </w:tr>
      <w:tr w:rsidR="00DE3F5B" w14:paraId="732F67E2" w14:textId="77777777" w:rsidTr="00DE3F5B">
        <w:tc>
          <w:tcPr>
            <w:cnfStyle w:val="001000000000" w:firstRow="0" w:lastRow="0" w:firstColumn="1" w:lastColumn="0" w:oddVBand="0" w:evenVBand="0" w:oddHBand="0" w:evenHBand="0" w:firstRowFirstColumn="0" w:firstRowLastColumn="0" w:lastRowFirstColumn="0" w:lastRowLastColumn="0"/>
            <w:tcW w:w="1988" w:type="dxa"/>
          </w:tcPr>
          <w:p w14:paraId="350DAE96" w14:textId="77777777" w:rsidR="00DE3F5B" w:rsidRDefault="00DE3F5B" w:rsidP="00C71C32">
            <w:pPr>
              <w:pStyle w:val="BodyText"/>
            </w:pPr>
            <w:r>
              <w:t>Not stated</w:t>
            </w:r>
          </w:p>
        </w:tc>
        <w:tc>
          <w:tcPr>
            <w:tcW w:w="1275" w:type="dxa"/>
            <w:vAlign w:val="bottom"/>
          </w:tcPr>
          <w:p w14:paraId="68EF71C1"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11.3</w:t>
            </w:r>
          </w:p>
        </w:tc>
        <w:tc>
          <w:tcPr>
            <w:tcW w:w="1275" w:type="dxa"/>
            <w:vAlign w:val="bottom"/>
          </w:tcPr>
          <w:p w14:paraId="44EBDAF8"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5.0</w:t>
            </w:r>
          </w:p>
        </w:tc>
        <w:tc>
          <w:tcPr>
            <w:tcW w:w="1275" w:type="dxa"/>
            <w:vAlign w:val="bottom"/>
          </w:tcPr>
          <w:p w14:paraId="273C3E7A"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9.4</w:t>
            </w:r>
          </w:p>
        </w:tc>
        <w:tc>
          <w:tcPr>
            <w:tcW w:w="1275" w:type="dxa"/>
            <w:vAlign w:val="bottom"/>
          </w:tcPr>
          <w:p w14:paraId="4D3594C1"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4.3</w:t>
            </w:r>
          </w:p>
        </w:tc>
        <w:tc>
          <w:tcPr>
            <w:tcW w:w="1275" w:type="dxa"/>
            <w:vAlign w:val="bottom"/>
          </w:tcPr>
          <w:p w14:paraId="1B988010"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-1.9</w:t>
            </w:r>
          </w:p>
        </w:tc>
        <w:tc>
          <w:tcPr>
            <w:tcW w:w="1276" w:type="dxa"/>
            <w:vAlign w:val="bottom"/>
          </w:tcPr>
          <w:p w14:paraId="4475B862"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t>-0.7</w:t>
            </w:r>
          </w:p>
        </w:tc>
      </w:tr>
      <w:tr w:rsidR="00DE3F5B" w14:paraId="4E3C23D9" w14:textId="77777777" w:rsidTr="00DE3F5B">
        <w:tc>
          <w:tcPr>
            <w:cnfStyle w:val="001000000000" w:firstRow="0" w:lastRow="0" w:firstColumn="1" w:lastColumn="0" w:oddVBand="0" w:evenVBand="0" w:oddHBand="0" w:evenHBand="0" w:firstRowFirstColumn="0" w:firstRowLastColumn="0" w:lastRowFirstColumn="0" w:lastRowLastColumn="0"/>
            <w:tcW w:w="1988" w:type="dxa"/>
          </w:tcPr>
          <w:p w14:paraId="7CB13299" w14:textId="77777777" w:rsidR="00DE3F5B" w:rsidRDefault="00DE3F5B" w:rsidP="00C71C32">
            <w:pPr>
              <w:pStyle w:val="BodyText"/>
            </w:pPr>
            <w:r>
              <w:t>TOTAL PARTICIPATION</w:t>
            </w:r>
          </w:p>
        </w:tc>
        <w:tc>
          <w:tcPr>
            <w:tcW w:w="1275" w:type="dxa"/>
            <w:vAlign w:val="bottom"/>
          </w:tcPr>
          <w:p w14:paraId="34EF0E32"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rPr>
                <w:b/>
                <w:bCs/>
              </w:rPr>
              <w:t>56.8</w:t>
            </w:r>
          </w:p>
        </w:tc>
        <w:tc>
          <w:tcPr>
            <w:tcW w:w="1275" w:type="dxa"/>
            <w:vAlign w:val="bottom"/>
          </w:tcPr>
          <w:p w14:paraId="52005C52"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rPr>
                <w:b/>
                <w:bCs/>
              </w:rPr>
              <w:t>76.9</w:t>
            </w:r>
          </w:p>
        </w:tc>
        <w:tc>
          <w:tcPr>
            <w:tcW w:w="1275" w:type="dxa"/>
            <w:vAlign w:val="bottom"/>
          </w:tcPr>
          <w:p w14:paraId="72E28C8E"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rPr>
                <w:b/>
                <w:bCs/>
              </w:rPr>
              <w:t>61.6</w:t>
            </w:r>
          </w:p>
        </w:tc>
        <w:tc>
          <w:tcPr>
            <w:tcW w:w="1275" w:type="dxa"/>
            <w:vAlign w:val="bottom"/>
          </w:tcPr>
          <w:p w14:paraId="78370A76"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rPr>
                <w:b/>
                <w:bCs/>
              </w:rPr>
              <w:t>79.4</w:t>
            </w:r>
          </w:p>
        </w:tc>
        <w:tc>
          <w:tcPr>
            <w:tcW w:w="1275" w:type="dxa"/>
            <w:vAlign w:val="bottom"/>
          </w:tcPr>
          <w:p w14:paraId="729939D7"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rPr>
                <w:b/>
                <w:bCs/>
              </w:rPr>
              <w:t>4.8</w:t>
            </w:r>
          </w:p>
        </w:tc>
        <w:tc>
          <w:tcPr>
            <w:tcW w:w="1276" w:type="dxa"/>
            <w:vAlign w:val="bottom"/>
          </w:tcPr>
          <w:p w14:paraId="7B4CD960" w14:textId="77777777" w:rsidR="00DE3F5B" w:rsidRDefault="00DE3F5B" w:rsidP="00DE3F5B">
            <w:pPr>
              <w:pStyle w:val="TableCellText"/>
              <w:jc w:val="right"/>
              <w:cnfStyle w:val="000000000000" w:firstRow="0" w:lastRow="0" w:firstColumn="0" w:lastColumn="0" w:oddVBand="0" w:evenVBand="0" w:oddHBand="0" w:evenHBand="0" w:firstRowFirstColumn="0" w:firstRowLastColumn="0" w:lastRowFirstColumn="0" w:lastRowLastColumn="0"/>
            </w:pPr>
            <w:r>
              <w:rPr>
                <w:b/>
                <w:bCs/>
              </w:rPr>
              <w:t>2.5</w:t>
            </w:r>
          </w:p>
        </w:tc>
      </w:tr>
    </w:tbl>
    <w:p w14:paraId="74380BED" w14:textId="52D9DECA" w:rsidR="00C71C32" w:rsidRPr="001B09E6" w:rsidRDefault="00C71C32" w:rsidP="00DE3F5B">
      <w:pPr>
        <w:pStyle w:val="Tablenote"/>
        <w:spacing w:before="120" w:after="120"/>
        <w:jc w:val="both"/>
        <w:rPr>
          <w:lang w:eastAsia="en-AU"/>
        </w:rPr>
      </w:pPr>
      <w:r w:rsidRPr="00DE3F5B">
        <w:rPr>
          <w:lang w:eastAsia="en-AU"/>
        </w:rPr>
        <w:t xml:space="preserve">Source: </w:t>
      </w:r>
      <w:r w:rsidR="00CB35C8">
        <w:rPr>
          <w:lang w:eastAsia="en-AU"/>
        </w:rPr>
        <w:t>ABS Census data, 2006 and 2011 (table-builder basic)</w:t>
      </w:r>
      <w:r w:rsidR="00BC25E1">
        <w:rPr>
          <w:lang w:eastAsia="en-AU"/>
        </w:rPr>
        <w:t>.</w:t>
      </w:r>
    </w:p>
    <w:p w14:paraId="252E89F8" w14:textId="38B39ADB" w:rsidR="006A65D5" w:rsidRPr="00525C08" w:rsidRDefault="006A65D5" w:rsidP="00525C08">
      <w:pPr>
        <w:pStyle w:val="BodyText"/>
      </w:pPr>
      <w:r w:rsidRPr="00525C08">
        <w:lastRenderedPageBreak/>
        <w:t>In ad</w:t>
      </w:r>
      <w:r>
        <w:t>d</w:t>
      </w:r>
      <w:r w:rsidRPr="00525C08">
        <w:t>ition</w:t>
      </w:r>
      <w:r>
        <w:t xml:space="preserve"> to</w:t>
      </w:r>
      <w:r w:rsidRPr="00525C08">
        <w:t xml:space="preserve"> the</w:t>
      </w:r>
      <w:r>
        <w:t xml:space="preserve"> increased participation in secondary schools</w:t>
      </w:r>
      <w:r w:rsidR="00F06CAD">
        <w:t>, F</w:t>
      </w:r>
      <w:r>
        <w:t xml:space="preserve">igure 2.7 indicates that there has also been an increased rate of participation in VET in Schools (to 2010) by Indigenous youth. Indeed the rate of increase has been higher for Indigenous youth than non-Indigenous youth. </w:t>
      </w:r>
      <w:r w:rsidRPr="00525C08">
        <w:t xml:space="preserve"> </w:t>
      </w:r>
    </w:p>
    <w:p w14:paraId="056FC723" w14:textId="77777777" w:rsidR="00C71C32" w:rsidRPr="0032077A" w:rsidRDefault="0080560A" w:rsidP="00C71C32">
      <w:pPr>
        <w:pStyle w:val="TableHeading"/>
        <w:keepNext/>
        <w:jc w:val="both"/>
      </w:pPr>
      <w:r w:rsidRPr="00525C08">
        <w:t>Figure 2.7</w:t>
      </w:r>
      <w:r w:rsidR="00C71C32" w:rsidRPr="00525C08">
        <w:t>:</w:t>
      </w:r>
      <w:r w:rsidR="00C71C32" w:rsidRPr="00525C08">
        <w:tab/>
        <w:t>VET in Schools participation rates by Indigenous 15–19-year-olds, 2005–10</w:t>
      </w:r>
    </w:p>
    <w:p w14:paraId="2C374D9A" w14:textId="77777777" w:rsidR="00C71C32" w:rsidRPr="0032077A" w:rsidRDefault="00C71C32" w:rsidP="00C71C32">
      <w:pPr>
        <w:pStyle w:val="BodyText"/>
      </w:pPr>
      <w:r w:rsidRPr="0032077A">
        <w:rPr>
          <w:noProof/>
          <w:lang w:eastAsia="en-AU"/>
        </w:rPr>
        <w:drawing>
          <wp:inline distT="0" distB="0" distL="0" distR="0" wp14:anchorId="0CA65308" wp14:editId="1CE84076">
            <wp:extent cx="5940000" cy="2700000"/>
            <wp:effectExtent l="0" t="0" r="3810" b="0"/>
            <wp:docPr id="29" name="Chart 6" descr="Figure 2.7: VET in Schools participation rates by Indigenous 15–19-year-olds, 2005–10&#10;" title="Figure 2.7: VET in Schools participation rates by Indigenous 15–19-year-olds, 2005–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A8D626" w14:textId="77777777" w:rsidR="00C71C32" w:rsidRPr="0032077A" w:rsidRDefault="00C71C32" w:rsidP="00C71C32">
      <w:pPr>
        <w:pStyle w:val="Tablenote"/>
        <w:jc w:val="both"/>
        <w:rPr>
          <w:lang w:eastAsia="en-AU"/>
        </w:rPr>
      </w:pPr>
      <w:r w:rsidRPr="0032077A">
        <w:rPr>
          <w:lang w:eastAsia="en-AU"/>
        </w:rPr>
        <w:t xml:space="preserve">Source: </w:t>
      </w:r>
      <w:r w:rsidR="0032077A">
        <w:rPr>
          <w:lang w:eastAsia="en-AU"/>
        </w:rPr>
        <w:t xml:space="preserve">ABS, </w:t>
      </w:r>
      <w:r w:rsidR="0032077A">
        <w:rPr>
          <w:i/>
          <w:lang w:eastAsia="en-AU"/>
        </w:rPr>
        <w:t xml:space="preserve">ABS Experimental Estimates and Projections of Aboriginal and Torres Strait </w:t>
      </w:r>
      <w:r w:rsidR="0032077A" w:rsidRPr="0032077A">
        <w:rPr>
          <w:lang w:eastAsia="en-AU"/>
        </w:rPr>
        <w:t>Islanders</w:t>
      </w:r>
      <w:r w:rsidR="0032077A">
        <w:rPr>
          <w:lang w:eastAsia="en-AU"/>
        </w:rPr>
        <w:t xml:space="preserve">, cat. no. 3238.0 (Series B Projections); </w:t>
      </w:r>
      <w:r w:rsidR="0032077A" w:rsidRPr="0032077A">
        <w:rPr>
          <w:lang w:eastAsia="en-AU"/>
        </w:rPr>
        <w:t>ABS</w:t>
      </w:r>
      <w:r w:rsidR="0032077A">
        <w:rPr>
          <w:lang w:eastAsia="en-AU"/>
        </w:rPr>
        <w:t xml:space="preserve">, </w:t>
      </w:r>
      <w:r w:rsidR="0032077A">
        <w:rPr>
          <w:i/>
          <w:lang w:eastAsia="en-AU"/>
        </w:rPr>
        <w:t>Population by Age and Sex</w:t>
      </w:r>
      <w:r w:rsidR="0032077A">
        <w:rPr>
          <w:lang w:eastAsia="en-AU"/>
        </w:rPr>
        <w:t xml:space="preserve">, cat. no. 3201.0; </w:t>
      </w:r>
      <w:r w:rsidRPr="0032077A">
        <w:rPr>
          <w:lang w:eastAsia="en-AU"/>
        </w:rPr>
        <w:t>N</w:t>
      </w:r>
      <w:r w:rsidR="0032077A">
        <w:rPr>
          <w:lang w:eastAsia="en-AU"/>
        </w:rPr>
        <w:t>CVER (excludes Queensland data).</w:t>
      </w:r>
    </w:p>
    <w:p w14:paraId="482C5B67" w14:textId="77777777" w:rsidR="00C71C32" w:rsidRPr="0032077A" w:rsidRDefault="00C71C32" w:rsidP="00C71C32">
      <w:pPr>
        <w:pStyle w:val="BodyText"/>
      </w:pPr>
      <w:r w:rsidRPr="0032077A">
        <w:t>While participation in VET by non-school Indigenous 15–19-year-olds and 20–24-year-olds without Year 12 has been variable</w:t>
      </w:r>
      <w:r w:rsidR="0080560A">
        <w:t xml:space="preserve"> since 2000 (refer to Figure 2.8</w:t>
      </w:r>
      <w:r w:rsidRPr="0032077A">
        <w:t>), it has been on the increase for both groups since 2009 (there was an increase of 2.4 percentage points for 15–19-year-olds and 2.2 percentage points for 20–24-year-olds between 2009 and 2011, with participation returning to just below 2002 levels).</w:t>
      </w:r>
    </w:p>
    <w:p w14:paraId="68BB51F6" w14:textId="77777777" w:rsidR="00C71C32" w:rsidRPr="0032077A" w:rsidRDefault="00C71C32" w:rsidP="00C71C32">
      <w:pPr>
        <w:pStyle w:val="BodyText"/>
      </w:pPr>
      <w:r w:rsidRPr="0032077A">
        <w:t>Although Indigenous participation in VET has increased since 2009, there has been little change in VET participation by SES disadvantage and remoteness. There seems to have been some increase by disability status. In regard to 15–19-year-olds, 8 per cent of enrolments in 2011 were by students reporting a disability status as compared with 5.9 per cent in 2002, while for 20–24-year-olds, 7.7 per cent of enrolments in 2011 were by students reporting a disability as compared with 6 per cent in 2002. One needs to keep in mind, though, that the reporting of disability status is not entirely robust.</w:t>
      </w:r>
    </w:p>
    <w:p w14:paraId="75443882" w14:textId="77777777" w:rsidR="00C71C32" w:rsidRPr="00392395" w:rsidRDefault="0080560A" w:rsidP="0009289B">
      <w:pPr>
        <w:pStyle w:val="TableHeading"/>
        <w:keepNext/>
        <w:keepLines/>
        <w:jc w:val="both"/>
      </w:pPr>
      <w:r>
        <w:lastRenderedPageBreak/>
        <w:t>Figure 2.8</w:t>
      </w:r>
      <w:r w:rsidR="00C71C32" w:rsidRPr="00392395">
        <w:t>:</w:t>
      </w:r>
      <w:r w:rsidR="00C71C32" w:rsidRPr="00392395">
        <w:tab/>
        <w:t>VET participation by Indigenous youth who have left school without completing year 12, as a percentage of indigenous youth at that age group, 2002–11</w:t>
      </w:r>
    </w:p>
    <w:p w14:paraId="5538D3E1" w14:textId="77777777" w:rsidR="00C71C32" w:rsidRPr="00392395" w:rsidRDefault="00C71C32" w:rsidP="0009289B">
      <w:pPr>
        <w:pStyle w:val="BodyText"/>
        <w:keepNext/>
        <w:keepLines/>
      </w:pPr>
      <w:r w:rsidRPr="00392395">
        <w:rPr>
          <w:noProof/>
          <w:lang w:eastAsia="en-AU"/>
        </w:rPr>
        <w:drawing>
          <wp:inline distT="0" distB="0" distL="0" distR="0" wp14:anchorId="25C87EAC" wp14:editId="2B1F8EB5">
            <wp:extent cx="5940000" cy="2700000"/>
            <wp:effectExtent l="0" t="0" r="3810" b="0"/>
            <wp:docPr id="11" name="Chart 8" descr="Figure 2.8: VET participation by Indigenous youth who have left school without completing year 12, as a percentage of indigenous youth at that age group, 2002–11&#10;" title="Figure 2.8: VET participation by Indigenous youth who have left school without completing year 12, as a percentage of indigenous youth at that age group, 2002–11 Figure 2.8: VET participation by Indigenous youth who have left school without completing year 12, as a percentage of indigenous youth at that age group, 2002–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2533F0" w14:textId="77777777" w:rsidR="00C71C32" w:rsidRPr="001B09E6" w:rsidRDefault="00C71C32" w:rsidP="002E635C">
      <w:pPr>
        <w:keepLines/>
        <w:jc w:val="both"/>
        <w:rPr>
          <w:rFonts w:eastAsia="Times New Roman"/>
          <w:color w:val="808080"/>
          <w:sz w:val="16"/>
          <w:szCs w:val="16"/>
          <w:lang w:eastAsia="en-AU"/>
        </w:rPr>
      </w:pPr>
      <w:r w:rsidRPr="00392395">
        <w:rPr>
          <w:rFonts w:eastAsia="Times New Roman"/>
          <w:color w:val="808080"/>
          <w:sz w:val="16"/>
          <w:szCs w:val="16"/>
          <w:lang w:eastAsia="en-AU"/>
        </w:rPr>
        <w:t xml:space="preserve">Sources: National VET Provider Collection; ABS, </w:t>
      </w:r>
      <w:r w:rsidRPr="00392395">
        <w:rPr>
          <w:rFonts w:eastAsia="Times New Roman"/>
          <w:i/>
          <w:color w:val="808080"/>
          <w:sz w:val="16"/>
          <w:szCs w:val="16"/>
          <w:lang w:eastAsia="en-AU"/>
        </w:rPr>
        <w:t>Population by Age and Sex</w:t>
      </w:r>
      <w:r w:rsidRPr="00392395">
        <w:rPr>
          <w:rFonts w:eastAsia="Times New Roman"/>
          <w:color w:val="808080"/>
          <w:sz w:val="16"/>
          <w:szCs w:val="16"/>
          <w:lang w:eastAsia="en-AU"/>
        </w:rPr>
        <w:t xml:space="preserve">, 3201.0; ABS, </w:t>
      </w:r>
      <w:r w:rsidRPr="00392395">
        <w:rPr>
          <w:rFonts w:eastAsia="Times New Roman"/>
          <w:i/>
          <w:color w:val="808080"/>
          <w:sz w:val="16"/>
          <w:szCs w:val="16"/>
          <w:lang w:eastAsia="en-AU"/>
        </w:rPr>
        <w:t>Experimental Estimates and Projections, Aboriginal and Torres Strait Islander Australians</w:t>
      </w:r>
      <w:r w:rsidRPr="00392395">
        <w:rPr>
          <w:rFonts w:eastAsia="Times New Roman"/>
          <w:color w:val="808080"/>
          <w:sz w:val="16"/>
          <w:szCs w:val="16"/>
          <w:lang w:eastAsia="en-AU"/>
        </w:rPr>
        <w:t>, 3238.0 (Series B projections).</w:t>
      </w:r>
    </w:p>
    <w:p w14:paraId="2E461F75" w14:textId="77777777" w:rsidR="00C71C32" w:rsidRPr="00E115DB" w:rsidRDefault="00C71C32" w:rsidP="00CB48A2">
      <w:pPr>
        <w:pStyle w:val="Heading2"/>
      </w:pPr>
      <w:bookmarkStart w:id="35" w:name="_Toc205266095"/>
      <w:bookmarkStart w:id="36" w:name="_Toc333918966"/>
      <w:bookmarkStart w:id="37" w:name="_Toc210890368"/>
      <w:bookmarkStart w:id="38" w:name="_Toc219347238"/>
      <w:r w:rsidRPr="00CB48A2">
        <w:t>Attainment by young people aged 15–24 years</w:t>
      </w:r>
      <w:bookmarkEnd w:id="35"/>
      <w:bookmarkEnd w:id="36"/>
      <w:bookmarkEnd w:id="37"/>
      <w:bookmarkEnd w:id="38"/>
    </w:p>
    <w:p w14:paraId="533197DB" w14:textId="77777777" w:rsidR="00C71C32" w:rsidRPr="001B09E6" w:rsidRDefault="00C71C32" w:rsidP="00CB48A2">
      <w:pPr>
        <w:pStyle w:val="Heading3NoNumbering"/>
      </w:pPr>
      <w:bookmarkStart w:id="39" w:name="_Toc333918967"/>
      <w:r w:rsidRPr="001B09E6">
        <w:t>Changes in attainment</w:t>
      </w:r>
      <w:bookmarkEnd w:id="39"/>
    </w:p>
    <w:p w14:paraId="309B984F" w14:textId="2656CC83" w:rsidR="00C71C32" w:rsidRDefault="00C71C32" w:rsidP="00C71C32">
      <w:pPr>
        <w:pStyle w:val="BodyText"/>
      </w:pPr>
      <w:r w:rsidRPr="001B09E6">
        <w:t>The proportion of 15–19-year-olds who have completed Year 12 or a Certificate II qualification rose and fell over the period 2001–11, peaking at 35.3 per cent in 2010 before dropping back to 34.4 per cent in 2011. The proportion of 20–24-year-olds who have completed Year 12 or a Certificate II qualification increased steadily between 2001 and 2010, when it reached a peak of 85.6 per cent, before declining to 84.1 per cent in 2011.</w:t>
      </w:r>
    </w:p>
    <w:p w14:paraId="5C2EC9D1" w14:textId="77777777" w:rsidR="0009289B" w:rsidRPr="001B09E6" w:rsidRDefault="0009289B" w:rsidP="0009289B">
      <w:pPr>
        <w:pStyle w:val="BodyText"/>
      </w:pPr>
      <w:r>
        <w:t xml:space="preserve">It is not clear why the slight decline in attainment occurred. </w:t>
      </w:r>
      <w:r w:rsidRPr="00BC1E71">
        <w:t xml:space="preserve">One possibility is that it may be due to sampling or measurement factors. There was a small (around one per cent) decline in the apparent Year 12 retention rate between 2005 and 2008, but this would not be sufficient to account for all of the decline. </w:t>
      </w:r>
      <w:r>
        <w:t>Longitudinal Study of Australian Youth (LSAY)</w:t>
      </w:r>
      <w:r w:rsidRPr="00BC1E71">
        <w:t xml:space="preserve"> data </w:t>
      </w:r>
      <w:r>
        <w:t>indicates</w:t>
      </w:r>
      <w:r w:rsidRPr="00BC1E71">
        <w:t xml:space="preserve"> that very few young people complete a Year 12 school qualification after reaching the age of 18, and so any explanation for the decline is most likely to be found in trends in the attainment of vocational qualifications.</w:t>
      </w:r>
      <w:r>
        <w:t xml:space="preserve"> I</w:t>
      </w:r>
      <w:r w:rsidRPr="00BC1E71">
        <w:t xml:space="preserve">nformation on trends in the attainment of publicly funded vocational qualifications over the period is limited, and information on the attainment of privately funded vocational qualifications is </w:t>
      </w:r>
      <w:r>
        <w:t>not systematically collected</w:t>
      </w:r>
      <w:r w:rsidRPr="00BC1E71">
        <w:t xml:space="preserve">. It can be speculated that, given the large role that private vocational colleges have played in providing qualifications to visa seekers, tighter monitoring of these colleges and changes to visa requirements under the </w:t>
      </w:r>
      <w:r>
        <w:t>Skilled Migration Program</w:t>
      </w:r>
      <w:r w:rsidRPr="00BC1E71">
        <w:t xml:space="preserve"> may offer a partial or substantial explanation for the decline.</w:t>
      </w:r>
    </w:p>
    <w:p w14:paraId="0A013CD5" w14:textId="77777777" w:rsidR="00C71C32" w:rsidRPr="001B09E6" w:rsidRDefault="00C71C32" w:rsidP="00C71C32">
      <w:pPr>
        <w:pStyle w:val="BodyText"/>
      </w:pPr>
      <w:r w:rsidRPr="001B09E6">
        <w:t>Regarding the issue of whether Certificate II qualifications are a reasonable equivalent to Year 12 attainment, this evaluation sought to understand whether a significantly different picture emerged for attainment levels of Year 12 or Certificate III qualific</w:t>
      </w:r>
      <w:r w:rsidR="0080560A">
        <w:t>ations (presented in Figure 2.9</w:t>
      </w:r>
      <w:r w:rsidRPr="001B09E6">
        <w:t>). In summary, there would appear to be only marginal differences (around 1.5 percentage points for 15–19-year-olds and 1</w:t>
      </w:r>
      <w:r>
        <w:t>.4</w:t>
      </w:r>
      <w:r w:rsidRPr="001B09E6">
        <w:t xml:space="preserve"> percentage point</w:t>
      </w:r>
      <w:r>
        <w:t>s</w:t>
      </w:r>
      <w:r w:rsidRPr="001B09E6">
        <w:t xml:space="preserve"> for 20–24-year-olds) between using Certificate II or III to measure Year 12 or equivalent attainment.</w:t>
      </w:r>
    </w:p>
    <w:p w14:paraId="6C876C0D" w14:textId="77777777" w:rsidR="00C71C32" w:rsidRPr="001B09E6" w:rsidRDefault="0080560A" w:rsidP="00C71C32">
      <w:pPr>
        <w:pStyle w:val="TableHeading"/>
        <w:keepNext/>
        <w:jc w:val="both"/>
        <w:rPr>
          <w:lang w:eastAsia="en-AU"/>
        </w:rPr>
      </w:pPr>
      <w:r>
        <w:rPr>
          <w:lang w:eastAsia="en-AU"/>
        </w:rPr>
        <w:lastRenderedPageBreak/>
        <w:t>Figure 2.9</w:t>
      </w:r>
      <w:r w:rsidR="00C71C32" w:rsidRPr="001B09E6">
        <w:rPr>
          <w:lang w:eastAsia="en-AU"/>
        </w:rPr>
        <w:t>:</w:t>
      </w:r>
      <w:r w:rsidR="00C71C32" w:rsidRPr="001B09E6">
        <w:rPr>
          <w:lang w:eastAsia="en-AU"/>
        </w:rPr>
        <w:tab/>
        <w:t>percentage of 15–24-year-olds who have completed year 12 or achieved a certificate II or III qualification, 2001–11</w:t>
      </w:r>
    </w:p>
    <w:p w14:paraId="2249232A" w14:textId="77777777" w:rsidR="00C71C32" w:rsidRDefault="00C71C32" w:rsidP="00FC7F6A">
      <w:pPr>
        <w:pStyle w:val="BodyText"/>
        <w:keepNext/>
        <w:numPr>
          <w:ilvl w:val="0"/>
          <w:numId w:val="20"/>
        </w:numPr>
        <w:rPr>
          <w:b/>
        </w:rPr>
      </w:pPr>
      <w:r w:rsidRPr="001B09E6">
        <w:rPr>
          <w:b/>
        </w:rPr>
        <w:t>15–19-year-olds</w:t>
      </w:r>
    </w:p>
    <w:p w14:paraId="6AD6C039" w14:textId="77777777" w:rsidR="00C71C32" w:rsidRPr="00140EDE" w:rsidRDefault="00C71C32" w:rsidP="00C71C32">
      <w:pPr>
        <w:pStyle w:val="BodyText"/>
        <w:keepNext/>
      </w:pPr>
      <w:r w:rsidRPr="00140EDE">
        <w:rPr>
          <w:noProof/>
          <w:lang w:eastAsia="en-AU"/>
        </w:rPr>
        <w:drawing>
          <wp:inline distT="0" distB="0" distL="0" distR="0" wp14:anchorId="6341679E" wp14:editId="2C607F7A">
            <wp:extent cx="5940000" cy="2700000"/>
            <wp:effectExtent l="0" t="0" r="3810" b="0"/>
            <wp:docPr id="36" name="Chart 5" descr="Percentage of 15-24 year olds who have completed Year 12 or achieved a Certificate II or III Qualification, 2001-11" title="Figure 2.9: percentage of 15–24-year-olds who have completed year 12 or achieved a certificate II or III qualification, 2001–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992CDD" w14:textId="77777777" w:rsidR="00C71C32" w:rsidRDefault="00C71C32" w:rsidP="00FC7F6A">
      <w:pPr>
        <w:pStyle w:val="BodyText"/>
        <w:keepNext/>
        <w:numPr>
          <w:ilvl w:val="0"/>
          <w:numId w:val="20"/>
        </w:numPr>
        <w:rPr>
          <w:b/>
        </w:rPr>
      </w:pPr>
      <w:r w:rsidRPr="001B09E6">
        <w:rPr>
          <w:b/>
        </w:rPr>
        <w:t>20–24-year-olds</w:t>
      </w:r>
    </w:p>
    <w:p w14:paraId="4E5AF253" w14:textId="77777777" w:rsidR="00C71C32" w:rsidRPr="00140EDE" w:rsidRDefault="00C71C32" w:rsidP="00C71C32">
      <w:pPr>
        <w:pStyle w:val="BodyText"/>
        <w:keepNext/>
      </w:pPr>
      <w:r w:rsidRPr="00140EDE">
        <w:rPr>
          <w:noProof/>
          <w:lang w:eastAsia="en-AU"/>
        </w:rPr>
        <w:drawing>
          <wp:inline distT="0" distB="0" distL="0" distR="0" wp14:anchorId="781F6DE9" wp14:editId="6809A930">
            <wp:extent cx="5940000" cy="2700000"/>
            <wp:effectExtent l="0" t="0" r="3810" b="0"/>
            <wp:docPr id="37" name="Chart 6" descr="Figure 2.9: percentage of 15–24-year-olds who have completed year 12 or achieved a certificate II or III qualification, 2001–11&#10;" title="Figure 2.9: percentage of 15–24-year-olds who have completed year 12 or achieved a certificate II or III qualification, 2001–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0F4467" w14:textId="77777777" w:rsidR="00C71C32" w:rsidRPr="001B09E6" w:rsidRDefault="00C71C32" w:rsidP="00C71C32">
      <w:pPr>
        <w:pStyle w:val="Tablenote"/>
        <w:keepNext/>
        <w:jc w:val="both"/>
      </w:pPr>
      <w:r w:rsidRPr="001B09E6">
        <w:t xml:space="preserve">Source: ABS, </w:t>
      </w:r>
      <w:r w:rsidRPr="000E428A">
        <w:rPr>
          <w:i/>
        </w:rPr>
        <w:t>Survey of Education and Work</w:t>
      </w:r>
      <w:r w:rsidRPr="001B09E6">
        <w:t>.</w:t>
      </w:r>
    </w:p>
    <w:p w14:paraId="6EBFEC9F" w14:textId="77777777" w:rsidR="00C71C32" w:rsidRDefault="00C71C32" w:rsidP="00C71C32">
      <w:pPr>
        <w:pStyle w:val="Heading3NoNumbering"/>
      </w:pPr>
      <w:r w:rsidRPr="001B09E6">
        <w:t xml:space="preserve">School </w:t>
      </w:r>
      <w:r w:rsidR="00666C65">
        <w:t>retention</w:t>
      </w:r>
    </w:p>
    <w:p w14:paraId="53E57B5C" w14:textId="77777777" w:rsidR="00C71C32" w:rsidRPr="001B09E6" w:rsidRDefault="00C71C32" w:rsidP="00C71C32">
      <w:pPr>
        <w:pStyle w:val="BodyText"/>
      </w:pPr>
      <w:r w:rsidRPr="001B09E6">
        <w:t>Apparent Year 12 retention rates increased from 72</w:t>
      </w:r>
      <w:r>
        <w:t>.3</w:t>
      </w:r>
      <w:r w:rsidRPr="001B09E6">
        <w:t xml:space="preserve"> per cent in 2000 to 75</w:t>
      </w:r>
      <w:r>
        <w:t>.1</w:t>
      </w:r>
      <w:r w:rsidRPr="001B09E6">
        <w:t xml:space="preserve"> per cent in 2002, remained fairly steady until 2008, and then increased to 79</w:t>
      </w:r>
      <w:r>
        <w:t>.3</w:t>
      </w:r>
      <w:r w:rsidRPr="001B09E6">
        <w:t xml:space="preserve"> p</w:t>
      </w:r>
      <w:r w:rsidR="0080560A">
        <w:t>er cent in 2011 (see Figure 2.10</w:t>
      </w:r>
      <w:r w:rsidRPr="001B09E6">
        <w:t>).</w:t>
      </w:r>
      <w:r w:rsidR="000B37B8">
        <w:t xml:space="preserve"> This increase indicates that there is likely to have been an improvement in the NP target of improving Year 12 or equivalent attainment.</w:t>
      </w:r>
    </w:p>
    <w:p w14:paraId="25BA4BF8" w14:textId="77777777" w:rsidR="00C71C32" w:rsidRPr="001B09E6" w:rsidRDefault="0080560A" w:rsidP="00C71C32">
      <w:pPr>
        <w:pStyle w:val="TableHeading"/>
        <w:keepNext/>
        <w:jc w:val="both"/>
      </w:pPr>
      <w:r>
        <w:lastRenderedPageBreak/>
        <w:t>Figure: 2.10</w:t>
      </w:r>
      <w:r w:rsidR="00C71C32" w:rsidRPr="001B09E6">
        <w:t>:</w:t>
      </w:r>
      <w:r w:rsidR="00C71C32" w:rsidRPr="001B09E6">
        <w:tab/>
        <w:t>APPARENT YEAR 12 RETENTION rate</w:t>
      </w:r>
      <w:r w:rsidR="00C71C32">
        <w:t>s</w:t>
      </w:r>
      <w:r w:rsidR="00C71C32" w:rsidRPr="001B09E6">
        <w:t>, 2000–11</w:t>
      </w:r>
    </w:p>
    <w:p w14:paraId="770130DF" w14:textId="77777777" w:rsidR="00C71C32" w:rsidRPr="001B09E6" w:rsidRDefault="00C71C32" w:rsidP="00C71C32">
      <w:pPr>
        <w:pStyle w:val="BodyText"/>
      </w:pPr>
      <w:r w:rsidRPr="001B09E6">
        <w:rPr>
          <w:noProof/>
          <w:lang w:eastAsia="en-AU"/>
        </w:rPr>
        <w:drawing>
          <wp:inline distT="0" distB="0" distL="0" distR="0" wp14:anchorId="6CB98D22" wp14:editId="213B741E">
            <wp:extent cx="5940000" cy="2700000"/>
            <wp:effectExtent l="0" t="0" r="3810" b="0"/>
            <wp:docPr id="31" name="Chart 4" descr="Figure: 2.10: APPARENT YEAR 12 RETENTION rates, 2000–11&#10;" title="Figure: 2.10: APPARENT YEAR 12 RETENTION rates, 200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BCDBAB" w14:textId="77777777" w:rsidR="00C71C32" w:rsidRPr="001B09E6" w:rsidRDefault="00C71C32" w:rsidP="00C71C32">
      <w:pPr>
        <w:pStyle w:val="Tablenote"/>
        <w:jc w:val="both"/>
      </w:pPr>
      <w:r w:rsidRPr="001B09E6">
        <w:t xml:space="preserve">Source: ABS, </w:t>
      </w:r>
      <w:r w:rsidRPr="000E428A">
        <w:rPr>
          <w:i/>
        </w:rPr>
        <w:t>National schools Statistics Collection</w:t>
      </w:r>
      <w:r w:rsidRPr="001B09E6">
        <w:t>.</w:t>
      </w:r>
    </w:p>
    <w:p w14:paraId="7F43DDF3" w14:textId="77777777" w:rsidR="00C71C32" w:rsidRDefault="00C71C32" w:rsidP="00C71C32">
      <w:pPr>
        <w:pStyle w:val="Heading3NoNumbering"/>
      </w:pPr>
      <w:r w:rsidRPr="001B09E6">
        <w:t>VET attainment</w:t>
      </w:r>
    </w:p>
    <w:p w14:paraId="69A6A145" w14:textId="77777777" w:rsidR="00C71C32" w:rsidRPr="001B09E6" w:rsidRDefault="00C71C32" w:rsidP="00C71C32">
      <w:pPr>
        <w:pStyle w:val="BodyText"/>
      </w:pPr>
      <w:r w:rsidRPr="001B09E6">
        <w:t>The proportion of 15–24-year-olds completing a publicly funded VET qualification at Certificate II level or higher each year is relatively small but showed a noticeable increase between 2008 and 2010</w:t>
      </w:r>
      <w:r w:rsidRPr="001B09E6">
        <w:rPr>
          <w:vertAlign w:val="superscript"/>
        </w:rPr>
        <w:footnoteReference w:id="9"/>
      </w:r>
      <w:r w:rsidRPr="001B09E6">
        <w:t xml:space="preserve"> (an increase of 0.9 percentage points for 15–19-year-olds and 0.8 percentage points for </w:t>
      </w:r>
      <w:r w:rsidR="0080560A">
        <w:t>20–24-year-olds; see Figure 2.11</w:t>
      </w:r>
      <w:r w:rsidRPr="001B09E6">
        <w:t>).</w:t>
      </w:r>
    </w:p>
    <w:p w14:paraId="3885C6C8" w14:textId="77777777" w:rsidR="00C71C32" w:rsidRPr="001B09E6" w:rsidRDefault="00C71C32" w:rsidP="00C71C32">
      <w:pPr>
        <w:pStyle w:val="BodyText"/>
        <w:rPr>
          <w:rFonts w:cs="ArialNarrow-Bold"/>
          <w:bCs/>
          <w:caps/>
          <w:color w:val="000000"/>
          <w:sz w:val="16"/>
          <w:szCs w:val="16"/>
        </w:rPr>
      </w:pPr>
      <w:r w:rsidRPr="001B09E6">
        <w:t>VET in Schools attainment increased substantially for the period 2005–09. This was particularly so for 15-year-olds (0.8 per cent in 2005 to 4.5 per cent in 2009) and 16-year-olds (6.5 per cent in 2005 to 10.9 per cent in 2009; see Table A2.18 in A</w:t>
      </w:r>
      <w:r>
        <w:t>ttachment</w:t>
      </w:r>
      <w:r w:rsidRPr="001B09E6">
        <w:t xml:space="preserve"> 2).</w:t>
      </w:r>
      <w:r w:rsidR="00B84C92">
        <w:rPr>
          <w:rStyle w:val="FootnoteReference"/>
        </w:rPr>
        <w:footnoteReference w:id="10"/>
      </w:r>
    </w:p>
    <w:p w14:paraId="7F27C403" w14:textId="77777777" w:rsidR="00C71C32" w:rsidRDefault="0080560A" w:rsidP="00C71C32">
      <w:pPr>
        <w:pStyle w:val="TableHeading"/>
        <w:keepNext/>
        <w:jc w:val="both"/>
      </w:pPr>
      <w:r>
        <w:t>figure 2.11</w:t>
      </w:r>
      <w:r w:rsidR="00C71C32" w:rsidRPr="001B09E6">
        <w:t>:</w:t>
      </w:r>
      <w:r w:rsidR="00C71C32" w:rsidRPr="001B09E6">
        <w:tab/>
        <w:t xml:space="preserve">VET certificate II and above attainment for 15–24-year-olds, </w:t>
      </w:r>
      <w:r w:rsidR="00C71C32">
        <w:t xml:space="preserve">as a percentage of the population at that age group, </w:t>
      </w:r>
      <w:r w:rsidR="00C71C32" w:rsidRPr="001B09E6">
        <w:t>2002–10</w:t>
      </w:r>
    </w:p>
    <w:p w14:paraId="3397B3BB" w14:textId="77777777" w:rsidR="00C71C32" w:rsidRDefault="00C71C32" w:rsidP="00C71C32">
      <w:pPr>
        <w:pStyle w:val="BodyText"/>
      </w:pPr>
      <w:r w:rsidRPr="0064073B">
        <w:rPr>
          <w:noProof/>
          <w:lang w:eastAsia="en-AU"/>
        </w:rPr>
        <w:drawing>
          <wp:inline distT="0" distB="0" distL="0" distR="0" wp14:anchorId="2A7E4F68" wp14:editId="630E79EE">
            <wp:extent cx="5940000" cy="2700000"/>
            <wp:effectExtent l="0" t="0" r="3810" b="0"/>
            <wp:docPr id="38" name="Chart 7" descr="figure 2.11: VET certificate II and above attainment for 15–24-year-olds, as a percentage of the population at that age group, 2002–10&#10;" title="figure 2.11: VET certificate II and above attainment for 15–24-year-olds, as a percentage of the population at that age group, 2002–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D6E486" w14:textId="77777777" w:rsidR="00C71C32" w:rsidRPr="001B09E6" w:rsidRDefault="00C71C32" w:rsidP="00C71C32">
      <w:pPr>
        <w:jc w:val="both"/>
        <w:rPr>
          <w:rFonts w:eastAsia="Times New Roman"/>
          <w:color w:val="808080"/>
          <w:sz w:val="16"/>
          <w:szCs w:val="16"/>
          <w:lang w:eastAsia="en-AU"/>
        </w:rPr>
      </w:pPr>
      <w:r w:rsidRPr="001B09E6">
        <w:rPr>
          <w:rFonts w:eastAsia="Times New Roman"/>
          <w:color w:val="808080"/>
          <w:sz w:val="16"/>
          <w:szCs w:val="16"/>
          <w:lang w:eastAsia="en-AU"/>
        </w:rPr>
        <w:t xml:space="preserve">Sources: National VET Provider Collection; ABS, </w:t>
      </w:r>
      <w:r w:rsidRPr="000E428A">
        <w:rPr>
          <w:rFonts w:eastAsia="Times New Roman"/>
          <w:i/>
          <w:color w:val="808080"/>
          <w:sz w:val="16"/>
          <w:szCs w:val="16"/>
          <w:lang w:eastAsia="en-AU"/>
        </w:rPr>
        <w:t>Population by Age and Sex</w:t>
      </w:r>
      <w:r w:rsidRPr="001B09E6">
        <w:rPr>
          <w:rFonts w:eastAsia="Times New Roman"/>
          <w:color w:val="808080"/>
          <w:sz w:val="16"/>
          <w:szCs w:val="16"/>
          <w:lang w:eastAsia="en-AU"/>
        </w:rPr>
        <w:t>, 3201.0.</w:t>
      </w:r>
    </w:p>
    <w:p w14:paraId="1809CF7C" w14:textId="77777777" w:rsidR="00C71C32" w:rsidRPr="001B09E6" w:rsidRDefault="00C71C32" w:rsidP="00C71C32">
      <w:pPr>
        <w:jc w:val="both"/>
      </w:pPr>
      <w:bookmarkStart w:id="40" w:name="_Toc333918968"/>
    </w:p>
    <w:p w14:paraId="4B69839D" w14:textId="77777777" w:rsidR="00C71C32" w:rsidRPr="001B09E6" w:rsidRDefault="00666C65" w:rsidP="00C71C32">
      <w:pPr>
        <w:pStyle w:val="Heading3NoNumbering"/>
      </w:pPr>
      <w:r>
        <w:t xml:space="preserve">Retention and </w:t>
      </w:r>
      <w:r w:rsidR="00C71C32">
        <w:t>a</w:t>
      </w:r>
      <w:r w:rsidR="00C71C32" w:rsidRPr="001B09E6">
        <w:t>ttainment of disadvantaged cohorts</w:t>
      </w:r>
      <w:bookmarkEnd w:id="40"/>
    </w:p>
    <w:p w14:paraId="29EB0763" w14:textId="77777777" w:rsidR="00C71C32" w:rsidRDefault="0080560A" w:rsidP="00C71C32">
      <w:pPr>
        <w:pStyle w:val="BodyText"/>
      </w:pPr>
      <w:r>
        <w:t>Figure 2.12</w:t>
      </w:r>
      <w:r w:rsidR="00C71C32" w:rsidRPr="001B09E6">
        <w:t xml:space="preserve"> shows that Year 12 apparent retention rates for Indigenous students rose </w:t>
      </w:r>
      <w:r w:rsidR="008B11F2">
        <w:t>substantially</w:t>
      </w:r>
      <w:r w:rsidR="008B11F2" w:rsidRPr="001B09E6">
        <w:t xml:space="preserve"> </w:t>
      </w:r>
      <w:r w:rsidR="00C71C32" w:rsidRPr="001B09E6">
        <w:t>from 2000 to 2008</w:t>
      </w:r>
      <w:r w:rsidR="00C71C32" w:rsidRPr="001B09E6">
        <w:rPr>
          <w:vertAlign w:val="superscript"/>
        </w:rPr>
        <w:footnoteReference w:id="11"/>
      </w:r>
      <w:r w:rsidR="00C71C32" w:rsidRPr="001B09E6">
        <w:t xml:space="preserve"> (36.4 per cent to 47.2 per cent)</w:t>
      </w:r>
      <w:r w:rsidR="000B37B8">
        <w:t>. T</w:t>
      </w:r>
      <w:r w:rsidR="00C71C32" w:rsidRPr="001B09E6">
        <w:t xml:space="preserve">hey have levelled out since then – although there was an increase in retention of 1.5 percentage points between 2010 and 2011. Year 10 retention rates </w:t>
      </w:r>
      <w:r w:rsidR="000B37B8">
        <w:t xml:space="preserve">for Indigenous young people </w:t>
      </w:r>
      <w:r w:rsidR="00C71C32" w:rsidRPr="001B09E6">
        <w:t>also increased between 2009 and 2011 (7.8 percentage points). In comparison, non-Indigenous attainment has remained relatively stable, although it is much higher in absolute terms (see Tables A2.20 and A2.21 in Appendix 2).</w:t>
      </w:r>
    </w:p>
    <w:p w14:paraId="38872347" w14:textId="77777777" w:rsidR="00C71C32" w:rsidRPr="001B09E6" w:rsidRDefault="0080560A" w:rsidP="00C71C32">
      <w:pPr>
        <w:pStyle w:val="TableHeading"/>
        <w:spacing w:before="400"/>
        <w:jc w:val="both"/>
        <w:rPr>
          <w:lang w:eastAsia="en-AU"/>
        </w:rPr>
      </w:pPr>
      <w:r>
        <w:rPr>
          <w:lang w:eastAsia="en-AU"/>
        </w:rPr>
        <w:t>figure 2.12</w:t>
      </w:r>
      <w:r w:rsidR="00C71C32" w:rsidRPr="001B09E6">
        <w:rPr>
          <w:lang w:eastAsia="en-AU"/>
        </w:rPr>
        <w:t>:</w:t>
      </w:r>
      <w:r w:rsidR="00C71C32" w:rsidRPr="001B09E6">
        <w:t xml:space="preserve"> </w:t>
      </w:r>
      <w:r w:rsidR="00C71C32" w:rsidRPr="001B09E6">
        <w:rPr>
          <w:lang w:eastAsia="en-AU"/>
        </w:rPr>
        <w:tab/>
        <w:t>Indigenous year 10 and year 12 retention rates, 2000–11</w:t>
      </w:r>
    </w:p>
    <w:p w14:paraId="33612B1E" w14:textId="77777777" w:rsidR="00C71C32" w:rsidRPr="001B09E6" w:rsidRDefault="00C71C32" w:rsidP="00C71C32">
      <w:pPr>
        <w:pStyle w:val="BodyText"/>
      </w:pPr>
      <w:r w:rsidRPr="001B09E6">
        <w:rPr>
          <w:noProof/>
          <w:lang w:eastAsia="en-AU"/>
        </w:rPr>
        <w:drawing>
          <wp:inline distT="0" distB="0" distL="0" distR="0" wp14:anchorId="380546E1" wp14:editId="2ED90767">
            <wp:extent cx="5940000" cy="2700000"/>
            <wp:effectExtent l="0" t="0" r="3810" b="0"/>
            <wp:docPr id="20" name="Chart 4" descr="figure 2.12:  Indigenous year 10 and year 12 retention rates, 2000–11&#10;" title="figure 2.12:  Indigenous year 10 and year 12 retention rates, 200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BFECF3" w14:textId="77777777" w:rsidR="00C71C32" w:rsidRPr="001B09E6" w:rsidRDefault="00C71C32" w:rsidP="00C71C32">
      <w:pPr>
        <w:pStyle w:val="Tablenote"/>
        <w:jc w:val="both"/>
      </w:pPr>
      <w:r w:rsidRPr="001B09E6">
        <w:t xml:space="preserve">Source: ABS, </w:t>
      </w:r>
      <w:r w:rsidRPr="001B09E6">
        <w:rPr>
          <w:i/>
        </w:rPr>
        <w:t>National Schools Statistics Collection</w:t>
      </w:r>
      <w:r w:rsidRPr="001B09E6">
        <w:t>.</w:t>
      </w:r>
    </w:p>
    <w:p w14:paraId="2AF1F1F5" w14:textId="77777777" w:rsidR="00C71C32" w:rsidRPr="001B09E6" w:rsidRDefault="00C71C32" w:rsidP="00C71C32">
      <w:pPr>
        <w:pStyle w:val="BodyText"/>
      </w:pPr>
      <w:r w:rsidRPr="001B09E6">
        <w:t>There was little change in the proportion of 15–1</w:t>
      </w:r>
      <w:r>
        <w:t>9</w:t>
      </w:r>
      <w:r w:rsidRPr="001B09E6">
        <w:t xml:space="preserve">-year-old Indigenous youth completing VET in Schools qualifications between 2005 and 2008, but this was followed by an increase of 3 percentage points in 2009. There was also a rise of 1.3 percentage points for non-school VET completions at Certificate II level and above by Indigenous youth aged 15–19-years-old and 20–24-years-old </w:t>
      </w:r>
      <w:r>
        <w:t>between 20</w:t>
      </w:r>
      <w:r w:rsidR="000B37B8">
        <w:t>0</w:t>
      </w:r>
      <w:r>
        <w:t xml:space="preserve">8 and 2010 </w:t>
      </w:r>
      <w:r w:rsidRPr="001B09E6">
        <w:t>(see Table A2.23).</w:t>
      </w:r>
    </w:p>
    <w:p w14:paraId="1EDC0904" w14:textId="77777777" w:rsidR="00C71C32" w:rsidRDefault="00C71C32" w:rsidP="00C71C32">
      <w:pPr>
        <w:pStyle w:val="BodyText"/>
      </w:pPr>
      <w:r w:rsidRPr="001B09E6">
        <w:t xml:space="preserve">Between 2006 and 2009/10, there were no appreciable changes in VET in Schools and VET completions by youth from low SES backgrounds or youth from remote regions. On the other </w:t>
      </w:r>
      <w:r w:rsidR="0080560A">
        <w:t>hand, Figure 2.13</w:t>
      </w:r>
      <w:r w:rsidRPr="001B09E6">
        <w:t xml:space="preserve"> would seem to indicate that attainment of vocational education and training qualifications increased for those reporting a disability for the period 2002–</w:t>
      </w:r>
      <w:r>
        <w:t>10.</w:t>
      </w:r>
    </w:p>
    <w:p w14:paraId="7A529D17" w14:textId="77777777" w:rsidR="00C71C32" w:rsidRDefault="00C71C32" w:rsidP="00C71C32">
      <w:pPr>
        <w:spacing w:line="380" w:lineRule="atLeast"/>
        <w:jc w:val="both"/>
        <w:rPr>
          <w:sz w:val="24"/>
        </w:rPr>
      </w:pPr>
      <w:r>
        <w:br w:type="page"/>
      </w:r>
    </w:p>
    <w:p w14:paraId="4E6175DD" w14:textId="77777777" w:rsidR="00C71C32" w:rsidRPr="001B09E6" w:rsidRDefault="0080560A" w:rsidP="00C71C32">
      <w:pPr>
        <w:pStyle w:val="TableHeading"/>
        <w:jc w:val="both"/>
      </w:pPr>
      <w:r>
        <w:rPr>
          <w:lang w:eastAsia="en-AU"/>
        </w:rPr>
        <w:lastRenderedPageBreak/>
        <w:t>figure 2.13</w:t>
      </w:r>
      <w:r w:rsidR="00C71C32" w:rsidRPr="001B09E6">
        <w:rPr>
          <w:lang w:eastAsia="en-AU"/>
        </w:rPr>
        <w:t>:</w:t>
      </w:r>
      <w:r w:rsidR="00C71C32" w:rsidRPr="001B09E6">
        <w:rPr>
          <w:lang w:eastAsia="en-AU"/>
        </w:rPr>
        <w:tab/>
      </w:r>
      <w:r w:rsidR="00C71C32" w:rsidRPr="001B09E6">
        <w:t>Course completions at Certificate II level or above for 15–24-year-olds reporting a disability as a percentage of total</w:t>
      </w:r>
      <w:r w:rsidR="000B37B8">
        <w:t xml:space="preserve"> </w:t>
      </w:r>
      <w:r w:rsidR="00C71C32">
        <w:t>completions</w:t>
      </w:r>
      <w:r w:rsidR="00C71C32" w:rsidRPr="001B09E6">
        <w:t xml:space="preserve">, 2002–10 </w:t>
      </w:r>
    </w:p>
    <w:p w14:paraId="0BF37887" w14:textId="77777777" w:rsidR="00C71C32" w:rsidRPr="001B09E6" w:rsidRDefault="00C71C32" w:rsidP="00C71C32">
      <w:pPr>
        <w:jc w:val="both"/>
      </w:pPr>
      <w:r w:rsidRPr="001B09E6">
        <w:rPr>
          <w:noProof/>
          <w:lang w:eastAsia="en-AU"/>
        </w:rPr>
        <w:drawing>
          <wp:inline distT="0" distB="0" distL="0" distR="0" wp14:anchorId="7DF892DC" wp14:editId="7579B8FC">
            <wp:extent cx="5940000" cy="2700000"/>
            <wp:effectExtent l="0" t="0" r="3810" b="0"/>
            <wp:docPr id="9" name="Chart 14" descr="figure 2.13: Course completions at Certificate II level or above for 15–24-year-olds reporting a disability as a percentage of total completions, 2002–10 &#10;" title="figure 2.13: Course completions at Certificate II level or above for 15–24-year-olds reporting a disability as a percentage of total completions, 2002–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639356" w14:textId="77777777" w:rsidR="00C71C32" w:rsidRPr="001B09E6" w:rsidRDefault="00C71C32" w:rsidP="00C71C32">
      <w:pPr>
        <w:pStyle w:val="Tablenote"/>
        <w:jc w:val="both"/>
        <w:rPr>
          <w:rFonts w:eastAsia="Times New Roman"/>
          <w:lang w:eastAsia="en-AU"/>
        </w:rPr>
      </w:pPr>
      <w:r w:rsidRPr="000E428A">
        <w:rPr>
          <w:lang w:eastAsia="en-AU"/>
        </w:rPr>
        <w:t xml:space="preserve">Source: </w:t>
      </w:r>
      <w:r w:rsidRPr="000E428A">
        <w:rPr>
          <w:rFonts w:eastAsia="Times New Roman"/>
          <w:lang w:eastAsia="en-AU"/>
        </w:rPr>
        <w:t>National VET Provider Collection</w:t>
      </w:r>
      <w:r w:rsidRPr="001B09E6">
        <w:rPr>
          <w:rFonts w:eastAsia="Times New Roman"/>
          <w:lang w:eastAsia="en-AU"/>
        </w:rPr>
        <w:t>.</w:t>
      </w:r>
      <w:r w:rsidR="000B37B8">
        <w:rPr>
          <w:rFonts w:eastAsia="Times New Roman"/>
          <w:lang w:eastAsia="en-AU"/>
        </w:rPr>
        <w:t xml:space="preserve"> This excludes </w:t>
      </w:r>
      <w:r w:rsidR="000B37B8" w:rsidRPr="000B37B8">
        <w:rPr>
          <w:rFonts w:eastAsia="Times New Roman"/>
          <w:lang w:eastAsia="en-AU"/>
        </w:rPr>
        <w:t>those attending school and those whose disability status is not known</w:t>
      </w:r>
      <w:r w:rsidR="000B37B8">
        <w:rPr>
          <w:rFonts w:eastAsia="Times New Roman"/>
          <w:lang w:eastAsia="en-AU"/>
        </w:rPr>
        <w:t>.</w:t>
      </w:r>
    </w:p>
    <w:p w14:paraId="0517F7E1" w14:textId="77777777" w:rsidR="00C71C32" w:rsidRPr="001B09E6" w:rsidRDefault="00C71C32" w:rsidP="00C71C32">
      <w:pPr>
        <w:pStyle w:val="Heading2"/>
      </w:pPr>
      <w:bookmarkStart w:id="41" w:name="_Toc205266096"/>
      <w:bookmarkStart w:id="42" w:name="_Toc333918969"/>
      <w:bookmarkStart w:id="43" w:name="_Toc210890369"/>
      <w:bookmarkStart w:id="44" w:name="_Toc219347239"/>
      <w:r w:rsidRPr="001B09E6">
        <w:t>Transitions to further education</w:t>
      </w:r>
      <w:r w:rsidR="00721886">
        <w:t xml:space="preserve">, </w:t>
      </w:r>
      <w:r w:rsidRPr="001B09E6">
        <w:t>training and employment</w:t>
      </w:r>
      <w:bookmarkEnd w:id="41"/>
      <w:bookmarkEnd w:id="42"/>
      <w:bookmarkEnd w:id="43"/>
      <w:bookmarkEnd w:id="44"/>
    </w:p>
    <w:p w14:paraId="038D179B" w14:textId="77777777" w:rsidR="00C71C32" w:rsidRPr="001B09E6" w:rsidRDefault="00C71C32" w:rsidP="00C71C32">
      <w:pPr>
        <w:pStyle w:val="Heading3NoNumbering"/>
      </w:pPr>
      <w:bookmarkStart w:id="45" w:name="_Toc333918970"/>
      <w:r w:rsidRPr="001B09E6">
        <w:t>The high number of disengaged young people</w:t>
      </w:r>
      <w:bookmarkEnd w:id="45"/>
      <w:r w:rsidR="008B11F2">
        <w:rPr>
          <w:rStyle w:val="FootnoteReference"/>
          <w:sz w:val="20"/>
        </w:rPr>
        <w:footnoteReference w:id="12"/>
      </w:r>
    </w:p>
    <w:p w14:paraId="56CF56DF" w14:textId="77777777" w:rsidR="00C71C32" w:rsidRPr="001B09E6" w:rsidRDefault="00C71C32" w:rsidP="00C71C32">
      <w:pPr>
        <w:pStyle w:val="BodyText"/>
      </w:pPr>
      <w:r w:rsidRPr="001B09E6">
        <w:t xml:space="preserve">Between 2008 and 2009, the proportion of 15–24-year-olds not fully engaged in employment, education or training (NEET) rose by around 3 percentage points following the GFC and has still not returned to pre-GFC levels, even though for 15–19-year-olds, the size of the group has </w:t>
      </w:r>
      <w:r w:rsidR="0080560A">
        <w:t>been decreasing (see Figure 2.14</w:t>
      </w:r>
      <w:r w:rsidRPr="001B09E6">
        <w:t>).</w:t>
      </w:r>
      <w:r>
        <w:t xml:space="preserve"> </w:t>
      </w:r>
    </w:p>
    <w:p w14:paraId="6B448060" w14:textId="77777777" w:rsidR="00C71C32" w:rsidRPr="001B09E6" w:rsidRDefault="0080560A" w:rsidP="00C71C32">
      <w:pPr>
        <w:pStyle w:val="TableHeading"/>
        <w:jc w:val="both"/>
        <w:rPr>
          <w:lang w:eastAsia="en-AU"/>
        </w:rPr>
      </w:pPr>
      <w:r>
        <w:rPr>
          <w:lang w:eastAsia="en-AU"/>
        </w:rPr>
        <w:t>Figure 2.14</w:t>
      </w:r>
      <w:r w:rsidR="00C71C32" w:rsidRPr="001B09E6">
        <w:rPr>
          <w:lang w:eastAsia="en-AU"/>
        </w:rPr>
        <w:t>:</w:t>
      </w:r>
      <w:r w:rsidR="00C71C32" w:rsidRPr="001B09E6">
        <w:rPr>
          <w:lang w:eastAsia="en-AU"/>
        </w:rPr>
        <w:tab/>
      </w:r>
      <w:r w:rsidR="00C71C32" w:rsidRPr="001B09E6">
        <w:t xml:space="preserve">PERCENTAGE OF </w:t>
      </w:r>
      <w:r w:rsidR="00C71C32" w:rsidRPr="001B09E6">
        <w:rPr>
          <w:lang w:eastAsia="en-AU"/>
        </w:rPr>
        <w:t>15–24-year-olds not fully engaged in education, training or employment, 2000–11</w:t>
      </w:r>
    </w:p>
    <w:p w14:paraId="3DFDDB23" w14:textId="77777777" w:rsidR="00C71C32" w:rsidRPr="001B09E6" w:rsidRDefault="00C71C32" w:rsidP="00C71C32">
      <w:pPr>
        <w:jc w:val="both"/>
        <w:rPr>
          <w:lang w:eastAsia="en-AU"/>
        </w:rPr>
      </w:pPr>
      <w:r w:rsidRPr="001B09E6">
        <w:rPr>
          <w:noProof/>
          <w:lang w:eastAsia="en-AU"/>
        </w:rPr>
        <w:drawing>
          <wp:inline distT="0" distB="0" distL="0" distR="0" wp14:anchorId="256A0FE4" wp14:editId="4243DA1D">
            <wp:extent cx="5940000" cy="2700000"/>
            <wp:effectExtent l="0" t="0" r="3810" b="0"/>
            <wp:docPr id="15" name="Chart 10" descr="Figure 2.14: PERCENTAGE OF 15–24-year-olds not fully engaged in education, training or employment, 2000–11&#10;" title="Figure 2.14: PERCENTAGE OF 15–24-year-olds not fully engaged in education, training or employment, 200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CC95B8" w14:textId="77777777" w:rsidR="00C71C32" w:rsidRPr="001B09E6" w:rsidRDefault="00C71C32" w:rsidP="00C71C32">
      <w:pPr>
        <w:pStyle w:val="Tablenote"/>
        <w:jc w:val="both"/>
        <w:rPr>
          <w:lang w:eastAsia="en-AU"/>
        </w:rPr>
      </w:pPr>
      <w:r w:rsidRPr="001B09E6">
        <w:rPr>
          <w:lang w:eastAsia="en-AU"/>
        </w:rPr>
        <w:t xml:space="preserve">Source: ABS, </w:t>
      </w:r>
      <w:r w:rsidRPr="000E428A">
        <w:rPr>
          <w:i/>
          <w:lang w:eastAsia="en-AU"/>
        </w:rPr>
        <w:t>Survey of Education and Work</w:t>
      </w:r>
      <w:r w:rsidRPr="001B09E6">
        <w:rPr>
          <w:lang w:eastAsia="en-AU"/>
        </w:rPr>
        <w:t xml:space="preserve"> (refer to Table A2.29 in Attachment 2).</w:t>
      </w:r>
    </w:p>
    <w:p w14:paraId="1998A30A" w14:textId="77777777" w:rsidR="00C71C32" w:rsidRPr="001B09E6" w:rsidRDefault="0080560A" w:rsidP="00C71C32">
      <w:pPr>
        <w:pStyle w:val="BodyText"/>
      </w:pPr>
      <w:r>
        <w:lastRenderedPageBreak/>
        <w:t>Figure 2.15</w:t>
      </w:r>
      <w:r w:rsidR="00C71C32" w:rsidRPr="001B09E6">
        <w:t xml:space="preserve"> further compares school leavers not fully engaged who have and have not completed Year 12. The figure shows that for those without Year 12, the level of disengagement is more than twice that of those who have completed Year 12.</w:t>
      </w:r>
    </w:p>
    <w:p w14:paraId="0FB37F64" w14:textId="77777777" w:rsidR="00C71C32" w:rsidRDefault="0080560A" w:rsidP="00C71C32">
      <w:pPr>
        <w:pStyle w:val="TableHeading"/>
        <w:jc w:val="both"/>
        <w:rPr>
          <w:lang w:eastAsia="en-AU"/>
        </w:rPr>
      </w:pPr>
      <w:r>
        <w:rPr>
          <w:lang w:eastAsia="en-AU"/>
        </w:rPr>
        <w:t>Figure 2.15</w:t>
      </w:r>
      <w:r w:rsidR="00C71C32" w:rsidRPr="001B09E6">
        <w:rPr>
          <w:lang w:eastAsia="en-AU"/>
        </w:rPr>
        <w:t>:</w:t>
      </w:r>
      <w:r w:rsidR="00C71C32" w:rsidRPr="001B09E6">
        <w:rPr>
          <w:lang w:eastAsia="en-AU"/>
        </w:rPr>
        <w:tab/>
      </w:r>
      <w:r w:rsidR="00C71C32" w:rsidRPr="001B09E6">
        <w:t xml:space="preserve">PERCENTAGE OF </w:t>
      </w:r>
      <w:r w:rsidR="00C71C32" w:rsidRPr="001B09E6">
        <w:rPr>
          <w:lang w:eastAsia="en-AU"/>
        </w:rPr>
        <w:t>School leavers not fully engaged – comparing those with and without year 12 attainment, 2001–11</w:t>
      </w:r>
    </w:p>
    <w:p w14:paraId="742AE11D" w14:textId="77777777" w:rsidR="00C71C32" w:rsidRDefault="00C71C32" w:rsidP="00C71C32">
      <w:pPr>
        <w:pStyle w:val="BodyText"/>
        <w:rPr>
          <w:lang w:eastAsia="en-AU"/>
        </w:rPr>
      </w:pPr>
      <w:r w:rsidRPr="00A3658A">
        <w:rPr>
          <w:noProof/>
          <w:lang w:eastAsia="en-AU"/>
        </w:rPr>
        <w:drawing>
          <wp:inline distT="0" distB="0" distL="0" distR="0" wp14:anchorId="522EE3AF" wp14:editId="58FDED4E">
            <wp:extent cx="5940000" cy="2700000"/>
            <wp:effectExtent l="0" t="0" r="3810" b="0"/>
            <wp:docPr id="39" name="Chart 8" descr="Figure 2.15: PERCENTAGE OF School leavers not fully engaged – comparing those with and without year 12 attainment, 2001–11&#10;" title="Figure 2.15: PERCENTAGE OF School leavers not fully engaged – comparing those with and without year 12 attainment, 2001–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0B01CF" w14:textId="77777777" w:rsidR="00C71C32" w:rsidRPr="001B09E6" w:rsidRDefault="00C71C32" w:rsidP="00C71C32">
      <w:pPr>
        <w:pStyle w:val="Tablenote"/>
        <w:jc w:val="both"/>
        <w:rPr>
          <w:lang w:eastAsia="en-AU"/>
        </w:rPr>
      </w:pPr>
      <w:r w:rsidRPr="001B09E6">
        <w:rPr>
          <w:lang w:eastAsia="en-AU"/>
        </w:rPr>
        <w:t xml:space="preserve">Source: ABS, </w:t>
      </w:r>
      <w:r w:rsidRPr="000E428A">
        <w:rPr>
          <w:i/>
          <w:lang w:eastAsia="en-AU"/>
        </w:rPr>
        <w:t>Survey of Education and Work</w:t>
      </w:r>
      <w:r w:rsidRPr="001B09E6">
        <w:rPr>
          <w:lang w:eastAsia="en-AU"/>
        </w:rPr>
        <w:t>.</w:t>
      </w:r>
    </w:p>
    <w:p w14:paraId="3D5127CF" w14:textId="77777777" w:rsidR="00C71C32" w:rsidRPr="001B09E6" w:rsidRDefault="0080560A" w:rsidP="00C71C32">
      <w:pPr>
        <w:spacing w:line="380" w:lineRule="atLeast"/>
        <w:jc w:val="both"/>
      </w:pPr>
      <w:r>
        <w:rPr>
          <w:rStyle w:val="BodyTextChar"/>
        </w:rPr>
        <w:t>For 17–19-year-olds, Figure 2.16</w:t>
      </w:r>
      <w:r w:rsidR="00C71C32" w:rsidRPr="001B09E6">
        <w:rPr>
          <w:rStyle w:val="BodyTextChar"/>
        </w:rPr>
        <w:t xml:space="preserve"> disaggregates trends in the group that is disengaged (the NEET group) into those who are unemployed and not in education and those not in the labour force</w:t>
      </w:r>
      <w:r w:rsidR="00C71C32" w:rsidRPr="000E428A">
        <w:rPr>
          <w:vertAlign w:val="superscript"/>
        </w:rPr>
        <w:footnoteReference w:id="13"/>
      </w:r>
      <w:r w:rsidR="00C71C32" w:rsidRPr="001B09E6">
        <w:rPr>
          <w:vertAlign w:val="superscript"/>
        </w:rPr>
        <w:t xml:space="preserve"> </w:t>
      </w:r>
      <w:r w:rsidR="00C71C32" w:rsidRPr="001B09E6">
        <w:rPr>
          <w:rStyle w:val="BodyTextChar"/>
        </w:rPr>
        <w:t>or education. The figure shows that the proportion unemployed and not in education has dropped 1.8 per cent between 2009 and 2012, but is still above the pre-GFC levels. The proportion not in the labour force or in education dropped 1.3 per cent from 2011 to 2012, but is still higher than in 2008, which was just pre-GFC. The decline in the size of the numbers unemployed and not in education is unlikely to be due to improvements in employment levels in the labour market as a whole since the GFC, as levels of full-time employment among 15–19-year-olds have continued to decline since 2008.</w:t>
      </w:r>
      <w:r w:rsidR="00C71C32" w:rsidRPr="001B09E6">
        <w:rPr>
          <w:vertAlign w:val="superscript"/>
        </w:rPr>
        <w:footnoteReference w:id="14"/>
      </w:r>
    </w:p>
    <w:p w14:paraId="6D710038" w14:textId="77777777" w:rsidR="00C71C32" w:rsidRPr="001B09E6" w:rsidRDefault="0080560A" w:rsidP="00C71C32">
      <w:pPr>
        <w:pStyle w:val="TableHeading"/>
        <w:keepNext/>
        <w:keepLines/>
        <w:spacing w:line="240" w:lineRule="atLeast"/>
        <w:jc w:val="both"/>
      </w:pPr>
      <w:r>
        <w:lastRenderedPageBreak/>
        <w:t>Figure 2.16</w:t>
      </w:r>
      <w:r w:rsidR="00C71C32" w:rsidRPr="001B09E6">
        <w:t>:</w:t>
      </w:r>
      <w:r w:rsidR="00C71C32" w:rsidRPr="001B09E6">
        <w:tab/>
      </w:r>
      <w:r w:rsidR="00C71C32">
        <w:t>PERCENTAGE OF</w:t>
      </w:r>
      <w:r w:rsidR="00C71C32" w:rsidRPr="001B09E6">
        <w:t xml:space="preserve"> 17–19-year-olds not employed and not in education, 2000–12</w:t>
      </w:r>
    </w:p>
    <w:p w14:paraId="23226440" w14:textId="77777777" w:rsidR="00C71C32" w:rsidRDefault="00C71C32" w:rsidP="00C71C32">
      <w:pPr>
        <w:keepNext/>
        <w:keepLines/>
        <w:spacing w:line="380" w:lineRule="atLeast"/>
        <w:jc w:val="both"/>
        <w:rPr>
          <w:noProof/>
          <w:lang w:eastAsia="en-AU"/>
        </w:rPr>
      </w:pPr>
      <w:r w:rsidRPr="00226560">
        <w:rPr>
          <w:noProof/>
          <w:lang w:eastAsia="en-AU"/>
        </w:rPr>
        <w:drawing>
          <wp:inline distT="0" distB="0" distL="0" distR="0" wp14:anchorId="468D95EC" wp14:editId="1B11BB8A">
            <wp:extent cx="5695950" cy="2743200"/>
            <wp:effectExtent l="0" t="0" r="0" b="0"/>
            <wp:docPr id="61" name="Chart 7" descr="Figure 2.16: PERCENTAGE OF 17–19-year-olds not employed and not in education, 2000–12&#10;" title="Figure 2.16: PERCENTAGE OF 17–19-year-olds not employed and not in education, 200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6CA11F" w14:textId="77777777" w:rsidR="00C71C32" w:rsidRPr="001B09E6" w:rsidRDefault="00C71C32" w:rsidP="00C71C32">
      <w:pPr>
        <w:pStyle w:val="Tablenote"/>
        <w:keepNext/>
        <w:keepLines/>
        <w:spacing w:line="240" w:lineRule="atLeast"/>
        <w:jc w:val="both"/>
      </w:pPr>
      <w:r w:rsidRPr="001B09E6">
        <w:t xml:space="preserve">Source: ABS, </w:t>
      </w:r>
      <w:r w:rsidRPr="001B09E6">
        <w:rPr>
          <w:i/>
        </w:rPr>
        <w:t>Labour Force, Australia, Detailed –-Electronic Delivery</w:t>
      </w:r>
      <w:r w:rsidRPr="001B09E6">
        <w:t>, Table 03b: Labour force status for 15–19-year-olds by educational attendance, age and sex, 6291.0.55.001.</w:t>
      </w:r>
    </w:p>
    <w:p w14:paraId="576E131A" w14:textId="77777777" w:rsidR="00C71C32" w:rsidRDefault="0080560A" w:rsidP="00C71C32">
      <w:pPr>
        <w:pStyle w:val="BodyText"/>
      </w:pPr>
      <w:r>
        <w:t>Indeed, Figure 2.17</w:t>
      </w:r>
      <w:r w:rsidR="00C71C32" w:rsidRPr="001B09E6">
        <w:t xml:space="preserve"> shows a continuing drop in full-time employment between 2008 and 2012 for 15–19-year-olds (a 4.5 per cent drop) and 20–24-year-olds (a 6.6 per cent drop). While for 15–19-year-olds much of this drop has been supplanted by an increase in full-time education (of 3.4 per cent), for 20–24-year-olds this is not the case (an increase of only 2.9 per cent).</w:t>
      </w:r>
    </w:p>
    <w:p w14:paraId="34DFBB91" w14:textId="77777777" w:rsidR="00C71C32" w:rsidRPr="001B09E6" w:rsidRDefault="00C71C32" w:rsidP="00C71C32">
      <w:pPr>
        <w:pStyle w:val="BodyText"/>
      </w:pPr>
      <w:r>
        <w:t>It is worth mentioning that following the GFC there was a drop in full-time employment across the 15-64 year old civilian population not just 15-24</w:t>
      </w:r>
      <w:r w:rsidR="00DD47E8">
        <w:t>-year-olds</w:t>
      </w:r>
      <w:r>
        <w:t>. Table 2.40 in Attachment 2 shows that from 2008-2009 there was a drop in full-time employment of 1.3 percentage points and by 2012 this has only recovered by 0.2 of a percentage point. This has been accompanied by an increase in unemployment and a slight increase in part-time work. However</w:t>
      </w:r>
      <w:r w:rsidR="00721886">
        <w:t>,</w:t>
      </w:r>
      <w:r>
        <w:t xml:space="preserve"> the drop in full-time employment after the GFC in 2008 seems greater for the 15-24 year age group</w:t>
      </w:r>
      <w:r>
        <w:rPr>
          <w:rStyle w:val="FootnoteReference"/>
        </w:rPr>
        <w:footnoteReference w:id="15"/>
      </w:r>
      <w:r>
        <w:t xml:space="preserve">. </w:t>
      </w:r>
    </w:p>
    <w:p w14:paraId="062B6B77" w14:textId="77777777" w:rsidR="00C71C32" w:rsidRDefault="0080560A" w:rsidP="002E635C">
      <w:pPr>
        <w:pStyle w:val="TableHeading"/>
        <w:keepNext/>
        <w:keepLines/>
        <w:tabs>
          <w:tab w:val="clear" w:pos="1191"/>
          <w:tab w:val="left" w:pos="993"/>
        </w:tabs>
        <w:ind w:left="1134" w:hanging="1134"/>
        <w:jc w:val="both"/>
      </w:pPr>
      <w:r>
        <w:lastRenderedPageBreak/>
        <w:t>Figure 2.17</w:t>
      </w:r>
      <w:r w:rsidR="00C71C32" w:rsidRPr="001B09E6">
        <w:t>: change in THE p</w:t>
      </w:r>
      <w:r w:rsidR="00C71C32">
        <w:t>ercentage</w:t>
      </w:r>
      <w:r w:rsidR="00C71C32" w:rsidRPr="001B09E6">
        <w:t xml:space="preserve"> of 15–24-year-olds employed full-time or attending full-time education, 2008–12 (May)</w:t>
      </w:r>
    </w:p>
    <w:p w14:paraId="4AC67A23" w14:textId="77777777" w:rsidR="00C71C32" w:rsidRDefault="00C71C32" w:rsidP="002E635C">
      <w:pPr>
        <w:pStyle w:val="BodyText"/>
        <w:keepNext/>
        <w:keepLines/>
      </w:pPr>
      <w:r w:rsidRPr="00B51ED2">
        <w:rPr>
          <w:noProof/>
          <w:lang w:eastAsia="en-AU"/>
        </w:rPr>
        <w:drawing>
          <wp:inline distT="0" distB="0" distL="0" distR="0" wp14:anchorId="39AE6014" wp14:editId="51595A73">
            <wp:extent cx="5940000" cy="2700000"/>
            <wp:effectExtent l="0" t="0" r="3810" b="0"/>
            <wp:docPr id="41" name="Chart 10" descr="Figure 2.17: change in THE percentage of 15–24-year-olds employed full-time or attending full-time education, 2008–12 (May)&#10;" title="Figure 2.17: change in THE percentage of 15–24-year-olds employed full-time or attending full-time education, 2008–12 (May) "/>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487C9D" w14:textId="77777777" w:rsidR="00C71C32" w:rsidRPr="001B09E6" w:rsidRDefault="00C71C32" w:rsidP="002E635C">
      <w:pPr>
        <w:pStyle w:val="Tablenote"/>
        <w:keepLines/>
        <w:spacing w:line="240" w:lineRule="atLeast"/>
        <w:jc w:val="both"/>
      </w:pPr>
      <w:r w:rsidRPr="001B09E6">
        <w:t xml:space="preserve">Source: ABS, </w:t>
      </w:r>
      <w:r w:rsidRPr="001B09E6">
        <w:rPr>
          <w:i/>
        </w:rPr>
        <w:t>Labour Force, Australia, Detailed –-Electronic Delivery</w:t>
      </w:r>
      <w:r w:rsidRPr="001B09E6">
        <w:t>, Table 03a, 6291.0.55.001.</w:t>
      </w:r>
    </w:p>
    <w:p w14:paraId="66E15C17" w14:textId="77777777" w:rsidR="00C71C32" w:rsidRPr="001B09E6" w:rsidRDefault="00C71C32" w:rsidP="00C71C32">
      <w:pPr>
        <w:pStyle w:val="BodyText"/>
      </w:pPr>
      <w:r w:rsidRPr="001B09E6">
        <w:t>Following on from this, transitions seem to be getting more difficu</w:t>
      </w:r>
      <w:r w:rsidR="0080560A">
        <w:t>lt for young people. Figure 2.18</w:t>
      </w:r>
      <w:r w:rsidRPr="001B09E6">
        <w:t xml:space="preserve"> shows that the proportion of young people who are unemployed and looking for their first full-time job (as compared with all unemployed young people) has been on the increase in recent years.</w:t>
      </w:r>
    </w:p>
    <w:p w14:paraId="6E96BC03" w14:textId="77777777" w:rsidR="00C71C32" w:rsidRDefault="0080560A" w:rsidP="00C71C32">
      <w:pPr>
        <w:pStyle w:val="TableHeading"/>
        <w:jc w:val="both"/>
        <w:rPr>
          <w:lang w:eastAsia="en-AU"/>
        </w:rPr>
      </w:pPr>
      <w:r>
        <w:rPr>
          <w:lang w:eastAsia="en-AU"/>
        </w:rPr>
        <w:t>Figure 2.18</w:t>
      </w:r>
      <w:r w:rsidR="00C71C32" w:rsidRPr="001B09E6">
        <w:rPr>
          <w:lang w:eastAsia="en-AU"/>
        </w:rPr>
        <w:t>:</w:t>
      </w:r>
      <w:r w:rsidR="00C71C32" w:rsidRPr="001B09E6">
        <w:rPr>
          <w:lang w:eastAsia="en-AU"/>
        </w:rPr>
        <w:tab/>
      </w:r>
      <w:r w:rsidR="00C71C32" w:rsidRPr="001B09E6">
        <w:t>u</w:t>
      </w:r>
      <w:r w:rsidR="00C71C32" w:rsidRPr="001B09E6">
        <w:rPr>
          <w:lang w:eastAsia="en-AU"/>
        </w:rPr>
        <w:t xml:space="preserve">nemployed (not attending full-time education) and looking for first job as a </w:t>
      </w:r>
      <w:r w:rsidR="00C71C32">
        <w:rPr>
          <w:lang w:eastAsia="en-AU"/>
        </w:rPr>
        <w:t xml:space="preserve">percentage </w:t>
      </w:r>
      <w:r w:rsidR="00C71C32" w:rsidRPr="001B09E6">
        <w:rPr>
          <w:lang w:eastAsia="en-AU"/>
        </w:rPr>
        <w:t>of all unemployed (not attending full-time education), 2000–12</w:t>
      </w:r>
    </w:p>
    <w:p w14:paraId="27B7C13E" w14:textId="77777777" w:rsidR="00C71C32" w:rsidRDefault="00C71C32" w:rsidP="00C71C32">
      <w:pPr>
        <w:pStyle w:val="BodyText"/>
        <w:rPr>
          <w:lang w:eastAsia="en-AU"/>
        </w:rPr>
      </w:pPr>
      <w:r w:rsidRPr="00900495">
        <w:rPr>
          <w:noProof/>
          <w:lang w:eastAsia="en-AU"/>
        </w:rPr>
        <w:drawing>
          <wp:inline distT="0" distB="0" distL="0" distR="0" wp14:anchorId="6DA776F3" wp14:editId="4C52D17D">
            <wp:extent cx="5940000" cy="2700000"/>
            <wp:effectExtent l="0" t="0" r="3810" b="0"/>
            <wp:docPr id="42" name="Chart 11" descr="Figure 2.18: unemployed (not attending full-time education) and looking for first job as a percentage of all unemployed (not attending full-time education), 2000–12&#10;" title="Figure 2.18: unemployed (not attending full-time education) and looking for first job as a percentage of all unemployed (not attending full-time education), 200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7D2EA1" w14:textId="77777777" w:rsidR="00C71C32" w:rsidRPr="001B09E6" w:rsidRDefault="00C71C32" w:rsidP="00C71C32">
      <w:pPr>
        <w:pStyle w:val="Tablenote"/>
        <w:spacing w:line="240" w:lineRule="atLeast"/>
        <w:jc w:val="both"/>
      </w:pPr>
      <w:r w:rsidRPr="001B09E6">
        <w:t xml:space="preserve">Source: ABS, </w:t>
      </w:r>
      <w:r w:rsidRPr="001B09E6">
        <w:rPr>
          <w:i/>
        </w:rPr>
        <w:t>Labour Force, Australia, Detailed –-Electronic Delivery</w:t>
      </w:r>
      <w:r w:rsidRPr="001B09E6">
        <w:t>, Tables 03b and 03c, May figures, 6291.0.55.001.</w:t>
      </w:r>
    </w:p>
    <w:p w14:paraId="1072BECB" w14:textId="77777777" w:rsidR="00C71C32" w:rsidRPr="001B09E6" w:rsidRDefault="0080560A" w:rsidP="00C71C32">
      <w:pPr>
        <w:pStyle w:val="BodyText"/>
        <w:rPr>
          <w:rFonts w:cs="ArialNarrow-Bold"/>
          <w:bCs/>
          <w:caps/>
          <w:color w:val="000000"/>
          <w:sz w:val="16"/>
          <w:szCs w:val="16"/>
          <w:lang w:eastAsia="en-AU"/>
        </w:rPr>
      </w:pPr>
      <w:r>
        <w:t>Figure 2.19</w:t>
      </w:r>
      <w:r w:rsidR="00C71C32" w:rsidRPr="001B09E6">
        <w:t xml:space="preserve"> summarises overall trends for 15–24-year-olds in terms of labour force status for those not in full-time education. The figure shows that for 15–19-year-olds and 20–24-year-olds, there has been movement out of full-time employment since 2008. This has been accompanied by increases in the not employed categories and some increase in part-time employment, although this </w:t>
      </w:r>
      <w:r w:rsidR="00C71C32" w:rsidRPr="001B09E6">
        <w:lastRenderedPageBreak/>
        <w:t xml:space="preserve">trend seems to have been arrested for the period 2011–12 for 15–19-year-olds. These patterns have also coincided with increases in full-time education for both age </w:t>
      </w:r>
      <w:r>
        <w:t>groups (see Figures 2.1 and 2.17</w:t>
      </w:r>
      <w:r w:rsidR="00C71C32" w:rsidRPr="001B09E6">
        <w:t>).</w:t>
      </w:r>
    </w:p>
    <w:p w14:paraId="1D0E1F3B" w14:textId="77777777" w:rsidR="00C71C32" w:rsidRPr="001B09E6" w:rsidRDefault="0080560A" w:rsidP="00C71C32">
      <w:pPr>
        <w:pStyle w:val="TableHeading"/>
        <w:rPr>
          <w:lang w:eastAsia="en-AU"/>
        </w:rPr>
      </w:pPr>
      <w:r>
        <w:rPr>
          <w:lang w:eastAsia="en-AU"/>
        </w:rPr>
        <w:t>Figure 2.19</w:t>
      </w:r>
      <w:r w:rsidR="00C71C32" w:rsidRPr="001B09E6">
        <w:rPr>
          <w:lang w:eastAsia="en-AU"/>
        </w:rPr>
        <w:t>:</w:t>
      </w:r>
      <w:r w:rsidR="00C71C32" w:rsidRPr="001B09E6">
        <w:rPr>
          <w:lang w:eastAsia="en-AU"/>
        </w:rPr>
        <w:tab/>
        <w:t xml:space="preserve">labour force status for 15–24-year-olds not in full-time education, </w:t>
      </w:r>
      <w:r w:rsidR="00C71C32">
        <w:rPr>
          <w:lang w:eastAsia="en-AU"/>
        </w:rPr>
        <w:t xml:space="preserve">as a percentage of the population at that age group, </w:t>
      </w:r>
      <w:r w:rsidR="00C71C32" w:rsidRPr="001B09E6">
        <w:rPr>
          <w:lang w:eastAsia="en-AU"/>
        </w:rPr>
        <w:t>2000–12</w:t>
      </w:r>
    </w:p>
    <w:p w14:paraId="41D0D7BA" w14:textId="77777777" w:rsidR="00C71C32" w:rsidRDefault="00C71C32" w:rsidP="00FC7F6A">
      <w:pPr>
        <w:pStyle w:val="Heading4"/>
        <w:numPr>
          <w:ilvl w:val="0"/>
          <w:numId w:val="21"/>
        </w:numPr>
      </w:pPr>
      <w:r w:rsidRPr="001B09E6">
        <w:t>15–19-year-olds</w:t>
      </w:r>
    </w:p>
    <w:p w14:paraId="03F0C461" w14:textId="77777777" w:rsidR="00C71C32" w:rsidRDefault="00C71C32" w:rsidP="00C71C32">
      <w:pPr>
        <w:pStyle w:val="BodyText"/>
      </w:pPr>
      <w:r w:rsidRPr="003E1FDB">
        <w:rPr>
          <w:noProof/>
          <w:lang w:eastAsia="en-AU"/>
        </w:rPr>
        <w:drawing>
          <wp:inline distT="0" distB="0" distL="0" distR="0" wp14:anchorId="12469807" wp14:editId="6F4EFFB9">
            <wp:extent cx="5940000" cy="2700000"/>
            <wp:effectExtent l="0" t="0" r="3810" b="0"/>
            <wp:docPr id="44" name="Chart 13" descr="Figure 2.19: labour force status for 15–24-year-olds not in full-time education, as a percentage of the population at that age group, 2000–12&#10;" title="Figure 2.19: labour force status for 15–24-year-olds not in full-time education, as a percentage of the population at that age group, 200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AA6D7E" w14:textId="77777777" w:rsidR="00C71C32" w:rsidRDefault="00C71C32" w:rsidP="00FC7F6A">
      <w:pPr>
        <w:pStyle w:val="Heading4"/>
        <w:numPr>
          <w:ilvl w:val="0"/>
          <w:numId w:val="21"/>
        </w:numPr>
      </w:pPr>
      <w:r w:rsidRPr="001B09E6">
        <w:t>20–24-year-olds</w:t>
      </w:r>
    </w:p>
    <w:p w14:paraId="133753B7" w14:textId="77777777" w:rsidR="00C71C32" w:rsidRPr="003E1FDB" w:rsidRDefault="00C71C32" w:rsidP="00C71C32">
      <w:pPr>
        <w:pStyle w:val="BodyText"/>
      </w:pPr>
      <w:r w:rsidRPr="003E1FDB">
        <w:rPr>
          <w:noProof/>
          <w:lang w:eastAsia="en-AU"/>
        </w:rPr>
        <w:drawing>
          <wp:inline distT="0" distB="0" distL="0" distR="0" wp14:anchorId="5779DD46" wp14:editId="77CD31C2">
            <wp:extent cx="5940000" cy="2700000"/>
            <wp:effectExtent l="0" t="0" r="3810" b="0"/>
            <wp:docPr id="45" name="Chart 14" descr="Figure 2.19: labour force status for 15–24-year-olds not in full-time education, as a percentage of the population at that age group, 2000–12&#10;" title="Figure 2.19: labour force status for 15–24-year-olds not in full-time education, as a percentage of the population at that age group, 200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935E42" w14:textId="77777777" w:rsidR="00C71C32" w:rsidRPr="001B09E6" w:rsidRDefault="00C71C32" w:rsidP="00C71C32">
      <w:pPr>
        <w:pStyle w:val="Tablenote"/>
        <w:spacing w:line="240" w:lineRule="atLeast"/>
      </w:pPr>
      <w:r w:rsidRPr="001B09E6">
        <w:t xml:space="preserve">Source: ABS, </w:t>
      </w:r>
      <w:r w:rsidRPr="001B09E6">
        <w:rPr>
          <w:i/>
        </w:rPr>
        <w:t>Labour Force, Australia, Detailed –-Electronic Delivery</w:t>
      </w:r>
      <w:r w:rsidRPr="001B09E6">
        <w:t>, Table 03a, 6291.0.55.001.</w:t>
      </w:r>
    </w:p>
    <w:p w14:paraId="4C93EE74" w14:textId="77777777" w:rsidR="00C71C32" w:rsidRPr="001B09E6" w:rsidRDefault="00C71C32" w:rsidP="00C71C32">
      <w:pPr>
        <w:pStyle w:val="Tablenote"/>
        <w:rPr>
          <w:lang w:eastAsia="en-AU"/>
        </w:rPr>
      </w:pPr>
      <w:r w:rsidRPr="001B09E6">
        <w:t xml:space="preserve">Note: </w:t>
      </w:r>
      <w:r w:rsidRPr="001B09E6">
        <w:rPr>
          <w:lang w:eastAsia="en-AU"/>
        </w:rPr>
        <w:t>The baseline number for calculating proportions for labour force status is the civilian population for the relevant age group.</w:t>
      </w:r>
    </w:p>
    <w:p w14:paraId="622FC83B" w14:textId="77777777" w:rsidR="00C71C32" w:rsidRDefault="00C71C32" w:rsidP="00C71C32">
      <w:pPr>
        <w:pStyle w:val="Heading3NoNumbering"/>
      </w:pPr>
      <w:r w:rsidRPr="001B09E6">
        <w:t>Further study for VET graduates</w:t>
      </w:r>
    </w:p>
    <w:p w14:paraId="5E217572" w14:textId="77777777" w:rsidR="00C71C32" w:rsidRPr="001B09E6" w:rsidRDefault="0080560A" w:rsidP="00C71C32">
      <w:pPr>
        <w:pStyle w:val="BodyText"/>
      </w:pPr>
      <w:r>
        <w:t>Figure 2.20</w:t>
      </w:r>
      <w:r w:rsidR="00C71C32" w:rsidRPr="001B09E6">
        <w:t xml:space="preserve"> shows the proportions of VET graduates who go on to further study by type of institution. The figure shows that in addition to employment outcomes, further study is a significant pathway for VET graduates, particularly higher-level VET graduates, and more so for 15–19-year-olds than for 20–24-year-olds overall. University is a significant pathway for diploma graduates for the 15–24-year-old age group (</w:t>
      </w:r>
      <w:r w:rsidR="00C71C32">
        <w:t>about a quarter</w:t>
      </w:r>
      <w:r w:rsidR="00C71C32" w:rsidRPr="001B09E6">
        <w:t xml:space="preserve"> of these graduates enrol in university), and in addition, substantial </w:t>
      </w:r>
      <w:r w:rsidR="00C71C32" w:rsidRPr="001B09E6">
        <w:lastRenderedPageBreak/>
        <w:t>proportions of Certificate IV graduates go on to university (17 per cent of 15–19-year-old graduates and 12 per cent of 20–24-year-old graduates). Furthermore, VET study is a significant pathway for Certificate III and below graduates aged 15–24-years-old. It is important to keep in mind when examining transitions that a lot of VET graduates do embark on further study – either further VET study or university study.</w:t>
      </w:r>
    </w:p>
    <w:p w14:paraId="44A3737A" w14:textId="77777777" w:rsidR="00C71C32" w:rsidRPr="001B09E6" w:rsidRDefault="0080560A" w:rsidP="00C71C32">
      <w:pPr>
        <w:pStyle w:val="TableHeading"/>
        <w:rPr>
          <w:lang w:eastAsia="en-AU"/>
        </w:rPr>
      </w:pPr>
      <w:r>
        <w:t>Figure 2.20</w:t>
      </w:r>
      <w:r w:rsidR="00C71C32" w:rsidRPr="001B09E6">
        <w:rPr>
          <w:lang w:eastAsia="en-AU"/>
        </w:rPr>
        <w:t>:</w:t>
      </w:r>
      <w:r w:rsidR="00C71C32" w:rsidRPr="001B09E6">
        <w:tab/>
        <w:t>PERCENTAGE OF</w:t>
      </w:r>
      <w:r w:rsidR="00C71C32" w:rsidRPr="001B09E6">
        <w:rPr>
          <w:lang w:eastAsia="en-AU"/>
        </w:rPr>
        <w:t xml:space="preserve"> VET graduates </w:t>
      </w:r>
      <w:r w:rsidR="00C71C32">
        <w:rPr>
          <w:lang w:eastAsia="en-AU"/>
        </w:rPr>
        <w:t xml:space="preserve">going on to </w:t>
      </w:r>
      <w:r w:rsidR="00C71C32" w:rsidRPr="001B09E6">
        <w:rPr>
          <w:lang w:eastAsia="en-AU"/>
        </w:rPr>
        <w:t>Further study aged 15–24-years-old by qualification level graduated in, 2011</w:t>
      </w:r>
    </w:p>
    <w:p w14:paraId="4D91D9B9" w14:textId="77777777" w:rsidR="00C71C32" w:rsidRPr="001B09E6" w:rsidRDefault="00C71C32" w:rsidP="00FC7F6A">
      <w:pPr>
        <w:pStyle w:val="Heading4"/>
        <w:numPr>
          <w:ilvl w:val="0"/>
          <w:numId w:val="22"/>
        </w:numPr>
      </w:pPr>
      <w:r w:rsidRPr="001B09E6">
        <w:t>15–19-year-olds</w:t>
      </w:r>
    </w:p>
    <w:p w14:paraId="6F5A7634" w14:textId="77777777" w:rsidR="00C71C32" w:rsidRPr="00047CB1" w:rsidRDefault="00C71C32" w:rsidP="00C71C32">
      <w:pPr>
        <w:spacing w:line="380" w:lineRule="atLeast"/>
      </w:pPr>
    </w:p>
    <w:p w14:paraId="7C75AD96" w14:textId="77777777" w:rsidR="00C71C32" w:rsidRPr="001B09E6" w:rsidRDefault="00C71C32" w:rsidP="00C71C32">
      <w:pPr>
        <w:spacing w:line="380" w:lineRule="atLeast"/>
        <w:rPr>
          <w:highlight w:val="yellow"/>
        </w:rPr>
      </w:pPr>
      <w:r w:rsidRPr="001B09E6">
        <w:rPr>
          <w:noProof/>
          <w:lang w:eastAsia="en-AU"/>
        </w:rPr>
        <w:drawing>
          <wp:inline distT="0" distB="0" distL="0" distR="0" wp14:anchorId="75C30CAC" wp14:editId="40ABE489">
            <wp:extent cx="5940000" cy="2700000"/>
            <wp:effectExtent l="0" t="0" r="3810" b="0"/>
            <wp:docPr id="5" name="Chart 1" descr="Figure 2.20: PERCENTAGE OF VET graduates going on to Further study aged 15–24-years-old by qualification level graduated in, 2011&#10;" title="Figure 2.20: PERCENTAGE OF VET graduates going on to Further study aged 15–24-years-old by qualification level graduated in, 2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9147B5" w14:textId="77777777" w:rsidR="00C71C32" w:rsidRPr="001B09E6" w:rsidRDefault="00C71C32" w:rsidP="00FC7F6A">
      <w:pPr>
        <w:pStyle w:val="Heading4"/>
        <w:numPr>
          <w:ilvl w:val="0"/>
          <w:numId w:val="22"/>
        </w:numPr>
      </w:pPr>
      <w:r w:rsidRPr="001B09E6">
        <w:t>20–24-year-olds</w:t>
      </w:r>
    </w:p>
    <w:p w14:paraId="6578BA1A" w14:textId="77777777" w:rsidR="00C71C32" w:rsidRPr="001B09E6" w:rsidRDefault="00C71C32" w:rsidP="00C71C32">
      <w:pPr>
        <w:spacing w:line="380" w:lineRule="atLeast"/>
        <w:rPr>
          <w:highlight w:val="yellow"/>
        </w:rPr>
      </w:pPr>
    </w:p>
    <w:p w14:paraId="63885EFF" w14:textId="77777777" w:rsidR="00C71C32" w:rsidRPr="001B09E6" w:rsidRDefault="00C71C32" w:rsidP="00C71C32">
      <w:pPr>
        <w:spacing w:line="380" w:lineRule="atLeast"/>
        <w:rPr>
          <w:highlight w:val="yellow"/>
        </w:rPr>
      </w:pPr>
      <w:r w:rsidRPr="001B09E6">
        <w:rPr>
          <w:noProof/>
          <w:lang w:eastAsia="en-AU"/>
        </w:rPr>
        <w:drawing>
          <wp:inline distT="0" distB="0" distL="0" distR="0" wp14:anchorId="21CA20E5" wp14:editId="326AD093">
            <wp:extent cx="5940000" cy="2700000"/>
            <wp:effectExtent l="0" t="0" r="3810" b="0"/>
            <wp:docPr id="13" name="Chart 2" descr="Figure 2.20: PERCENTAGE OF VET graduates going on to Further study aged 15–24-years-old by qualification level graduated in, 2011&#10;" title="Figure 2.20: PERCENTAGE OF VET graduates going on to Further study aged 15–24-years-old by qualification level graduated in, 2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B13787" w14:textId="77777777" w:rsidR="00C71C32" w:rsidRPr="001B09E6" w:rsidRDefault="00C71C32" w:rsidP="00C71C32">
      <w:pPr>
        <w:pStyle w:val="Tablenote"/>
      </w:pPr>
      <w:r w:rsidRPr="001B09E6">
        <w:t xml:space="preserve">Source: NCVER, </w:t>
      </w:r>
      <w:r w:rsidRPr="000E428A">
        <w:rPr>
          <w:i/>
        </w:rPr>
        <w:t>Student Outcomes Survey 2011</w:t>
      </w:r>
      <w:r w:rsidRPr="001B09E6">
        <w:t>.</w:t>
      </w:r>
    </w:p>
    <w:p w14:paraId="06ABF62F" w14:textId="77777777" w:rsidR="00C71C32" w:rsidRPr="001B09E6" w:rsidRDefault="00C71C32" w:rsidP="00C71C32">
      <w:pPr>
        <w:pStyle w:val="Heading3NoNumbering"/>
      </w:pPr>
      <w:bookmarkStart w:id="46" w:name="_Toc333918971"/>
      <w:r w:rsidRPr="001B09E6">
        <w:lastRenderedPageBreak/>
        <w:t>Transitions for disadvantaged cohorts</w:t>
      </w:r>
      <w:bookmarkEnd w:id="46"/>
    </w:p>
    <w:p w14:paraId="0E102F23" w14:textId="77777777" w:rsidR="00C71C32" w:rsidRPr="001B09E6" w:rsidRDefault="00C71C32" w:rsidP="00C71C32">
      <w:pPr>
        <w:pStyle w:val="BodyText"/>
      </w:pPr>
      <w:r w:rsidRPr="001B09E6">
        <w:t xml:space="preserve">Young people from the most disadvantaged </w:t>
      </w:r>
      <w:r w:rsidR="00721886">
        <w:t>socioeconomic status</w:t>
      </w:r>
      <w:r w:rsidRPr="001B09E6">
        <w:t xml:space="preserve"> </w:t>
      </w:r>
      <w:r w:rsidR="00843471">
        <w:t xml:space="preserve">(SES) </w:t>
      </w:r>
      <w:r w:rsidRPr="001B09E6">
        <w:t>quintiles are less likely to be fully engaged in post-school education or employment than young people from the least disadvantaged quin</w:t>
      </w:r>
      <w:r w:rsidR="0080560A">
        <w:t>tiles (refer to Figure 2.21</w:t>
      </w:r>
      <w:r w:rsidRPr="001B09E6">
        <w:t>). In 2008, there was a difference of 16.7 percentage points between the highest and lowest quintiles in the proportion of 18–24-year-olds fully engaged; by 2010, this gap in outcomes had widened a little to 19.8 percentage points.</w:t>
      </w:r>
      <w:r w:rsidR="00843471">
        <w:rPr>
          <w:rStyle w:val="FootnoteReference"/>
        </w:rPr>
        <w:footnoteReference w:id="16"/>
      </w:r>
    </w:p>
    <w:p w14:paraId="1DED15D1" w14:textId="77777777" w:rsidR="00C71C32" w:rsidRPr="001B09E6" w:rsidRDefault="0080560A" w:rsidP="00C71C32">
      <w:pPr>
        <w:pStyle w:val="TableHeading"/>
        <w:rPr>
          <w:lang w:eastAsia="en-AU"/>
        </w:rPr>
      </w:pPr>
      <w:r>
        <w:rPr>
          <w:lang w:eastAsia="en-AU"/>
        </w:rPr>
        <w:t>Figure 2.21</w:t>
      </w:r>
      <w:r w:rsidR="00C71C32" w:rsidRPr="001B09E6">
        <w:rPr>
          <w:lang w:eastAsia="en-AU"/>
        </w:rPr>
        <w:t>:</w:t>
      </w:r>
      <w:r w:rsidR="00C71C32" w:rsidRPr="001B09E6">
        <w:rPr>
          <w:lang w:eastAsia="en-AU"/>
        </w:rPr>
        <w:tab/>
      </w:r>
      <w:r w:rsidR="00C71C32">
        <w:rPr>
          <w:lang w:eastAsia="en-AU"/>
        </w:rPr>
        <w:t xml:space="preserve">Percentage of </w:t>
      </w:r>
      <w:r w:rsidR="00C71C32" w:rsidRPr="001B09E6">
        <w:rPr>
          <w:lang w:eastAsia="en-AU"/>
        </w:rPr>
        <w:t>Fully engaged</w:t>
      </w:r>
      <w:r w:rsidR="00C71C32" w:rsidRPr="001B09E6">
        <w:rPr>
          <w:rStyle w:val="FootnoteReference"/>
        </w:rPr>
        <w:footnoteReference w:id="17"/>
      </w:r>
      <w:r w:rsidR="00C71C32" w:rsidRPr="001B09E6">
        <w:t xml:space="preserve"> </w:t>
      </w:r>
      <w:r w:rsidR="00C71C32" w:rsidRPr="001B09E6">
        <w:rPr>
          <w:lang w:eastAsia="en-AU"/>
        </w:rPr>
        <w:t>18–24-year-olds by SES quintile, 2008–10</w:t>
      </w:r>
    </w:p>
    <w:p w14:paraId="2B6AC1CA" w14:textId="77777777" w:rsidR="00C71C32" w:rsidRPr="001B09E6" w:rsidRDefault="00C71C32" w:rsidP="00C71C32">
      <w:pPr>
        <w:rPr>
          <w:lang w:eastAsia="en-AU"/>
        </w:rPr>
      </w:pPr>
    </w:p>
    <w:p w14:paraId="39992FD2" w14:textId="77777777" w:rsidR="00C71C32" w:rsidRPr="001B09E6" w:rsidRDefault="00C71C32" w:rsidP="00C71C32">
      <w:r w:rsidRPr="001B09E6">
        <w:rPr>
          <w:noProof/>
          <w:lang w:eastAsia="en-AU"/>
        </w:rPr>
        <w:drawing>
          <wp:inline distT="0" distB="0" distL="0" distR="0" wp14:anchorId="1BAC71AD" wp14:editId="15EF460B">
            <wp:extent cx="5940000" cy="2700000"/>
            <wp:effectExtent l="0" t="0" r="3810" b="0"/>
            <wp:docPr id="18" name="Chart 13" descr="Figure 2.21: Percentage of Fully engaged 18–24-year-olds by SES quintile, 2008–10&#10;" title="Figure 2.21: Percentage of Fully engaged 18–24-year-olds by SES quintile, 2008–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4CC6DC8" w14:textId="77777777" w:rsidR="00C71C32" w:rsidRPr="001B09E6" w:rsidRDefault="00C71C32" w:rsidP="00C71C32">
      <w:pPr>
        <w:pStyle w:val="Tablenote"/>
        <w:rPr>
          <w:lang w:eastAsia="en-AU"/>
        </w:rPr>
      </w:pPr>
      <w:r w:rsidRPr="001B09E6">
        <w:rPr>
          <w:lang w:eastAsia="en-AU"/>
        </w:rPr>
        <w:t xml:space="preserve">Source: COAG Reform Council; based upon data from </w:t>
      </w:r>
      <w:r w:rsidRPr="001B09E6">
        <w:t xml:space="preserve">ABS, </w:t>
      </w:r>
      <w:r w:rsidRPr="001B09E6">
        <w:rPr>
          <w:i/>
        </w:rPr>
        <w:t>Survey of Education and Work</w:t>
      </w:r>
      <w:r w:rsidRPr="001B09E6">
        <w:t>.</w:t>
      </w:r>
    </w:p>
    <w:p w14:paraId="719C75C2" w14:textId="77777777" w:rsidR="00C71C32" w:rsidRPr="001B09E6" w:rsidRDefault="00C71C32" w:rsidP="00C71C32">
      <w:pPr>
        <w:pStyle w:val="Heading2"/>
      </w:pPr>
      <w:bookmarkStart w:id="47" w:name="_Toc205266097"/>
      <w:bookmarkStart w:id="48" w:name="_Toc333918972"/>
      <w:bookmarkStart w:id="49" w:name="_Toc210890370"/>
      <w:bookmarkStart w:id="50" w:name="_Toc219347240"/>
      <w:r w:rsidRPr="001B09E6">
        <w:t>Summary and conclusion</w:t>
      </w:r>
      <w:bookmarkEnd w:id="47"/>
      <w:bookmarkEnd w:id="48"/>
      <w:bookmarkEnd w:id="49"/>
      <w:bookmarkEnd w:id="50"/>
    </w:p>
    <w:p w14:paraId="1A5E8718" w14:textId="77777777" w:rsidR="00C71C32" w:rsidRPr="001B09E6" w:rsidRDefault="00C71C32" w:rsidP="00C71C32">
      <w:pPr>
        <w:pStyle w:val="BodyText"/>
      </w:pPr>
      <w:r w:rsidRPr="001B09E6">
        <w:t>To assess the educational and transition outcomes for young people aged 15–24 years, this section examined national data from three perspectives:</w:t>
      </w:r>
    </w:p>
    <w:p w14:paraId="377161AF" w14:textId="77777777" w:rsidR="00C71C32" w:rsidRPr="001B09E6" w:rsidRDefault="00C71C32" w:rsidP="00C71C32">
      <w:pPr>
        <w:pStyle w:val="ListBullet"/>
      </w:pPr>
      <w:r w:rsidRPr="001B09E6">
        <w:t>participation in education</w:t>
      </w:r>
      <w:r w:rsidR="00843471">
        <w:t>;</w:t>
      </w:r>
    </w:p>
    <w:p w14:paraId="13BD58BC" w14:textId="77777777" w:rsidR="00C71C32" w:rsidRPr="001B09E6" w:rsidRDefault="00C71C32" w:rsidP="00C71C32">
      <w:pPr>
        <w:pStyle w:val="ListBullet"/>
      </w:pPr>
      <w:r w:rsidRPr="001B09E6">
        <w:t xml:space="preserve">educational </w:t>
      </w:r>
      <w:r w:rsidR="00843471">
        <w:t xml:space="preserve">retention and </w:t>
      </w:r>
      <w:r w:rsidRPr="001B09E6">
        <w:t>attainment</w:t>
      </w:r>
      <w:r w:rsidR="00843471">
        <w:t>; and</w:t>
      </w:r>
    </w:p>
    <w:p w14:paraId="6201D5D3" w14:textId="77777777" w:rsidR="00C71C32" w:rsidRPr="001B09E6" w:rsidRDefault="00C71C32" w:rsidP="00C71C32">
      <w:pPr>
        <w:pStyle w:val="ListBullet"/>
      </w:pPr>
      <w:r w:rsidRPr="001B09E6">
        <w:t>transitions to employment or further education.</w:t>
      </w:r>
    </w:p>
    <w:p w14:paraId="7B74DBF6" w14:textId="77777777" w:rsidR="00C71C32" w:rsidRPr="001B09E6" w:rsidRDefault="00C71C32" w:rsidP="00C71C32">
      <w:pPr>
        <w:pStyle w:val="BodyText"/>
      </w:pPr>
      <w:r w:rsidRPr="001B09E6">
        <w:t>Within these perspectives, outcomes were examined relating to the different education sectors (particularly school and VET) and also for disadvantaged groups, particularly Indigenous youth.</w:t>
      </w:r>
    </w:p>
    <w:p w14:paraId="4D27642D" w14:textId="77777777" w:rsidR="00C71C32" w:rsidRPr="001B09E6" w:rsidRDefault="00C71C32" w:rsidP="00C71C32">
      <w:pPr>
        <w:pStyle w:val="BodyText"/>
      </w:pPr>
      <w:r w:rsidRPr="001B09E6">
        <w:t>The analysis found that participation in full-time education and training increased for 15–19-year-olds and 20–24-year-olds for the period 2000–12. For 15–19-year-olds, there was a sharp rise of over 3 percentage points from 2008–12. When this was disaggregated by sector, it was found that school participation had increased for 16-year-olds and 17-year-olds between 2009 and 2011, coupled with increases in apparent retention rates. Rates of participation in higher education have also increased over time.</w:t>
      </w:r>
    </w:p>
    <w:p w14:paraId="7B3AFD44" w14:textId="77777777" w:rsidR="00C71C32" w:rsidRPr="001B09E6" w:rsidRDefault="00C71C32" w:rsidP="00C71C32">
      <w:pPr>
        <w:pStyle w:val="BodyText"/>
      </w:pPr>
      <w:r w:rsidRPr="001B09E6">
        <w:t xml:space="preserve">The situation for participation in VET is less clear. Participation for 15–24-year-olds not at school and without Year 12 decreased over the period 2002–08/09, but there was an increase during the period 2010–11. Examining this by qualification level, </w:t>
      </w:r>
      <w:r w:rsidRPr="001B09E6">
        <w:lastRenderedPageBreak/>
        <w:t>participation in Certificate I and other category certificates has been declining, but since 2008, participation in Certificate II and Certificate III and above qualifications has been on the increase.</w:t>
      </w:r>
    </w:p>
    <w:p w14:paraId="211321A0" w14:textId="77777777" w:rsidR="00C71C32" w:rsidRPr="001B09E6" w:rsidRDefault="00C71C32" w:rsidP="00C71C32">
      <w:pPr>
        <w:pStyle w:val="BodyText"/>
      </w:pPr>
      <w:r w:rsidRPr="001B09E6">
        <w:t>Looking at disadvantaged groups, participation in school has increased for Indigenous youth, particularly since 2009, and in the VET sector, participation has also increased since 2009. There has been little change in participation in VET for other disadvantaged groups, apart from an increase in participation for those students reporting a disability.</w:t>
      </w:r>
    </w:p>
    <w:p w14:paraId="75FDBDC8" w14:textId="77777777" w:rsidR="00C71C32" w:rsidRPr="001B09E6" w:rsidRDefault="00C71C32" w:rsidP="00C71C32">
      <w:pPr>
        <w:pStyle w:val="BodyText"/>
      </w:pPr>
      <w:r w:rsidRPr="001B09E6">
        <w:t>Attainment was analysed in terms of 15–24-year-olds who have completed a Year 12 or Certificate II/III, apparent Year 12 retention rates for the school sector, and qualification completion rates for the VET sector. The data showed that Year 12 retention rates have increased since 2008, and that VET attainment has increased for 15–19-year-olds and 20–24-year-olds since 2008.</w:t>
      </w:r>
    </w:p>
    <w:p w14:paraId="22668683" w14:textId="77777777" w:rsidR="00C71C32" w:rsidRPr="001B09E6" w:rsidRDefault="00C71C32" w:rsidP="00C71C32">
      <w:pPr>
        <w:pStyle w:val="BodyText"/>
      </w:pPr>
      <w:r w:rsidRPr="001B09E6">
        <w:t>However, the situation for Year 12 or Certificate II/III achievement is not straightforward. There was a sharp increase in achievement for 15–19-year-olds in 2009–10, but then a decrease in 2010–11. For 20–24-year-olds, the rate steadily increased from 2001–10 but then also dropped from 2010–11. The reasons for this are not clear, but we need to be aware of the vagaries of comparing different types of datasets – the Year 12 or Certificate II/III achievement is derived from the ABS household sample survey, whereas the schools and VET achievement data is derived from administrative collections.</w:t>
      </w:r>
    </w:p>
    <w:p w14:paraId="524315F2" w14:textId="77777777" w:rsidR="00C71C32" w:rsidRPr="001B09E6" w:rsidRDefault="00C71C32" w:rsidP="00C71C32">
      <w:pPr>
        <w:pStyle w:val="BodyText"/>
      </w:pPr>
      <w:r w:rsidRPr="001B09E6">
        <w:t>In terms of disadvantaged groups, attainment for Indigenous youth and those reporting a disability has increased, but there were no observable changes by SES or remoteness categories.</w:t>
      </w:r>
    </w:p>
    <w:p w14:paraId="72ADD441" w14:textId="77777777" w:rsidR="00C71C32" w:rsidRPr="001B09E6" w:rsidRDefault="00C71C32" w:rsidP="00C71C32">
      <w:pPr>
        <w:pStyle w:val="BodyText"/>
      </w:pPr>
      <w:r w:rsidRPr="001B09E6">
        <w:t>Finally, transition to further education and employment were analysed. Following an increase after the GFC, the size of the NEET group has declined slightly for 15–19-year-olds since 2009 but has held steady for 20–24-year-olds. Similarly, there was a jump in the proportion of school leavers not fully engaged following the GFC, but this proportion has declined since then.</w:t>
      </w:r>
    </w:p>
    <w:p w14:paraId="11B4BEAC" w14:textId="77777777" w:rsidR="00C71C32" w:rsidRPr="001B09E6" w:rsidRDefault="00C71C32" w:rsidP="00C71C32">
      <w:pPr>
        <w:pStyle w:val="BodyText"/>
      </w:pPr>
      <w:r w:rsidRPr="001B09E6">
        <w:t>This data is further supported by the proportions of 17–19-year-olds not in education and not employed. After the GFC spike, the proportion unemployed has declined; however, the proportion not in the labour force has only shown some decline since 2011. Of concern also is the continuing drop in full-time employment among 15–24-year-olds. Part of this is no doubt accounted for by increases in full-time educational participation, but not all of it. Some of this group also would have entered part-time employment or the not employed categories.</w:t>
      </w:r>
    </w:p>
    <w:p w14:paraId="5E03861A" w14:textId="77777777" w:rsidR="00C71C32" w:rsidRPr="001B09E6" w:rsidRDefault="00C71C32" w:rsidP="00C71C32">
      <w:pPr>
        <w:pStyle w:val="BodyText"/>
      </w:pPr>
      <w:r w:rsidRPr="001B09E6">
        <w:t>In terms of youth transitions, then, we cannot say that these have been improving. While there have been increases in full-time educational participation, full-time employment has been dropping, and there is still a substantial NEET group. Another year’s worth of data needs to be analysed to see whether the NEET group continues to get smaller</w:t>
      </w:r>
      <w:r>
        <w:t>.</w:t>
      </w:r>
    </w:p>
    <w:p w14:paraId="483C876F" w14:textId="77777777" w:rsidR="00497DBB" w:rsidRDefault="00497DBB">
      <w:pPr>
        <w:spacing w:line="380" w:lineRule="atLeast"/>
      </w:pPr>
      <w:r>
        <w:br w:type="page"/>
      </w:r>
    </w:p>
    <w:p w14:paraId="55248E0E" w14:textId="77777777" w:rsidR="00497DBB" w:rsidRPr="009E1367" w:rsidRDefault="00497DBB" w:rsidP="00497DBB">
      <w:pPr>
        <w:pStyle w:val="Heading1"/>
        <w:spacing w:before="900" w:after="680" w:line="240" w:lineRule="auto"/>
      </w:pPr>
      <w:bookmarkStart w:id="51" w:name="_Toc210269993"/>
      <w:bookmarkStart w:id="52" w:name="_Toc219347241"/>
      <w:r w:rsidRPr="009E1367">
        <w:lastRenderedPageBreak/>
        <w:t>Assessment of the NP to date</w:t>
      </w:r>
      <w:bookmarkEnd w:id="51"/>
      <w:bookmarkEnd w:id="52"/>
    </w:p>
    <w:p w14:paraId="766A9C07" w14:textId="77777777" w:rsidR="00497DBB" w:rsidRPr="009E1367" w:rsidRDefault="00497DBB" w:rsidP="00497DBB">
      <w:pPr>
        <w:pStyle w:val="Heading2"/>
      </w:pPr>
      <w:bookmarkStart w:id="53" w:name="_Toc210269994"/>
      <w:bookmarkStart w:id="54" w:name="_Toc219347242"/>
      <w:bookmarkStart w:id="55" w:name="_Toc199926699"/>
      <w:r w:rsidRPr="009E1367">
        <w:t>Overview of the assessment of the NP to date</w:t>
      </w:r>
      <w:bookmarkEnd w:id="53"/>
      <w:bookmarkEnd w:id="54"/>
    </w:p>
    <w:p w14:paraId="72F0BCCA" w14:textId="77777777" w:rsidR="00497DBB" w:rsidRPr="009E1367" w:rsidRDefault="00497DBB" w:rsidP="00497DBB">
      <w:pPr>
        <w:pStyle w:val="BodyText"/>
      </w:pPr>
      <w:r w:rsidRPr="009E1367">
        <w:t xml:space="preserve">The first year of the evaluation involved an assessment of the NP’s progress to date against the evaluation framework. </w:t>
      </w:r>
      <w:r w:rsidR="0056511F" w:rsidRPr="009E1367">
        <w:fldChar w:fldCharType="begin"/>
      </w:r>
      <w:r w:rsidRPr="009E1367">
        <w:instrText xml:space="preserve"> REF _Ref205265317 \h </w:instrText>
      </w:r>
      <w:r w:rsidR="0056511F" w:rsidRPr="009E1367">
        <w:fldChar w:fldCharType="separate"/>
      </w:r>
      <w:r w:rsidR="00A76CFC" w:rsidRPr="009E1367">
        <w:t xml:space="preserve">Table </w:t>
      </w:r>
      <w:r w:rsidR="0056511F" w:rsidRPr="009E1367">
        <w:fldChar w:fldCharType="end"/>
      </w:r>
      <w:r w:rsidRPr="009E1367">
        <w:t>3.1 shows the summary assessment and any changes that have been observed in Year 2 of the evaluation.</w:t>
      </w:r>
    </w:p>
    <w:p w14:paraId="18878227" w14:textId="77777777" w:rsidR="00497DBB" w:rsidRPr="009E1367" w:rsidRDefault="00497DBB" w:rsidP="00497DBB">
      <w:pPr>
        <w:pStyle w:val="Caption"/>
        <w:keepNext/>
      </w:pPr>
      <w:bookmarkStart w:id="56" w:name="_Ref205265317"/>
      <w:bookmarkStart w:id="57" w:name="_Ref205265270"/>
      <w:r w:rsidRPr="009E1367">
        <w:t xml:space="preserve">Table </w:t>
      </w:r>
      <w:bookmarkEnd w:id="56"/>
      <w:r w:rsidRPr="009E1367">
        <w:t xml:space="preserve">3.1: </w:t>
      </w:r>
      <w:bookmarkEnd w:id="57"/>
      <w:r w:rsidRPr="009E1367">
        <w:t>Summary Assessment of the NP in YEAR 1 and 2 Evaluation Findings</w:t>
      </w:r>
    </w:p>
    <w:tbl>
      <w:tblPr>
        <w:tblStyle w:val="DandoloTableLeft"/>
        <w:tblW w:w="9639" w:type="dxa"/>
        <w:tblLook w:val="04A0" w:firstRow="1" w:lastRow="0" w:firstColumn="1" w:lastColumn="0" w:noHBand="0" w:noVBand="1"/>
        <w:tblCaption w:val="Table 3.1: Summary Assessment of the NP in YEAR 1 and 2 Evaluation Findings "/>
        <w:tblDescription w:val="Table 3.1: Summary Assessment of the NP in YEAR 1 and 2 Evaluation Findings&#10;"/>
      </w:tblPr>
      <w:tblGrid>
        <w:gridCol w:w="2694"/>
        <w:gridCol w:w="3401"/>
        <w:gridCol w:w="3544"/>
      </w:tblGrid>
      <w:tr w:rsidR="00497DBB" w:rsidRPr="009E1367" w14:paraId="6E34866C"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198D3E2" w14:textId="77777777" w:rsidR="00497DBB" w:rsidRPr="009E1367" w:rsidRDefault="00497DBB" w:rsidP="00F935CF">
            <w:pPr>
              <w:spacing w:before="120" w:after="120"/>
              <w:rPr>
                <w:b/>
                <w:color w:val="595959" w:themeColor="text1" w:themeTint="A6"/>
              </w:rPr>
            </w:pPr>
            <w:r w:rsidRPr="009E1367">
              <w:rPr>
                <w:b/>
              </w:rPr>
              <w:t>Evaluation question</w:t>
            </w:r>
          </w:p>
        </w:tc>
        <w:tc>
          <w:tcPr>
            <w:tcW w:w="3401" w:type="dxa"/>
            <w:vAlign w:val="top"/>
          </w:tcPr>
          <w:p w14:paraId="7F05440A" w14:textId="77777777" w:rsidR="00497DBB" w:rsidRPr="009E1367" w:rsidRDefault="00497DBB" w:rsidP="00F935CF">
            <w:pPr>
              <w:spacing w:before="120" w:after="120"/>
              <w:cnfStyle w:val="100000000000" w:firstRow="1" w:lastRow="0" w:firstColumn="0" w:lastColumn="0" w:oddVBand="0" w:evenVBand="0" w:oddHBand="0" w:evenHBand="0" w:firstRowFirstColumn="0" w:firstRowLastColumn="0" w:lastRowFirstColumn="0" w:lastRowLastColumn="0"/>
              <w:rPr>
                <w:b/>
              </w:rPr>
            </w:pPr>
            <w:r w:rsidRPr="009E1367">
              <w:rPr>
                <w:b/>
              </w:rPr>
              <w:t>Assessment in Year 1</w:t>
            </w:r>
          </w:p>
        </w:tc>
        <w:tc>
          <w:tcPr>
            <w:tcW w:w="3544" w:type="dxa"/>
          </w:tcPr>
          <w:p w14:paraId="081023A8" w14:textId="77777777" w:rsidR="00497DBB" w:rsidRPr="009E1367" w:rsidRDefault="00497DBB" w:rsidP="00F935CF">
            <w:pPr>
              <w:spacing w:before="120" w:after="120"/>
              <w:cnfStyle w:val="100000000000" w:firstRow="1" w:lastRow="0" w:firstColumn="0" w:lastColumn="0" w:oddVBand="0" w:evenVBand="0" w:oddHBand="0" w:evenHBand="0" w:firstRowFirstColumn="0" w:firstRowLastColumn="0" w:lastRowFirstColumn="0" w:lastRowLastColumn="0"/>
              <w:rPr>
                <w:b/>
              </w:rPr>
            </w:pPr>
            <w:r w:rsidRPr="009E1367">
              <w:rPr>
                <w:b/>
              </w:rPr>
              <w:t>Changes in Year 2</w:t>
            </w:r>
          </w:p>
        </w:tc>
      </w:tr>
      <w:tr w:rsidR="00497DBB" w:rsidRPr="009E1367" w14:paraId="18C9315B" w14:textId="77777777" w:rsidTr="00F935CF">
        <w:tc>
          <w:tcPr>
            <w:cnfStyle w:val="001000000000" w:firstRow="0" w:lastRow="0" w:firstColumn="1" w:lastColumn="0" w:oddVBand="0" w:evenVBand="0" w:oddHBand="0" w:evenHBand="0" w:firstRowFirstColumn="0" w:firstRowLastColumn="0" w:lastRowFirstColumn="0" w:lastRowLastColumn="0"/>
            <w:tcW w:w="2694" w:type="dxa"/>
            <w:shd w:val="clear" w:color="auto" w:fill="D9D9D9" w:themeFill="background1" w:themeFillShade="D9"/>
            <w:vAlign w:val="top"/>
          </w:tcPr>
          <w:p w14:paraId="7015C562" w14:textId="77777777" w:rsidR="00497DBB" w:rsidRPr="009E1367" w:rsidRDefault="00497DBB" w:rsidP="00F935CF">
            <w:pPr>
              <w:spacing w:before="120" w:after="120"/>
            </w:pPr>
            <w:r w:rsidRPr="009E1367">
              <w:t>What is happening?</w:t>
            </w:r>
          </w:p>
        </w:tc>
        <w:tc>
          <w:tcPr>
            <w:tcW w:w="3401" w:type="dxa"/>
            <w:shd w:val="clear" w:color="auto" w:fill="D9D9D9" w:themeFill="background1" w:themeFillShade="D9"/>
            <w:vAlign w:val="top"/>
          </w:tcPr>
          <w:p w14:paraId="0E422D07"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rPr>
            </w:pPr>
          </w:p>
        </w:tc>
        <w:tc>
          <w:tcPr>
            <w:tcW w:w="3544" w:type="dxa"/>
            <w:shd w:val="clear" w:color="auto" w:fill="D9D9D9" w:themeFill="background1" w:themeFillShade="D9"/>
          </w:tcPr>
          <w:p w14:paraId="1BC612BA"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rPr>
            </w:pPr>
          </w:p>
        </w:tc>
      </w:tr>
      <w:tr w:rsidR="00497DBB" w:rsidRPr="009E1367" w14:paraId="1329CC68" w14:textId="77777777" w:rsidTr="00F935CF">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800000"/>
            </w:tcBorders>
            <w:vAlign w:val="top"/>
          </w:tcPr>
          <w:p w14:paraId="797723FB" w14:textId="77777777" w:rsidR="00497DBB" w:rsidRPr="009E1367" w:rsidRDefault="00497DBB" w:rsidP="00BF6CF1">
            <w:pPr>
              <w:spacing w:before="120" w:after="120"/>
              <w:rPr>
                <w:b w:val="0"/>
                <w:color w:val="595959" w:themeColor="text1" w:themeTint="A6"/>
                <w:sz w:val="24"/>
              </w:rPr>
            </w:pPr>
            <w:r w:rsidRPr="009E1367">
              <w:rPr>
                <w:b w:val="0"/>
                <w:color w:val="595959" w:themeColor="text1" w:themeTint="A6"/>
              </w:rPr>
              <w:t>Has the NP led to changes in activities directed toward participation, attainment and transition outcomes?</w:t>
            </w:r>
          </w:p>
        </w:tc>
        <w:tc>
          <w:tcPr>
            <w:tcW w:w="3401" w:type="dxa"/>
            <w:tcBorders>
              <w:bottom w:val="single" w:sz="4" w:space="0" w:color="800000"/>
            </w:tcBorders>
            <w:vAlign w:val="top"/>
          </w:tcPr>
          <w:p w14:paraId="6AAC4FAA" w14:textId="77777777" w:rsidR="00497DBB" w:rsidRPr="009E1367" w:rsidRDefault="00497DBB" w:rsidP="00BF6CF1">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There is an elevated profile for, and sharpened focus on, YAT issues and outcomes across jurisdictions</w:t>
            </w:r>
          </w:p>
          <w:p w14:paraId="6F7913C8" w14:textId="77777777" w:rsidR="00497DBB" w:rsidRPr="009E1367" w:rsidRDefault="00497DBB" w:rsidP="00BF6CF1">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The NP has been a catalyst to improve collaboration across education and training sectors to better understand issues and strategies to improve participation, attainment and transitions</w:t>
            </w:r>
          </w:p>
          <w:p w14:paraId="12F8D67F" w14:textId="77777777" w:rsidR="00497DBB" w:rsidRPr="009E1367" w:rsidRDefault="00497DBB" w:rsidP="00BF6CF1">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The NP has increased attention and support for young Australians who have disengaged or are at risk of disengaging from education and training</w:t>
            </w:r>
          </w:p>
          <w:p w14:paraId="6F497CE8" w14:textId="77777777" w:rsidR="00497DBB" w:rsidRPr="009E1367" w:rsidRDefault="00497DBB" w:rsidP="00BF6CF1">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While funding is seen as limited by jurisdictions, it has enabled them to bolster existing (and implement some new) initiatives</w:t>
            </w:r>
          </w:p>
        </w:tc>
        <w:tc>
          <w:tcPr>
            <w:tcW w:w="3544" w:type="dxa"/>
            <w:tcBorders>
              <w:bottom w:val="single" w:sz="4" w:space="0" w:color="800000"/>
            </w:tcBorders>
            <w:vAlign w:val="top"/>
          </w:tcPr>
          <w:p w14:paraId="7149C804"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Minimal change in the NP activities</w:t>
            </w:r>
            <w:r w:rsidR="00BF6CF1">
              <w:t>.</w:t>
            </w:r>
          </w:p>
          <w:p w14:paraId="368B257C" w14:textId="77777777" w:rsidR="00497DBB"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 xml:space="preserve">There has been some contraction of </w:t>
            </w:r>
            <w:r>
              <w:t xml:space="preserve">Australian Government </w:t>
            </w:r>
            <w:r w:rsidRPr="009E1367">
              <w:t>investment in the NP ($17 million for national career development initiatives) and State and Territory activity outside of the NP directed at improving YAT outcomes</w:t>
            </w:r>
            <w:r w:rsidR="00BF6CF1">
              <w:t>.</w:t>
            </w:r>
          </w:p>
        </w:tc>
      </w:tr>
      <w:tr w:rsidR="00497DBB" w:rsidRPr="009E1367" w14:paraId="191DB016" w14:textId="77777777" w:rsidTr="00F935CF">
        <w:tc>
          <w:tcPr>
            <w:cnfStyle w:val="001000000000" w:firstRow="0" w:lastRow="0" w:firstColumn="1" w:lastColumn="0" w:oddVBand="0" w:evenVBand="0" w:oddHBand="0" w:evenHBand="0" w:firstRowFirstColumn="0" w:firstRowLastColumn="0" w:lastRowFirstColumn="0" w:lastRowLastColumn="0"/>
            <w:tcW w:w="2694" w:type="dxa"/>
            <w:shd w:val="clear" w:color="auto" w:fill="CCCCCC"/>
            <w:vAlign w:val="top"/>
          </w:tcPr>
          <w:p w14:paraId="45937AC3" w14:textId="77777777" w:rsidR="00497DBB" w:rsidRPr="009E1367" w:rsidRDefault="00497DBB" w:rsidP="00F935CF">
            <w:pPr>
              <w:spacing w:before="120" w:after="120"/>
              <w:rPr>
                <w:b w:val="0"/>
                <w:color w:val="auto"/>
                <w:sz w:val="24"/>
              </w:rPr>
            </w:pPr>
            <w:r w:rsidRPr="009E1367">
              <w:t>Is it working?</w:t>
            </w:r>
          </w:p>
        </w:tc>
        <w:tc>
          <w:tcPr>
            <w:tcW w:w="3401" w:type="dxa"/>
            <w:shd w:val="clear" w:color="auto" w:fill="CCCCCC"/>
            <w:vAlign w:val="top"/>
          </w:tcPr>
          <w:p w14:paraId="45D96188"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tcW w:w="3544" w:type="dxa"/>
            <w:shd w:val="clear" w:color="auto" w:fill="CCCCCC"/>
          </w:tcPr>
          <w:p w14:paraId="3F7F7E51"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color w:val="000000" w:themeColor="text1"/>
                <w:sz w:val="24"/>
              </w:rPr>
            </w:pPr>
          </w:p>
        </w:tc>
      </w:tr>
      <w:tr w:rsidR="00497DBB" w:rsidRPr="001B09E6" w14:paraId="5BF63258"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22F8FA7C" w14:textId="77777777" w:rsidR="00497DBB" w:rsidRPr="001B09E6" w:rsidRDefault="00497DBB" w:rsidP="00E115DB">
            <w:pPr>
              <w:spacing w:before="120" w:after="120"/>
              <w:rPr>
                <w:b w:val="0"/>
                <w:color w:val="595959" w:themeColor="text1" w:themeTint="A6"/>
              </w:rPr>
            </w:pPr>
            <w:r w:rsidRPr="001B09E6">
              <w:rPr>
                <w:b w:val="0"/>
                <w:color w:val="595959" w:themeColor="text1" w:themeTint="A6"/>
              </w:rPr>
              <w:t>Has young people’s participation in education and training increased?</w:t>
            </w:r>
          </w:p>
        </w:tc>
        <w:tc>
          <w:tcPr>
            <w:tcW w:w="3401" w:type="dxa"/>
            <w:vAlign w:val="top"/>
          </w:tcPr>
          <w:p w14:paraId="44AE2D41" w14:textId="77777777" w:rsidR="00497DBB" w:rsidRPr="001B09E6" w:rsidRDefault="00497DBB" w:rsidP="00286D25">
            <w:pPr>
              <w:spacing w:before="120" w:after="120"/>
              <w:cnfStyle w:val="000000000000" w:firstRow="0" w:lastRow="0" w:firstColumn="0" w:lastColumn="0" w:oddVBand="0" w:evenVBand="0" w:oddHBand="0" w:evenHBand="0" w:firstRowFirstColumn="0" w:firstRowLastColumn="0" w:lastRowFirstColumn="0" w:lastRowLastColumn="0"/>
            </w:pPr>
            <w:r w:rsidRPr="001B09E6">
              <w:t>There has been an increase in participation levels since the NP was introduced, mainly among younger cohorts (16–17-year-olds). The Compact appears to be having an impact in this regard; however, the influence of other factors such as the GFC needs to be recognised.</w:t>
            </w:r>
          </w:p>
        </w:tc>
        <w:tc>
          <w:tcPr>
            <w:tcW w:w="3544" w:type="dxa"/>
          </w:tcPr>
          <w:p w14:paraId="690AF805" w14:textId="77777777" w:rsidR="00497DBB" w:rsidRPr="001B09E6" w:rsidRDefault="00497DBB" w:rsidP="00FC7F6A">
            <w:pPr>
              <w:numPr>
                <w:ilvl w:val="0"/>
                <w:numId w:val="13"/>
              </w:numPr>
              <w:tabs>
                <w:tab w:val="num" w:pos="720"/>
              </w:tabs>
              <w:spacing w:before="120" w:after="120"/>
              <w:cnfStyle w:val="000000000000" w:firstRow="0" w:lastRow="0" w:firstColumn="0" w:lastColumn="0" w:oddVBand="0" w:evenVBand="0" w:oddHBand="0" w:evenHBand="0" w:firstRowFirstColumn="0" w:firstRowLastColumn="0" w:lastRowFirstColumn="0" w:lastRowLastColumn="0"/>
            </w:pPr>
            <w:r w:rsidRPr="001B09E6">
              <w:t>Young people’s participation in full-time education and training has increased.</w:t>
            </w:r>
          </w:p>
          <w:p w14:paraId="64D9B6C0" w14:textId="77777777" w:rsidR="00497DBB" w:rsidRPr="001B09E6" w:rsidRDefault="00497DBB" w:rsidP="00FC7F6A">
            <w:pPr>
              <w:numPr>
                <w:ilvl w:val="0"/>
                <w:numId w:val="13"/>
              </w:numPr>
              <w:tabs>
                <w:tab w:val="num" w:pos="720"/>
              </w:tabs>
              <w:spacing w:before="120" w:after="120"/>
              <w:cnfStyle w:val="000000000000" w:firstRow="0" w:lastRow="0" w:firstColumn="0" w:lastColumn="0" w:oddVBand="0" w:evenVBand="0" w:oddHBand="0" w:evenHBand="0" w:firstRowFirstColumn="0" w:firstRowLastColumn="0" w:lastRowFirstColumn="0" w:lastRowLastColumn="0"/>
            </w:pPr>
            <w:r w:rsidRPr="001B09E6">
              <w:t>The increase</w:t>
            </w:r>
            <w:r w:rsidR="00BF6CF1">
              <w:t xml:space="preserve"> in participation</w:t>
            </w:r>
            <w:r w:rsidRPr="001B09E6">
              <w:t xml:space="preserve"> among 15–19-year-olds between 2009 and 2012 was at a rate above the pre-GFC trend (2000–08).</w:t>
            </w:r>
          </w:p>
          <w:p w14:paraId="0F44C2EA" w14:textId="77777777" w:rsidR="00497DBB" w:rsidRPr="001B09E6" w:rsidRDefault="00497DBB" w:rsidP="00FC7F6A">
            <w:pPr>
              <w:numPr>
                <w:ilvl w:val="0"/>
                <w:numId w:val="13"/>
              </w:numPr>
              <w:spacing w:before="120" w:after="120"/>
              <w:cnfStyle w:val="000000000000" w:firstRow="0" w:lastRow="0" w:firstColumn="0" w:lastColumn="0" w:oddVBand="0" w:evenVBand="0" w:oddHBand="0" w:evenHBand="0" w:firstRowFirstColumn="0" w:firstRowLastColumn="0" w:lastRowFirstColumn="0" w:lastRowLastColumn="0"/>
            </w:pPr>
            <w:r w:rsidRPr="001B09E6">
              <w:t xml:space="preserve">We can infer that The Compact </w:t>
            </w:r>
            <w:r w:rsidR="00BF6CF1">
              <w:t xml:space="preserve">with Young Australians </w:t>
            </w:r>
            <w:r w:rsidRPr="001B09E6">
              <w:t>has had an impact on teenagers, but not on 20–24-year-olds.</w:t>
            </w:r>
          </w:p>
        </w:tc>
      </w:tr>
      <w:tr w:rsidR="00497DBB" w:rsidRPr="001B09E6" w14:paraId="79C886F4"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0EF641AC" w14:textId="77777777" w:rsidR="00497DBB" w:rsidRPr="001B09E6" w:rsidRDefault="00497DBB" w:rsidP="00E115DB">
            <w:pPr>
              <w:spacing w:before="120" w:after="120"/>
              <w:rPr>
                <w:b w:val="0"/>
                <w:color w:val="595959" w:themeColor="text1" w:themeTint="A6"/>
              </w:rPr>
            </w:pPr>
            <w:r w:rsidRPr="001B09E6">
              <w:rPr>
                <w:b w:val="0"/>
                <w:color w:val="595959" w:themeColor="text1" w:themeTint="A6"/>
              </w:rPr>
              <w:t>Has young people’s attainment of Year 12 or equivalent qualifications increased?</w:t>
            </w:r>
          </w:p>
        </w:tc>
        <w:tc>
          <w:tcPr>
            <w:tcW w:w="3401" w:type="dxa"/>
            <w:vAlign w:val="top"/>
          </w:tcPr>
          <w:p w14:paraId="184225F3" w14:textId="77777777" w:rsidR="00497DBB" w:rsidRPr="001B09E6" w:rsidRDefault="00497DBB" w:rsidP="00286D25">
            <w:pPr>
              <w:spacing w:before="120" w:after="120"/>
              <w:cnfStyle w:val="000000000000" w:firstRow="0" w:lastRow="0" w:firstColumn="0" w:lastColumn="0" w:oddVBand="0" w:evenVBand="0" w:oddHBand="0" w:evenHBand="0" w:firstRowFirstColumn="0" w:firstRowLastColumn="0" w:lastRowFirstColumn="0" w:lastRowLastColumn="0"/>
            </w:pPr>
            <w:r w:rsidRPr="001B09E6">
              <w:t>It is too soon to say whether attainment levels have changed during the term of the NP.</w:t>
            </w:r>
          </w:p>
        </w:tc>
        <w:tc>
          <w:tcPr>
            <w:tcW w:w="3544" w:type="dxa"/>
          </w:tcPr>
          <w:p w14:paraId="3CB6932D" w14:textId="77777777" w:rsidR="00497DBB" w:rsidRPr="001B09E6" w:rsidRDefault="00497DBB" w:rsidP="00FC7F6A">
            <w:pPr>
              <w:numPr>
                <w:ilvl w:val="0"/>
                <w:numId w:val="14"/>
              </w:numPr>
              <w:tabs>
                <w:tab w:val="num" w:pos="720"/>
              </w:tabs>
              <w:spacing w:before="120" w:after="120"/>
              <w:cnfStyle w:val="000000000000" w:firstRow="0" w:lastRow="0" w:firstColumn="0" w:lastColumn="0" w:oddVBand="0" w:evenVBand="0" w:oddHBand="0" w:evenHBand="0" w:firstRowFirstColumn="0" w:firstRowLastColumn="0" w:lastRowFirstColumn="0" w:lastRowLastColumn="0"/>
            </w:pPr>
            <w:r w:rsidRPr="001B09E6">
              <w:t xml:space="preserve">Year 12 </w:t>
            </w:r>
            <w:r w:rsidR="00BF6CF1">
              <w:t>retention</w:t>
            </w:r>
            <w:r w:rsidR="00BF6CF1" w:rsidRPr="001B09E6">
              <w:t xml:space="preserve"> </w:t>
            </w:r>
            <w:r w:rsidRPr="001B09E6">
              <w:t>rates have increased since the NP was introduced in 2009, although there was a decrease from 2010–11.</w:t>
            </w:r>
          </w:p>
          <w:p w14:paraId="4338EC28" w14:textId="77777777" w:rsidR="00497DBB" w:rsidRPr="001B09E6" w:rsidRDefault="00497DBB" w:rsidP="00FC7F6A">
            <w:pPr>
              <w:numPr>
                <w:ilvl w:val="0"/>
                <w:numId w:val="14"/>
              </w:numPr>
              <w:spacing w:before="120" w:after="120"/>
              <w:cnfStyle w:val="000000000000" w:firstRow="0" w:lastRow="0" w:firstColumn="0" w:lastColumn="0" w:oddVBand="0" w:evenVBand="0" w:oddHBand="0" w:evenHBand="0" w:firstRowFirstColumn="0" w:firstRowLastColumn="0" w:lastRowFirstColumn="0" w:lastRowLastColumn="0"/>
            </w:pPr>
            <w:r w:rsidRPr="001B09E6">
              <w:t>VET Certificate II and above attainment has increased from 2008–10.</w:t>
            </w:r>
          </w:p>
        </w:tc>
      </w:tr>
      <w:tr w:rsidR="00497DBB" w:rsidRPr="001B09E6" w14:paraId="44665CA5"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1CEE4956" w14:textId="77777777" w:rsidR="00497DBB" w:rsidRPr="001B09E6" w:rsidRDefault="00497DBB" w:rsidP="00E115DB">
            <w:pPr>
              <w:spacing w:before="120" w:after="120"/>
              <w:rPr>
                <w:b w:val="0"/>
                <w:color w:val="595959" w:themeColor="text1" w:themeTint="A6"/>
              </w:rPr>
            </w:pPr>
            <w:r w:rsidRPr="001B09E6">
              <w:rPr>
                <w:b w:val="0"/>
                <w:color w:val="595959" w:themeColor="text1" w:themeTint="A6"/>
              </w:rPr>
              <w:t>Are more young people making successful transitions from school?</w:t>
            </w:r>
          </w:p>
        </w:tc>
        <w:tc>
          <w:tcPr>
            <w:tcW w:w="3401" w:type="dxa"/>
            <w:vAlign w:val="top"/>
          </w:tcPr>
          <w:p w14:paraId="7C80241B" w14:textId="77777777" w:rsidR="00497DBB" w:rsidRPr="001B09E6" w:rsidRDefault="00497DBB" w:rsidP="00286D25">
            <w:pPr>
              <w:spacing w:before="120" w:after="120"/>
              <w:cnfStyle w:val="000000000000" w:firstRow="0" w:lastRow="0" w:firstColumn="0" w:lastColumn="0" w:oddVBand="0" w:evenVBand="0" w:oddHBand="0" w:evenHBand="0" w:firstRowFirstColumn="0" w:firstRowLastColumn="0" w:lastRowFirstColumn="0" w:lastRowLastColumn="0"/>
            </w:pPr>
            <w:r w:rsidRPr="001B09E6">
              <w:t xml:space="preserve">The NP may have had some positive impact upon the number of young people not in education and unemployed. However, the </w:t>
            </w:r>
            <w:r w:rsidRPr="001B09E6">
              <w:lastRenderedPageBreak/>
              <w:t>number of disengaged young people is still significant – and the state of the labour market has the most significant influence on transition outcomes.</w:t>
            </w:r>
          </w:p>
        </w:tc>
        <w:tc>
          <w:tcPr>
            <w:tcW w:w="3544" w:type="dxa"/>
          </w:tcPr>
          <w:p w14:paraId="5AF62508" w14:textId="77777777" w:rsidR="00497DBB" w:rsidRPr="001B09E6" w:rsidRDefault="00497DBB" w:rsidP="00FC7F6A">
            <w:pPr>
              <w:numPr>
                <w:ilvl w:val="0"/>
                <w:numId w:val="15"/>
              </w:numPr>
              <w:tabs>
                <w:tab w:val="num" w:pos="720"/>
              </w:tabs>
              <w:spacing w:before="120" w:after="120"/>
              <w:cnfStyle w:val="000000000000" w:firstRow="0" w:lastRow="0" w:firstColumn="0" w:lastColumn="0" w:oddVBand="0" w:evenVBand="0" w:oddHBand="0" w:evenHBand="0" w:firstRowFirstColumn="0" w:firstRowLastColumn="0" w:lastRowFirstColumn="0" w:lastRowLastColumn="0"/>
            </w:pPr>
            <w:r w:rsidRPr="001B09E6">
              <w:lastRenderedPageBreak/>
              <w:t>Since 2009, it has become more difficult for young people to secure full-time employment, particularly</w:t>
            </w:r>
            <w:r w:rsidR="00BF6CF1">
              <w:t xml:space="preserve"> for</w:t>
            </w:r>
            <w:r w:rsidRPr="001B09E6">
              <w:t xml:space="preserve"> 15–19-year-olds but also </w:t>
            </w:r>
            <w:r w:rsidR="00BF6CF1">
              <w:t xml:space="preserve">for </w:t>
            </w:r>
            <w:r w:rsidRPr="001B09E6">
              <w:lastRenderedPageBreak/>
              <w:t>20–24-year-olds.</w:t>
            </w:r>
          </w:p>
          <w:p w14:paraId="2FF77C3F" w14:textId="77777777" w:rsidR="00497DBB" w:rsidRPr="001B09E6" w:rsidRDefault="00497DBB" w:rsidP="00FC7F6A">
            <w:pPr>
              <w:numPr>
                <w:ilvl w:val="0"/>
                <w:numId w:val="15"/>
              </w:numPr>
              <w:spacing w:before="120" w:after="120"/>
              <w:cnfStyle w:val="000000000000" w:firstRow="0" w:lastRow="0" w:firstColumn="0" w:lastColumn="0" w:oddVBand="0" w:evenVBand="0" w:oddHBand="0" w:evenHBand="0" w:firstRowFirstColumn="0" w:firstRowLastColumn="0" w:lastRowFirstColumn="0" w:lastRowLastColumn="0"/>
            </w:pPr>
            <w:r w:rsidRPr="001B09E6">
              <w:t>The proportion of young people not in education or fully employed has decreased since 2009 but is still not at pre-GFC levels.</w:t>
            </w:r>
          </w:p>
        </w:tc>
      </w:tr>
      <w:tr w:rsidR="00497DBB" w:rsidRPr="009E1367" w14:paraId="54A868C6" w14:textId="77777777" w:rsidTr="00F935CF">
        <w:tc>
          <w:tcPr>
            <w:cnfStyle w:val="001000000000" w:firstRow="0" w:lastRow="0" w:firstColumn="1" w:lastColumn="0" w:oddVBand="0" w:evenVBand="0" w:oddHBand="0" w:evenHBand="0" w:firstRowFirstColumn="0" w:firstRowLastColumn="0" w:lastRowFirstColumn="0" w:lastRowLastColumn="0"/>
            <w:tcW w:w="2694" w:type="dxa"/>
            <w:shd w:val="clear" w:color="auto" w:fill="CCCCCC"/>
            <w:vAlign w:val="top"/>
          </w:tcPr>
          <w:p w14:paraId="25FD0507" w14:textId="77777777" w:rsidR="00497DBB" w:rsidRPr="009E1367" w:rsidRDefault="00497DBB" w:rsidP="00F935CF">
            <w:pPr>
              <w:spacing w:before="120" w:after="120"/>
              <w:rPr>
                <w:b w:val="0"/>
                <w:color w:val="595959" w:themeColor="text1" w:themeTint="A6"/>
                <w:sz w:val="24"/>
              </w:rPr>
            </w:pPr>
            <w:r w:rsidRPr="009E1367">
              <w:lastRenderedPageBreak/>
              <w:t>Is it appropriate?</w:t>
            </w:r>
          </w:p>
        </w:tc>
        <w:tc>
          <w:tcPr>
            <w:tcW w:w="3401" w:type="dxa"/>
            <w:shd w:val="clear" w:color="auto" w:fill="CCCCCC"/>
            <w:vAlign w:val="top"/>
          </w:tcPr>
          <w:p w14:paraId="76B6A446"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color w:val="auto"/>
                <w:sz w:val="24"/>
              </w:rPr>
            </w:pPr>
          </w:p>
        </w:tc>
        <w:tc>
          <w:tcPr>
            <w:tcW w:w="3544" w:type="dxa"/>
            <w:shd w:val="clear" w:color="auto" w:fill="CCCCCC"/>
          </w:tcPr>
          <w:p w14:paraId="57C8FD40"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color w:val="auto"/>
                <w:sz w:val="24"/>
              </w:rPr>
            </w:pPr>
          </w:p>
        </w:tc>
      </w:tr>
      <w:tr w:rsidR="00497DBB" w:rsidRPr="009E1367" w14:paraId="604D79F5"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5BC85CAE" w14:textId="77777777" w:rsidR="00497DBB" w:rsidRPr="009E1367" w:rsidRDefault="00497DBB" w:rsidP="00DF0FF7">
            <w:pPr>
              <w:spacing w:before="120" w:after="120"/>
              <w:rPr>
                <w:b w:val="0"/>
                <w:color w:val="595959" w:themeColor="text1" w:themeTint="A6"/>
                <w:sz w:val="24"/>
              </w:rPr>
            </w:pPr>
            <w:r w:rsidRPr="009E1367">
              <w:rPr>
                <w:rFonts w:asciiTheme="minorHAnsi" w:hAnsiTheme="minorHAnsi" w:cs="Arial"/>
                <w:b w:val="0"/>
                <w:bCs/>
                <w:color w:val="595959" w:themeColor="text1" w:themeTint="A6"/>
              </w:rPr>
              <w:t>Is the NP consistent with overarching policy objectives?</w:t>
            </w:r>
          </w:p>
        </w:tc>
        <w:tc>
          <w:tcPr>
            <w:tcW w:w="3401" w:type="dxa"/>
            <w:vAlign w:val="top"/>
          </w:tcPr>
          <w:p w14:paraId="30985681"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The NP is consistent with the National Education Agreement and jurisdictional policy direction – focused on increasing compulsory participation age, (re)engaging at risk young people and increasing attainment through education and training places</w:t>
            </w:r>
          </w:p>
          <w:p w14:paraId="5F3B5DCA"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Stakeholders see the NP as an evolution of prior initiatives, rather than a comprehensive new policy/response</w:t>
            </w:r>
          </w:p>
        </w:tc>
        <w:tc>
          <w:tcPr>
            <w:tcW w:w="3544" w:type="dxa"/>
            <w:vAlign w:val="top"/>
          </w:tcPr>
          <w:p w14:paraId="038A00CD"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 change</w:t>
            </w:r>
          </w:p>
        </w:tc>
      </w:tr>
      <w:tr w:rsidR="00497DBB" w:rsidRPr="009E1367" w14:paraId="552F186B"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174CA2C5" w14:textId="77777777" w:rsidR="00497DBB" w:rsidRPr="009E1367" w:rsidRDefault="00497DBB" w:rsidP="00DF0FF7">
            <w:pPr>
              <w:spacing w:before="120" w:after="120"/>
              <w:rPr>
                <w:b w:val="0"/>
                <w:color w:val="595959" w:themeColor="text1" w:themeTint="A6"/>
                <w:sz w:val="24"/>
              </w:rPr>
            </w:pPr>
            <w:r w:rsidRPr="009E1367">
              <w:rPr>
                <w:rFonts w:asciiTheme="minorHAnsi" w:hAnsiTheme="minorHAnsi" w:cs="Arial"/>
                <w:b w:val="0"/>
                <w:bCs/>
                <w:color w:val="595959" w:themeColor="text1" w:themeTint="A6"/>
              </w:rPr>
              <w:t>Does the NP address areas of need?</w:t>
            </w:r>
          </w:p>
        </w:tc>
        <w:tc>
          <w:tcPr>
            <w:tcW w:w="3401" w:type="dxa"/>
            <w:vAlign w:val="top"/>
          </w:tcPr>
          <w:p w14:paraId="720D0F38"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The policy imperative that initiated the NP appears to remain – there is an increasing number of disengaged young people</w:t>
            </w:r>
          </w:p>
          <w:p w14:paraId="7A0DC543"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NP funding is directed towards areas of need – but stakeholders identified challenges and capacity constraints to meet those needs</w:t>
            </w:r>
          </w:p>
        </w:tc>
        <w:tc>
          <w:tcPr>
            <w:tcW w:w="3544" w:type="dxa"/>
            <w:vAlign w:val="top"/>
          </w:tcPr>
          <w:p w14:paraId="7D558729"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 change</w:t>
            </w:r>
          </w:p>
        </w:tc>
      </w:tr>
      <w:tr w:rsidR="00497DBB" w:rsidRPr="009E1367" w14:paraId="649719B5" w14:textId="77777777" w:rsidTr="00F935CF">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800000"/>
            </w:tcBorders>
            <w:vAlign w:val="top"/>
          </w:tcPr>
          <w:p w14:paraId="0AC8A9B3" w14:textId="77777777" w:rsidR="00497DBB" w:rsidRPr="009E1367" w:rsidRDefault="00497DBB" w:rsidP="00DF0FF7">
            <w:pPr>
              <w:spacing w:before="120" w:after="120"/>
              <w:rPr>
                <w:b w:val="0"/>
                <w:color w:val="595959" w:themeColor="text1" w:themeTint="A6"/>
                <w:sz w:val="24"/>
              </w:rPr>
            </w:pPr>
            <w:r w:rsidRPr="009E1367">
              <w:rPr>
                <w:rFonts w:asciiTheme="minorHAnsi" w:hAnsiTheme="minorHAnsi" w:cs="Arial"/>
                <w:b w:val="0"/>
                <w:bCs/>
                <w:color w:val="595959" w:themeColor="text1" w:themeTint="A6"/>
              </w:rPr>
              <w:t>How does the NP and its elements complement other NPs and programs targeting similar outcomes?</w:t>
            </w:r>
          </w:p>
        </w:tc>
        <w:tc>
          <w:tcPr>
            <w:tcW w:w="3401" w:type="dxa"/>
            <w:tcBorders>
              <w:bottom w:val="single" w:sz="4" w:space="0" w:color="800000"/>
            </w:tcBorders>
            <w:vAlign w:val="top"/>
          </w:tcPr>
          <w:p w14:paraId="4F22EFEC"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 xml:space="preserve">Increased collaboration between the Commonwealth and jurisdictions has resulted in better alignment of objectives and programs – but there is scope to review potential areas of overlap </w:t>
            </w:r>
          </w:p>
        </w:tc>
        <w:tc>
          <w:tcPr>
            <w:tcW w:w="3544" w:type="dxa"/>
            <w:tcBorders>
              <w:bottom w:val="single" w:sz="4" w:space="0" w:color="800000"/>
            </w:tcBorders>
            <w:vAlign w:val="top"/>
          </w:tcPr>
          <w:p w14:paraId="0A5B1DE9"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There are additional examples of collaboration and initiatives to reduce overlap.</w:t>
            </w:r>
          </w:p>
        </w:tc>
      </w:tr>
      <w:tr w:rsidR="00497DBB" w:rsidRPr="009E1367" w14:paraId="18491CCA" w14:textId="77777777" w:rsidTr="00F935CF">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CCCCCC"/>
            <w:vAlign w:val="top"/>
          </w:tcPr>
          <w:p w14:paraId="13C21916" w14:textId="77777777" w:rsidR="00497DBB" w:rsidRPr="009E1367" w:rsidRDefault="00497DBB" w:rsidP="00F935CF">
            <w:pPr>
              <w:spacing w:before="120" w:after="120"/>
              <w:rPr>
                <w:b w:val="0"/>
                <w:color w:val="auto"/>
                <w:sz w:val="24"/>
              </w:rPr>
            </w:pPr>
            <w:r w:rsidRPr="009E1367">
              <w:t>Is it efficient?</w:t>
            </w:r>
          </w:p>
        </w:tc>
      </w:tr>
      <w:tr w:rsidR="00497DBB" w:rsidRPr="009E1367" w14:paraId="650BDDB6" w14:textId="77777777" w:rsidTr="00F935CF">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800000"/>
            </w:tcBorders>
            <w:vAlign w:val="top"/>
          </w:tcPr>
          <w:p w14:paraId="47E222E9" w14:textId="77777777" w:rsidR="00497DBB" w:rsidRPr="009E1367" w:rsidRDefault="00497DBB" w:rsidP="00DF0FF7">
            <w:pPr>
              <w:spacing w:before="120" w:after="120"/>
              <w:rPr>
                <w:b w:val="0"/>
                <w:color w:val="595959" w:themeColor="text1" w:themeTint="A6"/>
                <w:sz w:val="24"/>
              </w:rPr>
            </w:pPr>
            <w:r w:rsidRPr="009E1367">
              <w:rPr>
                <w:b w:val="0"/>
                <w:bCs/>
              </w:rPr>
              <w:t>Have the NP outcomes and outputs been maximised for the investment?</w:t>
            </w:r>
          </w:p>
        </w:tc>
        <w:tc>
          <w:tcPr>
            <w:tcW w:w="3401" w:type="dxa"/>
            <w:tcBorders>
              <w:bottom w:val="single" w:sz="4" w:space="0" w:color="800000"/>
            </w:tcBorders>
            <w:vAlign w:val="top"/>
          </w:tcPr>
          <w:p w14:paraId="496220F5"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Not assessed in Year one</w:t>
            </w:r>
          </w:p>
        </w:tc>
        <w:tc>
          <w:tcPr>
            <w:tcW w:w="3544" w:type="dxa"/>
            <w:tcBorders>
              <w:bottom w:val="single" w:sz="4" w:space="0" w:color="800000"/>
            </w:tcBorders>
          </w:tcPr>
          <w:p w14:paraId="54972873" w14:textId="77777777" w:rsidR="00E8342B" w:rsidRPr="009E1367" w:rsidRDefault="00E8342B" w:rsidP="00FC7F6A">
            <w:pPr>
              <w:numPr>
                <w:ilvl w:val="0"/>
                <w:numId w:val="13"/>
              </w:numPr>
              <w:tabs>
                <w:tab w:val="num" w:pos="720"/>
              </w:tabs>
              <w:spacing w:before="120" w:after="120"/>
              <w:ind w:left="357" w:hanging="215"/>
              <w:jc w:val="both"/>
              <w:cnfStyle w:val="000000000000" w:firstRow="0" w:lastRow="0" w:firstColumn="0" w:lastColumn="0" w:oddVBand="0" w:evenVBand="0" w:oddHBand="0" w:evenHBand="0" w:firstRowFirstColumn="0" w:firstRowLastColumn="0" w:lastRowFirstColumn="0" w:lastRowLastColumn="0"/>
            </w:pPr>
            <w:r w:rsidRPr="009E1367">
              <w:t>Measurement against objectives are tracked.</w:t>
            </w:r>
          </w:p>
          <w:p w14:paraId="45F7AEA0" w14:textId="77777777" w:rsidR="00E8342B" w:rsidRPr="009E1367" w:rsidRDefault="00E8342B" w:rsidP="00FC7F6A">
            <w:pPr>
              <w:numPr>
                <w:ilvl w:val="0"/>
                <w:numId w:val="13"/>
              </w:numPr>
              <w:tabs>
                <w:tab w:val="num" w:pos="720"/>
              </w:tabs>
              <w:spacing w:before="120" w:after="120"/>
              <w:ind w:left="357" w:hanging="215"/>
              <w:jc w:val="both"/>
              <w:cnfStyle w:val="000000000000" w:firstRow="0" w:lastRow="0" w:firstColumn="0" w:lastColumn="0" w:oddVBand="0" w:evenVBand="0" w:oddHBand="0" w:evenHBand="0" w:firstRowFirstColumn="0" w:firstRowLastColumn="0" w:lastRowFirstColumn="0" w:lastRowLastColumn="0"/>
              <w:rPr>
                <w:color w:val="auto"/>
                <w:sz w:val="24"/>
              </w:rPr>
            </w:pPr>
            <w:r w:rsidRPr="009E1367">
              <w:t>A number of targets are being achieved.</w:t>
            </w:r>
          </w:p>
          <w:p w14:paraId="49F30AB7" w14:textId="77777777" w:rsidR="00E8342B" w:rsidRPr="009E1367" w:rsidRDefault="00E8342B" w:rsidP="00FC7F6A">
            <w:pPr>
              <w:numPr>
                <w:ilvl w:val="0"/>
                <w:numId w:val="13"/>
              </w:numPr>
              <w:tabs>
                <w:tab w:val="num" w:pos="720"/>
              </w:tabs>
              <w:spacing w:before="120" w:after="120"/>
              <w:ind w:left="357" w:hanging="215"/>
              <w:jc w:val="both"/>
              <w:cnfStyle w:val="000000000000" w:firstRow="0" w:lastRow="0" w:firstColumn="0" w:lastColumn="0" w:oddVBand="0" w:evenVBand="0" w:oddHBand="0" w:evenHBand="0" w:firstRowFirstColumn="0" w:firstRowLastColumn="0" w:lastRowFirstColumn="0" w:lastRowLastColumn="0"/>
              <w:rPr>
                <w:color w:val="auto"/>
                <w:sz w:val="24"/>
              </w:rPr>
            </w:pPr>
            <w:r w:rsidRPr="009E1367">
              <w:t>The NP has created efficiencies in the YAT area through better coordination of initiatives and information sharing.</w:t>
            </w:r>
          </w:p>
          <w:p w14:paraId="0BEED91D" w14:textId="77777777" w:rsidR="00497DBB" w:rsidRPr="009E1367" w:rsidRDefault="00E8342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The Compact appears to have increased participation and reduced benefit recipients at minimal cost.</w:t>
            </w:r>
          </w:p>
        </w:tc>
      </w:tr>
      <w:tr w:rsidR="00497DBB" w:rsidRPr="009E1367" w14:paraId="6D6A3C0A" w14:textId="77777777" w:rsidTr="00F935CF">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CCCCCC"/>
            <w:vAlign w:val="top"/>
          </w:tcPr>
          <w:p w14:paraId="13458774" w14:textId="77777777" w:rsidR="00497DBB" w:rsidRPr="009E1367" w:rsidRDefault="00497DBB" w:rsidP="00F935CF">
            <w:pPr>
              <w:spacing w:before="120" w:after="120"/>
              <w:rPr>
                <w:b w:val="0"/>
                <w:color w:val="auto"/>
                <w:sz w:val="24"/>
              </w:rPr>
            </w:pPr>
            <w:r w:rsidRPr="009E1367">
              <w:t>Is it well governed and implemented?</w:t>
            </w:r>
          </w:p>
        </w:tc>
      </w:tr>
      <w:tr w:rsidR="00497DBB" w:rsidRPr="009E1367" w14:paraId="6427D709"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1F8E2FBD" w14:textId="77777777" w:rsidR="00497DBB" w:rsidRPr="009E1367" w:rsidRDefault="00497DBB" w:rsidP="00DF0FF7">
            <w:pPr>
              <w:spacing w:before="120" w:after="120"/>
              <w:rPr>
                <w:b w:val="0"/>
                <w:color w:val="595959" w:themeColor="text1" w:themeTint="A6"/>
                <w:sz w:val="24"/>
              </w:rPr>
            </w:pPr>
            <w:r w:rsidRPr="009E1367">
              <w:rPr>
                <w:rFonts w:asciiTheme="minorHAnsi" w:hAnsiTheme="minorHAnsi" w:cs="Arial"/>
                <w:b w:val="0"/>
                <w:bCs/>
                <w:color w:val="595959" w:themeColor="text1" w:themeTint="A6"/>
              </w:rPr>
              <w:t>How well have stakeholders collaborated on the design and delivery of the NP?</w:t>
            </w:r>
          </w:p>
        </w:tc>
        <w:tc>
          <w:tcPr>
            <w:tcW w:w="3401" w:type="dxa"/>
            <w:vAlign w:val="top"/>
          </w:tcPr>
          <w:p w14:paraId="2CCA32EA"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Collaboration has generally been strong during the NP</w:t>
            </w:r>
          </w:p>
        </w:tc>
        <w:tc>
          <w:tcPr>
            <w:tcW w:w="3544" w:type="dxa"/>
          </w:tcPr>
          <w:p w14:paraId="640FF8E6"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 change – the Australian Government and States and Territories continue to work in partnership to deliver the NP.</w:t>
            </w:r>
          </w:p>
          <w:p w14:paraId="53CC6ABE"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NP program service providers collaborate through national and State/Territory networks to make program improvements and get programs to work together better.</w:t>
            </w:r>
          </w:p>
        </w:tc>
      </w:tr>
      <w:tr w:rsidR="00497DBB" w:rsidRPr="009E1367" w14:paraId="5559F164"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67715034" w14:textId="77777777" w:rsidR="00497DBB" w:rsidRPr="009E1367" w:rsidRDefault="00497DBB" w:rsidP="00DF0FF7">
            <w:pPr>
              <w:spacing w:before="120" w:after="120"/>
              <w:rPr>
                <w:b w:val="0"/>
                <w:color w:val="595959" w:themeColor="text1" w:themeTint="A6"/>
                <w:sz w:val="24"/>
              </w:rPr>
            </w:pPr>
            <w:r w:rsidRPr="009E1367">
              <w:rPr>
                <w:rFonts w:asciiTheme="minorHAnsi" w:hAnsiTheme="minorHAnsi" w:cs="Arial"/>
                <w:b w:val="0"/>
                <w:bCs/>
                <w:color w:val="595959" w:themeColor="text1" w:themeTint="A6"/>
              </w:rPr>
              <w:t>Is governance of the NP working effectively?</w:t>
            </w:r>
          </w:p>
        </w:tc>
        <w:tc>
          <w:tcPr>
            <w:tcW w:w="3401" w:type="dxa"/>
            <w:vAlign w:val="top"/>
          </w:tcPr>
          <w:p w14:paraId="011ED63A"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Appropriate governance arrangements are in place at national, jurisdictional and program levels – although it is difficult for some stakeholders to participate in these</w:t>
            </w:r>
          </w:p>
          <w:p w14:paraId="170D21CD"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Positive relationships can generally be seen between stakeholders and the Commonwealth</w:t>
            </w:r>
          </w:p>
        </w:tc>
        <w:tc>
          <w:tcPr>
            <w:tcW w:w="3544" w:type="dxa"/>
            <w:vAlign w:val="top"/>
          </w:tcPr>
          <w:p w14:paraId="6DD667D3"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 change – good cooperation exists between the Australian Government and States and Territories.</w:t>
            </w:r>
          </w:p>
        </w:tc>
      </w:tr>
      <w:tr w:rsidR="00497DBB" w:rsidRPr="009E1367" w14:paraId="10BA6B22"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768E6291" w14:textId="77777777" w:rsidR="00497DBB" w:rsidRPr="009E1367" w:rsidRDefault="00497DBB" w:rsidP="00DF0FF7">
            <w:pPr>
              <w:spacing w:before="120" w:after="120"/>
              <w:ind w:left="0"/>
              <w:rPr>
                <w:b w:val="0"/>
                <w:color w:val="595959" w:themeColor="text1" w:themeTint="A6"/>
                <w:sz w:val="24"/>
              </w:rPr>
            </w:pPr>
            <w:r w:rsidRPr="009E1367">
              <w:rPr>
                <w:rFonts w:asciiTheme="minorHAnsi" w:hAnsiTheme="minorHAnsi" w:cs="Arial"/>
                <w:bCs/>
                <w:color w:val="595959" w:themeColor="text1" w:themeTint="A6"/>
              </w:rPr>
              <w:t>How well is performance reporting working?</w:t>
            </w:r>
          </w:p>
        </w:tc>
        <w:tc>
          <w:tcPr>
            <w:tcW w:w="3401" w:type="dxa"/>
            <w:vAlign w:val="top"/>
          </w:tcPr>
          <w:p w14:paraId="4F683B54"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Key NP measures and data sources (that underpin reward payments) are flawed</w:t>
            </w:r>
          </w:p>
          <w:p w14:paraId="6CB8D9A8"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lastRenderedPageBreak/>
              <w:t>State and Territory performance reporting is in place, but could be improved to address needs of the non-government sector and present impacts/lessons learned from jurisdictional activities</w:t>
            </w:r>
          </w:p>
          <w:p w14:paraId="0A830190"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Program administration and quality of reporting was challenging at first but is improving</w:t>
            </w:r>
          </w:p>
        </w:tc>
        <w:tc>
          <w:tcPr>
            <w:tcW w:w="3544" w:type="dxa"/>
          </w:tcPr>
          <w:p w14:paraId="5EDFAAC8" w14:textId="77777777" w:rsidR="00497DBB" w:rsidRPr="00700D34"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0"/>
              </w:rPr>
            </w:pPr>
            <w:r w:rsidRPr="00700D34">
              <w:rPr>
                <w:color w:val="auto"/>
              </w:rPr>
              <w:lastRenderedPageBreak/>
              <w:t>Targets have focussed attention on the need for quality data.</w:t>
            </w:r>
          </w:p>
          <w:p w14:paraId="45A7A0B5" w14:textId="77777777" w:rsidR="00497DBB" w:rsidRPr="00700D34"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0"/>
              </w:rPr>
            </w:pPr>
            <w:r>
              <w:rPr>
                <w:color w:val="auto"/>
              </w:rPr>
              <w:lastRenderedPageBreak/>
              <w:t>Agreement has not yet been</w:t>
            </w:r>
            <w:r w:rsidRPr="00700D34">
              <w:rPr>
                <w:color w:val="auto"/>
              </w:rPr>
              <w:t xml:space="preserve"> reached on the measures underpinning </w:t>
            </w:r>
            <w:r w:rsidR="001F5C77">
              <w:rPr>
                <w:color w:val="auto"/>
              </w:rPr>
              <w:t xml:space="preserve">attainment </w:t>
            </w:r>
            <w:r w:rsidRPr="00700D34">
              <w:rPr>
                <w:color w:val="auto"/>
              </w:rPr>
              <w:t>reward payments.</w:t>
            </w:r>
          </w:p>
          <w:p w14:paraId="4ACD28BA" w14:textId="77777777" w:rsidR="00497DBB" w:rsidRPr="00700D34"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0"/>
              </w:rPr>
            </w:pPr>
            <w:r w:rsidRPr="00700D34">
              <w:rPr>
                <w:color w:val="auto"/>
              </w:rPr>
              <w:t>Annual State and Territory performance reporting has begun to show the outcomes of activities.</w:t>
            </w:r>
          </w:p>
          <w:p w14:paraId="3BA053C4"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0"/>
              </w:rPr>
            </w:pPr>
            <w:r w:rsidRPr="00700D34">
              <w:rPr>
                <w:color w:val="auto"/>
              </w:rPr>
              <w:t>Some program reporting gives limited insight into the impact of programs on youth attainment and transition outcomes.</w:t>
            </w:r>
          </w:p>
        </w:tc>
      </w:tr>
      <w:tr w:rsidR="00497DBB" w:rsidRPr="009E1367" w14:paraId="28FDA74B"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5AACC487" w14:textId="77777777" w:rsidR="00497DBB" w:rsidRPr="009E1367" w:rsidRDefault="00497DBB" w:rsidP="00DF0FF7">
            <w:pPr>
              <w:spacing w:before="120" w:after="120"/>
              <w:rPr>
                <w:rFonts w:asciiTheme="minorHAnsi" w:hAnsiTheme="minorHAnsi" w:cs="Arial"/>
                <w:b w:val="0"/>
                <w:bCs/>
                <w:color w:val="595959" w:themeColor="text1" w:themeTint="A6"/>
                <w:sz w:val="24"/>
              </w:rPr>
            </w:pPr>
            <w:r w:rsidRPr="009E1367">
              <w:rPr>
                <w:rFonts w:asciiTheme="minorHAnsi" w:hAnsiTheme="minorHAnsi" w:cs="Arial"/>
                <w:b w:val="0"/>
                <w:bCs/>
                <w:color w:val="595959" w:themeColor="text1" w:themeTint="A6"/>
              </w:rPr>
              <w:lastRenderedPageBreak/>
              <w:t>How effective is communication?</w:t>
            </w:r>
          </w:p>
        </w:tc>
        <w:tc>
          <w:tcPr>
            <w:tcW w:w="3401" w:type="dxa"/>
            <w:vAlign w:val="top"/>
          </w:tcPr>
          <w:p w14:paraId="30FC4C54"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Stakeholders generally understand the NP objectives and value – Partnership Brokers and National Career Development are exceptions.</w:t>
            </w:r>
          </w:p>
        </w:tc>
        <w:tc>
          <w:tcPr>
            <w:tcW w:w="3544" w:type="dxa"/>
          </w:tcPr>
          <w:p w14:paraId="5A0911D3"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Not formally assessed in Year two – stakeholder views were consistent with Year one</w:t>
            </w:r>
          </w:p>
        </w:tc>
      </w:tr>
    </w:tbl>
    <w:p w14:paraId="2607A158" w14:textId="77777777" w:rsidR="00497DBB" w:rsidRPr="009E1367" w:rsidRDefault="00497DBB" w:rsidP="00497DBB">
      <w:pPr>
        <w:pStyle w:val="Heading2"/>
      </w:pPr>
      <w:bookmarkStart w:id="58" w:name="_Toc210269995"/>
      <w:bookmarkStart w:id="59" w:name="_Toc219347243"/>
      <w:r w:rsidRPr="009E1367">
        <w:t>Changes to what is happening under the NP since the Year 1 evaluation</w:t>
      </w:r>
      <w:bookmarkEnd w:id="55"/>
      <w:bookmarkEnd w:id="58"/>
      <w:bookmarkEnd w:id="59"/>
    </w:p>
    <w:tbl>
      <w:tblPr>
        <w:tblStyle w:val="DandoloTableLeft"/>
        <w:tblW w:w="9639" w:type="dxa"/>
        <w:tblLook w:val="04A0" w:firstRow="1" w:lastRow="0" w:firstColumn="1" w:lastColumn="0" w:noHBand="0" w:noVBand="1"/>
        <w:tblCaption w:val="Summary assessment of What is happening? "/>
        <w:tblDescription w:val="Summary assessment of What is happening? "/>
      </w:tblPr>
      <w:tblGrid>
        <w:gridCol w:w="2694"/>
        <w:gridCol w:w="3401"/>
        <w:gridCol w:w="3544"/>
      </w:tblGrid>
      <w:tr w:rsidR="00497DBB" w:rsidRPr="009E1367" w14:paraId="58F0F868"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DC5702F" w14:textId="77777777" w:rsidR="00497DBB" w:rsidRPr="009E1367" w:rsidRDefault="00497DBB" w:rsidP="00F935CF">
            <w:pPr>
              <w:spacing w:before="120" w:after="120"/>
              <w:rPr>
                <w:b/>
                <w:color w:val="595959" w:themeColor="text1" w:themeTint="A6"/>
              </w:rPr>
            </w:pPr>
            <w:r w:rsidRPr="009E1367">
              <w:t>Evaluation question</w:t>
            </w:r>
          </w:p>
        </w:tc>
        <w:tc>
          <w:tcPr>
            <w:tcW w:w="3401" w:type="dxa"/>
            <w:vAlign w:val="top"/>
          </w:tcPr>
          <w:p w14:paraId="6A6D6BED" w14:textId="77777777" w:rsidR="00497DBB" w:rsidRPr="009E1367" w:rsidRDefault="00497DBB" w:rsidP="00F935CF">
            <w:pPr>
              <w:spacing w:before="120" w:after="120"/>
              <w:cnfStyle w:val="100000000000" w:firstRow="1" w:lastRow="0" w:firstColumn="0" w:lastColumn="0" w:oddVBand="0" w:evenVBand="0" w:oddHBand="0" w:evenHBand="0" w:firstRowFirstColumn="0" w:firstRowLastColumn="0" w:lastRowFirstColumn="0" w:lastRowLastColumn="0"/>
              <w:rPr>
                <w:b/>
              </w:rPr>
            </w:pPr>
            <w:r w:rsidRPr="009E1367">
              <w:rPr>
                <w:b/>
              </w:rPr>
              <w:t>Assessment in Year 1</w:t>
            </w:r>
          </w:p>
        </w:tc>
        <w:tc>
          <w:tcPr>
            <w:tcW w:w="3544" w:type="dxa"/>
          </w:tcPr>
          <w:p w14:paraId="02D24D6D" w14:textId="77777777" w:rsidR="00497DBB" w:rsidRPr="009E1367" w:rsidRDefault="00497DBB" w:rsidP="00F935CF">
            <w:pPr>
              <w:spacing w:before="120" w:after="120"/>
              <w:cnfStyle w:val="100000000000" w:firstRow="1" w:lastRow="0" w:firstColumn="0" w:lastColumn="0" w:oddVBand="0" w:evenVBand="0" w:oddHBand="0" w:evenHBand="0" w:firstRowFirstColumn="0" w:firstRowLastColumn="0" w:lastRowFirstColumn="0" w:lastRowLastColumn="0"/>
              <w:rPr>
                <w:b/>
              </w:rPr>
            </w:pPr>
            <w:r w:rsidRPr="009E1367">
              <w:rPr>
                <w:b/>
              </w:rPr>
              <w:t>Changes in Year 2</w:t>
            </w:r>
          </w:p>
        </w:tc>
      </w:tr>
      <w:tr w:rsidR="00497DBB" w:rsidRPr="009E1367" w14:paraId="30311B32" w14:textId="77777777" w:rsidTr="00F935CF">
        <w:tc>
          <w:tcPr>
            <w:cnfStyle w:val="001000000000" w:firstRow="0" w:lastRow="0" w:firstColumn="1" w:lastColumn="0" w:oddVBand="0" w:evenVBand="0" w:oddHBand="0" w:evenHBand="0" w:firstRowFirstColumn="0" w:firstRowLastColumn="0" w:lastRowFirstColumn="0" w:lastRowLastColumn="0"/>
            <w:tcW w:w="2694" w:type="dxa"/>
            <w:shd w:val="clear" w:color="auto" w:fill="D9D9D9" w:themeFill="background1" w:themeFillShade="D9"/>
            <w:vAlign w:val="top"/>
          </w:tcPr>
          <w:p w14:paraId="2F769543" w14:textId="77777777" w:rsidR="00497DBB" w:rsidRPr="009E1367" w:rsidRDefault="00497DBB" w:rsidP="00F935CF">
            <w:pPr>
              <w:spacing w:before="120" w:after="120"/>
            </w:pPr>
            <w:r w:rsidRPr="009E1367">
              <w:t>What is happening?</w:t>
            </w:r>
          </w:p>
        </w:tc>
        <w:tc>
          <w:tcPr>
            <w:tcW w:w="3401" w:type="dxa"/>
            <w:shd w:val="clear" w:color="auto" w:fill="D9D9D9" w:themeFill="background1" w:themeFillShade="D9"/>
            <w:vAlign w:val="top"/>
          </w:tcPr>
          <w:p w14:paraId="7348EFE5"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rPr>
            </w:pPr>
          </w:p>
        </w:tc>
        <w:tc>
          <w:tcPr>
            <w:tcW w:w="3544" w:type="dxa"/>
            <w:shd w:val="clear" w:color="auto" w:fill="D9D9D9" w:themeFill="background1" w:themeFillShade="D9"/>
          </w:tcPr>
          <w:p w14:paraId="50282C1C"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rPr>
            </w:pPr>
          </w:p>
        </w:tc>
      </w:tr>
      <w:tr w:rsidR="00497DBB" w:rsidRPr="009E1367" w14:paraId="1E94228F" w14:textId="77777777" w:rsidTr="00F935CF">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800000"/>
            </w:tcBorders>
            <w:vAlign w:val="top"/>
          </w:tcPr>
          <w:p w14:paraId="66ED0BA7" w14:textId="77777777" w:rsidR="00497DBB" w:rsidRPr="009E1367" w:rsidRDefault="00497DBB" w:rsidP="00DF0FF7">
            <w:pPr>
              <w:spacing w:before="120" w:after="120"/>
              <w:rPr>
                <w:b w:val="0"/>
                <w:color w:val="595959" w:themeColor="text1" w:themeTint="A6"/>
                <w:sz w:val="24"/>
              </w:rPr>
            </w:pPr>
            <w:r w:rsidRPr="009E1367">
              <w:rPr>
                <w:b w:val="0"/>
                <w:color w:val="595959" w:themeColor="text1" w:themeTint="A6"/>
              </w:rPr>
              <w:t>Has the NP led to changes in activities directed toward participation, attainment and transition outcomes?</w:t>
            </w:r>
          </w:p>
        </w:tc>
        <w:tc>
          <w:tcPr>
            <w:tcW w:w="3401" w:type="dxa"/>
            <w:tcBorders>
              <w:bottom w:val="single" w:sz="4" w:space="0" w:color="800000"/>
            </w:tcBorders>
            <w:vAlign w:val="top"/>
          </w:tcPr>
          <w:p w14:paraId="2EE4F23E"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There is an elevated profile for, and sharpened focus on, YAT issues and outcomes across jurisdictions</w:t>
            </w:r>
          </w:p>
          <w:p w14:paraId="202DEF92"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The NP has been a catalyst to improve collaboration across education and training sectors to better understand issues and strategies to improve participation, attainment and transitions</w:t>
            </w:r>
          </w:p>
          <w:p w14:paraId="1D4C6C9D"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The NP has increased attention and support for young Australians who have disengaged or are at risk of disengaging from education and training</w:t>
            </w:r>
          </w:p>
          <w:p w14:paraId="17EF7BD5" w14:textId="77777777" w:rsidR="00497DBB" w:rsidRPr="009E1367" w:rsidRDefault="00497DBB" w:rsidP="00DF0FF7">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While funding is seen as limited by jurisdictions, it has enabled them to bolster existing (and implement some new) initiatives</w:t>
            </w:r>
          </w:p>
        </w:tc>
        <w:tc>
          <w:tcPr>
            <w:tcW w:w="3544" w:type="dxa"/>
            <w:tcBorders>
              <w:bottom w:val="single" w:sz="4" w:space="0" w:color="800000"/>
            </w:tcBorders>
            <w:vAlign w:val="top"/>
          </w:tcPr>
          <w:p w14:paraId="596E6814"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Minimal change in the NP activities</w:t>
            </w:r>
          </w:p>
          <w:p w14:paraId="7B9BAEF7" w14:textId="77777777" w:rsidR="00497DBB"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 xml:space="preserve">There has been some contraction of </w:t>
            </w:r>
            <w:r>
              <w:t xml:space="preserve">Australian Government </w:t>
            </w:r>
            <w:r w:rsidRPr="009E1367">
              <w:t>investment in the NP ($17 million for national career development initiatives) and State and Territory activity outside of the NP directed at improving YAT outcomes</w:t>
            </w:r>
          </w:p>
        </w:tc>
      </w:tr>
    </w:tbl>
    <w:p w14:paraId="33FE7FEC" w14:textId="77777777" w:rsidR="00497DBB" w:rsidRPr="009E1367" w:rsidRDefault="00497DBB" w:rsidP="00497DBB">
      <w:pPr>
        <w:pStyle w:val="BodyText"/>
      </w:pPr>
      <w:r w:rsidRPr="009E1367">
        <w:t>The NP has continued to be implemente</w:t>
      </w:r>
      <w:r>
        <w:t>d according to the NP Agreement and</w:t>
      </w:r>
      <w:r w:rsidRPr="009E1367">
        <w:t xml:space="preserve"> continued to focus e</w:t>
      </w:r>
      <w:r>
        <w:t>ffort on improving YAT outcomes. Relative to previous investment in the YAT area,</w:t>
      </w:r>
      <w:r w:rsidRPr="009E1367">
        <w:t xml:space="preserve"> the overall level of investment has not increased significantly</w:t>
      </w:r>
      <w:r>
        <w:t xml:space="preserve"> through the NP</w:t>
      </w:r>
      <w:r w:rsidRPr="009E1367">
        <w:t>.</w:t>
      </w:r>
      <w:r>
        <w:t xml:space="preserve"> </w:t>
      </w:r>
      <w:r w:rsidRPr="009E1367">
        <w:t>The NP elements have had varying levels of success in achieving their targeted outcomes. However, progress is apparent in all areas.</w:t>
      </w:r>
    </w:p>
    <w:p w14:paraId="457E4E83" w14:textId="77777777" w:rsidR="00497DBB" w:rsidRPr="009E1367" w:rsidRDefault="00497DBB" w:rsidP="00497DBB">
      <w:pPr>
        <w:pStyle w:val="BodyText"/>
        <w:spacing w:after="0"/>
      </w:pPr>
      <w:r w:rsidRPr="009E1367">
        <w:t>Overall, there have been minimal changes to the activity under the NP since Year 1 of the evaluation. The most significant changes include the following:</w:t>
      </w:r>
    </w:p>
    <w:p w14:paraId="1996BFE6" w14:textId="77777777" w:rsidR="00497DBB" w:rsidRPr="009E1367" w:rsidRDefault="00497DBB" w:rsidP="00E8342B">
      <w:pPr>
        <w:pStyle w:val="ListBullet"/>
      </w:pPr>
      <w:r w:rsidRPr="009E1367">
        <w:t xml:space="preserve">Some States and Territories have adjusted the </w:t>
      </w:r>
      <w:r>
        <w:t xml:space="preserve">timing, scope and </w:t>
      </w:r>
      <w:r w:rsidRPr="009E1367">
        <w:t>funding of MEAST-funded initiatives</w:t>
      </w:r>
    </w:p>
    <w:p w14:paraId="474C98E5" w14:textId="77777777" w:rsidR="00497DBB" w:rsidRPr="009E1367" w:rsidRDefault="00497DBB" w:rsidP="00286D25">
      <w:pPr>
        <w:pStyle w:val="ListBullet"/>
      </w:pPr>
      <w:r w:rsidRPr="009E1367">
        <w:t>The Green Paper on National Career Development was released and the NCDS was announced</w:t>
      </w:r>
    </w:p>
    <w:p w14:paraId="609267D3" w14:textId="77777777" w:rsidR="00E8342B" w:rsidRDefault="00497DBB" w:rsidP="002E0407">
      <w:pPr>
        <w:pStyle w:val="ListBullet"/>
      </w:pPr>
      <w:r w:rsidRPr="009E1367">
        <w:t>The education and training place entitlement part of The Compact with Young Australians has ended – the States and Territories have reported that this has been embedded into ongoing arrangements.</w:t>
      </w:r>
    </w:p>
    <w:p w14:paraId="6BA5F34D" w14:textId="77777777" w:rsidR="00E8342B" w:rsidRDefault="00E8342B">
      <w:pPr>
        <w:spacing w:line="380" w:lineRule="atLeast"/>
      </w:pPr>
      <w:r>
        <w:br w:type="page"/>
      </w:r>
    </w:p>
    <w:p w14:paraId="5873AF28" w14:textId="77777777" w:rsidR="00497DBB" w:rsidRPr="009E1367" w:rsidRDefault="00497DBB" w:rsidP="00497DBB">
      <w:pPr>
        <w:pStyle w:val="Heading2"/>
      </w:pPr>
      <w:bookmarkStart w:id="60" w:name="_Toc199926701"/>
      <w:bookmarkStart w:id="61" w:name="_Toc210269996"/>
      <w:bookmarkStart w:id="62" w:name="_Toc219347244"/>
      <w:r w:rsidRPr="009E1367">
        <w:lastRenderedPageBreak/>
        <w:t>Effectiveness</w:t>
      </w:r>
      <w:bookmarkEnd w:id="60"/>
      <w:bookmarkEnd w:id="61"/>
      <w:bookmarkEnd w:id="62"/>
    </w:p>
    <w:tbl>
      <w:tblPr>
        <w:tblStyle w:val="DandoloTableLeft"/>
        <w:tblW w:w="9639" w:type="dxa"/>
        <w:tblLook w:val="04A0" w:firstRow="1" w:lastRow="0" w:firstColumn="1" w:lastColumn="0" w:noHBand="0" w:noVBand="1"/>
        <w:tblCaption w:val="Summary assessment of Is is working?"/>
        <w:tblDescription w:val="Summary assessment of Is is working?"/>
      </w:tblPr>
      <w:tblGrid>
        <w:gridCol w:w="2694"/>
        <w:gridCol w:w="3401"/>
        <w:gridCol w:w="3544"/>
      </w:tblGrid>
      <w:tr w:rsidR="00497DBB" w:rsidRPr="009E1367" w14:paraId="26398E1E"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91377CE" w14:textId="77777777" w:rsidR="00497DBB" w:rsidRPr="009E1367" w:rsidRDefault="00497DBB" w:rsidP="00F935CF">
            <w:pPr>
              <w:spacing w:before="120" w:after="120"/>
              <w:rPr>
                <w:b/>
                <w:color w:val="595959" w:themeColor="text1" w:themeTint="A6"/>
              </w:rPr>
            </w:pPr>
            <w:r w:rsidRPr="009E1367">
              <w:rPr>
                <w:b/>
              </w:rPr>
              <w:t>Evaluation question</w:t>
            </w:r>
          </w:p>
        </w:tc>
        <w:tc>
          <w:tcPr>
            <w:tcW w:w="3401" w:type="dxa"/>
            <w:vAlign w:val="top"/>
          </w:tcPr>
          <w:p w14:paraId="2AE817B8" w14:textId="77777777" w:rsidR="00497DBB" w:rsidRPr="009E1367" w:rsidRDefault="00497DBB" w:rsidP="00F935CF">
            <w:pPr>
              <w:spacing w:before="120" w:after="120"/>
              <w:cnfStyle w:val="100000000000" w:firstRow="1" w:lastRow="0" w:firstColumn="0" w:lastColumn="0" w:oddVBand="0" w:evenVBand="0" w:oddHBand="0" w:evenHBand="0" w:firstRowFirstColumn="0" w:firstRowLastColumn="0" w:lastRowFirstColumn="0" w:lastRowLastColumn="0"/>
              <w:rPr>
                <w:b/>
              </w:rPr>
            </w:pPr>
            <w:r w:rsidRPr="009E1367">
              <w:rPr>
                <w:b/>
              </w:rPr>
              <w:t>Assessment in Year 1</w:t>
            </w:r>
          </w:p>
        </w:tc>
        <w:tc>
          <w:tcPr>
            <w:tcW w:w="3544" w:type="dxa"/>
          </w:tcPr>
          <w:p w14:paraId="24E2A751" w14:textId="77777777" w:rsidR="00497DBB" w:rsidRPr="009E1367" w:rsidRDefault="00497DBB" w:rsidP="00F935CF">
            <w:pPr>
              <w:spacing w:before="120" w:after="120"/>
              <w:cnfStyle w:val="100000000000" w:firstRow="1" w:lastRow="0" w:firstColumn="0" w:lastColumn="0" w:oddVBand="0" w:evenVBand="0" w:oddHBand="0" w:evenHBand="0" w:firstRowFirstColumn="0" w:firstRowLastColumn="0" w:lastRowFirstColumn="0" w:lastRowLastColumn="0"/>
              <w:rPr>
                <w:b/>
              </w:rPr>
            </w:pPr>
            <w:r w:rsidRPr="009E1367">
              <w:rPr>
                <w:b/>
              </w:rPr>
              <w:t>Changes in Year 2</w:t>
            </w:r>
          </w:p>
        </w:tc>
      </w:tr>
      <w:tr w:rsidR="00497DBB" w:rsidRPr="009E1367" w14:paraId="09546E83" w14:textId="77777777" w:rsidTr="00F935CF">
        <w:tc>
          <w:tcPr>
            <w:cnfStyle w:val="001000000000" w:firstRow="0" w:lastRow="0" w:firstColumn="1" w:lastColumn="0" w:oddVBand="0" w:evenVBand="0" w:oddHBand="0" w:evenHBand="0" w:firstRowFirstColumn="0" w:firstRowLastColumn="0" w:lastRowFirstColumn="0" w:lastRowLastColumn="0"/>
            <w:tcW w:w="2694" w:type="dxa"/>
            <w:shd w:val="clear" w:color="auto" w:fill="CCCCCC"/>
            <w:vAlign w:val="top"/>
          </w:tcPr>
          <w:p w14:paraId="090DD783" w14:textId="77777777" w:rsidR="00497DBB" w:rsidRPr="009E1367" w:rsidRDefault="00497DBB" w:rsidP="00F935CF">
            <w:pPr>
              <w:spacing w:before="120" w:after="120"/>
              <w:rPr>
                <w:b w:val="0"/>
                <w:color w:val="auto"/>
                <w:sz w:val="24"/>
              </w:rPr>
            </w:pPr>
            <w:r w:rsidRPr="009E1367">
              <w:t>Is it working?</w:t>
            </w:r>
          </w:p>
        </w:tc>
        <w:tc>
          <w:tcPr>
            <w:tcW w:w="3401" w:type="dxa"/>
            <w:shd w:val="clear" w:color="auto" w:fill="CCCCCC"/>
            <w:vAlign w:val="top"/>
          </w:tcPr>
          <w:p w14:paraId="7311826C"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tcW w:w="3544" w:type="dxa"/>
            <w:shd w:val="clear" w:color="auto" w:fill="CCCCCC"/>
          </w:tcPr>
          <w:p w14:paraId="01C54E2B" w14:textId="77777777" w:rsidR="00497DBB" w:rsidRPr="009E1367" w:rsidRDefault="00497DBB" w:rsidP="00F935CF">
            <w:pPr>
              <w:spacing w:before="120" w:after="120"/>
              <w:cnfStyle w:val="000000000000" w:firstRow="0" w:lastRow="0" w:firstColumn="0" w:lastColumn="0" w:oddVBand="0" w:evenVBand="0" w:oddHBand="0" w:evenHBand="0" w:firstRowFirstColumn="0" w:firstRowLastColumn="0" w:lastRowFirstColumn="0" w:lastRowLastColumn="0"/>
              <w:rPr>
                <w:b/>
                <w:color w:val="000000" w:themeColor="text1"/>
                <w:sz w:val="24"/>
              </w:rPr>
            </w:pPr>
          </w:p>
        </w:tc>
      </w:tr>
      <w:tr w:rsidR="00497DBB" w:rsidRPr="001B09E6" w14:paraId="73501C34"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0720557D" w14:textId="77777777" w:rsidR="00497DBB" w:rsidRPr="001B09E6" w:rsidRDefault="00497DBB" w:rsidP="00F935CF">
            <w:pPr>
              <w:spacing w:before="120" w:after="120"/>
              <w:rPr>
                <w:b w:val="0"/>
                <w:color w:val="595959" w:themeColor="text1" w:themeTint="A6"/>
              </w:rPr>
            </w:pPr>
            <w:r w:rsidRPr="001B09E6">
              <w:rPr>
                <w:b w:val="0"/>
                <w:color w:val="595959" w:themeColor="text1" w:themeTint="A6"/>
              </w:rPr>
              <w:t>Has young people’s participation in education and training increased?</w:t>
            </w:r>
          </w:p>
        </w:tc>
        <w:tc>
          <w:tcPr>
            <w:tcW w:w="3401" w:type="dxa"/>
            <w:vAlign w:val="top"/>
          </w:tcPr>
          <w:p w14:paraId="7E7C41DD" w14:textId="77777777" w:rsidR="00497DBB" w:rsidRPr="001B09E6" w:rsidRDefault="00497DBB" w:rsidP="00F935CF">
            <w:pPr>
              <w:spacing w:before="120" w:after="120"/>
              <w:cnfStyle w:val="000000000000" w:firstRow="0" w:lastRow="0" w:firstColumn="0" w:lastColumn="0" w:oddVBand="0" w:evenVBand="0" w:oddHBand="0" w:evenHBand="0" w:firstRowFirstColumn="0" w:firstRowLastColumn="0" w:lastRowFirstColumn="0" w:lastRowLastColumn="0"/>
            </w:pPr>
            <w:r w:rsidRPr="001B09E6">
              <w:t>There has been an increase in participation levels since the NP was introduced, mainly among younger cohorts (16–17-year-olds). The Compact appears to be having an impact in this regard; however, the influence of other factors such as the GFC needs to be recognised.</w:t>
            </w:r>
          </w:p>
        </w:tc>
        <w:tc>
          <w:tcPr>
            <w:tcW w:w="3544" w:type="dxa"/>
          </w:tcPr>
          <w:p w14:paraId="7FF7A555" w14:textId="77777777" w:rsidR="00497DBB" w:rsidRPr="001B09E6" w:rsidRDefault="00497DBB" w:rsidP="00FC7F6A">
            <w:pPr>
              <w:numPr>
                <w:ilvl w:val="0"/>
                <w:numId w:val="13"/>
              </w:numPr>
              <w:tabs>
                <w:tab w:val="num" w:pos="720"/>
              </w:tabs>
              <w:spacing w:before="120" w:after="120"/>
              <w:cnfStyle w:val="000000000000" w:firstRow="0" w:lastRow="0" w:firstColumn="0" w:lastColumn="0" w:oddVBand="0" w:evenVBand="0" w:oddHBand="0" w:evenHBand="0" w:firstRowFirstColumn="0" w:firstRowLastColumn="0" w:lastRowFirstColumn="0" w:lastRowLastColumn="0"/>
            </w:pPr>
            <w:r w:rsidRPr="001B09E6">
              <w:t>Young people’s participation in full-time education and training has increased.</w:t>
            </w:r>
          </w:p>
          <w:p w14:paraId="5A8EB652" w14:textId="77777777" w:rsidR="00497DBB" w:rsidRPr="001B09E6" w:rsidRDefault="00497DBB" w:rsidP="00FC7F6A">
            <w:pPr>
              <w:numPr>
                <w:ilvl w:val="0"/>
                <w:numId w:val="13"/>
              </w:numPr>
              <w:tabs>
                <w:tab w:val="num" w:pos="720"/>
              </w:tabs>
              <w:spacing w:before="120" w:after="120"/>
              <w:cnfStyle w:val="000000000000" w:firstRow="0" w:lastRow="0" w:firstColumn="0" w:lastColumn="0" w:oddVBand="0" w:evenVBand="0" w:oddHBand="0" w:evenHBand="0" w:firstRowFirstColumn="0" w:firstRowLastColumn="0" w:lastRowFirstColumn="0" w:lastRowLastColumn="0"/>
            </w:pPr>
            <w:r w:rsidRPr="001B09E6">
              <w:t xml:space="preserve">The increase </w:t>
            </w:r>
            <w:r w:rsidR="00BF6CF1">
              <w:t>in participation</w:t>
            </w:r>
            <w:r w:rsidR="00BF6CF1" w:rsidRPr="001B09E6">
              <w:t xml:space="preserve"> </w:t>
            </w:r>
            <w:r w:rsidRPr="001B09E6">
              <w:t>among 15–19-year-olds between 2009 and 2012 was at a rate above the pre-GFC trend (2000–08).</w:t>
            </w:r>
          </w:p>
          <w:p w14:paraId="2FF55F27" w14:textId="77777777" w:rsidR="00497DBB" w:rsidRPr="001B09E6" w:rsidRDefault="00497DBB" w:rsidP="00FC7F6A">
            <w:pPr>
              <w:numPr>
                <w:ilvl w:val="0"/>
                <w:numId w:val="13"/>
              </w:numPr>
              <w:spacing w:before="120" w:after="120"/>
              <w:cnfStyle w:val="000000000000" w:firstRow="0" w:lastRow="0" w:firstColumn="0" w:lastColumn="0" w:oddVBand="0" w:evenVBand="0" w:oddHBand="0" w:evenHBand="0" w:firstRowFirstColumn="0" w:firstRowLastColumn="0" w:lastRowFirstColumn="0" w:lastRowLastColumn="0"/>
            </w:pPr>
            <w:r w:rsidRPr="001B09E6">
              <w:t>We can infer that The Compact has had an impact on teenagers, but not on 20–24-year-olds.</w:t>
            </w:r>
          </w:p>
        </w:tc>
      </w:tr>
      <w:tr w:rsidR="00497DBB" w:rsidRPr="001B09E6" w14:paraId="75FA4E06"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6356EA34" w14:textId="77777777" w:rsidR="00497DBB" w:rsidRPr="001B09E6" w:rsidRDefault="00497DBB" w:rsidP="00F935CF">
            <w:pPr>
              <w:spacing w:before="120" w:after="120"/>
              <w:rPr>
                <w:b w:val="0"/>
                <w:color w:val="595959" w:themeColor="text1" w:themeTint="A6"/>
              </w:rPr>
            </w:pPr>
            <w:r w:rsidRPr="001B09E6">
              <w:rPr>
                <w:b w:val="0"/>
                <w:color w:val="595959" w:themeColor="text1" w:themeTint="A6"/>
              </w:rPr>
              <w:t>Has young people’s attainment of Year 12 or equivalent qualifications increased?</w:t>
            </w:r>
          </w:p>
        </w:tc>
        <w:tc>
          <w:tcPr>
            <w:tcW w:w="3401" w:type="dxa"/>
            <w:vAlign w:val="top"/>
          </w:tcPr>
          <w:p w14:paraId="1863BBB6" w14:textId="77777777" w:rsidR="00497DBB" w:rsidRPr="001B09E6" w:rsidRDefault="00497DBB" w:rsidP="00F935CF">
            <w:pPr>
              <w:spacing w:before="120" w:after="120"/>
              <w:cnfStyle w:val="000000000000" w:firstRow="0" w:lastRow="0" w:firstColumn="0" w:lastColumn="0" w:oddVBand="0" w:evenVBand="0" w:oddHBand="0" w:evenHBand="0" w:firstRowFirstColumn="0" w:firstRowLastColumn="0" w:lastRowFirstColumn="0" w:lastRowLastColumn="0"/>
            </w:pPr>
            <w:r w:rsidRPr="001B09E6">
              <w:t>It is too soon to say whether attainment levels have changed during the term of the NP.</w:t>
            </w:r>
          </w:p>
        </w:tc>
        <w:tc>
          <w:tcPr>
            <w:tcW w:w="3544" w:type="dxa"/>
          </w:tcPr>
          <w:p w14:paraId="45250165" w14:textId="77777777" w:rsidR="00497DBB" w:rsidRPr="001B09E6" w:rsidRDefault="00497DBB" w:rsidP="00FC7F6A">
            <w:pPr>
              <w:numPr>
                <w:ilvl w:val="0"/>
                <w:numId w:val="14"/>
              </w:numPr>
              <w:tabs>
                <w:tab w:val="num" w:pos="720"/>
              </w:tabs>
              <w:spacing w:before="120" w:after="120"/>
              <w:cnfStyle w:val="000000000000" w:firstRow="0" w:lastRow="0" w:firstColumn="0" w:lastColumn="0" w:oddVBand="0" w:evenVBand="0" w:oddHBand="0" w:evenHBand="0" w:firstRowFirstColumn="0" w:firstRowLastColumn="0" w:lastRowFirstColumn="0" w:lastRowLastColumn="0"/>
            </w:pPr>
            <w:r w:rsidRPr="001B09E6">
              <w:t xml:space="preserve">Year 12 </w:t>
            </w:r>
            <w:r w:rsidR="00BF6CF1">
              <w:t>retention</w:t>
            </w:r>
            <w:r w:rsidR="00BF6CF1" w:rsidRPr="001B09E6">
              <w:t xml:space="preserve"> </w:t>
            </w:r>
            <w:r w:rsidRPr="001B09E6">
              <w:t>rates have increased since the NP was introduced in 2009, although there was a decrease from 2010–11.</w:t>
            </w:r>
          </w:p>
          <w:p w14:paraId="37B35616" w14:textId="77777777" w:rsidR="00497DBB" w:rsidRPr="001B09E6" w:rsidRDefault="00497DBB" w:rsidP="00FC7F6A">
            <w:pPr>
              <w:numPr>
                <w:ilvl w:val="0"/>
                <w:numId w:val="14"/>
              </w:numPr>
              <w:spacing w:before="120" w:after="120"/>
              <w:cnfStyle w:val="000000000000" w:firstRow="0" w:lastRow="0" w:firstColumn="0" w:lastColumn="0" w:oddVBand="0" w:evenVBand="0" w:oddHBand="0" w:evenHBand="0" w:firstRowFirstColumn="0" w:firstRowLastColumn="0" w:lastRowFirstColumn="0" w:lastRowLastColumn="0"/>
            </w:pPr>
            <w:r w:rsidRPr="001B09E6">
              <w:t>VET Certificate II and above attainment has increased from 2008–10.</w:t>
            </w:r>
          </w:p>
        </w:tc>
      </w:tr>
      <w:tr w:rsidR="00497DBB" w:rsidRPr="001B09E6" w14:paraId="1E4F0FA0"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1E9039B0" w14:textId="77777777" w:rsidR="00497DBB" w:rsidRPr="001B09E6" w:rsidRDefault="00497DBB" w:rsidP="00F935CF">
            <w:pPr>
              <w:spacing w:before="120" w:after="120"/>
              <w:rPr>
                <w:b w:val="0"/>
                <w:color w:val="595959" w:themeColor="text1" w:themeTint="A6"/>
              </w:rPr>
            </w:pPr>
            <w:r w:rsidRPr="001B09E6">
              <w:rPr>
                <w:b w:val="0"/>
                <w:color w:val="595959" w:themeColor="text1" w:themeTint="A6"/>
              </w:rPr>
              <w:t>Are more young people making successful transitions from school?</w:t>
            </w:r>
          </w:p>
        </w:tc>
        <w:tc>
          <w:tcPr>
            <w:tcW w:w="3401" w:type="dxa"/>
            <w:vAlign w:val="top"/>
          </w:tcPr>
          <w:p w14:paraId="1E01D202" w14:textId="77777777" w:rsidR="00497DBB" w:rsidRPr="001B09E6" w:rsidRDefault="00497DBB" w:rsidP="00F935CF">
            <w:pPr>
              <w:spacing w:before="120" w:after="120"/>
              <w:cnfStyle w:val="000000000000" w:firstRow="0" w:lastRow="0" w:firstColumn="0" w:lastColumn="0" w:oddVBand="0" w:evenVBand="0" w:oddHBand="0" w:evenHBand="0" w:firstRowFirstColumn="0" w:firstRowLastColumn="0" w:lastRowFirstColumn="0" w:lastRowLastColumn="0"/>
            </w:pPr>
            <w:r w:rsidRPr="001B09E6">
              <w:t>The NP may have had some positive impact upon the number of young people not in education and unemployed. However, the number of disengaged young people is still significant – and the state of the labour market has the most significant influence on transition outcomes.</w:t>
            </w:r>
          </w:p>
        </w:tc>
        <w:tc>
          <w:tcPr>
            <w:tcW w:w="3544" w:type="dxa"/>
          </w:tcPr>
          <w:p w14:paraId="46E24BA0" w14:textId="77777777" w:rsidR="00497DBB" w:rsidRPr="001B09E6" w:rsidRDefault="00497DBB" w:rsidP="00FC7F6A">
            <w:pPr>
              <w:numPr>
                <w:ilvl w:val="0"/>
                <w:numId w:val="15"/>
              </w:numPr>
              <w:tabs>
                <w:tab w:val="num" w:pos="720"/>
              </w:tabs>
              <w:spacing w:before="120" w:after="120"/>
              <w:cnfStyle w:val="000000000000" w:firstRow="0" w:lastRow="0" w:firstColumn="0" w:lastColumn="0" w:oddVBand="0" w:evenVBand="0" w:oddHBand="0" w:evenHBand="0" w:firstRowFirstColumn="0" w:firstRowLastColumn="0" w:lastRowFirstColumn="0" w:lastRowLastColumn="0"/>
            </w:pPr>
            <w:r w:rsidRPr="001B09E6">
              <w:t>Since 2009, it has become more difficult for young people to secure full-time employment, particularly</w:t>
            </w:r>
            <w:r w:rsidR="00BF6CF1">
              <w:t xml:space="preserve"> for</w:t>
            </w:r>
            <w:r w:rsidRPr="001B09E6">
              <w:t xml:space="preserve"> 15–19-year-olds but also </w:t>
            </w:r>
            <w:r w:rsidR="00BF6CF1">
              <w:t xml:space="preserve">for </w:t>
            </w:r>
            <w:r w:rsidRPr="001B09E6">
              <w:t>20–24-year-olds.</w:t>
            </w:r>
          </w:p>
          <w:p w14:paraId="727C1C1A" w14:textId="77777777" w:rsidR="00497DBB" w:rsidRPr="001B09E6" w:rsidRDefault="00497DBB" w:rsidP="00FC7F6A">
            <w:pPr>
              <w:numPr>
                <w:ilvl w:val="0"/>
                <w:numId w:val="15"/>
              </w:numPr>
              <w:spacing w:before="120" w:after="120"/>
              <w:cnfStyle w:val="000000000000" w:firstRow="0" w:lastRow="0" w:firstColumn="0" w:lastColumn="0" w:oddVBand="0" w:evenVBand="0" w:oddHBand="0" w:evenHBand="0" w:firstRowFirstColumn="0" w:firstRowLastColumn="0" w:lastRowFirstColumn="0" w:lastRowLastColumn="0"/>
            </w:pPr>
            <w:r w:rsidRPr="001B09E6">
              <w:t>The proportion of young people not in education or fully employed has decreased since 2009 but is still not at pre-GFC levels.</w:t>
            </w:r>
          </w:p>
        </w:tc>
      </w:tr>
    </w:tbl>
    <w:p w14:paraId="5A174278" w14:textId="77777777" w:rsidR="00497DBB" w:rsidRDefault="00497DBB" w:rsidP="0061433F">
      <w:pPr>
        <w:pStyle w:val="BodyText"/>
      </w:pPr>
      <w:r>
        <w:t>The table above reports on performance in relation to the NP outcomes (documented in detail in Chapter 2).</w:t>
      </w:r>
      <w:r>
        <w:rPr>
          <w:rStyle w:val="FootnoteReference"/>
        </w:rPr>
        <w:footnoteReference w:id="18"/>
      </w:r>
      <w:r>
        <w:t xml:space="preserve"> The focus of this year’s assessment of the effectiveness of the NP </w:t>
      </w:r>
      <w:r w:rsidR="00E8342B">
        <w:t>(</w:t>
      </w:r>
      <w:r>
        <w:t>that follows</w:t>
      </w:r>
      <w:r w:rsidR="00E8342B">
        <w:t>)</w:t>
      </w:r>
      <w:r>
        <w:t xml:space="preserve"> is changes in each of the NP elements since Year 1 of the evaluation.</w:t>
      </w:r>
    </w:p>
    <w:p w14:paraId="495DCB29" w14:textId="77777777" w:rsidR="00497DBB" w:rsidRPr="009E1367" w:rsidRDefault="00497DBB" w:rsidP="00497DBB">
      <w:pPr>
        <w:pStyle w:val="Heading3"/>
      </w:pPr>
      <w:r w:rsidRPr="009E1367">
        <w:t>Maximising Engagement, Attainment and Successful Transitions</w:t>
      </w:r>
    </w:p>
    <w:p w14:paraId="2E47CE5E" w14:textId="77777777" w:rsidR="00497DBB" w:rsidRPr="009E1367" w:rsidRDefault="00497DBB" w:rsidP="0061433F">
      <w:pPr>
        <w:pStyle w:val="BodyText"/>
        <w:spacing w:after="0"/>
      </w:pPr>
      <w:r w:rsidRPr="009E1367">
        <w:t xml:space="preserve">As was reported in the Year 1 evaluation, there are signs that MEAST funding has been invested in </w:t>
      </w:r>
      <w:r w:rsidR="00E8342B">
        <w:t>activities</w:t>
      </w:r>
      <w:r w:rsidR="00E8342B" w:rsidRPr="009E1367">
        <w:t xml:space="preserve"> </w:t>
      </w:r>
      <w:r w:rsidRPr="009E1367">
        <w:t>that have improved the quality of, and access to, career development, multiple learning pathways and mentoring. Some jurisdictions have reported increased structured work placement participant numbers and school-based apprenticeships. For example, the Northern Territory reports a 120 per cent increase in student work placements, from 423 placements in 2010 to 930 placements in 2011.</w:t>
      </w:r>
      <w:r w:rsidRPr="009E1367">
        <w:rPr>
          <w:rStyle w:val="FootnoteReference"/>
        </w:rPr>
        <w:footnoteReference w:id="19"/>
      </w:r>
      <w:r w:rsidRPr="009E1367">
        <w:t xml:space="preserve"> In Victoria, MEAST funding has been leveraged to improve the retention rates of apprentices through the Apprenticeship Support Officers program. These are very positive results; however, due to the local/regional scope of many of the MEAST initiatives, the impact of these increases is not evident at the national level.</w:t>
      </w:r>
      <w:r>
        <w:rPr>
          <w:rStyle w:val="FootnoteReference"/>
        </w:rPr>
        <w:footnoteReference w:id="20"/>
      </w:r>
    </w:p>
    <w:p w14:paraId="13C4CA43" w14:textId="77777777" w:rsidR="00497DBB" w:rsidRDefault="00497DBB" w:rsidP="0061433F">
      <w:pPr>
        <w:pStyle w:val="BodyText"/>
      </w:pPr>
      <w:r w:rsidRPr="009E1367">
        <w:t>MEAST funding has helped to improve the quality of the YAT services offered, often acting as a focus for the coordination of existing programs and services. For example, in Victoria, study grants to 292 career development practitioners between mid-2010 and the beginning of 2012 has increased the number of qualified practitioners able to assist young people with career development and pathway planning.</w:t>
      </w:r>
      <w:r>
        <w:t xml:space="preserve"> Meanwhile in Western Australia, community groups have gained a better understanding of mentoring program benchmarks (on </w:t>
      </w:r>
      <w:r w:rsidRPr="005F0F32">
        <w:t>Communication, Capacity building, Program operations, Research and Governance</w:t>
      </w:r>
      <w:r>
        <w:t xml:space="preserve">) through an </w:t>
      </w:r>
      <w:r>
        <w:lastRenderedPageBreak/>
        <w:t>extensive consultation and training process. These initiatives will lead to improvements in career development and mentoring services provided to young people.</w:t>
      </w:r>
    </w:p>
    <w:p w14:paraId="7F902535" w14:textId="77777777" w:rsidR="00497DBB" w:rsidRPr="009E1367" w:rsidRDefault="00497DBB" w:rsidP="0061433F">
      <w:pPr>
        <w:pStyle w:val="BodyText"/>
        <w:spacing w:after="0"/>
      </w:pPr>
      <w:r w:rsidRPr="009E1367">
        <w:t xml:space="preserve">MEAST funding has </w:t>
      </w:r>
      <w:r>
        <w:t xml:space="preserve">also </w:t>
      </w:r>
      <w:r w:rsidRPr="009E1367">
        <w:t>contributed to improved data collection, enabling youth education and training service providers to develop stronger evidence bases for understanding early school leavers and designing better services to engage them. In Tasmania and Queensland, for example, early school leavers and</w:t>
      </w:r>
      <w:r>
        <w:t>/or</w:t>
      </w:r>
      <w:r w:rsidRPr="009E1367">
        <w:t xml:space="preserve"> post-Year 1</w:t>
      </w:r>
      <w:r w:rsidR="00E8342B">
        <w:t>2</w:t>
      </w:r>
      <w:r w:rsidRPr="009E1367">
        <w:t xml:space="preserve"> destination surveys have provided an information base for the development of policies and programs to support young people to engage, and remain engaged in, education and training.</w:t>
      </w:r>
      <w:r>
        <w:t xml:space="preserve"> The logical next step in this area is the collection of common data across jurisdictions that can be used to build a national data set to build a better understanding of young people’s pathways.</w:t>
      </w:r>
    </w:p>
    <w:p w14:paraId="57F05D49" w14:textId="77777777" w:rsidR="00497DBB" w:rsidRDefault="00497DBB" w:rsidP="0061433F">
      <w:pPr>
        <w:pStyle w:val="BodyText"/>
      </w:pPr>
      <w:r w:rsidRPr="009E1367">
        <w:t>But despite these achievements, some challenges remain. Some jurisdictions, such as the Australian Capital Territory, will continue the MEAST activities in some form at the end of the NP, though these programs do not all have sourced funding. Other jurisdictions will not continue MEAST activities after the expiration of the NP.</w:t>
      </w:r>
      <w:r>
        <w:rPr>
          <w:rStyle w:val="FootnoteReference"/>
        </w:rPr>
        <w:footnoteReference w:id="21"/>
      </w:r>
      <w:r w:rsidRPr="009E1367">
        <w:t xml:space="preserve"> Some jurisdictions have experienced capacity constraints regarding sufficiently skilled members of the VET sector</w:t>
      </w:r>
      <w:r>
        <w:t xml:space="preserve"> to deliver training and career development services to young people</w:t>
      </w:r>
      <w:r w:rsidRPr="009E1367">
        <w:t>. This has caused some delays in commencing MEAST-funded programs</w:t>
      </w:r>
      <w:r>
        <w:t xml:space="preserve"> in some jurisdictions</w:t>
      </w:r>
      <w:r w:rsidRPr="009E1367">
        <w:t xml:space="preserve"> as efforts are made to ensure an adequate supply of skilled labour.</w:t>
      </w:r>
    </w:p>
    <w:p w14:paraId="3B379D40" w14:textId="77777777" w:rsidR="00497DBB" w:rsidRPr="009E1367" w:rsidRDefault="00497DBB" w:rsidP="0061433F">
      <w:pPr>
        <w:pStyle w:val="Heading3"/>
        <w:jc w:val="both"/>
      </w:pPr>
      <w:r w:rsidRPr="009E1367">
        <w:t>School Business Community Partnership Brokers</w:t>
      </w:r>
    </w:p>
    <w:p w14:paraId="5F987105" w14:textId="77777777" w:rsidR="00497DBB" w:rsidRPr="009E1367" w:rsidRDefault="00497DBB" w:rsidP="0061433F">
      <w:pPr>
        <w:pStyle w:val="BodyText"/>
      </w:pPr>
      <w:r w:rsidRPr="009E1367">
        <w:t>As pointed out in the Year 1 review, the Partnership Brokers (PB) program represents a significant shift in the Australian Government’s approach to supporting the formation and operation of partnerships between schools, businesses, parents and community groups. This shift was driven by the view that strategic, regionally based and managed partnerships would have a greater impact and provide more sustainable change than the approach taken by preceding programs, which provided services for and on behalf of schools and were seen to displace effort and create dependence on external service providers.</w:t>
      </w:r>
    </w:p>
    <w:p w14:paraId="7634C5AC" w14:textId="77777777" w:rsidR="00497DBB" w:rsidRPr="009E1367" w:rsidRDefault="00497DBB" w:rsidP="0061433F">
      <w:pPr>
        <w:pStyle w:val="BodyText"/>
      </w:pPr>
      <w:r w:rsidRPr="009E1367">
        <w:t>The remit of PB providers is ambitious and the role is challenging, requiring a range of capabilities. It is therefore realistic to expect that the program will take time to fully develop.</w:t>
      </w:r>
    </w:p>
    <w:p w14:paraId="61905729" w14:textId="77777777" w:rsidR="00497DBB" w:rsidRPr="009E1367" w:rsidRDefault="00497DBB" w:rsidP="0061433F">
      <w:pPr>
        <w:pStyle w:val="BodyText"/>
        <w:spacing w:after="160"/>
      </w:pPr>
      <w:r w:rsidRPr="009E1367">
        <w:t>Some issues arising in the early stages of program implementation were highlighted in the Year 1 review:</w:t>
      </w:r>
    </w:p>
    <w:p w14:paraId="796CAD83" w14:textId="77777777" w:rsidR="00497DBB" w:rsidRPr="009E1367" w:rsidRDefault="00497DBB" w:rsidP="0061433F">
      <w:pPr>
        <w:pStyle w:val="ListBullet"/>
      </w:pPr>
      <w:r w:rsidRPr="009E1367">
        <w:t>The role and value of PB is not well understood or appreciated</w:t>
      </w:r>
    </w:p>
    <w:p w14:paraId="594970D3" w14:textId="77777777" w:rsidR="00497DBB" w:rsidRPr="009E1367" w:rsidRDefault="00497DBB" w:rsidP="0061433F">
      <w:pPr>
        <w:pStyle w:val="ListBullet"/>
      </w:pPr>
      <w:r w:rsidRPr="009E1367">
        <w:t>Jurisdictional support for the PB model is critical to success, but is lacking</w:t>
      </w:r>
    </w:p>
    <w:p w14:paraId="717A40C4" w14:textId="77777777" w:rsidR="00497DBB" w:rsidRPr="009E1367" w:rsidRDefault="00497DBB" w:rsidP="0061433F">
      <w:pPr>
        <w:pStyle w:val="ListBullet"/>
      </w:pPr>
      <w:r w:rsidRPr="009E1367">
        <w:t>Establishing sustainable partnerships takes time, and success may not be realised within the term of provider contracts – or the term of this NP</w:t>
      </w:r>
    </w:p>
    <w:p w14:paraId="7A13918A" w14:textId="77777777" w:rsidR="00497DBB" w:rsidRPr="009E1367" w:rsidRDefault="00497DBB" w:rsidP="0061433F">
      <w:pPr>
        <w:pStyle w:val="ListBullet"/>
      </w:pPr>
      <w:r w:rsidRPr="009E1367">
        <w:t>There is some overlap between PB activity and other initiatives being implemented in some jurisdictions</w:t>
      </w:r>
    </w:p>
    <w:p w14:paraId="5BC36287" w14:textId="77777777" w:rsidR="00497DBB" w:rsidRPr="009E1367" w:rsidRDefault="00497DBB" w:rsidP="0061433F">
      <w:pPr>
        <w:pStyle w:val="ListBullet"/>
      </w:pPr>
      <w:r w:rsidRPr="009E1367">
        <w:t>Some providers may not have the capacity to succeed</w:t>
      </w:r>
    </w:p>
    <w:p w14:paraId="71A7B792" w14:textId="77777777" w:rsidR="00497DBB" w:rsidRPr="009E1367" w:rsidRDefault="00497DBB" w:rsidP="0061433F">
      <w:pPr>
        <w:pStyle w:val="ListBullet"/>
      </w:pPr>
      <w:r w:rsidRPr="009E1367">
        <w:t>Service delivery is costly and difficult to support in larger service regions and remote locations.</w:t>
      </w:r>
    </w:p>
    <w:p w14:paraId="4A3A56C5" w14:textId="77777777" w:rsidR="00497DBB" w:rsidRPr="009E1367" w:rsidRDefault="00497DBB" w:rsidP="0061433F">
      <w:pPr>
        <w:pStyle w:val="BodyText"/>
        <w:spacing w:after="0"/>
      </w:pPr>
      <w:r w:rsidRPr="009E1367">
        <w:t>An assessment of what has changed since Year 1 in terms of the effectiveness of the PB program has been made based on:</w:t>
      </w:r>
    </w:p>
    <w:p w14:paraId="3B1FB1C9" w14:textId="77777777" w:rsidR="00497DBB" w:rsidRPr="009E1367" w:rsidRDefault="00497DBB" w:rsidP="0061433F">
      <w:pPr>
        <w:pStyle w:val="ListBullet"/>
      </w:pPr>
      <w:r>
        <w:t>D</w:t>
      </w:r>
      <w:r w:rsidRPr="009E1367">
        <w:t>ata entered by PB providers into DEEWR’s YATMIS</w:t>
      </w:r>
    </w:p>
    <w:p w14:paraId="49F44D47" w14:textId="77777777" w:rsidR="00497DBB" w:rsidRPr="009E1367" w:rsidRDefault="00497DBB" w:rsidP="0061433F">
      <w:pPr>
        <w:pStyle w:val="ListBullet"/>
      </w:pPr>
      <w:r>
        <w:t>A</w:t>
      </w:r>
      <w:r w:rsidRPr="009E1367">
        <w:t xml:space="preserve"> DEEWR survey sent randomly to over 4000 partner organisations and which had 1131 responses – a response rate of about 25 per cent</w:t>
      </w:r>
    </w:p>
    <w:p w14:paraId="3C456DCA" w14:textId="77777777" w:rsidR="00497DBB" w:rsidRPr="009E1367" w:rsidRDefault="00497DBB" w:rsidP="0061433F">
      <w:pPr>
        <w:pStyle w:val="ListBullet"/>
      </w:pPr>
      <w:r>
        <w:t>T</w:t>
      </w:r>
      <w:r w:rsidRPr="009E1367">
        <w:t xml:space="preserve">he annual </w:t>
      </w:r>
      <w:r w:rsidRPr="009E1367">
        <w:rPr>
          <w:bCs/>
        </w:rPr>
        <w:t>PB Provider Survey undertaken by DEEWR</w:t>
      </w:r>
    </w:p>
    <w:p w14:paraId="4E91C5C9" w14:textId="77777777" w:rsidR="00497DBB" w:rsidRPr="009E1367" w:rsidRDefault="00497DBB" w:rsidP="0061433F">
      <w:pPr>
        <w:pStyle w:val="ListBullet"/>
      </w:pPr>
      <w:r>
        <w:lastRenderedPageBreak/>
        <w:t>A</w:t>
      </w:r>
      <w:r w:rsidRPr="009E1367">
        <w:t xml:space="preserve"> tailored survey of PB service providers undertaken by DEEWR on </w:t>
      </w:r>
      <w:r>
        <w:t>dandolo</w:t>
      </w:r>
      <w:r w:rsidR="00E8342B">
        <w:t xml:space="preserve"> </w:t>
      </w:r>
      <w:r>
        <w:t>partners’</w:t>
      </w:r>
      <w:r w:rsidRPr="009E1367">
        <w:t xml:space="preserve"> behalf (233 PBs responded to the survey, a response rate of approximately 46 per cent)</w:t>
      </w:r>
    </w:p>
    <w:p w14:paraId="495D7CF8" w14:textId="77777777" w:rsidR="00497DBB" w:rsidRPr="009E1367" w:rsidRDefault="00497DBB" w:rsidP="0061433F">
      <w:pPr>
        <w:pStyle w:val="ListBullet"/>
      </w:pPr>
      <w:r>
        <w:t>F</w:t>
      </w:r>
      <w:r w:rsidRPr="009E1367">
        <w:t>ocus groups with 13 PB national network members</w:t>
      </w:r>
    </w:p>
    <w:p w14:paraId="229024D7" w14:textId="77777777" w:rsidR="00497DBB" w:rsidRPr="009E1367" w:rsidRDefault="00497DBB" w:rsidP="0061433F">
      <w:pPr>
        <w:pStyle w:val="ListBullet"/>
      </w:pPr>
      <w:r>
        <w:t>I</w:t>
      </w:r>
      <w:r w:rsidRPr="009E1367">
        <w:t>nterviews with five PB stakeholder organisations (e.g., regional education offices)</w:t>
      </w:r>
    </w:p>
    <w:p w14:paraId="0EE2116B" w14:textId="77777777" w:rsidR="00497DBB" w:rsidRPr="009E1367" w:rsidRDefault="00497DBB" w:rsidP="0061433F">
      <w:pPr>
        <w:pStyle w:val="ListBullet"/>
      </w:pPr>
      <w:r>
        <w:t>I</w:t>
      </w:r>
      <w:r w:rsidRPr="009E1367">
        <w:t>nterviews with DEEWR staff.</w:t>
      </w:r>
    </w:p>
    <w:p w14:paraId="11C2EA06" w14:textId="77777777" w:rsidR="00497DBB" w:rsidRPr="009E1367" w:rsidRDefault="00497DBB" w:rsidP="0061433F">
      <w:pPr>
        <w:pStyle w:val="BodyText"/>
      </w:pPr>
      <w:r w:rsidRPr="009E1367">
        <w:t>Overall, the PB program has continued to make steady progress towards targeted program outcomes, with positive metrics on a number of key outcome measures</w:t>
      </w:r>
      <w:r w:rsidRPr="009E1367">
        <w:rPr>
          <w:rStyle w:val="FootnoteReference"/>
        </w:rPr>
        <w:footnoteReference w:id="22"/>
      </w:r>
      <w:r w:rsidRPr="009E1367">
        <w:t>:</w:t>
      </w:r>
    </w:p>
    <w:p w14:paraId="7D98ABD6" w14:textId="77777777" w:rsidR="00497DBB" w:rsidRPr="009E1367" w:rsidRDefault="00497DBB" w:rsidP="0061433F">
      <w:pPr>
        <w:pStyle w:val="ListBullet"/>
      </w:pPr>
      <w:r>
        <w:t>T</w:t>
      </w:r>
      <w:r w:rsidRPr="009E1367">
        <w:t xml:space="preserve">he number of partnerships that </w:t>
      </w:r>
      <w:r>
        <w:t xml:space="preserve">have shifted from active to </w:t>
      </w:r>
      <w:r w:rsidRPr="009E1367">
        <w:t>self-sustaining</w:t>
      </w:r>
      <w:r>
        <w:t xml:space="preserve"> status</w:t>
      </w:r>
    </w:p>
    <w:p w14:paraId="650531C4" w14:textId="77777777" w:rsidR="00497DBB" w:rsidRPr="009E1367" w:rsidRDefault="00497DBB" w:rsidP="0061433F">
      <w:pPr>
        <w:pStyle w:val="ListBullet"/>
      </w:pPr>
      <w:r>
        <w:t>T</w:t>
      </w:r>
      <w:r w:rsidRPr="009E1367">
        <w:t>he number (and proportion) of ‘high-quality’ partnerships, or where considerable progress has been made</w:t>
      </w:r>
    </w:p>
    <w:p w14:paraId="13532451" w14:textId="77777777" w:rsidR="00497DBB" w:rsidRPr="009E1367" w:rsidRDefault="00497DBB" w:rsidP="0061433F">
      <w:pPr>
        <w:pStyle w:val="ListBullet"/>
      </w:pPr>
      <w:r>
        <w:t>T</w:t>
      </w:r>
      <w:r w:rsidRPr="009E1367">
        <w:t>he number (and proportion) of partnerships that have been evaluated and have had their progress rated as considerable or achieved</w:t>
      </w:r>
    </w:p>
    <w:p w14:paraId="77A4F16B" w14:textId="77777777" w:rsidR="00497DBB" w:rsidRPr="009E1367" w:rsidRDefault="00497DBB" w:rsidP="0061433F">
      <w:pPr>
        <w:pStyle w:val="ListBullet"/>
      </w:pPr>
      <w:r>
        <w:t>T</w:t>
      </w:r>
      <w:r w:rsidRPr="009E1367">
        <w:t>he number (and proportion) of partnerships involving education and training providers partnering with stakeholders in their community</w:t>
      </w:r>
    </w:p>
    <w:p w14:paraId="0DCE8658" w14:textId="77777777" w:rsidR="00497DBB" w:rsidRPr="009E1367" w:rsidRDefault="00497DBB" w:rsidP="0061433F">
      <w:pPr>
        <w:pStyle w:val="ListBullet"/>
      </w:pPr>
      <w:r>
        <w:t>T</w:t>
      </w:r>
      <w:r w:rsidRPr="009E1367">
        <w:t>he number (and proportion) of partnerships where business and industry are actively engaged</w:t>
      </w:r>
    </w:p>
    <w:p w14:paraId="470483CF" w14:textId="77777777" w:rsidR="00497DBB" w:rsidRPr="009E1367" w:rsidRDefault="00497DBB" w:rsidP="0061433F">
      <w:pPr>
        <w:pStyle w:val="ListBullet"/>
      </w:pPr>
      <w:r>
        <w:t>T</w:t>
      </w:r>
      <w:r w:rsidRPr="009E1367">
        <w:t>he number of partnerships that involve parents and families as partners</w:t>
      </w:r>
    </w:p>
    <w:p w14:paraId="13416BA0" w14:textId="77777777" w:rsidR="00497DBB" w:rsidRPr="009E1367" w:rsidRDefault="00497DBB" w:rsidP="0061433F">
      <w:pPr>
        <w:pStyle w:val="ListBullet"/>
      </w:pPr>
      <w:r>
        <w:t>T</w:t>
      </w:r>
      <w:r w:rsidRPr="009E1367">
        <w:t>he number (and proportion) of partnerships that are contributing to parent and family outcomes</w:t>
      </w:r>
    </w:p>
    <w:p w14:paraId="4FCAA148" w14:textId="77777777" w:rsidR="00497DBB" w:rsidRPr="009E1367" w:rsidRDefault="00497DBB" w:rsidP="0061433F">
      <w:pPr>
        <w:pStyle w:val="ListBullet"/>
      </w:pPr>
      <w:r>
        <w:t>T</w:t>
      </w:r>
      <w:r w:rsidRPr="009E1367">
        <w:t>he involvement of community groups in partnerships.</w:t>
      </w:r>
    </w:p>
    <w:p w14:paraId="2B9A1DED" w14:textId="77777777" w:rsidR="00497DBB" w:rsidRPr="009E1367" w:rsidRDefault="00497DBB" w:rsidP="0061433F">
      <w:pPr>
        <w:pStyle w:val="BodyText"/>
      </w:pPr>
      <w:r w:rsidRPr="009E1367">
        <w:t>Since the Year 1 evaluation, there has been clearer evidence that the partnerships are of high quality (measured against DEEWR’s key performance measures) and that they address the needs of young people in the service region. For the first time, there is quantitative evidence indicating a high level of support for the program from partner organisations</w:t>
      </w:r>
      <w:r>
        <w:t xml:space="preserve"> (such as schools, businesses and community groups; see Figure 3.1)</w:t>
      </w:r>
      <w:r w:rsidRPr="009E1367">
        <w:t>:</w:t>
      </w:r>
    </w:p>
    <w:p w14:paraId="527ACD9C" w14:textId="77777777" w:rsidR="00497DBB" w:rsidRPr="0069320D" w:rsidRDefault="00497DBB" w:rsidP="0061433F">
      <w:pPr>
        <w:pStyle w:val="ListBullet"/>
      </w:pPr>
      <w:r w:rsidRPr="009E1367">
        <w:t>Partner organisations are strong believers in the benefits of a partnership approach and highly value the support provided by PBs – about 80 per cent of the schools surveyed agreed or strongly agreed that their PB had helped them become more engaged with their community</w:t>
      </w:r>
    </w:p>
    <w:p w14:paraId="4C2EC292" w14:textId="77777777" w:rsidR="00497DBB" w:rsidRPr="009E1367" w:rsidRDefault="00497DBB" w:rsidP="0061433F">
      <w:pPr>
        <w:pStyle w:val="ListBullet"/>
      </w:pPr>
      <w:r w:rsidRPr="009E1367">
        <w:t>The vast majority of responding partner organisations feel that their partnership possesses the key characteristics for effective partnering and is achieving outcomes that support their community and its young people.</w:t>
      </w:r>
    </w:p>
    <w:p w14:paraId="38EB4045" w14:textId="6351BD0B" w:rsidR="00497DBB" w:rsidRPr="00A56C25" w:rsidRDefault="00497DBB" w:rsidP="0061433F">
      <w:pPr>
        <w:pStyle w:val="Caption"/>
        <w:keepNext/>
        <w:jc w:val="both"/>
      </w:pPr>
      <w:r w:rsidRPr="00A56C25">
        <w:lastRenderedPageBreak/>
        <w:t>Figure 3.1: Partners</w:t>
      </w:r>
      <w:r w:rsidR="00441120">
        <w:t>’</w:t>
      </w:r>
      <w:r w:rsidRPr="00A56C25">
        <w:t xml:space="preserve"> Views of the Effectiveness of Partnerships and Partnership Brokers</w:t>
      </w:r>
    </w:p>
    <w:p w14:paraId="340D59C1" w14:textId="77777777" w:rsidR="00497DBB" w:rsidRPr="00A56C25" w:rsidRDefault="00497DBB" w:rsidP="0061433F">
      <w:pPr>
        <w:pStyle w:val="BodyText"/>
      </w:pPr>
      <w:r w:rsidRPr="00A56C25">
        <w:rPr>
          <w:noProof/>
          <w:lang w:eastAsia="en-AU"/>
        </w:rPr>
        <w:drawing>
          <wp:inline distT="0" distB="0" distL="0" distR="0" wp14:anchorId="10B54CA8" wp14:editId="2CC03134">
            <wp:extent cx="5486400" cy="3158490"/>
            <wp:effectExtent l="0" t="0" r="0" b="0"/>
            <wp:docPr id="21" name="Chart 21" descr="Figure 3.1: Partners Views of the Effectiveness of Partnerships and Partnership Brokers&#10;" title="Figure 3.1: Partners Views of the Effectiveness of Partnerships and Partnership Broke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390DE9" w14:textId="77777777" w:rsidR="00497DBB" w:rsidRDefault="00497DBB" w:rsidP="0061433F">
      <w:pPr>
        <w:pStyle w:val="Tablenote"/>
        <w:jc w:val="both"/>
      </w:pPr>
      <w:r w:rsidRPr="00A56C25">
        <w:t xml:space="preserve">Source: DEEWR (2012) </w:t>
      </w:r>
      <w:r w:rsidRPr="00A56C25">
        <w:rPr>
          <w:i/>
        </w:rPr>
        <w:t>School Business Community Partnership Brokers Partner Survey Report (PB Partner Survey)</w:t>
      </w:r>
      <w:r w:rsidRPr="00A56C25">
        <w:t>.</w:t>
      </w:r>
    </w:p>
    <w:p w14:paraId="4AD7AAD1" w14:textId="77777777" w:rsidR="00497DBB" w:rsidRPr="009E1367" w:rsidRDefault="00497DBB" w:rsidP="0061433F">
      <w:pPr>
        <w:pStyle w:val="BodyText"/>
      </w:pPr>
      <w:r w:rsidRPr="009E1367">
        <w:t>Importantly, there is evidence from the YATMIS results, the partner survey and the dandolopartners PB survey that PBs are having increased success engaging with schools. Stakeholder consultations in several jurisdictions also produced examples of how PBs had effectively engaged with regional education authorities at a strategic level, which resulted in successful school-level partnerships being established.</w:t>
      </w:r>
    </w:p>
    <w:p w14:paraId="4EC0E17A" w14:textId="77777777" w:rsidR="00497DBB" w:rsidRPr="009E1367" w:rsidRDefault="00497DBB" w:rsidP="0061433F">
      <w:pPr>
        <w:pStyle w:val="BodyText"/>
      </w:pPr>
      <w:r w:rsidRPr="009E1367">
        <w:t>The dandolopartners survey of PB providers showed there is relatively strong agreement from PBs on:</w:t>
      </w:r>
    </w:p>
    <w:p w14:paraId="5896DF15" w14:textId="77777777" w:rsidR="00497DBB" w:rsidRPr="009E1367" w:rsidRDefault="00497DBB" w:rsidP="0061433F">
      <w:pPr>
        <w:pStyle w:val="ListBullet"/>
      </w:pPr>
      <w:r>
        <w:t>W</w:t>
      </w:r>
      <w:r w:rsidRPr="009E1367">
        <w:t>hat is needed to create successful partnerships</w:t>
      </w:r>
    </w:p>
    <w:p w14:paraId="2EF919B2" w14:textId="77777777" w:rsidR="00497DBB" w:rsidRPr="009E1367" w:rsidRDefault="00497DBB" w:rsidP="0061433F">
      <w:pPr>
        <w:pStyle w:val="ListBullet"/>
      </w:pPr>
      <w:r>
        <w:t>T</w:t>
      </w:r>
      <w:r w:rsidRPr="009E1367">
        <w:t>he most important things they require to establish successful partnerships</w:t>
      </w:r>
    </w:p>
    <w:p w14:paraId="255B9F2D" w14:textId="77777777" w:rsidR="00497DBB" w:rsidRPr="009E1367" w:rsidRDefault="00497DBB" w:rsidP="0061433F">
      <w:pPr>
        <w:pStyle w:val="ListBullet"/>
      </w:pPr>
      <w:r>
        <w:t>H</w:t>
      </w:r>
      <w:r w:rsidRPr="009E1367">
        <w:t>ow the program is addressing needs.</w:t>
      </w:r>
    </w:p>
    <w:p w14:paraId="46F64F33" w14:textId="77777777" w:rsidR="00497DBB" w:rsidRPr="009E1367" w:rsidRDefault="00497DBB" w:rsidP="0061433F">
      <w:pPr>
        <w:pStyle w:val="BodyText"/>
      </w:pPr>
      <w:r w:rsidRPr="009E1367">
        <w:t xml:space="preserve">The role of a PB is relatively complicated, with many factors impacting outcomes. The survey responses highlighted that PBs require a diverse range of skills, knowledge and tools. As a consequence, there is some variation in capability and performance across PBs, as you would expect in such a program. This has been recognised by DEEWR, which has a clear focus on building the </w:t>
      </w:r>
      <w:r w:rsidR="00E277E3">
        <w:t>capability</w:t>
      </w:r>
      <w:r w:rsidR="00E277E3" w:rsidRPr="009E1367">
        <w:t xml:space="preserve"> </w:t>
      </w:r>
      <w:r w:rsidRPr="009E1367">
        <w:t>of organisations and their personnel. Provider networks at the State/Territory and national levels have a key role to play in this regard.</w:t>
      </w:r>
    </w:p>
    <w:p w14:paraId="724926CC" w14:textId="77777777" w:rsidR="00497DBB" w:rsidRPr="009E1367" w:rsidRDefault="00497DBB" w:rsidP="0061433F">
      <w:pPr>
        <w:pStyle w:val="BodyText"/>
      </w:pPr>
      <w:r w:rsidRPr="009E1367">
        <w:t>One common area of concern regarding many PBs is whether they have enough capacity to meet the demand for services</w:t>
      </w:r>
      <w:r>
        <w:t xml:space="preserve"> (experienced by around 70 per cent of PBs)</w:t>
      </w:r>
      <w:r w:rsidRPr="009E1367">
        <w:t xml:space="preserve">. </w:t>
      </w:r>
      <w:r>
        <w:t xml:space="preserve">As shown in </w:t>
      </w:r>
      <w:r w:rsidRPr="007D2CFB">
        <w:t>Figure 3.2, other</w:t>
      </w:r>
      <w:r w:rsidRPr="009E1367">
        <w:t xml:space="preserve"> major challenges faced by PBs which were identified in the dandolo</w:t>
      </w:r>
      <w:r w:rsidR="00E277E3">
        <w:t xml:space="preserve"> </w:t>
      </w:r>
      <w:r w:rsidRPr="009E1367">
        <w:t>partners survey were:</w:t>
      </w:r>
    </w:p>
    <w:p w14:paraId="7B62670D" w14:textId="77777777" w:rsidR="00497DBB" w:rsidRPr="009E1367" w:rsidRDefault="00497DBB" w:rsidP="0061433F">
      <w:pPr>
        <w:pStyle w:val="ListBullet"/>
      </w:pPr>
      <w:r>
        <w:t>T</w:t>
      </w:r>
      <w:r w:rsidRPr="009E1367">
        <w:t>ime constraints / competing demands of schools and businesses</w:t>
      </w:r>
    </w:p>
    <w:p w14:paraId="0918632C" w14:textId="77777777" w:rsidR="00497DBB" w:rsidRPr="009E1367" w:rsidRDefault="00497DBB" w:rsidP="0061433F">
      <w:pPr>
        <w:pStyle w:val="ListBullet"/>
      </w:pPr>
      <w:r>
        <w:t>T</w:t>
      </w:r>
      <w:r w:rsidRPr="009E1367">
        <w:t>he time taken to develop partnerships that produce outcomes for young people</w:t>
      </w:r>
    </w:p>
    <w:p w14:paraId="07A155CC" w14:textId="77777777" w:rsidR="00497DBB" w:rsidRPr="009E1367" w:rsidRDefault="00497DBB" w:rsidP="0061433F">
      <w:pPr>
        <w:pStyle w:val="ListBullet"/>
      </w:pPr>
      <w:r>
        <w:t>P</w:t>
      </w:r>
      <w:r w:rsidRPr="009E1367">
        <w:t>artnership sustainability, once partnerships are established</w:t>
      </w:r>
    </w:p>
    <w:p w14:paraId="5365192C" w14:textId="77777777" w:rsidR="00497DBB" w:rsidRPr="009E1367" w:rsidRDefault="00497DBB" w:rsidP="0061433F">
      <w:pPr>
        <w:pStyle w:val="ListBullet"/>
      </w:pPr>
      <w:r>
        <w:t>A</w:t>
      </w:r>
      <w:r w:rsidRPr="009E1367">
        <w:t xml:space="preserve"> lack of awareness and understanding of the program among stakeholders</w:t>
      </w:r>
    </w:p>
    <w:p w14:paraId="68839150" w14:textId="77777777" w:rsidR="00497DBB" w:rsidRPr="009E1367" w:rsidRDefault="00497DBB" w:rsidP="0061433F">
      <w:pPr>
        <w:pStyle w:val="ListBullet"/>
      </w:pPr>
      <w:r>
        <w:lastRenderedPageBreak/>
        <w:t>A</w:t>
      </w:r>
      <w:r w:rsidRPr="009E1367">
        <w:t xml:space="preserve"> </w:t>
      </w:r>
      <w:r>
        <w:t xml:space="preserve">perceived reluctance by some State/Territory education authorities to encourage schools to actively participate in the program, at least initially </w:t>
      </w:r>
      <w:r w:rsidRPr="009E1367">
        <w:t>(except in Victoria)</w:t>
      </w:r>
      <w:r w:rsidR="00E277E3">
        <w:rPr>
          <w:rStyle w:val="FootnoteReference"/>
        </w:rPr>
        <w:footnoteReference w:id="23"/>
      </w:r>
    </w:p>
    <w:p w14:paraId="1A6A8C39" w14:textId="77777777" w:rsidR="00497DBB" w:rsidRPr="007D2CFB" w:rsidRDefault="00497DBB" w:rsidP="0061433F">
      <w:pPr>
        <w:pStyle w:val="ListBullet"/>
      </w:pPr>
      <w:r w:rsidRPr="007D2CFB">
        <w:t>The administrative support needs of prospective partners.</w:t>
      </w:r>
    </w:p>
    <w:p w14:paraId="0492183D" w14:textId="77777777" w:rsidR="00497DBB" w:rsidRDefault="00497DBB" w:rsidP="0061433F">
      <w:pPr>
        <w:pStyle w:val="Caption"/>
        <w:keepNext/>
        <w:jc w:val="both"/>
      </w:pPr>
      <w:r w:rsidRPr="007D2CFB">
        <w:t>Figure 3.2: Most</w:t>
      </w:r>
      <w:r>
        <w:t xml:space="preserve"> Common Challenges faced by Partnership brokers</w:t>
      </w:r>
    </w:p>
    <w:p w14:paraId="73B8921B" w14:textId="77777777" w:rsidR="00497DBB" w:rsidRDefault="00497DBB" w:rsidP="0061433F">
      <w:pPr>
        <w:pStyle w:val="BodyText"/>
      </w:pPr>
      <w:r>
        <w:rPr>
          <w:noProof/>
          <w:lang w:eastAsia="en-AU"/>
        </w:rPr>
        <w:drawing>
          <wp:inline distT="0" distB="0" distL="0" distR="0" wp14:anchorId="46434E9C" wp14:editId="2F36434A">
            <wp:extent cx="5486400" cy="3158490"/>
            <wp:effectExtent l="0" t="0" r="0" b="0"/>
            <wp:docPr id="24" name="Chart 24" descr="Figure 3.2: Most Common Challenges faced by Partnership brokers&#10;" title="Figure 3.2: Most Common Challenges faced by Partnership broke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CA0D9F" w14:textId="77777777" w:rsidR="00497DBB" w:rsidRPr="009E1367" w:rsidRDefault="00497DBB" w:rsidP="0061433F">
      <w:pPr>
        <w:pStyle w:val="Tablenote"/>
        <w:jc w:val="both"/>
      </w:pPr>
      <w:r w:rsidRPr="009E1367">
        <w:t>Source: dandolopartners sur</w:t>
      </w:r>
      <w:r>
        <w:t>vey of PB</w:t>
      </w:r>
      <w:r w:rsidRPr="009E1367">
        <w:t xml:space="preserve"> service providers (2012).</w:t>
      </w:r>
    </w:p>
    <w:p w14:paraId="04795153" w14:textId="77777777" w:rsidR="00497DBB" w:rsidRPr="009E1367" w:rsidRDefault="00497DBB" w:rsidP="0061433F">
      <w:pPr>
        <w:pStyle w:val="BodyText"/>
      </w:pPr>
      <w:r>
        <w:t>Som</w:t>
      </w:r>
      <w:r w:rsidRPr="009E1367">
        <w:t>e of these challenges cannot be realistically addressed within the time frame of the NP. However, they provide guidance for future program design.</w:t>
      </w:r>
    </w:p>
    <w:p w14:paraId="3D319859" w14:textId="77777777" w:rsidR="00497DBB" w:rsidRPr="009E1367" w:rsidRDefault="00497DBB" w:rsidP="0061433F">
      <w:pPr>
        <w:pStyle w:val="BodyText"/>
        <w:spacing w:after="160"/>
      </w:pPr>
      <w:r w:rsidRPr="009E1367">
        <w:t>Areas that warrant a continued effort to overcome program challenges include:</w:t>
      </w:r>
    </w:p>
    <w:p w14:paraId="32AE54D7" w14:textId="77777777" w:rsidR="00497DBB" w:rsidRPr="009E1367" w:rsidRDefault="00497DBB" w:rsidP="0061433F">
      <w:pPr>
        <w:pStyle w:val="ListBullet"/>
      </w:pPr>
      <w:r w:rsidRPr="009E1367">
        <w:t>the broad promotion of the PB program:</w:t>
      </w:r>
    </w:p>
    <w:p w14:paraId="64F99305" w14:textId="77777777" w:rsidR="00497DBB" w:rsidRPr="0061433F" w:rsidRDefault="00497DBB" w:rsidP="0061433F">
      <w:pPr>
        <w:pStyle w:val="Listdash"/>
      </w:pPr>
      <w:r w:rsidRPr="0061433F">
        <w:t>to regional education authorities and schools</w:t>
      </w:r>
    </w:p>
    <w:p w14:paraId="558A1BA1" w14:textId="77777777" w:rsidR="00497DBB" w:rsidRPr="0061433F" w:rsidRDefault="00497DBB" w:rsidP="0061433F">
      <w:pPr>
        <w:pStyle w:val="Listdash"/>
      </w:pPr>
      <w:r w:rsidRPr="0061433F">
        <w:t>to local government</w:t>
      </w:r>
    </w:p>
    <w:p w14:paraId="2E52D026" w14:textId="77777777" w:rsidR="00497DBB" w:rsidRPr="0061433F" w:rsidRDefault="00497DBB" w:rsidP="0061433F">
      <w:pPr>
        <w:pStyle w:val="Listdash"/>
      </w:pPr>
      <w:r w:rsidRPr="0061433F">
        <w:t>to business</w:t>
      </w:r>
    </w:p>
    <w:p w14:paraId="3A08016B" w14:textId="77777777" w:rsidR="00497DBB" w:rsidRPr="009E1367" w:rsidRDefault="00497DBB" w:rsidP="0061433F">
      <w:pPr>
        <w:pStyle w:val="ListBullet"/>
      </w:pPr>
      <w:r w:rsidRPr="009E1367">
        <w:t>the sharing of good practice and partnership exemplars</w:t>
      </w:r>
    </w:p>
    <w:p w14:paraId="602B47E0" w14:textId="77777777" w:rsidR="00497DBB" w:rsidRPr="009E1367" w:rsidRDefault="00497DBB" w:rsidP="0061433F">
      <w:pPr>
        <w:pStyle w:val="ListBullet"/>
      </w:pPr>
      <w:r w:rsidRPr="009E1367">
        <w:t xml:space="preserve">a focus on building the </w:t>
      </w:r>
      <w:r w:rsidR="00251421">
        <w:t>capability</w:t>
      </w:r>
      <w:r w:rsidR="00251421" w:rsidRPr="009E1367">
        <w:t xml:space="preserve"> </w:t>
      </w:r>
      <w:r w:rsidRPr="009E1367">
        <w:t>of PBs and their personnel.</w:t>
      </w:r>
    </w:p>
    <w:p w14:paraId="77714CB0" w14:textId="77777777" w:rsidR="00497DBB" w:rsidRPr="009E1367" w:rsidRDefault="00497DBB" w:rsidP="0061433F">
      <w:pPr>
        <w:pStyle w:val="BodyText"/>
      </w:pPr>
      <w:r w:rsidRPr="009E1367">
        <w:t>The issue of State/Territory support still represents a challenge for many PBs. As mentioned above, there is reliable evidence that engagement with education authorities and schools is increasing. There are examples in several jurisdictions where this seems to be occurring effectively through regional education offices, and the promotion of case studies where this is occurring would be valuable. There also seems to be further scope for States and Territories to provide information, encouragement and support for schools to consider the benefits that participation in the program could provide.</w:t>
      </w:r>
    </w:p>
    <w:p w14:paraId="509806DB" w14:textId="77777777" w:rsidR="00497DBB" w:rsidRPr="009E1367" w:rsidRDefault="00497DBB" w:rsidP="0061433F">
      <w:pPr>
        <w:pStyle w:val="BodyText"/>
      </w:pPr>
      <w:r w:rsidRPr="009E1367">
        <w:t xml:space="preserve">The </w:t>
      </w:r>
      <w:r w:rsidR="00251421">
        <w:t xml:space="preserve">dandolo partners </w:t>
      </w:r>
      <w:r w:rsidRPr="009E1367">
        <w:t xml:space="preserve">survey also identified differing views on some issues, although most PBs did not regard them as being major challenges. A minority of surveyed PBs saw issues with the clarity of program requirements, the level of required program flexibility, the adequacy of communication, and whether it was beneficial to have brokerage funds to assist partners develop partnerships. </w:t>
      </w:r>
      <w:r w:rsidRPr="009E1367">
        <w:lastRenderedPageBreak/>
        <w:t>This is not unexpected, but it suggests there is still room for interaction between DEEWR and at least some PBs to better align understandings and expectations.</w:t>
      </w:r>
    </w:p>
    <w:p w14:paraId="734BD067" w14:textId="77777777" w:rsidR="00497DBB" w:rsidRPr="009E1367" w:rsidRDefault="00497DBB" w:rsidP="0061433F">
      <w:pPr>
        <w:pStyle w:val="BodyText"/>
      </w:pPr>
      <w:r w:rsidRPr="009E1367">
        <w:t xml:space="preserve">Another issue that a number of PBs raised in survey responses was the concern that uncertainty about the program’s future after </w:t>
      </w:r>
      <w:r w:rsidR="00251421">
        <w:t xml:space="preserve">the end of the NP </w:t>
      </w:r>
      <w:r w:rsidRPr="009E1367">
        <w:t xml:space="preserve">will increasingly impact on their </w:t>
      </w:r>
      <w:r w:rsidR="00251421">
        <w:t xml:space="preserve">capacity and </w:t>
      </w:r>
      <w:r w:rsidRPr="009E1367">
        <w:t>capability to deliver outcomes. The provision of early communication to service providers about arrangements beyond the NP is therefore</w:t>
      </w:r>
      <w:r>
        <w:t xml:space="preserve"> highly</w:t>
      </w:r>
      <w:r w:rsidRPr="009E1367">
        <w:t xml:space="preserve"> desirable.</w:t>
      </w:r>
    </w:p>
    <w:p w14:paraId="3E86FF3F" w14:textId="77777777" w:rsidR="00497DBB" w:rsidRPr="009E1367" w:rsidRDefault="00497DBB" w:rsidP="0061433F">
      <w:pPr>
        <w:pStyle w:val="Heading3"/>
        <w:jc w:val="both"/>
      </w:pPr>
      <w:r w:rsidRPr="009E1367">
        <w:t>Youth Connections</w:t>
      </w:r>
    </w:p>
    <w:p w14:paraId="5BFAE93B" w14:textId="77777777" w:rsidR="00497DBB" w:rsidRPr="009E1367" w:rsidRDefault="00497DBB" w:rsidP="0061433F">
      <w:pPr>
        <w:pStyle w:val="BodyText"/>
        <w:spacing w:after="0"/>
      </w:pPr>
      <w:r w:rsidRPr="009E1367">
        <w:t>Consistent with the findings of the Year 1 evaluation, the Youth Connections (YC) program has continued to deliver positive outcomes for young people and is strongly supported by education and training, and community and youth sector stakeholders.</w:t>
      </w:r>
    </w:p>
    <w:p w14:paraId="43D25200" w14:textId="77777777" w:rsidR="00497DBB" w:rsidRPr="009E1367" w:rsidRDefault="00497DBB" w:rsidP="0061433F">
      <w:pPr>
        <w:pStyle w:val="BodyText"/>
        <w:keepNext/>
        <w:spacing w:after="0"/>
      </w:pPr>
      <w:r w:rsidRPr="009E1367">
        <w:t>The program has three components:</w:t>
      </w:r>
    </w:p>
    <w:p w14:paraId="76A0B478" w14:textId="77777777" w:rsidR="00497DBB" w:rsidRPr="009E1367" w:rsidRDefault="00497DBB" w:rsidP="0061433F">
      <w:pPr>
        <w:pStyle w:val="ListBullet"/>
      </w:pPr>
      <w:r>
        <w:t>I</w:t>
      </w:r>
      <w:r w:rsidRPr="009E1367">
        <w:t>ndividual support services (case management) to assist young people to overcome barriers to participating in education or training</w:t>
      </w:r>
    </w:p>
    <w:p w14:paraId="0E386412" w14:textId="77777777" w:rsidR="00497DBB" w:rsidRPr="009E1367" w:rsidRDefault="00497DBB" w:rsidP="0061433F">
      <w:pPr>
        <w:pStyle w:val="ListBullet"/>
      </w:pPr>
      <w:r>
        <w:t>O</w:t>
      </w:r>
      <w:r w:rsidRPr="009E1367">
        <w:t>utreach and re-engagement activities aimed at finding young people who are disengaged from education/training or their community, and helping them re-engage with learning and the community</w:t>
      </w:r>
    </w:p>
    <w:p w14:paraId="2463BF69" w14:textId="77777777" w:rsidR="00497DBB" w:rsidRPr="009E1367" w:rsidRDefault="00497DBB" w:rsidP="0061433F">
      <w:pPr>
        <w:pStyle w:val="ListBullet"/>
      </w:pPr>
      <w:r>
        <w:t>S</w:t>
      </w:r>
      <w:r w:rsidRPr="009E1367">
        <w:t>trengthening services in the region activities aimed at improving the capacity of education providers and stakeholders to prevent and address disengagement from learning.</w:t>
      </w:r>
    </w:p>
    <w:p w14:paraId="21B2F3D1" w14:textId="77777777" w:rsidR="00497DBB" w:rsidRPr="009E1367" w:rsidRDefault="00497DBB" w:rsidP="0061433F">
      <w:pPr>
        <w:pStyle w:val="BodyText"/>
        <w:spacing w:after="0"/>
      </w:pPr>
      <w:r w:rsidRPr="009E1367">
        <w:t>An assessment of what has changed since Year 1 in terms of the effectiveness of the YC program has been made based on:</w:t>
      </w:r>
    </w:p>
    <w:p w14:paraId="69405624" w14:textId="77777777" w:rsidR="00497DBB" w:rsidRPr="009E1367" w:rsidRDefault="00497DBB" w:rsidP="0061433F">
      <w:pPr>
        <w:pStyle w:val="ListBullet"/>
      </w:pPr>
      <w:r>
        <w:t>C</w:t>
      </w:r>
      <w:r w:rsidRPr="009E1367">
        <w:t>lient and activity data entered by YC providers into YATMIS</w:t>
      </w:r>
    </w:p>
    <w:p w14:paraId="64358C47" w14:textId="77777777" w:rsidR="00497DBB" w:rsidRPr="009E1367" w:rsidRDefault="00497DBB" w:rsidP="0061433F">
      <w:pPr>
        <w:pStyle w:val="ListBullet"/>
      </w:pPr>
      <w:r>
        <w:t>A</w:t>
      </w:r>
      <w:r w:rsidRPr="009E1367">
        <w:t xml:space="preserve"> tailored survey of YC service providers undertaken by DEEWR on our behalf (215 YC workers responded to the survey, a response rate of approximately 26 per cent)</w:t>
      </w:r>
    </w:p>
    <w:p w14:paraId="75535A87" w14:textId="77777777" w:rsidR="00497DBB" w:rsidRPr="009E1367" w:rsidRDefault="00497DBB" w:rsidP="0061433F">
      <w:pPr>
        <w:pStyle w:val="ListBullet"/>
      </w:pPr>
      <w:r>
        <w:t>F</w:t>
      </w:r>
      <w:r w:rsidRPr="009E1367">
        <w:t>ocus groups involving 17 YC national network members</w:t>
      </w:r>
    </w:p>
    <w:p w14:paraId="19C4EBF9" w14:textId="77777777" w:rsidR="00497DBB" w:rsidRPr="009E1367" w:rsidRDefault="00497DBB" w:rsidP="0061433F">
      <w:pPr>
        <w:pStyle w:val="ListBullet"/>
      </w:pPr>
      <w:r>
        <w:t>I</w:t>
      </w:r>
      <w:r w:rsidRPr="009E1367">
        <w:t>nterviews with five YC stakeholder organisations (e.g., schools, TAFEs, community organisations)</w:t>
      </w:r>
    </w:p>
    <w:p w14:paraId="329D7DE8" w14:textId="77777777" w:rsidR="00497DBB" w:rsidRPr="009E1367" w:rsidRDefault="00497DBB" w:rsidP="0061433F">
      <w:pPr>
        <w:pStyle w:val="ListBullet"/>
      </w:pPr>
      <w:r>
        <w:t>A</w:t>
      </w:r>
      <w:r w:rsidRPr="009E1367">
        <w:t xml:space="preserve"> survey of a sample of 1</w:t>
      </w:r>
      <w:r w:rsidR="00550848">
        <w:t>7</w:t>
      </w:r>
      <w:r w:rsidRPr="009E1367">
        <w:t xml:space="preserve"> Job Services Australia providers</w:t>
      </w:r>
    </w:p>
    <w:p w14:paraId="5EF40DF0" w14:textId="77777777" w:rsidR="00497DBB" w:rsidRPr="009E1367" w:rsidRDefault="00497DBB" w:rsidP="0061433F">
      <w:pPr>
        <w:pStyle w:val="ListBullet"/>
      </w:pPr>
      <w:r>
        <w:t>I</w:t>
      </w:r>
      <w:r w:rsidRPr="009E1367">
        <w:t>nterviews with DEEWR staff.</w:t>
      </w:r>
    </w:p>
    <w:p w14:paraId="53C7962A" w14:textId="77777777" w:rsidR="00497DBB" w:rsidRPr="009E1367" w:rsidRDefault="00497DBB" w:rsidP="0061433F">
      <w:pPr>
        <w:pStyle w:val="BodyText"/>
        <w:spacing w:after="0"/>
      </w:pPr>
      <w:r w:rsidRPr="009E1367">
        <w:t>In the survey of YC service providers, over 90 per cent agreed that the program has helped young people develop valuable personal skills and attributes (97 per cent); helped young people connect to education, family and community (98 per cent); and helped develop strong collaborative relationships between organisations that support young people (93 per cent).</w:t>
      </w:r>
    </w:p>
    <w:p w14:paraId="2AD8AB44" w14:textId="77777777" w:rsidR="00497DBB" w:rsidRPr="009E1367" w:rsidRDefault="00497DBB" w:rsidP="0061433F">
      <w:pPr>
        <w:pStyle w:val="BodyText"/>
        <w:keepNext/>
        <w:spacing w:after="0"/>
        <w:rPr>
          <w:b/>
        </w:rPr>
      </w:pPr>
      <w:r w:rsidRPr="009E1367">
        <w:rPr>
          <w:b/>
        </w:rPr>
        <w:t>Individual support services</w:t>
      </w:r>
    </w:p>
    <w:p w14:paraId="552F19A8" w14:textId="77777777" w:rsidR="00497DBB" w:rsidRPr="00211A07" w:rsidRDefault="00497DBB" w:rsidP="0061433F">
      <w:pPr>
        <w:pStyle w:val="BodyText"/>
        <w:spacing w:after="0"/>
      </w:pPr>
      <w:bookmarkStart w:id="63" w:name="_Ref209238596"/>
      <w:r w:rsidRPr="009E1367">
        <w:t>Sin</w:t>
      </w:r>
      <w:r w:rsidR="001A6F82">
        <w:t>ce the program commenced at the start of 2010, over 54</w:t>
      </w:r>
      <w:r w:rsidRPr="009E1367">
        <w:t>,000 young people have received individual support services through it.</w:t>
      </w:r>
      <w:r w:rsidRPr="009E1367">
        <w:rPr>
          <w:rStyle w:val="FootnoteReference"/>
        </w:rPr>
        <w:footnoteReference w:id="24"/>
      </w:r>
      <w:r w:rsidRPr="009E1367">
        <w:t xml:space="preserve"> From January to mid-September 2012, 51 per cent of young people had addressed or minimised a barrier to learning. The most common barriers addressed were low self-esteem (3018 young people), low literacy and/or numeracy (2021) and behavioural problems (1958) – see </w:t>
      </w:r>
      <w:r w:rsidR="0061433F">
        <w:t xml:space="preserve">Figure </w:t>
      </w:r>
      <w:r>
        <w:t>3.3</w:t>
      </w:r>
      <w:r w:rsidRPr="009E1367">
        <w:t>. Significantly, the program resulted in 4115 young people commencing or re-engaging in education in the first half of 2012 – see</w:t>
      </w:r>
      <w:r>
        <w:t xml:space="preserve"> Figure 3.4</w:t>
      </w:r>
      <w:r w:rsidRPr="009E1367">
        <w:t>. Other common final outcomes of the program during this period included consistent improvement in behaviour at school (1958 young people) and school attendance (1002).</w:t>
      </w:r>
    </w:p>
    <w:bookmarkEnd w:id="63"/>
    <w:p w14:paraId="0AF82697" w14:textId="77777777" w:rsidR="00322B0D" w:rsidRPr="009E1367" w:rsidRDefault="00322B0D" w:rsidP="00322B0D">
      <w:pPr>
        <w:pStyle w:val="Caption"/>
        <w:keepNext/>
        <w:jc w:val="both"/>
      </w:pPr>
      <w:r w:rsidRPr="006A2686">
        <w:lastRenderedPageBreak/>
        <w:t>Figure 3.3: Most</w:t>
      </w:r>
      <w:r w:rsidRPr="009E1367">
        <w:t xml:space="preserve"> Common Barriers Addressed and Minimised by Young People in Individual Support Services</w:t>
      </w:r>
    </w:p>
    <w:p w14:paraId="6CED1930" w14:textId="77777777" w:rsidR="00497DBB" w:rsidRPr="009E1367" w:rsidRDefault="00497DBB" w:rsidP="0061433F">
      <w:pPr>
        <w:pStyle w:val="BodyText"/>
        <w:spacing w:after="0"/>
      </w:pPr>
      <w:r w:rsidRPr="009E1367">
        <w:rPr>
          <w:noProof/>
          <w:lang w:eastAsia="en-AU"/>
        </w:rPr>
        <w:drawing>
          <wp:inline distT="0" distB="0" distL="0" distR="0" wp14:anchorId="6487AC71" wp14:editId="55425DC9">
            <wp:extent cx="5904230" cy="3391535"/>
            <wp:effectExtent l="0" t="0" r="0" b="12065"/>
            <wp:docPr id="8" name="Chart 8" descr="Figure 3.3: Most Common Barriers Addressed and Minimised by Young People in Individual Support Services&#10;" title="Figure 3.3: Most Common Barriers Addressed and Minimised by Young People in Individual Support Servic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EEC3854" w14:textId="77777777" w:rsidR="00497DBB" w:rsidRPr="009E1367" w:rsidRDefault="00497DBB" w:rsidP="0061433F">
      <w:pPr>
        <w:pStyle w:val="Tablenote"/>
        <w:jc w:val="both"/>
      </w:pPr>
      <w:r w:rsidRPr="009E1367">
        <w:t xml:space="preserve">Source: DEEWR (2012) </w:t>
      </w:r>
      <w:r w:rsidRPr="00697134">
        <w:rPr>
          <w:i/>
        </w:rPr>
        <w:t>YATMIS Program Reporting</w:t>
      </w:r>
      <w:r w:rsidRPr="009E1367">
        <w:t>.</w:t>
      </w:r>
    </w:p>
    <w:p w14:paraId="2739CBF4" w14:textId="77777777" w:rsidR="00497DBB" w:rsidRPr="009E1367" w:rsidRDefault="00497DBB" w:rsidP="0061433F">
      <w:pPr>
        <w:pStyle w:val="Tablenote"/>
        <w:jc w:val="both"/>
      </w:pPr>
      <w:r w:rsidRPr="009E1367">
        <w:t>Note: Individual young people may address or minimise more than one barrier. These are the most common 10 of 28 barriers that YC service providers report young people have addressed.</w:t>
      </w:r>
    </w:p>
    <w:p w14:paraId="6F521685" w14:textId="77777777" w:rsidR="00497DBB" w:rsidRPr="009E1367" w:rsidRDefault="00497DBB" w:rsidP="0061433F">
      <w:pPr>
        <w:pStyle w:val="Tablenote"/>
        <w:jc w:val="both"/>
      </w:pPr>
    </w:p>
    <w:p w14:paraId="3B36E613" w14:textId="77777777" w:rsidR="00497DBB" w:rsidRPr="009E1367" w:rsidRDefault="00497DBB" w:rsidP="0061433F">
      <w:pPr>
        <w:pStyle w:val="Caption"/>
        <w:keepNext/>
        <w:jc w:val="both"/>
      </w:pPr>
      <w:bookmarkStart w:id="64" w:name="_Ref336430535"/>
      <w:r w:rsidRPr="009E1367">
        <w:t xml:space="preserve">Figure </w:t>
      </w:r>
      <w:bookmarkEnd w:id="64"/>
      <w:r>
        <w:t>3.4:</w:t>
      </w:r>
      <w:r w:rsidRPr="009E1367">
        <w:t xml:space="preserve"> Final Outcomes Achieved by Young People in Individual Support Services</w:t>
      </w:r>
    </w:p>
    <w:p w14:paraId="4425472F" w14:textId="77777777" w:rsidR="00497DBB" w:rsidRPr="009E1367" w:rsidRDefault="00497DBB" w:rsidP="0061433F">
      <w:pPr>
        <w:pStyle w:val="BodyText"/>
        <w:spacing w:after="0"/>
      </w:pPr>
      <w:r w:rsidRPr="009E1367">
        <w:rPr>
          <w:noProof/>
          <w:lang w:eastAsia="en-AU"/>
        </w:rPr>
        <w:drawing>
          <wp:inline distT="0" distB="0" distL="0" distR="0" wp14:anchorId="50BC27C3" wp14:editId="2BC4EB9B">
            <wp:extent cx="5940000" cy="3420000"/>
            <wp:effectExtent l="0" t="0" r="3810" b="9525"/>
            <wp:docPr id="7" name="Chart 7" descr="Figure 3.4: Final Outcomes Achieved by Young People in Individual Support Services&#10;" title="Figure 3.4: Final Outcomes Achieved by Young People in Individual Support Servic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528BF92" w14:textId="77777777" w:rsidR="00497DBB" w:rsidRPr="009E1367" w:rsidRDefault="00497DBB" w:rsidP="0061433F">
      <w:pPr>
        <w:pStyle w:val="Tablenote"/>
        <w:jc w:val="both"/>
      </w:pPr>
      <w:r w:rsidRPr="009E1367">
        <w:t xml:space="preserve">Source: DEEWR (2012) </w:t>
      </w:r>
      <w:r w:rsidRPr="00697134">
        <w:rPr>
          <w:i/>
        </w:rPr>
        <w:t>YATMIS Program Reporting</w:t>
      </w:r>
      <w:r w:rsidRPr="009E1367">
        <w:t>.</w:t>
      </w:r>
    </w:p>
    <w:p w14:paraId="674A3AA6" w14:textId="77777777" w:rsidR="00497DBB" w:rsidRPr="009E1367" w:rsidRDefault="00497DBB" w:rsidP="0061433F">
      <w:pPr>
        <w:pStyle w:val="Tablenote"/>
        <w:jc w:val="both"/>
      </w:pPr>
      <w:r w:rsidRPr="009E1367">
        <w:t>Note: Individual young people may achieve more than one final outcome.</w:t>
      </w:r>
    </w:p>
    <w:p w14:paraId="25B8E0C0" w14:textId="77777777" w:rsidR="00497DBB" w:rsidRPr="009E1367" w:rsidRDefault="00497DBB" w:rsidP="0061433F">
      <w:pPr>
        <w:pStyle w:val="Tablenote"/>
        <w:jc w:val="both"/>
      </w:pPr>
      <w:r w:rsidRPr="009E1367">
        <w:t>* This category was introduced in 2012.</w:t>
      </w:r>
    </w:p>
    <w:p w14:paraId="4092F58D" w14:textId="77777777" w:rsidR="00497DBB" w:rsidRPr="009E1367" w:rsidRDefault="00497DBB" w:rsidP="0061433F">
      <w:pPr>
        <w:pStyle w:val="BodyText"/>
        <w:spacing w:after="0"/>
      </w:pPr>
      <w:r w:rsidRPr="009E1367">
        <w:t xml:space="preserve">Information is not available on a national basis to indicate whether young people remain in education once they exit the program. A recent study by the Brotherhood of St Laurence of YC services in Victoria provides an indication of the sustainability of the </w:t>
      </w:r>
      <w:r w:rsidRPr="009E1367">
        <w:lastRenderedPageBreak/>
        <w:t>outcomes achieved through the program</w:t>
      </w:r>
      <w:r>
        <w:t xml:space="preserve"> in one region</w:t>
      </w:r>
      <w:r w:rsidRPr="009E1367">
        <w:t>.</w:t>
      </w:r>
      <w:r w:rsidRPr="009E1367">
        <w:rPr>
          <w:rStyle w:val="FootnoteReference"/>
        </w:rPr>
        <w:footnoteReference w:id="25"/>
      </w:r>
      <w:r w:rsidRPr="009E1367">
        <w:t xml:space="preserve"> Almost three-quarters (72.5 per cent) of young people </w:t>
      </w:r>
      <w:r>
        <w:t xml:space="preserve">in this region </w:t>
      </w:r>
      <w:r w:rsidRPr="009E1367">
        <w:t xml:space="preserve">were still engaged with education at least </w:t>
      </w:r>
      <w:r>
        <w:t>three</w:t>
      </w:r>
      <w:r w:rsidRPr="009E1367">
        <w:t xml:space="preserve"> months after </w:t>
      </w:r>
      <w:r>
        <w:t>exiting</w:t>
      </w:r>
      <w:r w:rsidRPr="009E1367">
        <w:t xml:space="preserve"> the program.</w:t>
      </w:r>
      <w:r>
        <w:rPr>
          <w:rStyle w:val="FootnoteReference"/>
        </w:rPr>
        <w:footnoteReference w:id="26"/>
      </w:r>
      <w:r w:rsidRPr="009E1367">
        <w:t xml:space="preserve"> The </w:t>
      </w:r>
      <w:r w:rsidR="0035466C">
        <w:t xml:space="preserve">dandolo </w:t>
      </w:r>
      <w:r w:rsidRPr="009E1367">
        <w:t>survey of service providers indicate</w:t>
      </w:r>
      <w:r w:rsidR="0035466C">
        <w:t>s</w:t>
      </w:r>
      <w:r w:rsidRPr="009E1367">
        <w:t xml:space="preserve"> that, where circumstances are known, the majority of young people are engaged in education, training and/or employment six months after completing the program (78 per cent) (see</w:t>
      </w:r>
      <w:r>
        <w:t xml:space="preserve"> Figure 3.5</w:t>
      </w:r>
      <w:r w:rsidRPr="009E1367">
        <w:t>).</w:t>
      </w:r>
      <w:r w:rsidRPr="009E1367">
        <w:rPr>
          <w:rStyle w:val="FootnoteReference"/>
        </w:rPr>
        <w:footnoteReference w:id="27"/>
      </w:r>
      <w:r w:rsidRPr="009E1367">
        <w:t xml:space="preserve"> This suggests that YC is effective in establishing a lasting connection for young people to education, training or employment.</w:t>
      </w:r>
    </w:p>
    <w:p w14:paraId="60E2E6DB" w14:textId="77777777" w:rsidR="00497DBB" w:rsidRPr="009E1367" w:rsidRDefault="00497DBB" w:rsidP="0061433F">
      <w:pPr>
        <w:pStyle w:val="Caption"/>
        <w:keepNext/>
        <w:jc w:val="both"/>
      </w:pPr>
      <w:bookmarkStart w:id="65" w:name="_Ref209257556"/>
      <w:r w:rsidRPr="006A2686">
        <w:t xml:space="preserve">Figure </w:t>
      </w:r>
      <w:bookmarkEnd w:id="65"/>
      <w:r w:rsidRPr="006A2686">
        <w:t>3.5: Major</w:t>
      </w:r>
      <w:r w:rsidRPr="009E1367">
        <w:t xml:space="preserve"> Activity of Most Young People Six Months After Leaving the Youth Connections Program</w:t>
      </w:r>
    </w:p>
    <w:p w14:paraId="7BBF4815" w14:textId="77777777" w:rsidR="00497DBB" w:rsidRPr="009E1367" w:rsidRDefault="00497DBB" w:rsidP="0061433F">
      <w:pPr>
        <w:pStyle w:val="BodyText"/>
        <w:spacing w:after="0"/>
      </w:pPr>
      <w:r w:rsidRPr="009E1367">
        <w:rPr>
          <w:noProof/>
          <w:lang w:eastAsia="en-AU"/>
        </w:rPr>
        <w:drawing>
          <wp:inline distT="0" distB="0" distL="0" distR="0" wp14:anchorId="1E7E63ED" wp14:editId="0B54EC6B">
            <wp:extent cx="5940000" cy="2772000"/>
            <wp:effectExtent l="0" t="0" r="3810" b="0"/>
            <wp:docPr id="172" name="Chart 172" descr="Figure 3.5: Major Activity of Most Young People Six Months After Leaving the Youth Connections Program&#10;" title="Figure 3.5: Major Activity of Most Young People Six Months After Leaving the Youth Connections Program "/>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43D3660" w14:textId="77777777" w:rsidR="00497DBB" w:rsidRPr="009E1367" w:rsidRDefault="00497DBB" w:rsidP="0061433F">
      <w:pPr>
        <w:pStyle w:val="TableCellText"/>
        <w:jc w:val="both"/>
      </w:pPr>
      <w:r w:rsidRPr="009E1367">
        <w:t xml:space="preserve">Source: dandolopartners survey of YC service providers (2012). </w:t>
      </w:r>
      <w:r w:rsidR="00517665">
        <w:t>Sixty-three per cent of</w:t>
      </w:r>
      <w:r w:rsidR="00CE044E">
        <w:t xml:space="preserve"> survey respondents indicted that they know </w:t>
      </w:r>
      <w:r w:rsidR="00CE044E" w:rsidRPr="009E1367">
        <w:t>the locations of their clients six months after achieving a final outcome</w:t>
      </w:r>
      <w:r w:rsidR="00CE044E">
        <w:t xml:space="preserve"> and therefore answered this question.</w:t>
      </w:r>
    </w:p>
    <w:p w14:paraId="6B5BFEAD" w14:textId="77777777" w:rsidR="00497DBB" w:rsidRPr="009E1367" w:rsidRDefault="00497DBB" w:rsidP="0061433F">
      <w:pPr>
        <w:pStyle w:val="BodyText"/>
        <w:spacing w:after="0"/>
      </w:pPr>
      <w:r w:rsidRPr="009E1367">
        <w:t>However, not all young people that participate in the program achieve outcomes. As of mid-September 2012, 45 per cent of participants who had enrolled this year had not yet achieved a progressive or final outcome through the program.</w:t>
      </w:r>
      <w:r w:rsidRPr="009E1367">
        <w:rPr>
          <w:color w:val="FF0000"/>
        </w:rPr>
        <w:t xml:space="preserve"> </w:t>
      </w:r>
      <w:r w:rsidRPr="009E1367">
        <w:t>Service providers report that the most common reason for young people not achieving outcomes is that they fail to become engaged when initially contacted (54 per cent of survey respondents</w:t>
      </w:r>
      <w:r>
        <w:t>; see Figure 3.6</w:t>
      </w:r>
      <w:r w:rsidRPr="009E1367">
        <w:t>). Far fewer become engaged and then withdraw during the program (30 per cent of respondents). Common reasons given for young people not achieving outcomes include lack of personal motivation to engage or make changes; transience/unstable accommodation, which makes it difficult to maintain contact; and either a lack of family support, negative parental influence or family dysfunction. These reasons indicate the complexity of the service delivery challenge for service providers.</w:t>
      </w:r>
    </w:p>
    <w:p w14:paraId="43463227" w14:textId="77777777" w:rsidR="00497DBB" w:rsidRPr="009E1367" w:rsidRDefault="00497DBB" w:rsidP="0061433F">
      <w:pPr>
        <w:pStyle w:val="BodyText"/>
        <w:spacing w:after="0"/>
      </w:pPr>
    </w:p>
    <w:p w14:paraId="76FECD05" w14:textId="77777777" w:rsidR="00497DBB" w:rsidRPr="009E1367" w:rsidRDefault="00497DBB" w:rsidP="0061433F">
      <w:pPr>
        <w:pStyle w:val="Caption"/>
        <w:keepNext/>
        <w:jc w:val="both"/>
      </w:pPr>
      <w:r w:rsidRPr="006A2686">
        <w:lastRenderedPageBreak/>
        <w:t>Figure 3.6: Reasons</w:t>
      </w:r>
      <w:r w:rsidRPr="009E1367">
        <w:t xml:space="preserve"> why young people do not achieve positive outcomes</w:t>
      </w:r>
    </w:p>
    <w:p w14:paraId="280C2444" w14:textId="77777777" w:rsidR="00497DBB" w:rsidRPr="009E1367" w:rsidRDefault="00497DBB" w:rsidP="0061433F">
      <w:pPr>
        <w:pStyle w:val="BodyText"/>
        <w:spacing w:after="0"/>
      </w:pPr>
      <w:r w:rsidRPr="009E1367">
        <w:rPr>
          <w:noProof/>
          <w:lang w:eastAsia="en-AU"/>
        </w:rPr>
        <w:drawing>
          <wp:inline distT="0" distB="0" distL="0" distR="0" wp14:anchorId="45427F9D" wp14:editId="0FF9A642">
            <wp:extent cx="5940000" cy="3420000"/>
            <wp:effectExtent l="0" t="0" r="3810" b="9525"/>
            <wp:docPr id="168" name="Chart 168" descr="Figure 3.6: Reasons why young people do not achieve positive outcomes&#10;" title="Figure 3.6: Reasons why young people do not achieve positive outcom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4D80A75" w14:textId="77777777" w:rsidR="00497DBB" w:rsidRPr="009E1367" w:rsidRDefault="00497DBB" w:rsidP="0061433F">
      <w:pPr>
        <w:pStyle w:val="Tablenote"/>
        <w:jc w:val="both"/>
      </w:pPr>
      <w:r w:rsidRPr="009E1367">
        <w:t>Source: dandolopartners survey of YC service providers (2012).</w:t>
      </w:r>
    </w:p>
    <w:p w14:paraId="1F162ED4" w14:textId="77777777" w:rsidR="00497DBB" w:rsidRPr="00211A07" w:rsidRDefault="00497DBB" w:rsidP="0061433F">
      <w:pPr>
        <w:pStyle w:val="BodyText"/>
      </w:pPr>
      <w:r w:rsidRPr="009E1367">
        <w:t>As well as learning outcomes, the YC program is associated with improvements in young people’s personal wellbeing. The YC program uses a Personal Wellbeing Index to measure young people’s subjective wellbeing (‘a normally positive state of mind that involves the whole life experience’</w:t>
      </w:r>
      <w:r w:rsidRPr="009E1367">
        <w:rPr>
          <w:rStyle w:val="FootnoteReference"/>
        </w:rPr>
        <w:footnoteReference w:id="28"/>
      </w:r>
      <w:r w:rsidRPr="009E1367">
        <w:t xml:space="preserve">). Between their first meeting with their case manager and their exit from the YC program, </w:t>
      </w:r>
      <w:r w:rsidR="008B224A" w:rsidRPr="009E1367">
        <w:t xml:space="preserve">a significant proportion </w:t>
      </w:r>
      <w:r w:rsidR="008B224A">
        <w:t>(</w:t>
      </w:r>
      <w:r w:rsidR="008B224A" w:rsidRPr="009E1367">
        <w:t xml:space="preserve">of a sample of </w:t>
      </w:r>
      <w:r w:rsidR="003317D4">
        <w:t>1535</w:t>
      </w:r>
      <w:r w:rsidR="008B224A" w:rsidRPr="009E1367">
        <w:t xml:space="preserve"> young people who completed the index</w:t>
      </w:r>
      <w:r w:rsidR="003317D4">
        <w:t xml:space="preserve"> on two occasions</w:t>
      </w:r>
      <w:r w:rsidR="008B224A">
        <w:t>)</w:t>
      </w:r>
      <w:r w:rsidR="008B224A" w:rsidRPr="009E1367">
        <w:t xml:space="preserve"> experienced improved psychological outcomes.</w:t>
      </w:r>
      <w:r w:rsidR="008B224A" w:rsidRPr="009E1367">
        <w:rPr>
          <w:rStyle w:val="FootnoteReference"/>
        </w:rPr>
        <w:footnoteReference w:id="29"/>
      </w:r>
      <w:r w:rsidR="008B224A" w:rsidRPr="009E1367">
        <w:t xml:space="preserve"> </w:t>
      </w:r>
      <w:r w:rsidRPr="009E1367">
        <w:t xml:space="preserve"> This indicates that more young people had experienced normal levels of wellbeing and fewer young people were depressed or at high risk of depression at the end of the program. The change in young people’s views of their future security was particularly marked.</w:t>
      </w:r>
    </w:p>
    <w:p w14:paraId="310F4C77" w14:textId="77777777" w:rsidR="00497DBB" w:rsidRPr="009E1367" w:rsidRDefault="00497DBB" w:rsidP="0061433F">
      <w:pPr>
        <w:pStyle w:val="BodyText"/>
      </w:pPr>
      <w:r w:rsidRPr="009E1367">
        <w:t>Service providers consistently identified the strengths of individual support services to be:</w:t>
      </w:r>
    </w:p>
    <w:p w14:paraId="32F535B7" w14:textId="77777777" w:rsidR="00497DBB" w:rsidRPr="009E1367" w:rsidRDefault="00497DBB" w:rsidP="0061433F">
      <w:pPr>
        <w:pStyle w:val="ListBullet"/>
      </w:pPr>
      <w:r>
        <w:t>T</w:t>
      </w:r>
      <w:r w:rsidRPr="009E1367">
        <w:t>he flexibility to work with a young person over an extended period of time and meet their individual needs (e.g., holistic support, individual learning plans)</w:t>
      </w:r>
    </w:p>
    <w:p w14:paraId="041A8813" w14:textId="77777777" w:rsidR="00497DBB" w:rsidRPr="009E1367" w:rsidRDefault="00497DBB" w:rsidP="0061433F">
      <w:pPr>
        <w:pStyle w:val="ListBullet"/>
      </w:pPr>
      <w:r>
        <w:t>L</w:t>
      </w:r>
      <w:r w:rsidRPr="009E1367">
        <w:t>inks to other service providers (particularly alternative education providers)</w:t>
      </w:r>
    </w:p>
    <w:p w14:paraId="08E2E52C" w14:textId="77777777" w:rsidR="00497DBB" w:rsidRPr="009E1367" w:rsidRDefault="00497DBB" w:rsidP="0061433F">
      <w:pPr>
        <w:pStyle w:val="ListBullet"/>
      </w:pPr>
      <w:r>
        <w:t>D</w:t>
      </w:r>
      <w:r w:rsidRPr="009E1367">
        <w:t>eveloping trust and a connection with young people through mentoring</w:t>
      </w:r>
    </w:p>
    <w:p w14:paraId="037E792B" w14:textId="77777777" w:rsidR="00497DBB" w:rsidRPr="009E1367" w:rsidRDefault="00497DBB" w:rsidP="0061433F">
      <w:pPr>
        <w:pStyle w:val="ListBullet"/>
      </w:pPr>
      <w:r>
        <w:t>E</w:t>
      </w:r>
      <w:r w:rsidRPr="009E1367">
        <w:t>mpowering young people to make decisions about their lives now and in the future.</w:t>
      </w:r>
      <w:r w:rsidRPr="009E1367">
        <w:rPr>
          <w:rStyle w:val="FootnoteReference"/>
        </w:rPr>
        <w:footnoteReference w:id="30"/>
      </w:r>
    </w:p>
    <w:p w14:paraId="25FB123B" w14:textId="77777777" w:rsidR="00497DBB" w:rsidRPr="009E1367" w:rsidRDefault="00497DBB" w:rsidP="0061433F">
      <w:pPr>
        <w:pStyle w:val="BodyText"/>
        <w:spacing w:after="0"/>
      </w:pPr>
      <w:r w:rsidRPr="009E1367">
        <w:t xml:space="preserve">These features should be </w:t>
      </w:r>
      <w:r>
        <w:t>incorporated</w:t>
      </w:r>
      <w:r w:rsidRPr="009E1367">
        <w:t xml:space="preserve"> in</w:t>
      </w:r>
      <w:r>
        <w:t>to</w:t>
      </w:r>
      <w:r w:rsidRPr="009E1367">
        <w:t xml:space="preserve"> the development of future programs aimed at supporting young people at risk of disengaging from learning and community.</w:t>
      </w:r>
    </w:p>
    <w:p w14:paraId="2BF73056" w14:textId="77777777" w:rsidR="00497DBB" w:rsidRPr="009E1367" w:rsidRDefault="00497DBB" w:rsidP="0061433F">
      <w:pPr>
        <w:pStyle w:val="BodyText"/>
        <w:keepNext/>
        <w:spacing w:after="0"/>
        <w:rPr>
          <w:b/>
        </w:rPr>
      </w:pPr>
      <w:r w:rsidRPr="009E1367">
        <w:rPr>
          <w:b/>
        </w:rPr>
        <w:t>Outreach and re-engagement</w:t>
      </w:r>
    </w:p>
    <w:p w14:paraId="450610FC" w14:textId="77777777" w:rsidR="00497DBB" w:rsidRPr="009E1367" w:rsidRDefault="00497DBB" w:rsidP="0061433F">
      <w:pPr>
        <w:pStyle w:val="BodyText"/>
      </w:pPr>
      <w:r w:rsidRPr="009E1367">
        <w:t xml:space="preserve">Through outreach and re-engagement, providers actively go out to locations where young people spend time and engage them in activities (such as tutoring programs and life skills workshops) aimed at helping them to re-engage with family, community and </w:t>
      </w:r>
      <w:r w:rsidRPr="009E1367">
        <w:lastRenderedPageBreak/>
        <w:t>learning. YC providers have delivered a large number of outreach and re-engagement activities involving large numbers of young people. In the six months to mid-2012, 4434 activities were conducted that involved almost 75,000 young people.</w:t>
      </w:r>
    </w:p>
    <w:p w14:paraId="14C660CD" w14:textId="77777777" w:rsidR="00497DBB" w:rsidRPr="009E1367" w:rsidRDefault="00497DBB" w:rsidP="0061433F">
      <w:pPr>
        <w:pStyle w:val="BodyText"/>
      </w:pPr>
      <w:r w:rsidRPr="009E1367">
        <w:t xml:space="preserve">The outcome of the outreach and re-engagement activities is less clear than for individual support services. Some service providers reported that re-engagement programs are labour-intensive, costly to deliver, and produced variable results when compared with individual support services. In the context of unmet demand from young people for individual support services generated through existing referral channels (see section </w:t>
      </w:r>
      <w:r w:rsidR="0056511F" w:rsidRPr="009E1367">
        <w:fldChar w:fldCharType="begin"/>
      </w:r>
      <w:r w:rsidRPr="009E1367">
        <w:instrText xml:space="preserve"> REF _Ref209347122 \r \h </w:instrText>
      </w:r>
      <w:r w:rsidR="0056511F" w:rsidRPr="009E1367">
        <w:fldChar w:fldCharType="separate"/>
      </w:r>
      <w:r w:rsidR="00A76CFC">
        <w:t>3.4.3</w:t>
      </w:r>
      <w:r w:rsidR="0056511F" w:rsidRPr="009E1367">
        <w:fldChar w:fldCharType="end"/>
      </w:r>
      <w:r w:rsidRPr="009E1367">
        <w:t>) and a common lack of personal motivation in young people</w:t>
      </w:r>
      <w:r>
        <w:t xml:space="preserve"> that are contacted to participate</w:t>
      </w:r>
      <w:r w:rsidRPr="009E1367">
        <w:t>, some service providers have questioned the value of seeking out additional young people through outreach activities. An important benefit of this component of the program is accessing young people outside of the normal referral channels. These young people are less likely to be receiving support from other service providers and are therefore in greater need of YC services to assist them to reconnect with learning and community. However, there may be an opportunity to vary the effort different service providers allocate to the different service types based on the needs in their region.</w:t>
      </w:r>
    </w:p>
    <w:p w14:paraId="197C565E" w14:textId="77777777" w:rsidR="00497DBB" w:rsidRPr="009E1367" w:rsidRDefault="00497DBB" w:rsidP="0061433F">
      <w:pPr>
        <w:pStyle w:val="BodyText"/>
      </w:pPr>
      <w:r w:rsidRPr="009E1367">
        <w:t>Service providers reported that there are some outstanding challenges to be overcome to improve the effectiveness of outreach and re-engagement activities. Frequently suggested improvements include matching the anticipated level of service delivery to the allocation of funding available, and running outreach activities as a separate program (or with dedicated staff members who have the necessary skills).</w:t>
      </w:r>
    </w:p>
    <w:p w14:paraId="520A08F9" w14:textId="77777777" w:rsidR="00497DBB" w:rsidRPr="009E1367" w:rsidRDefault="00497DBB" w:rsidP="0061433F">
      <w:pPr>
        <w:pStyle w:val="BodyText"/>
        <w:spacing w:after="0"/>
        <w:rPr>
          <w:b/>
        </w:rPr>
      </w:pPr>
      <w:r w:rsidRPr="009E1367">
        <w:rPr>
          <w:b/>
        </w:rPr>
        <w:t>Strengthening services in the region</w:t>
      </w:r>
    </w:p>
    <w:p w14:paraId="66071478" w14:textId="77777777" w:rsidR="00497DBB" w:rsidRPr="009E1367" w:rsidRDefault="00497DBB" w:rsidP="0061433F">
      <w:pPr>
        <w:pStyle w:val="BodyText"/>
      </w:pPr>
      <w:r w:rsidRPr="009E1367">
        <w:t>Since the Year 1 evaluation, service providers have increasingly focused on strengthening services in their regions. The activities that service providers see as being most effective include sharing their experiences working with young people with</w:t>
      </w:r>
      <w:r w:rsidR="003857A8">
        <w:t>in</w:t>
      </w:r>
      <w:r w:rsidRPr="009E1367">
        <w:t xml:space="preserve"> schools, and establishing links with other services in the region for young people at risk of disengaging.</w:t>
      </w:r>
      <w:r w:rsidRPr="00E2202B">
        <w:rPr>
          <w:vertAlign w:val="superscript"/>
        </w:rPr>
        <w:footnoteReference w:id="31"/>
      </w:r>
    </w:p>
    <w:p w14:paraId="38A91B88" w14:textId="77777777" w:rsidR="00497DBB" w:rsidRPr="009E1367" w:rsidRDefault="00497DBB" w:rsidP="0061433F">
      <w:pPr>
        <w:pStyle w:val="BodyText"/>
      </w:pPr>
      <w:r w:rsidRPr="009E1367">
        <w:t>YC providers are expected to form effective working relationships with the PBs in their region to support young people at risk.</w:t>
      </w:r>
      <w:r w:rsidRPr="00E2202B">
        <w:rPr>
          <w:vertAlign w:val="superscript"/>
        </w:rPr>
        <w:footnoteReference w:id="32"/>
      </w:r>
      <w:r w:rsidRPr="009E1367">
        <w:t xml:space="preserve"> Around three-quarters of service providers report that they work with PBs, though they are slightly less positive about activities involving PBs (69% per cent agree or strongly agree the activities are helpful for young people) than about other types of activities </w:t>
      </w:r>
      <w:r w:rsidR="008B224A" w:rsidRPr="009E1367">
        <w:t>(the average</w:t>
      </w:r>
      <w:r w:rsidR="00AF7A05">
        <w:t xml:space="preserve"> of the other activities</w:t>
      </w:r>
      <w:r w:rsidR="008B224A" w:rsidRPr="009E1367">
        <w:t xml:space="preserve"> is 84 per cent) (see</w:t>
      </w:r>
      <w:r w:rsidR="008B224A">
        <w:t xml:space="preserve"> Figure 3.7</w:t>
      </w:r>
      <w:r w:rsidR="008B224A" w:rsidRPr="009E1367">
        <w:t>).</w:t>
      </w:r>
    </w:p>
    <w:p w14:paraId="4A920560" w14:textId="77777777" w:rsidR="00497DBB" w:rsidRPr="009E1367" w:rsidRDefault="00497DBB" w:rsidP="0061433F">
      <w:pPr>
        <w:pStyle w:val="Caption"/>
        <w:keepNext/>
        <w:jc w:val="both"/>
      </w:pPr>
      <w:bookmarkStart w:id="66" w:name="_Ref209343743"/>
      <w:bookmarkStart w:id="67" w:name="_Ref209343738"/>
      <w:r w:rsidRPr="006A2686">
        <w:lastRenderedPageBreak/>
        <w:t xml:space="preserve">Figure </w:t>
      </w:r>
      <w:bookmarkEnd w:id="66"/>
      <w:r w:rsidRPr="006A2686">
        <w:t>3.7: Strengthening</w:t>
      </w:r>
      <w:r w:rsidRPr="009E1367">
        <w:t xml:space="preserve"> Services in The Region – Delivery and Effectiveness</w:t>
      </w:r>
      <w:bookmarkEnd w:id="67"/>
    </w:p>
    <w:p w14:paraId="5EE50CF7" w14:textId="77777777" w:rsidR="00497DBB" w:rsidRPr="009E1367" w:rsidRDefault="00497DBB" w:rsidP="0061433F">
      <w:pPr>
        <w:pStyle w:val="BodyText"/>
        <w:spacing w:after="0"/>
        <w:rPr>
          <w:b/>
          <w:highlight w:val="yellow"/>
        </w:rPr>
      </w:pPr>
      <w:r w:rsidRPr="009E1367">
        <w:rPr>
          <w:noProof/>
          <w:lang w:eastAsia="en-AU"/>
        </w:rPr>
        <w:drawing>
          <wp:inline distT="0" distB="0" distL="0" distR="0" wp14:anchorId="151FD6C3" wp14:editId="33BF7EE6">
            <wp:extent cx="6096000" cy="3769995"/>
            <wp:effectExtent l="0" t="0" r="0" b="0"/>
            <wp:docPr id="25" name="Chart 25" descr="Figure 3.7: Strengthening Services in The Region – Delivery and Effectiveness&#10;" title="Figure 3.7: Strengthening Services in The Region – Delivery and Effectivenes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2F3873" w14:textId="77777777" w:rsidR="00497DBB" w:rsidRPr="009E1367" w:rsidRDefault="00497DBB" w:rsidP="0061433F">
      <w:pPr>
        <w:pStyle w:val="Tablenote"/>
        <w:jc w:val="both"/>
      </w:pPr>
      <w:r w:rsidRPr="009E1367">
        <w:t>Source: dandolopartners survey of YC service providers (2012).</w:t>
      </w:r>
    </w:p>
    <w:p w14:paraId="729549A6" w14:textId="77777777" w:rsidR="008B224A" w:rsidRDefault="008B224A" w:rsidP="008B224A">
      <w:pPr>
        <w:pStyle w:val="Heading4"/>
      </w:pPr>
      <w:r>
        <w:t>Summary</w:t>
      </w:r>
    </w:p>
    <w:p w14:paraId="64375625" w14:textId="77777777" w:rsidR="00497DBB" w:rsidRPr="009E1367" w:rsidRDefault="00497DBB" w:rsidP="0061433F">
      <w:pPr>
        <w:pStyle w:val="BodyText"/>
      </w:pPr>
      <w:r w:rsidRPr="009E1367">
        <w:t>YC service providers and stakeholders have highlighted many strengths of the program. In particular, YC:</w:t>
      </w:r>
    </w:p>
    <w:p w14:paraId="39F0B890" w14:textId="77777777" w:rsidR="00497DBB" w:rsidRPr="009E1367" w:rsidRDefault="00497DBB" w:rsidP="0061433F">
      <w:pPr>
        <w:pStyle w:val="ListBullet"/>
      </w:pPr>
      <w:r>
        <w:t>P</w:t>
      </w:r>
      <w:r w:rsidRPr="009E1367">
        <w:t>rovides a unique, specialised service focused on education and training</w:t>
      </w:r>
    </w:p>
    <w:p w14:paraId="62E52E19" w14:textId="77777777" w:rsidR="00497DBB" w:rsidRPr="009E1367" w:rsidRDefault="00497DBB" w:rsidP="0061433F">
      <w:pPr>
        <w:pStyle w:val="ListBullet"/>
      </w:pPr>
      <w:r>
        <w:t>S</w:t>
      </w:r>
      <w:r w:rsidRPr="009E1367">
        <w:t>ervice delivery is flexible and highly individualised to the needs of young people</w:t>
      </w:r>
    </w:p>
    <w:p w14:paraId="0D26615B" w14:textId="77777777" w:rsidR="00497DBB" w:rsidRPr="009E1367" w:rsidRDefault="00497DBB" w:rsidP="0061433F">
      <w:pPr>
        <w:pStyle w:val="ListBullet"/>
      </w:pPr>
      <w:r>
        <w:t>G</w:t>
      </w:r>
      <w:r w:rsidRPr="009E1367">
        <w:t>ives young people the skills they need to seek out alternative options in the future if needed</w:t>
      </w:r>
    </w:p>
    <w:p w14:paraId="1471A598" w14:textId="77777777" w:rsidR="00497DBB" w:rsidRPr="009E1367" w:rsidRDefault="00497DBB" w:rsidP="0061433F">
      <w:pPr>
        <w:pStyle w:val="ListBullet"/>
      </w:pPr>
      <w:r>
        <w:t>I</w:t>
      </w:r>
      <w:r w:rsidRPr="009E1367">
        <w:t>s sufficiently flexible that it can add components to target local needs (e.g., working with Centacare to run young mums and dads programs in Burnie, Tasmania</w:t>
      </w:r>
      <w:r w:rsidR="00550848">
        <w:t xml:space="preserve"> as part of the Building Australia’s Future Workforce trial managed by the Australian Government Department of Human Services</w:t>
      </w:r>
      <w:r w:rsidRPr="009E1367">
        <w:t>)</w:t>
      </w:r>
    </w:p>
    <w:p w14:paraId="66EA8146" w14:textId="77777777" w:rsidR="00497DBB" w:rsidRPr="009E1367" w:rsidRDefault="00497DBB" w:rsidP="0061433F">
      <w:pPr>
        <w:pStyle w:val="ListBullet"/>
      </w:pPr>
      <w:r>
        <w:t>P</w:t>
      </w:r>
      <w:r w:rsidRPr="009E1367">
        <w:t>rovides the opportunity to get to know young people through outreach and re-engagement, and develops effective links with other service providers through strengthening services</w:t>
      </w:r>
    </w:p>
    <w:p w14:paraId="4D6E3817" w14:textId="77777777" w:rsidR="00497DBB" w:rsidRPr="009E1367" w:rsidRDefault="00497DBB" w:rsidP="0061433F">
      <w:pPr>
        <w:pStyle w:val="ListBullet"/>
      </w:pPr>
      <w:r>
        <w:t>S</w:t>
      </w:r>
      <w:r w:rsidRPr="009E1367">
        <w:t xml:space="preserve">trategic approach encourages links between related programs and minimises duplication (e.g., adjustment to YC service delivery to accommodate changes to the Innovative Community Action Network (ICAN) program in South Australia) (see section </w:t>
      </w:r>
      <w:r w:rsidR="0056511F" w:rsidRPr="009E1367">
        <w:fldChar w:fldCharType="begin"/>
      </w:r>
      <w:r w:rsidRPr="009E1367">
        <w:instrText xml:space="preserve"> REF _Ref209347122 \r \h </w:instrText>
      </w:r>
      <w:r w:rsidR="0056511F" w:rsidRPr="009E1367">
        <w:fldChar w:fldCharType="separate"/>
      </w:r>
      <w:r w:rsidR="00A76CFC">
        <w:t>3.4.3</w:t>
      </w:r>
      <w:r w:rsidR="0056511F" w:rsidRPr="009E1367">
        <w:fldChar w:fldCharType="end"/>
      </w:r>
      <w:r w:rsidRPr="009E1367">
        <w:t>).</w:t>
      </w:r>
    </w:p>
    <w:p w14:paraId="186AA625" w14:textId="77777777" w:rsidR="00497DBB" w:rsidRPr="009E1367" w:rsidRDefault="00497DBB" w:rsidP="0061433F">
      <w:pPr>
        <w:pStyle w:val="BodyText"/>
      </w:pPr>
      <w:r w:rsidRPr="009E1367">
        <w:t>These strengths should be considered during the development of a future</w:t>
      </w:r>
      <w:r>
        <w:t xml:space="preserve"> national</w:t>
      </w:r>
      <w:r w:rsidRPr="009E1367">
        <w:t xml:space="preserve"> youth attainment and transitions policy (see Chapter </w:t>
      </w:r>
      <w:r w:rsidR="0061433F">
        <w:t>5</w:t>
      </w:r>
      <w:r w:rsidRPr="009E1367">
        <w:t>).</w:t>
      </w:r>
    </w:p>
    <w:p w14:paraId="4E74A079" w14:textId="77777777" w:rsidR="00497DBB" w:rsidRPr="009E1367" w:rsidRDefault="00497DBB" w:rsidP="0061433F">
      <w:pPr>
        <w:pStyle w:val="Heading3"/>
        <w:jc w:val="both"/>
      </w:pPr>
      <w:r w:rsidRPr="009E1367">
        <w:t>National Career Development</w:t>
      </w:r>
    </w:p>
    <w:p w14:paraId="6B3D2349" w14:textId="77777777" w:rsidR="00497DBB" w:rsidRPr="009E1367" w:rsidRDefault="00497DBB" w:rsidP="0061433F">
      <w:pPr>
        <w:pStyle w:val="BodyText"/>
      </w:pPr>
      <w:r w:rsidRPr="009E1367">
        <w:t xml:space="preserve">The National Career Development element continues to benefit young people in all States and Territories through projects and resources aimed at improving engagement with quality career development. Feedback from consultations with jurisdictions and non-government sector representatives indicates that schools value the existing resources provided by the Australian Government </w:t>
      </w:r>
      <w:r w:rsidRPr="009E1367">
        <w:lastRenderedPageBreak/>
        <w:t xml:space="preserve">in conjunction with the States and Territories. These resources support a range of active career development initiatives reported by each State and Territory in their annual reports. </w:t>
      </w:r>
      <w:r>
        <w:t>A common suggestion is</w:t>
      </w:r>
      <w:r w:rsidRPr="009E1367">
        <w:t xml:space="preserve"> that there needs to be an improvement in the regular distribution of regional labour market information to schools and young people, to increase the understanding of relevant career options and pathways.</w:t>
      </w:r>
    </w:p>
    <w:p w14:paraId="237FA5DA" w14:textId="77777777" w:rsidR="00497DBB" w:rsidRPr="009E1367" w:rsidRDefault="00497DBB" w:rsidP="0061433F">
      <w:pPr>
        <w:pStyle w:val="BodyText"/>
      </w:pPr>
      <w:r w:rsidRPr="009E1367">
        <w:t>The finalisation of the National Career Development Strategy (NCDS) was delayed. A Green Paper was released for comment in June 2012. The closing date for submissions was 1 August 2012 and the Australian Government’s response was not available at the time this report was finalised. However, early indications suggest that the strategy should lead to a more strategic approach to career development for young Australians as well as Australians in other age cohorts.</w:t>
      </w:r>
    </w:p>
    <w:p w14:paraId="730A5942" w14:textId="77777777" w:rsidR="00497DBB" w:rsidRPr="009E1367" w:rsidRDefault="00497DBB" w:rsidP="0061433F">
      <w:pPr>
        <w:pStyle w:val="Heading3"/>
        <w:jc w:val="both"/>
      </w:pPr>
      <w:r w:rsidRPr="009E1367">
        <w:t>The Compact with Young Australians</w:t>
      </w:r>
    </w:p>
    <w:p w14:paraId="6F0F3A9A" w14:textId="77777777" w:rsidR="00497DBB" w:rsidRPr="009E1367" w:rsidRDefault="00497DBB" w:rsidP="0061433F">
      <w:pPr>
        <w:pStyle w:val="BodyText"/>
      </w:pPr>
      <w:bookmarkStart w:id="68" w:name="_Toc199926702"/>
      <w:r w:rsidRPr="009E1367">
        <w:t>An assessment of the effectiveness of The Compact with Young Australians (The Compact) has been made based on:</w:t>
      </w:r>
    </w:p>
    <w:p w14:paraId="36480914" w14:textId="77777777" w:rsidR="00497DBB" w:rsidRPr="009E1367" w:rsidRDefault="00497DBB" w:rsidP="0061433F">
      <w:pPr>
        <w:pStyle w:val="ListBullet"/>
      </w:pPr>
      <w:r>
        <w:t>C</w:t>
      </w:r>
      <w:r w:rsidRPr="009E1367">
        <w:t>hanges in national education and training participation data</w:t>
      </w:r>
    </w:p>
    <w:p w14:paraId="049103BC" w14:textId="77777777" w:rsidR="00497DBB" w:rsidRPr="009E1367" w:rsidRDefault="00497DBB" w:rsidP="0061433F">
      <w:pPr>
        <w:pStyle w:val="ListBullet"/>
      </w:pPr>
      <w:r>
        <w:t>C</w:t>
      </w:r>
      <w:r w:rsidRPr="009E1367">
        <w:t>hanges in income support recipient data</w:t>
      </w:r>
    </w:p>
    <w:p w14:paraId="4A48F101" w14:textId="77777777" w:rsidR="00497DBB" w:rsidRPr="009E1367" w:rsidRDefault="00497DBB" w:rsidP="0061433F">
      <w:pPr>
        <w:pStyle w:val="ListBullet"/>
      </w:pPr>
      <w:r>
        <w:t>C</w:t>
      </w:r>
      <w:r w:rsidRPr="009E1367">
        <w:t xml:space="preserve">onsultations with </w:t>
      </w:r>
      <w:r>
        <w:t>(</w:t>
      </w:r>
      <w:r w:rsidRPr="009E1367">
        <w:t>and an information request of</w:t>
      </w:r>
      <w:r>
        <w:t>)</w:t>
      </w:r>
      <w:r w:rsidRPr="009E1367">
        <w:t xml:space="preserve"> State and Territory governments through the Youth Attainment and Transitions Multilateral Working Group</w:t>
      </w:r>
    </w:p>
    <w:p w14:paraId="6B52858F" w14:textId="77777777" w:rsidR="00497DBB" w:rsidRPr="009E1367" w:rsidRDefault="00497DBB" w:rsidP="0061433F">
      <w:pPr>
        <w:pStyle w:val="ListBullet"/>
      </w:pPr>
      <w:r>
        <w:t>A</w:t>
      </w:r>
      <w:r w:rsidRPr="009E1367">
        <w:t xml:space="preserve"> survey of a sample of 17 Job Services Australia providers.</w:t>
      </w:r>
    </w:p>
    <w:p w14:paraId="57DAA2C1" w14:textId="77777777" w:rsidR="00497DBB" w:rsidRPr="009E1367" w:rsidRDefault="00497DBB" w:rsidP="0061433F">
      <w:pPr>
        <w:pStyle w:val="BodyText"/>
      </w:pPr>
      <w:r w:rsidRPr="009E1367">
        <w:t>The Compact has two main dimensions. The first is a regulatory aspect that introduced consistent new national requirements for educational participation, largely targeted at those under the age of 18. The second is a financial aspect that changed the conditions attached to the provision of income support, such that those under the age of 21 who have not completed Year 12 now need to take part in education and training in order to receive income support previously available to the unemployed, and in order for their families to receive Family Tax Benefit Part A.</w:t>
      </w:r>
      <w:r w:rsidR="00872FDF">
        <w:t xml:space="preserve"> </w:t>
      </w:r>
      <w:r w:rsidR="00AF7A05">
        <w:t xml:space="preserve">The first component was </w:t>
      </w:r>
      <w:r w:rsidR="001213DB">
        <w:t xml:space="preserve">primarily </w:t>
      </w:r>
      <w:r w:rsidR="00AF7A05">
        <w:t xml:space="preserve">expected to increase the number of young people </w:t>
      </w:r>
      <w:r w:rsidR="001213DB">
        <w:t>participating</w:t>
      </w:r>
      <w:r w:rsidR="00AF7A05">
        <w:t xml:space="preserve"> in ed</w:t>
      </w:r>
      <w:r w:rsidR="001213DB">
        <w:t>ucation and training</w:t>
      </w:r>
      <w:r w:rsidR="00AF7A05">
        <w:t>, particularly amongst 16 and 17</w:t>
      </w:r>
      <w:r w:rsidR="00DD47E8">
        <w:t>-year-olds</w:t>
      </w:r>
      <w:r w:rsidR="00AF7A05">
        <w:t xml:space="preserve">. </w:t>
      </w:r>
      <w:r w:rsidR="00872FDF">
        <w:t>The</w:t>
      </w:r>
      <w:r w:rsidR="00AF7A05">
        <w:t xml:space="preserve"> second component was expected to shift young people to student payments.</w:t>
      </w:r>
    </w:p>
    <w:p w14:paraId="79A29DDA" w14:textId="77777777" w:rsidR="00497DBB" w:rsidRDefault="00497DBB" w:rsidP="0061433F">
      <w:pPr>
        <w:pStyle w:val="BodyText"/>
      </w:pPr>
      <w:r w:rsidRPr="009E1367">
        <w:t>The first aspect of The Compact can be judged a success. ABS data shows that full-time educational participation among the target age groups has risen at a rate that is appreciably above the pre-NP trend, as has participation in full-time schooling</w:t>
      </w:r>
      <w:r>
        <w:t xml:space="preserve"> (see </w:t>
      </w:r>
      <w:r w:rsidRPr="009377A1">
        <w:t>Figure 3.8). And</w:t>
      </w:r>
      <w:r w:rsidRPr="009E1367">
        <w:t xml:space="preserve"> while VET participation by those who have not completed Year 12 has responded more slowly, it has shown some increase above the pre-NP trend. In each case, the increase observed after the introduction of the NP and The Compact has been appreciably higher than the quite minimal changes in participation that were observed during the 2008-09 GFC. Taken together, it can be estimated that an additional 57,000 15–19-year-olds without a Year 12 qualification were participating in education and training in schools and VET in 2011 compared with the trend rate prior to the introduction of the NP and The Compact. It can also be estimated that the overall rate of participation in school and in VET by those without Year 12 was around 4 percentage points higher than it would have been had the pre-2010 trend continued.</w:t>
      </w:r>
      <w:r w:rsidRPr="009E1367">
        <w:rPr>
          <w:vertAlign w:val="superscript"/>
        </w:rPr>
        <w:footnoteReference w:id="33"/>
      </w:r>
    </w:p>
    <w:p w14:paraId="6E8EA8EE" w14:textId="77777777" w:rsidR="00497DBB" w:rsidRDefault="00497DBB" w:rsidP="0061433F">
      <w:pPr>
        <w:pStyle w:val="Caption"/>
        <w:keepNext/>
        <w:jc w:val="both"/>
      </w:pPr>
      <w:r w:rsidRPr="009377A1">
        <w:lastRenderedPageBreak/>
        <w:t>Figure 3.8: Proportion</w:t>
      </w:r>
      <w:r>
        <w:t xml:space="preserve"> of 15-19</w:t>
      </w:r>
      <w:r w:rsidR="00DD47E8">
        <w:t>-year-olds</w:t>
      </w:r>
      <w:r>
        <w:t xml:space="preserve"> Enrolled in Secondary School, 2000-2011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867"/>
      </w:tblGrid>
      <w:tr w:rsidR="00497DBB" w14:paraId="57EC364B" w14:textId="77777777" w:rsidTr="00F935CF">
        <w:tc>
          <w:tcPr>
            <w:tcW w:w="4867" w:type="dxa"/>
          </w:tcPr>
          <w:p w14:paraId="71F3B2A9" w14:textId="77777777" w:rsidR="00497DBB" w:rsidRDefault="00497DBB" w:rsidP="0061433F">
            <w:pPr>
              <w:pStyle w:val="BodyText"/>
            </w:pPr>
            <w:r>
              <w:rPr>
                <w:noProof/>
                <w:lang w:eastAsia="en-AU"/>
              </w:rPr>
              <w:drawing>
                <wp:inline distT="0" distB="0" distL="0" distR="0" wp14:anchorId="726741F5" wp14:editId="3CFFE3A2">
                  <wp:extent cx="2880000" cy="2520000"/>
                  <wp:effectExtent l="0" t="0" r="0" b="0"/>
                  <wp:docPr id="40" name="Chart 40" descr="Figure 3.8: Proportion of 15-19-year-olds Enrolled in Secondary School, 2000-2011&#10;" title="Figure 3.8: Proportion of 15-19-year-olds Enrolled in Secondary School, 2000-2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867" w:type="dxa"/>
          </w:tcPr>
          <w:p w14:paraId="2D19F582" w14:textId="77777777" w:rsidR="00497DBB" w:rsidRDefault="00497DBB" w:rsidP="0061433F">
            <w:pPr>
              <w:pStyle w:val="BodyText"/>
            </w:pPr>
            <w:r>
              <w:rPr>
                <w:noProof/>
                <w:lang w:eastAsia="en-AU"/>
              </w:rPr>
              <w:drawing>
                <wp:inline distT="0" distB="0" distL="0" distR="0" wp14:anchorId="6A6E91C3" wp14:editId="240A13D3">
                  <wp:extent cx="2880000" cy="2520000"/>
                  <wp:effectExtent l="0" t="0" r="0" b="0"/>
                  <wp:docPr id="43" name="Chart 43" descr="Figure 3.8: Proportion of 15-19-year-olds Enrolled in Secondary School, 2000-2011&#10;" title="Figure 3.8: Proportion of 15-19-year-olds Enrolled in Secondary School, 2000-2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497DBB" w14:paraId="76A65BF5" w14:textId="77777777" w:rsidTr="00F935CF">
        <w:tc>
          <w:tcPr>
            <w:tcW w:w="4867" w:type="dxa"/>
          </w:tcPr>
          <w:p w14:paraId="1BEBD2AF" w14:textId="77777777" w:rsidR="00497DBB" w:rsidRDefault="00497DBB" w:rsidP="0061433F">
            <w:pPr>
              <w:pStyle w:val="BodyText"/>
            </w:pPr>
            <w:r>
              <w:rPr>
                <w:noProof/>
                <w:lang w:eastAsia="en-AU"/>
              </w:rPr>
              <w:drawing>
                <wp:inline distT="0" distB="0" distL="0" distR="0" wp14:anchorId="1BD826C7" wp14:editId="78D9E68D">
                  <wp:extent cx="2880000" cy="2520000"/>
                  <wp:effectExtent l="0" t="0" r="0" b="0"/>
                  <wp:docPr id="46" name="Chart 46" descr="Figure 3.8: Proportion of 15-19-year-olds Enrolled in Secondary School, 2000-2011&#10;" title="Figure 3.8: Proportion of 15-19-year-olds Enrolled in Secondary School, 2000-2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867" w:type="dxa"/>
          </w:tcPr>
          <w:p w14:paraId="40FE4B95" w14:textId="77777777" w:rsidR="00497DBB" w:rsidRDefault="00497DBB" w:rsidP="0061433F">
            <w:pPr>
              <w:pStyle w:val="BodyText"/>
            </w:pPr>
            <w:r>
              <w:rPr>
                <w:noProof/>
                <w:lang w:eastAsia="en-AU"/>
              </w:rPr>
              <w:drawing>
                <wp:inline distT="0" distB="0" distL="0" distR="0" wp14:anchorId="16ED1DE9" wp14:editId="6301FDB5">
                  <wp:extent cx="2880000" cy="2520000"/>
                  <wp:effectExtent l="0" t="0" r="0" b="0"/>
                  <wp:docPr id="47" name="Chart 47" descr="Figure 3.8: Proportion of 15-19-year-olds Enrolled in Secondary School, 2000-2011&#10;" title="Figure 3.8: Proportion of 15-19-year-olds Enrolled in Secondary School, 2000-2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6722B51F" w14:textId="77777777" w:rsidR="00497DBB" w:rsidRPr="0099095A" w:rsidRDefault="00497DBB" w:rsidP="0061433F">
      <w:pPr>
        <w:pStyle w:val="Tablenote"/>
        <w:jc w:val="both"/>
      </w:pPr>
      <w:r>
        <w:t xml:space="preserve">Source: ABS (2012), </w:t>
      </w:r>
      <w:r>
        <w:rPr>
          <w:i/>
        </w:rPr>
        <w:t>National Schools Statistics Collection</w:t>
      </w:r>
      <w:r>
        <w:t xml:space="preserve">; ABS (2012), </w:t>
      </w:r>
      <w:r>
        <w:rPr>
          <w:i/>
        </w:rPr>
        <w:t>Australian Demographic Statistics</w:t>
      </w:r>
      <w:r>
        <w:t>.</w:t>
      </w:r>
    </w:p>
    <w:p w14:paraId="398B4E7D" w14:textId="77777777" w:rsidR="001B6A5D" w:rsidRDefault="00497DBB" w:rsidP="0061433F">
      <w:pPr>
        <w:pStyle w:val="BodyText"/>
      </w:pPr>
      <w:r w:rsidRPr="009E1367">
        <w:t>In contrast to the regulatory dimension of The Compact, the financial aspect appears to have been less successful, either in encouraging a return to study by unemployed youth or in reducing the size of the age group who are either unemployed or inactive (not engaged in employment, education or training, or NEET). There is little or no firm evidence that unemployed youth have shifted into education and training; the number of Youth Allowance (Other)</w:t>
      </w:r>
      <w:r w:rsidR="009F2D31">
        <w:rPr>
          <w:rStyle w:val="FootnoteReference"/>
        </w:rPr>
        <w:footnoteReference w:id="34"/>
      </w:r>
      <w:r w:rsidRPr="009E1367">
        <w:t xml:space="preserve"> recipients as a proportion of unemployed youth has fallen</w:t>
      </w:r>
      <w:r>
        <w:t xml:space="preserve"> (</w:t>
      </w:r>
      <w:r w:rsidRPr="009377A1">
        <w:t>see Figure 3.9); and</w:t>
      </w:r>
      <w:r w:rsidRPr="009E1367">
        <w:t xml:space="preserve"> while the number of unemployed 15–19-year-olds has fallen, the number who are inactive (neither in education and training nor looking for work) has jumped sharply since The Compact was introduced</w:t>
      </w:r>
      <w:r>
        <w:t xml:space="preserve"> (see </w:t>
      </w:r>
      <w:r w:rsidRPr="00AE29F0">
        <w:t>Figure 2.17).</w:t>
      </w:r>
      <w:r w:rsidRPr="009E1367">
        <w:t xml:space="preserve"> As a result, there has been no appreciable reduction in the size of the NEET group. This is consistent with UK research on the impact of the Education Maintenance </w:t>
      </w:r>
      <w:r w:rsidR="009F2D31">
        <w:t>A</w:t>
      </w:r>
      <w:r w:rsidRPr="009E1367">
        <w:t>llowance, which concluded that financial incentives are much less successful in encouraging young people to return to study than in encouraging continued participation by those already participating.</w:t>
      </w:r>
      <w:r w:rsidRPr="009E1367">
        <w:rPr>
          <w:vertAlign w:val="superscript"/>
        </w:rPr>
        <w:footnoteReference w:id="35"/>
      </w:r>
      <w:r w:rsidRPr="009E1367">
        <w:t xml:space="preserve"> </w:t>
      </w:r>
    </w:p>
    <w:p w14:paraId="304EDE4A" w14:textId="77777777" w:rsidR="00497DBB" w:rsidRDefault="00497DBB" w:rsidP="0061433F">
      <w:pPr>
        <w:pStyle w:val="Caption"/>
        <w:keepNext/>
        <w:jc w:val="both"/>
      </w:pPr>
      <w:r w:rsidRPr="009377A1">
        <w:lastRenderedPageBreak/>
        <w:t>Figure 3.9: Youth</w:t>
      </w:r>
      <w:r w:rsidRPr="00764D15">
        <w:t xml:space="preserve"> Allowance (Other) recipients as a share of those unemployed and not in education</w:t>
      </w:r>
    </w:p>
    <w:p w14:paraId="5CB27E4B" w14:textId="77777777" w:rsidR="00497DBB" w:rsidRDefault="00497DBB" w:rsidP="0061433F">
      <w:pPr>
        <w:pStyle w:val="Tablenote"/>
        <w:jc w:val="both"/>
      </w:pPr>
      <w:r w:rsidRPr="00A457AA">
        <w:rPr>
          <w:noProof/>
          <w:lang w:eastAsia="en-AU"/>
        </w:rPr>
        <w:drawing>
          <wp:inline distT="0" distB="0" distL="0" distR="0" wp14:anchorId="3F2A1924" wp14:editId="33306628">
            <wp:extent cx="5940000" cy="3420000"/>
            <wp:effectExtent l="0" t="0" r="3810" b="9525"/>
            <wp:docPr id="48" name="Chart 48" descr="Figure 3.9: Youth Allowance (Other) recipients as a share of those unemployed and not in education&#10;" title="Figure 3.9: Youth Allowance (Other) recipients as a share of those unemployed and not in educa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6A3F30A" w14:textId="77777777" w:rsidR="00497DBB" w:rsidRDefault="00497DBB" w:rsidP="0061433F">
      <w:pPr>
        <w:pStyle w:val="Tablenote"/>
        <w:jc w:val="both"/>
      </w:pPr>
      <w:r w:rsidRPr="00764D15">
        <w:rPr>
          <w:lang w:val="en-US"/>
        </w:rPr>
        <w:t xml:space="preserve">Sources:  </w:t>
      </w:r>
      <w:r w:rsidRPr="00764D15">
        <w:t xml:space="preserve">DEEWR, </w:t>
      </w:r>
      <w:r w:rsidRPr="00764D15">
        <w:rPr>
          <w:i/>
          <w:iCs/>
        </w:rPr>
        <w:t>Labour Market and Related Payments: A Monthly Profile, and ABS Labour</w:t>
      </w:r>
      <w:r w:rsidR="00517665">
        <w:rPr>
          <w:i/>
          <w:iCs/>
        </w:rPr>
        <w:t xml:space="preserve"> F</w:t>
      </w:r>
      <w:r w:rsidRPr="00764D15">
        <w:rPr>
          <w:i/>
          <w:iCs/>
        </w:rPr>
        <w:t>orce Survey</w:t>
      </w:r>
      <w:r w:rsidRPr="00764D15">
        <w:t>.</w:t>
      </w:r>
    </w:p>
    <w:p w14:paraId="1AAFA0C6" w14:textId="77777777" w:rsidR="00824B57" w:rsidRPr="00BE14CD" w:rsidRDefault="00824B57" w:rsidP="00824B57">
      <w:pPr>
        <w:pStyle w:val="BodyText"/>
      </w:pPr>
      <w:r w:rsidRPr="00BE14CD">
        <w:t>The Compact has been associated with an increase in the number of young people who are inactive (neither unemployed nor studying), with a marked fall in the number of</w:t>
      </w:r>
      <w:r w:rsidR="001213DB">
        <w:t xml:space="preserve"> families of</w:t>
      </w:r>
      <w:r w:rsidRPr="00BE14CD">
        <w:t xml:space="preserve"> young people who are eligible for Family Tax Benefit </w:t>
      </w:r>
      <w:r w:rsidR="001213DB">
        <w:t>P</w:t>
      </w:r>
      <w:r w:rsidRPr="00BE14CD">
        <w:t>art A, and with a sharp fall in the proportion of young job seekers who receive income support. While it cannot be proven that the Compact has caused the first of these trends, the evidence (timing, age groups affected) leads to a strong presumption that it is a part of the explanation</w:t>
      </w:r>
      <w:r>
        <w:t>, although this presumption will need to be tested</w:t>
      </w:r>
      <w:r w:rsidRPr="00BE14CD">
        <w:t>. The link between the Compact and the second trend is not at all clear, although it seems significant that the biggest decline has occurred among the age group (16-17) most clearly targeted by the Compact. Both trends need more detailed investigation. The Compact seems almost certain to have been the cause of the third trend.</w:t>
      </w:r>
    </w:p>
    <w:p w14:paraId="5EB7931C" w14:textId="77777777" w:rsidR="00872FDF" w:rsidRDefault="00872FDF" w:rsidP="00872FDF">
      <w:pPr>
        <w:pStyle w:val="Heading3"/>
      </w:pPr>
      <w:r w:rsidRPr="008171A9">
        <w:t xml:space="preserve">Comparison of </w:t>
      </w:r>
      <w:r>
        <w:t>the i</w:t>
      </w:r>
      <w:r w:rsidRPr="008171A9">
        <w:t>mpact of NP elements on COAG targets</w:t>
      </w:r>
    </w:p>
    <w:p w14:paraId="43938871" w14:textId="77777777" w:rsidR="00497DBB" w:rsidRPr="00BE14CD" w:rsidRDefault="00497DBB" w:rsidP="0061433F">
      <w:pPr>
        <w:pStyle w:val="BodyText"/>
      </w:pPr>
      <w:r w:rsidRPr="00BE14CD">
        <w:t>There is no way of estimating the proportion of gains in increased participation of 15-19</w:t>
      </w:r>
      <w:r w:rsidR="00DD47E8">
        <w:t>-year-olds</w:t>
      </w:r>
      <w:r w:rsidRPr="00BE14CD">
        <w:t xml:space="preserve"> as a direct result of the raising of the school leaving age and restrictions placed on accessing income support compared to program activity, such as MEAST. However the balance of the evidence favours the Compact having had a strong impact: the age group most clearly targeted by it shows the largest increases in participation, and the timing of these increases coincides with the introduction of the Compact. </w:t>
      </w:r>
      <w:r w:rsidR="009F2D31">
        <w:t>Also, i</w:t>
      </w:r>
      <w:r w:rsidRPr="00BE14CD">
        <w:t>t is a major policy innovation representing a real chan</w:t>
      </w:r>
      <w:r>
        <w:t>ge to</w:t>
      </w:r>
      <w:r w:rsidRPr="00BE14CD">
        <w:t xml:space="preserve"> previous arrangement</w:t>
      </w:r>
      <w:r>
        <w:t>s</w:t>
      </w:r>
      <w:r w:rsidR="009F2D31">
        <w:t>; i</w:t>
      </w:r>
      <w:r w:rsidRPr="00BE14CD">
        <w:t>t is nationally consistent and applies to all young people</w:t>
      </w:r>
      <w:r w:rsidR="009F2D31">
        <w:t>; and t</w:t>
      </w:r>
      <w:r w:rsidRPr="00BE14CD">
        <w:t xml:space="preserve">he participation and progression increases associated with it can be observed in all states and territories. </w:t>
      </w:r>
    </w:p>
    <w:p w14:paraId="0DE626C7" w14:textId="77777777" w:rsidR="00497DBB" w:rsidRDefault="00497DBB" w:rsidP="0061433F">
      <w:pPr>
        <w:pStyle w:val="BodyText"/>
      </w:pPr>
      <w:r w:rsidRPr="00BE14CD">
        <w:t xml:space="preserve">On the other hand evidence in favour of the other elements of the National Partnership having had an impact upon young people’s participation behaviour is either </w:t>
      </w:r>
      <w:r>
        <w:t>not readily available</w:t>
      </w:r>
      <w:r w:rsidRPr="00BE14CD">
        <w:t xml:space="preserve"> or at best suggestive</w:t>
      </w:r>
      <w:r>
        <w:t xml:space="preserve"> (MEAST, PB, NCDS)</w:t>
      </w:r>
      <w:r w:rsidRPr="00BE14CD">
        <w:t xml:space="preserve">. None of the arguments used to support a conclusion about the impact of the Compact can be applied to the other elements of the National Partnership. The strongest grounds for suspecting an impact applies to YC given the quality of its monitoring and evaluation data, but, compared to the Compact, its reach is quite small, and it represents an incremental change on previous arrangements (better targeting and </w:t>
      </w:r>
      <w:r w:rsidRPr="00BE14CD">
        <w:lastRenderedPageBreak/>
        <w:t>more flexible delivery</w:t>
      </w:r>
      <w:r>
        <w:t>,</w:t>
      </w:r>
      <w:r w:rsidRPr="00BE14CD">
        <w:t xml:space="preserve"> for example) but no change in the level of expenditure compared to previous arrangements. Monitoring and evaluation data from previous arrangements suggested similar levels of positive outcomes. </w:t>
      </w:r>
    </w:p>
    <w:p w14:paraId="516A5DF5" w14:textId="77777777" w:rsidR="00497DBB" w:rsidRPr="00A463C1" w:rsidRDefault="00497DBB" w:rsidP="0061433F">
      <w:pPr>
        <w:pStyle w:val="BodyText"/>
      </w:pPr>
      <w:r w:rsidRPr="00BE14CD">
        <w:t xml:space="preserve">In the case of MEAST, any major impact seems unlikely. It represents no increase in expenditure, it is not clearly targeted </w:t>
      </w:r>
      <w:r w:rsidR="009F2D31">
        <w:t>to</w:t>
      </w:r>
      <w:r w:rsidRPr="00BE14CD">
        <w:t xml:space="preserve"> groups at risk of leaving early, it has resulted in very little activity that is different from previous arrangements, and some of its funds have been taken away from direct program expenditure and used to support improved administration or a better information base. Whilst these may in the longer term have an impact, in the short- to medium-term they are unlikely to have influenced young people’s participation behaviour.</w:t>
      </w:r>
    </w:p>
    <w:p w14:paraId="78A36CA6" w14:textId="77777777" w:rsidR="00497DBB" w:rsidRPr="009E1367" w:rsidRDefault="00497DBB" w:rsidP="0061433F">
      <w:pPr>
        <w:pStyle w:val="Heading2"/>
      </w:pPr>
      <w:bookmarkStart w:id="69" w:name="_Toc210269997"/>
      <w:bookmarkStart w:id="70" w:name="_Toc219347245"/>
      <w:r w:rsidRPr="009E1367">
        <w:t>Appropriateness</w:t>
      </w:r>
      <w:bookmarkEnd w:id="69"/>
      <w:bookmarkEnd w:id="70"/>
    </w:p>
    <w:tbl>
      <w:tblPr>
        <w:tblStyle w:val="DandoloTableLeft"/>
        <w:tblW w:w="9639" w:type="dxa"/>
        <w:tblLook w:val="04A0" w:firstRow="1" w:lastRow="0" w:firstColumn="1" w:lastColumn="0" w:noHBand="0" w:noVBand="1"/>
        <w:tblCaption w:val="Summary of assessment Is it appropriate?"/>
        <w:tblDescription w:val="Summary of assessment Is it appropriate?"/>
      </w:tblPr>
      <w:tblGrid>
        <w:gridCol w:w="2694"/>
        <w:gridCol w:w="3401"/>
        <w:gridCol w:w="3544"/>
      </w:tblGrid>
      <w:tr w:rsidR="00497DBB" w:rsidRPr="009E1367" w14:paraId="2BD0238D"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08C04AE" w14:textId="77777777" w:rsidR="00497DBB" w:rsidRPr="009E1367" w:rsidRDefault="00497DBB" w:rsidP="0061433F">
            <w:pPr>
              <w:spacing w:before="120" w:after="120"/>
              <w:jc w:val="both"/>
              <w:rPr>
                <w:b/>
                <w:color w:val="595959" w:themeColor="text1" w:themeTint="A6"/>
              </w:rPr>
            </w:pPr>
            <w:r w:rsidRPr="009E1367">
              <w:rPr>
                <w:b/>
              </w:rPr>
              <w:t>Evaluation question</w:t>
            </w:r>
          </w:p>
        </w:tc>
        <w:tc>
          <w:tcPr>
            <w:tcW w:w="3401" w:type="dxa"/>
            <w:vAlign w:val="top"/>
          </w:tcPr>
          <w:p w14:paraId="069C621A" w14:textId="77777777" w:rsidR="00497DBB" w:rsidRPr="009E1367" w:rsidRDefault="00497DBB" w:rsidP="0061433F">
            <w:pPr>
              <w:spacing w:before="120" w:after="120"/>
              <w:jc w:val="both"/>
              <w:cnfStyle w:val="100000000000" w:firstRow="1" w:lastRow="0" w:firstColumn="0" w:lastColumn="0" w:oddVBand="0" w:evenVBand="0" w:oddHBand="0" w:evenHBand="0" w:firstRowFirstColumn="0" w:firstRowLastColumn="0" w:lastRowFirstColumn="0" w:lastRowLastColumn="0"/>
              <w:rPr>
                <w:b/>
              </w:rPr>
            </w:pPr>
            <w:r w:rsidRPr="009E1367">
              <w:rPr>
                <w:b/>
              </w:rPr>
              <w:t>Assessment in Year 1</w:t>
            </w:r>
          </w:p>
        </w:tc>
        <w:tc>
          <w:tcPr>
            <w:tcW w:w="3544" w:type="dxa"/>
          </w:tcPr>
          <w:p w14:paraId="386C3F96" w14:textId="77777777" w:rsidR="00497DBB" w:rsidRPr="009E1367" w:rsidRDefault="00497DBB" w:rsidP="0061433F">
            <w:pPr>
              <w:spacing w:before="120" w:after="120"/>
              <w:jc w:val="both"/>
              <w:cnfStyle w:val="100000000000" w:firstRow="1" w:lastRow="0" w:firstColumn="0" w:lastColumn="0" w:oddVBand="0" w:evenVBand="0" w:oddHBand="0" w:evenHBand="0" w:firstRowFirstColumn="0" w:firstRowLastColumn="0" w:lastRowFirstColumn="0" w:lastRowLastColumn="0"/>
              <w:rPr>
                <w:b/>
              </w:rPr>
            </w:pPr>
            <w:r w:rsidRPr="009E1367">
              <w:rPr>
                <w:b/>
              </w:rPr>
              <w:t>Changes in Year 2</w:t>
            </w:r>
          </w:p>
        </w:tc>
      </w:tr>
      <w:tr w:rsidR="00497DBB" w:rsidRPr="009E1367" w14:paraId="62D9748C" w14:textId="77777777" w:rsidTr="00F935CF">
        <w:tc>
          <w:tcPr>
            <w:cnfStyle w:val="001000000000" w:firstRow="0" w:lastRow="0" w:firstColumn="1" w:lastColumn="0" w:oddVBand="0" w:evenVBand="0" w:oddHBand="0" w:evenHBand="0" w:firstRowFirstColumn="0" w:firstRowLastColumn="0" w:lastRowFirstColumn="0" w:lastRowLastColumn="0"/>
            <w:tcW w:w="2694" w:type="dxa"/>
            <w:shd w:val="clear" w:color="auto" w:fill="CCCCCC"/>
            <w:vAlign w:val="top"/>
          </w:tcPr>
          <w:p w14:paraId="6AF0ABB1" w14:textId="77777777" w:rsidR="00497DBB" w:rsidRPr="009E1367" w:rsidRDefault="00497DBB" w:rsidP="0061433F">
            <w:pPr>
              <w:spacing w:before="120" w:after="120"/>
              <w:jc w:val="both"/>
              <w:rPr>
                <w:b w:val="0"/>
                <w:color w:val="595959" w:themeColor="text1" w:themeTint="A6"/>
                <w:sz w:val="24"/>
              </w:rPr>
            </w:pPr>
            <w:r w:rsidRPr="009E1367">
              <w:t>Is it appropriate?</w:t>
            </w:r>
          </w:p>
        </w:tc>
        <w:tc>
          <w:tcPr>
            <w:tcW w:w="3401" w:type="dxa"/>
            <w:shd w:val="clear" w:color="auto" w:fill="CCCCCC"/>
            <w:vAlign w:val="top"/>
          </w:tcPr>
          <w:p w14:paraId="2DF78C7A" w14:textId="77777777" w:rsidR="00497DBB" w:rsidRPr="009E1367" w:rsidRDefault="00497DBB" w:rsidP="0061433F">
            <w:pPr>
              <w:spacing w:before="120" w:after="120"/>
              <w:jc w:val="both"/>
              <w:cnfStyle w:val="000000000000" w:firstRow="0" w:lastRow="0" w:firstColumn="0" w:lastColumn="0" w:oddVBand="0" w:evenVBand="0" w:oddHBand="0" w:evenHBand="0" w:firstRowFirstColumn="0" w:firstRowLastColumn="0" w:lastRowFirstColumn="0" w:lastRowLastColumn="0"/>
              <w:rPr>
                <w:b/>
                <w:color w:val="auto"/>
                <w:sz w:val="24"/>
              </w:rPr>
            </w:pPr>
          </w:p>
        </w:tc>
        <w:tc>
          <w:tcPr>
            <w:tcW w:w="3544" w:type="dxa"/>
            <w:shd w:val="clear" w:color="auto" w:fill="CCCCCC"/>
          </w:tcPr>
          <w:p w14:paraId="0CD502CF" w14:textId="77777777" w:rsidR="00497DBB" w:rsidRPr="009E1367" w:rsidRDefault="00497DBB" w:rsidP="0061433F">
            <w:pPr>
              <w:spacing w:before="120" w:after="120"/>
              <w:jc w:val="both"/>
              <w:cnfStyle w:val="000000000000" w:firstRow="0" w:lastRow="0" w:firstColumn="0" w:lastColumn="0" w:oddVBand="0" w:evenVBand="0" w:oddHBand="0" w:evenHBand="0" w:firstRowFirstColumn="0" w:firstRowLastColumn="0" w:lastRowFirstColumn="0" w:lastRowLastColumn="0"/>
              <w:rPr>
                <w:b/>
                <w:color w:val="auto"/>
                <w:sz w:val="24"/>
              </w:rPr>
            </w:pPr>
          </w:p>
        </w:tc>
      </w:tr>
      <w:tr w:rsidR="00497DBB" w:rsidRPr="009E1367" w14:paraId="0174B3D4"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4B590549" w14:textId="77777777" w:rsidR="00497DBB" w:rsidRPr="009E1367" w:rsidRDefault="00497DBB" w:rsidP="009F2D31">
            <w:pPr>
              <w:spacing w:before="120" w:after="120"/>
              <w:rPr>
                <w:b w:val="0"/>
                <w:color w:val="595959" w:themeColor="text1" w:themeTint="A6"/>
                <w:sz w:val="24"/>
              </w:rPr>
            </w:pPr>
            <w:r w:rsidRPr="009E1367">
              <w:rPr>
                <w:rFonts w:asciiTheme="minorHAnsi" w:hAnsiTheme="minorHAnsi" w:cs="Arial"/>
                <w:b w:val="0"/>
                <w:bCs/>
                <w:color w:val="595959" w:themeColor="text1" w:themeTint="A6"/>
              </w:rPr>
              <w:t>Is the NP consistent with overarching policy objectives?</w:t>
            </w:r>
          </w:p>
        </w:tc>
        <w:tc>
          <w:tcPr>
            <w:tcW w:w="3401" w:type="dxa"/>
            <w:vAlign w:val="top"/>
          </w:tcPr>
          <w:p w14:paraId="312CA6F9" w14:textId="77777777" w:rsidR="00497DBB" w:rsidRPr="009E1367" w:rsidRDefault="00497DBB" w:rsidP="009F2D31">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The NP is consistent with the National Education Agreement and jurisdictional policy direction – focused on increasing compulsory participation age, (re)engaging at risk young people and increasing attainment through education and training places</w:t>
            </w:r>
          </w:p>
          <w:p w14:paraId="190E760D" w14:textId="77777777" w:rsidR="00497DBB" w:rsidRPr="009E1367" w:rsidRDefault="00497DBB" w:rsidP="009F2D31">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Stakeholders see the NP as an evolution of prior initiatives, rather than a comprehensive new policy/response</w:t>
            </w:r>
          </w:p>
        </w:tc>
        <w:tc>
          <w:tcPr>
            <w:tcW w:w="3544" w:type="dxa"/>
            <w:vAlign w:val="top"/>
          </w:tcPr>
          <w:p w14:paraId="5AD39129"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 change</w:t>
            </w:r>
          </w:p>
        </w:tc>
      </w:tr>
      <w:tr w:rsidR="00497DBB" w:rsidRPr="009E1367" w14:paraId="2A0E38DF"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75238F00" w14:textId="77777777" w:rsidR="00497DBB" w:rsidRPr="009E1367" w:rsidRDefault="00497DBB" w:rsidP="009F2D31">
            <w:pPr>
              <w:spacing w:before="120" w:after="120"/>
              <w:rPr>
                <w:b w:val="0"/>
                <w:color w:val="595959" w:themeColor="text1" w:themeTint="A6"/>
                <w:sz w:val="24"/>
              </w:rPr>
            </w:pPr>
            <w:r w:rsidRPr="009E1367">
              <w:rPr>
                <w:rFonts w:asciiTheme="minorHAnsi" w:hAnsiTheme="minorHAnsi" w:cs="Arial"/>
                <w:b w:val="0"/>
                <w:bCs/>
                <w:color w:val="595959" w:themeColor="text1" w:themeTint="A6"/>
              </w:rPr>
              <w:t>Does the NP address areas of need?</w:t>
            </w:r>
          </w:p>
        </w:tc>
        <w:tc>
          <w:tcPr>
            <w:tcW w:w="3401" w:type="dxa"/>
            <w:vAlign w:val="top"/>
          </w:tcPr>
          <w:p w14:paraId="7031DBAC" w14:textId="77777777" w:rsidR="00497DBB" w:rsidRPr="009E1367" w:rsidRDefault="00497DBB" w:rsidP="009F2D31">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The policy imperative that initiated the NP appears to remain – there is an increasing number of disengaged young people</w:t>
            </w:r>
          </w:p>
          <w:p w14:paraId="43C557C9" w14:textId="77777777" w:rsidR="00497DBB" w:rsidRPr="009E1367" w:rsidRDefault="00497DBB" w:rsidP="009F2D31">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NP funding is directed towards areas of need – but stakeholders identified challenges and capacity constraints to meet those needs</w:t>
            </w:r>
          </w:p>
        </w:tc>
        <w:tc>
          <w:tcPr>
            <w:tcW w:w="3544" w:type="dxa"/>
            <w:vAlign w:val="top"/>
          </w:tcPr>
          <w:p w14:paraId="04C58F11"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 change</w:t>
            </w:r>
          </w:p>
        </w:tc>
      </w:tr>
      <w:tr w:rsidR="00497DBB" w:rsidRPr="009E1367" w14:paraId="22D2ADAB" w14:textId="77777777" w:rsidTr="00F935CF">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800000"/>
            </w:tcBorders>
            <w:vAlign w:val="top"/>
          </w:tcPr>
          <w:p w14:paraId="7EA8979A" w14:textId="77777777" w:rsidR="00497DBB" w:rsidRPr="009E1367" w:rsidRDefault="00497DBB" w:rsidP="009F2D31">
            <w:pPr>
              <w:spacing w:before="120" w:after="120"/>
              <w:rPr>
                <w:b w:val="0"/>
                <w:color w:val="595959" w:themeColor="text1" w:themeTint="A6"/>
                <w:sz w:val="24"/>
              </w:rPr>
            </w:pPr>
            <w:r w:rsidRPr="009E1367">
              <w:rPr>
                <w:rFonts w:asciiTheme="minorHAnsi" w:hAnsiTheme="minorHAnsi" w:cs="Arial"/>
                <w:b w:val="0"/>
                <w:bCs/>
                <w:color w:val="595959" w:themeColor="text1" w:themeTint="A6"/>
              </w:rPr>
              <w:t>How does the NP and its elements complement other NPs and programs targeting similar outcomes?</w:t>
            </w:r>
          </w:p>
        </w:tc>
        <w:tc>
          <w:tcPr>
            <w:tcW w:w="3401" w:type="dxa"/>
            <w:tcBorders>
              <w:bottom w:val="single" w:sz="4" w:space="0" w:color="800000"/>
            </w:tcBorders>
            <w:vAlign w:val="top"/>
          </w:tcPr>
          <w:p w14:paraId="24CCF1EC" w14:textId="77777777" w:rsidR="00497DBB" w:rsidRPr="009E1367" w:rsidRDefault="00497DBB" w:rsidP="009F2D31">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 xml:space="preserve">Increased collaboration between the Commonwealth and jurisdictions has resulted in better alignment of objectives and programs – but there is scope to review potential areas of overlap </w:t>
            </w:r>
          </w:p>
        </w:tc>
        <w:tc>
          <w:tcPr>
            <w:tcW w:w="3544" w:type="dxa"/>
            <w:tcBorders>
              <w:bottom w:val="single" w:sz="4" w:space="0" w:color="800000"/>
            </w:tcBorders>
            <w:vAlign w:val="top"/>
          </w:tcPr>
          <w:p w14:paraId="6569B1B1"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There are additional examples of collaboration and initiatives to reduce overlap.</w:t>
            </w:r>
          </w:p>
        </w:tc>
      </w:tr>
    </w:tbl>
    <w:p w14:paraId="075D2ED9" w14:textId="77777777" w:rsidR="00497DBB" w:rsidRPr="009E1367" w:rsidRDefault="00497DBB" w:rsidP="0061433F">
      <w:pPr>
        <w:pStyle w:val="BodyText"/>
      </w:pPr>
      <w:r w:rsidRPr="009E1367">
        <w:t>There have been no significant changes since the Year 1 evaluation in terms of overarching federal and State/Territory policy objectives. The NP remains consistent with these objectives and priorities.</w:t>
      </w:r>
    </w:p>
    <w:p w14:paraId="1CDAF760" w14:textId="77777777" w:rsidR="00497DBB" w:rsidRPr="009E1367" w:rsidRDefault="00497DBB" w:rsidP="0061433F">
      <w:pPr>
        <w:pStyle w:val="BodyText"/>
      </w:pPr>
      <w:r w:rsidRPr="009E1367">
        <w:t xml:space="preserve">As outlined in Chapter 4, youth attainment and transition outcomes are influenced by many factors. The NP addresses some of the factors that influence youth </w:t>
      </w:r>
      <w:r w:rsidR="00BE49AC">
        <w:t>YAT</w:t>
      </w:r>
      <w:r w:rsidRPr="009E1367">
        <w:t xml:space="preserve"> outcomes</w:t>
      </w:r>
      <w:r w:rsidR="00BE49AC">
        <w:t xml:space="preserve"> (see Figure 5.5)</w:t>
      </w:r>
      <w:r w:rsidRPr="009E1367">
        <w:t>. It is one of many initiatives at the regional, State/Territory and national levels that aim to improve young people’s school-to-work transition outcomes. In addition to recurrent school funding, significant related Australian Government investments aimed at improving participation and attainment include the Low Socio-economic School Communities National Partnership and Trade Training Centres. These (and other) initiatives address some additional factors that influence transition outcomes.</w:t>
      </w:r>
    </w:p>
    <w:p w14:paraId="1750EEBA" w14:textId="77777777" w:rsidR="00497DBB" w:rsidRPr="009E1367" w:rsidRDefault="00497DBB" w:rsidP="0061433F">
      <w:pPr>
        <w:pStyle w:val="BodyText"/>
      </w:pPr>
      <w:r w:rsidRPr="009E1367">
        <w:t xml:space="preserve">Where policy responsibilities are shared, there is a risk that federal, State and Territory programs will overlap. At the commencement of the NP, efforts were made to avoid duplication of the services provided to support young people. Changes </w:t>
      </w:r>
      <w:r w:rsidR="00BE49AC">
        <w:t>have been</w:t>
      </w:r>
      <w:r w:rsidR="00BE49AC" w:rsidRPr="009E1367">
        <w:t xml:space="preserve"> </w:t>
      </w:r>
      <w:r w:rsidRPr="009E1367">
        <w:t>made to relevant programs at the national and State/Territory levels (e.g., the shift in focus of the YC program in South Australia as a result of the expansion of the Innovation Community Action Networks (ICAN)</w:t>
      </w:r>
      <w:r>
        <w:t>)</w:t>
      </w:r>
      <w:r w:rsidRPr="009E1367">
        <w:t xml:space="preserve">. However, some States and Territories </w:t>
      </w:r>
      <w:r w:rsidRPr="009E1367">
        <w:lastRenderedPageBreak/>
        <w:t>have acknowledged that it is an ongoing challenge to avoid the duplication of service offerings as a result of fast-moving federal policies. Clear, open communication at a time that allows changes to be made would assist this challenge to be overcome.</w:t>
      </w:r>
    </w:p>
    <w:p w14:paraId="16E308AD" w14:textId="77777777" w:rsidR="00497DBB" w:rsidRPr="009E1367" w:rsidRDefault="00497DBB" w:rsidP="0061433F">
      <w:pPr>
        <w:pStyle w:val="BodyText"/>
      </w:pPr>
      <w:r w:rsidRPr="009E1367">
        <w:t xml:space="preserve">During the NP period, several jurisdictions have enacted budgets with reduced government spending on education and training, particularly the VET sector. There are indications that in some States and Territories, this will lead to reduced access and availability of courses. Given the central role that education and training play in achieving positive </w:t>
      </w:r>
      <w:r w:rsidR="00BE49AC">
        <w:t>YAT</w:t>
      </w:r>
      <w:r w:rsidRPr="009E1367">
        <w:t xml:space="preserve"> outcomes, these changes may influence the nation’s ability to continue to improve these outcomes.</w:t>
      </w:r>
    </w:p>
    <w:p w14:paraId="1ED083AE" w14:textId="77777777" w:rsidR="00497DBB" w:rsidRPr="009E1367" w:rsidRDefault="00497DBB" w:rsidP="0061433F">
      <w:pPr>
        <w:pStyle w:val="BodyText"/>
      </w:pPr>
      <w:r w:rsidRPr="009E1367">
        <w:t xml:space="preserve">Participation and attainment outcomes have improved since the NP was introduced (see Chapter </w:t>
      </w:r>
      <w:r w:rsidR="0061433F">
        <w:t>2</w:t>
      </w:r>
      <w:r w:rsidRPr="009E1367">
        <w:t xml:space="preserve">); however, there is room for further improvement. In addition, the school-to-work transition has become more difficult for young people, and the proportion of disengaged young people has still not returned to pre-GFC levels. These outcomes indicate that there is an ongoing imperative for a national youth attainment and transitions policy. Chapters </w:t>
      </w:r>
      <w:r w:rsidR="0061433F">
        <w:t>4, 5 and 6</w:t>
      </w:r>
      <w:r w:rsidRPr="009E1367">
        <w:t xml:space="preserve"> discuss the challenges and options for a future policy.</w:t>
      </w:r>
    </w:p>
    <w:p w14:paraId="405871D8" w14:textId="77777777" w:rsidR="00497DBB" w:rsidRPr="009E1367" w:rsidRDefault="00497DBB" w:rsidP="00286D25">
      <w:pPr>
        <w:pStyle w:val="Heading3"/>
        <w:jc w:val="both"/>
      </w:pPr>
      <w:r w:rsidRPr="009E1367">
        <w:t>Maximising Engagement, Attainment and Successful Transitions</w:t>
      </w:r>
    </w:p>
    <w:p w14:paraId="1C1437D3" w14:textId="77777777" w:rsidR="00497DBB" w:rsidRPr="009E1367" w:rsidRDefault="00497DBB" w:rsidP="0061433F">
      <w:pPr>
        <w:pStyle w:val="BodyText"/>
      </w:pPr>
      <w:r w:rsidRPr="009E1367">
        <w:t>As was reported in the Year 1 evaluation, States and Territories have directed funding towards activities that are consistent with the NP objectives. The focus of these activities is improving access to, and the quality of, career development, multiple learning pathways and mentoring. These are factors that underpin successful transition outcomes. Many of the States and Territories have chosen to direct MEAST funding to initiatives that complement and add value to the suite of existing education and training reform policies and programs already in place in their respective jurisdictions.</w:t>
      </w:r>
    </w:p>
    <w:p w14:paraId="4EAE50A6" w14:textId="77777777" w:rsidR="00497DBB" w:rsidRPr="009E1367" w:rsidRDefault="00497DBB" w:rsidP="0061433F">
      <w:pPr>
        <w:pStyle w:val="BodyText"/>
      </w:pPr>
      <w:r w:rsidRPr="009E1367">
        <w:t>In all jurisdictions, a portion of MEAST funding was directed towards young people at greater risk of disengagement – particularly disadvantaged youth and those from Indigenous backgrounds – and therefore with a higher need of support. Some initiatives are beginning to deliver outcomes for young people at risk. In Western Australia, for example, hospitality traineeships for young people in custody have been introduced to create a pathway to sustainable post-prison employment for offenders. Also in Western Australia, career and employment services have been implemented in prisons. This resulted in 1160 prisoners receiving employment and career support in 2011 – 261 received employment assistance post-release, while 36 were assisted into employment, 14 into work experience and 17 into further education and training prior to their release from correctional facilities.</w:t>
      </w:r>
    </w:p>
    <w:p w14:paraId="1058D696" w14:textId="77777777" w:rsidR="00497DBB" w:rsidRPr="009E1367" w:rsidRDefault="00497DBB" w:rsidP="0061433F">
      <w:pPr>
        <w:pStyle w:val="BodyText"/>
      </w:pPr>
      <w:r w:rsidRPr="009E1367">
        <w:t xml:space="preserve">The MEAST element of the NP shows that there is an appetite for local-level projects targeted at regional needs. It has provided States and Territories with the opportunity to trial innovative ways of increasing young people’s engagement in education and training, particularly through local-level grant-funded projects (such as New South Wales’ locally designed and managed targeted support program for youth at risk of disengagement). Given the breadth of local projects occurring, there would be merit in assessing the impact of the different types of initiatives. Such an assessment could be used to inform the development of future programs, including </w:t>
      </w:r>
      <w:r w:rsidR="00BE49AC">
        <w:t>initiatives</w:t>
      </w:r>
      <w:r w:rsidR="00BE49AC" w:rsidRPr="009E1367">
        <w:t xml:space="preserve"> </w:t>
      </w:r>
      <w:r w:rsidRPr="009E1367">
        <w:t>that would be suitable to roll out across regions, States/Territories and/or nationally.</w:t>
      </w:r>
    </w:p>
    <w:p w14:paraId="3B2CE9A5" w14:textId="77777777" w:rsidR="00497DBB" w:rsidRPr="009E1367" w:rsidRDefault="00497DBB" w:rsidP="0061433F">
      <w:pPr>
        <w:pStyle w:val="Heading3"/>
        <w:jc w:val="both"/>
      </w:pPr>
      <w:r w:rsidRPr="009E1367">
        <w:t>School Business Community Partnership Brokers</w:t>
      </w:r>
    </w:p>
    <w:p w14:paraId="450C3EC6" w14:textId="77777777" w:rsidR="00497DBB" w:rsidRDefault="00497DBB" w:rsidP="0061433F">
      <w:pPr>
        <w:pStyle w:val="BodyText"/>
      </w:pPr>
      <w:r w:rsidRPr="009E1367">
        <w:t>The PB program remains consistent with NP objectives. Evidence from outcome measures and survey data consistently reveal the establishment of partnerships that meet local needs which are broader than youth attainment and transition (e.g.,</w:t>
      </w:r>
      <w:r>
        <w:t xml:space="preserve"> student welfare) – for example, 92 per cent of partners surveyed agree that their partnerships address real needs in the community.</w:t>
      </w:r>
      <w:r w:rsidRPr="009E1367">
        <w:t xml:space="preserve"> Service providers do indicate, however, that meeting the demand for services is a challenge</w:t>
      </w:r>
      <w:r>
        <w:t xml:space="preserve"> – only 30 per cent agree that there is sufficient capacity to meet demand (see </w:t>
      </w:r>
      <w:r w:rsidRPr="009377A1">
        <w:t>Figure 3.10).</w:t>
      </w:r>
    </w:p>
    <w:p w14:paraId="01D117FC" w14:textId="77777777" w:rsidR="00497DBB" w:rsidRDefault="00497DBB" w:rsidP="0061433F">
      <w:pPr>
        <w:pStyle w:val="Caption"/>
        <w:keepNext/>
        <w:jc w:val="both"/>
      </w:pPr>
      <w:r w:rsidRPr="009377A1">
        <w:lastRenderedPageBreak/>
        <w:t>Figure 3.10: Service</w:t>
      </w:r>
      <w:r w:rsidRPr="009E1367">
        <w:t xml:space="preserve"> Pr</w:t>
      </w:r>
      <w:r>
        <w:t>oviders’ Views on Whether the PB</w:t>
      </w:r>
      <w:r w:rsidRPr="009E1367">
        <w:t xml:space="preserve"> Program Addresses Areas of Need</w:t>
      </w:r>
    </w:p>
    <w:p w14:paraId="4D91E128" w14:textId="77777777" w:rsidR="00497DBB" w:rsidRPr="009E1367" w:rsidRDefault="00497DBB" w:rsidP="0061433F">
      <w:pPr>
        <w:pStyle w:val="BodyText"/>
      </w:pPr>
      <w:r>
        <w:rPr>
          <w:noProof/>
          <w:lang w:eastAsia="en-AU"/>
        </w:rPr>
        <w:drawing>
          <wp:inline distT="0" distB="0" distL="0" distR="0" wp14:anchorId="77B584FE" wp14:editId="731596C6">
            <wp:extent cx="5940000" cy="3420000"/>
            <wp:effectExtent l="0" t="0" r="3810" b="9525"/>
            <wp:docPr id="49" name="Chart 49" descr="Figure 3.10: Service Providers’ Views on Whether the PB Program Addresses Areas of Need&#10;" title="Figure 3.10: Service Providers’ Views on Whether the PB Program Addresses Areas of Ne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77A7BA" w14:textId="77777777" w:rsidR="00497DBB" w:rsidRDefault="00497DBB" w:rsidP="0061433F">
      <w:pPr>
        <w:pStyle w:val="Tablenote"/>
        <w:jc w:val="both"/>
      </w:pPr>
      <w:r w:rsidRPr="009E1367">
        <w:t xml:space="preserve">Source: </w:t>
      </w:r>
      <w:r>
        <w:t>dandolopartners survey of PB</w:t>
      </w:r>
      <w:r w:rsidRPr="009E1367">
        <w:t xml:space="preserve"> service providers (2012).</w:t>
      </w:r>
    </w:p>
    <w:p w14:paraId="396A8681" w14:textId="77777777" w:rsidR="00497DBB" w:rsidRPr="009E1367" w:rsidRDefault="00497DBB" w:rsidP="0061433F">
      <w:pPr>
        <w:pStyle w:val="BodyText"/>
      </w:pPr>
      <w:r w:rsidRPr="009E1367">
        <w:t>The program complements other programs and initiatives targeting similar outcomes. While there is some overlap with other programs, it appears that many opportunities are being taken to increase collaboration. In particular, active collaboration with YC appears to be happening in a number of service regions.</w:t>
      </w:r>
    </w:p>
    <w:p w14:paraId="46B6C71F" w14:textId="77777777" w:rsidR="00497DBB" w:rsidRPr="009E1367" w:rsidRDefault="00497DBB" w:rsidP="0061433F">
      <w:pPr>
        <w:pStyle w:val="Heading3"/>
        <w:jc w:val="both"/>
      </w:pPr>
      <w:bookmarkStart w:id="71" w:name="_Ref209347122"/>
      <w:r w:rsidRPr="009E1367">
        <w:t>Youth Connections</w:t>
      </w:r>
      <w:bookmarkEnd w:id="71"/>
    </w:p>
    <w:p w14:paraId="6D01DC4E" w14:textId="77777777" w:rsidR="00497DBB" w:rsidRPr="009E1367" w:rsidRDefault="00497DBB" w:rsidP="0061433F">
      <w:pPr>
        <w:pStyle w:val="BodyText"/>
        <w:spacing w:after="0"/>
      </w:pPr>
      <w:r w:rsidRPr="009E1367">
        <w:t>The YC program remains consistent with NP objectives, with a clear focus on improving youth attainment and transition outcomes.</w:t>
      </w:r>
    </w:p>
    <w:p w14:paraId="7B6D99B0" w14:textId="77777777" w:rsidR="00497DBB" w:rsidRPr="009E1367" w:rsidRDefault="00497DBB" w:rsidP="0061433F">
      <w:pPr>
        <w:pStyle w:val="BodyText"/>
      </w:pPr>
      <w:r w:rsidRPr="009E1367">
        <w:t xml:space="preserve">As in the Year 1 evaluation, the YC program has been successful in addressing the needs of young people identified as most at risk of disengaging or being disengaged from education and training – namely, young people from low-SES, Indigenous and humanitarian refugee backgrounds. </w:t>
      </w:r>
      <w:r>
        <w:t xml:space="preserve">Figure 3.11 </w:t>
      </w:r>
      <w:r w:rsidRPr="009E1367">
        <w:t>shows the distribution of young people enrolled in YC individual support services from most disadvantaged to least disadvantaged, based on the area in which they reside. It indicates that YC is well targeted at the young people who are most at risk. More clients reside in the most disadvantaged areas (Socio-Economic Indexes for Areas or SEIFA quintiles one and two) than the least disadvantaged areas (SEIFA quintiles four and five). A slightly higher proportion of clients were located in the more disadvantaged areas in 2012 compared with 2011.</w:t>
      </w:r>
    </w:p>
    <w:p w14:paraId="36ADF0CB" w14:textId="77777777" w:rsidR="00497DBB" w:rsidRPr="009E1367" w:rsidRDefault="00497DBB" w:rsidP="0061433F">
      <w:pPr>
        <w:pStyle w:val="Caption"/>
        <w:keepNext/>
        <w:jc w:val="both"/>
      </w:pPr>
      <w:bookmarkStart w:id="72" w:name="_Ref209347617"/>
      <w:r w:rsidRPr="009E1367">
        <w:lastRenderedPageBreak/>
        <w:t xml:space="preserve">Figure </w:t>
      </w:r>
      <w:bookmarkEnd w:id="72"/>
      <w:r>
        <w:t>3.11</w:t>
      </w:r>
      <w:r w:rsidRPr="009E1367">
        <w:t>: Young People receiving Individual Support Services by SEIFA Quintile</w:t>
      </w:r>
      <w:r w:rsidRPr="009E1367">
        <w:rPr>
          <w:rStyle w:val="FootnoteReference"/>
        </w:rPr>
        <w:footnoteReference w:id="36"/>
      </w:r>
    </w:p>
    <w:p w14:paraId="49FB7F53" w14:textId="77777777" w:rsidR="00497DBB" w:rsidRPr="009E1367" w:rsidRDefault="00497DBB" w:rsidP="0061433F">
      <w:pPr>
        <w:pStyle w:val="Tablenote"/>
        <w:jc w:val="both"/>
      </w:pPr>
      <w:r w:rsidRPr="009E1367">
        <w:rPr>
          <w:noProof/>
          <w:lang w:eastAsia="en-AU"/>
        </w:rPr>
        <w:drawing>
          <wp:inline distT="0" distB="0" distL="0" distR="0" wp14:anchorId="0983B66C" wp14:editId="54E02DD6">
            <wp:extent cx="5940000" cy="3420000"/>
            <wp:effectExtent l="0" t="0" r="3810" b="9525"/>
            <wp:docPr id="175" name="Chart 175" descr="Figure 3.11: Young People receiving Individual Support Services by SEIFA Quintile&#10;" title="Figure 3.11: Young People receiving Individual Support Services by SEIFA Quinti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0507C5A" w14:textId="77777777" w:rsidR="00497DBB" w:rsidRPr="008E58DC" w:rsidRDefault="00497DBB" w:rsidP="0061433F">
      <w:pPr>
        <w:pStyle w:val="Tablenote"/>
        <w:jc w:val="both"/>
      </w:pPr>
      <w:r w:rsidRPr="009E1367">
        <w:t>Source: Analysis of DEEWR, YATMIS Program Repor</w:t>
      </w:r>
      <w:r w:rsidR="008E58DC">
        <w:t>ting, 2012</w:t>
      </w:r>
      <w:r w:rsidR="00666C65">
        <w:t xml:space="preserve">; Australian Bureau of Statistics, </w:t>
      </w:r>
      <w:r w:rsidR="00666C65">
        <w:rPr>
          <w:i/>
        </w:rPr>
        <w:t>Socio-Economic Indexes for Areas</w:t>
      </w:r>
      <w:r w:rsidR="00666C65">
        <w:t>, 2008 (based on 2006 Census of Population and Housing data)</w:t>
      </w:r>
      <w:r w:rsidR="008E58DC">
        <w:t>.</w:t>
      </w:r>
    </w:p>
    <w:p w14:paraId="3ABF636F" w14:textId="77777777" w:rsidR="00497DBB" w:rsidRPr="009E1367" w:rsidRDefault="00497DBB" w:rsidP="0061433F">
      <w:pPr>
        <w:pStyle w:val="Tablenote"/>
        <w:jc w:val="both"/>
      </w:pPr>
      <w:r w:rsidRPr="009E1367">
        <w:t>Note: This data does not take into account young people who are supported through outreach and re-engagement activities.</w:t>
      </w:r>
    </w:p>
    <w:p w14:paraId="5B5671E3" w14:textId="77777777" w:rsidR="00497DBB" w:rsidRPr="009E1367" w:rsidRDefault="00497DBB" w:rsidP="0061433F">
      <w:pPr>
        <w:pStyle w:val="BodyText"/>
      </w:pPr>
      <w:r w:rsidRPr="009E1367">
        <w:t>YC providers are expected to be responsive to the needs of their communities. In regions with proportionally high numbers of Indigenous and/or humanitarian refugee young people (‘flagged’ regions), service providers are required to pay particular attention to these cohorts of young people. Seventy-five of the 111 YC regions have an Indigenous ‘flag’. In the first six months of 2012, 30 per cent of participants in these regions were Indigenous young people (3903 of 14,523 participants).</w:t>
      </w:r>
      <w:r w:rsidRPr="009E1367">
        <w:rPr>
          <w:rStyle w:val="FootnoteReference"/>
        </w:rPr>
        <w:footnoteReference w:id="37"/>
      </w:r>
      <w:r w:rsidRPr="009E1367">
        <w:t xml:space="preserve"> All 111 regions had Indigenous participants and 43 per cent of these young people had achieved an outcome, a slightly lower rate than all participants (50 per cent of all participants have achieved an outcome). Meanwhile, 37 regions have a humanitarian refugee ‘flag’. In the first six months of 2012, 4 per cent of YC participants in 45 regions were humanitarian refugees. These young people achieved outcomes at a higher rate than participants overall (62 per cent v</w:t>
      </w:r>
      <w:r w:rsidR="00286D25">
        <w:t>er</w:t>
      </w:r>
      <w:r w:rsidRPr="009E1367">
        <w:t>s</w:t>
      </w:r>
      <w:r w:rsidR="00286D25">
        <w:t>us</w:t>
      </w:r>
      <w:r w:rsidRPr="009E1367">
        <w:t xml:space="preserve"> 50 per cent).</w:t>
      </w:r>
    </w:p>
    <w:p w14:paraId="1E5C0621" w14:textId="77777777" w:rsidR="00497DBB" w:rsidRPr="009E1367" w:rsidRDefault="00497DBB" w:rsidP="0061433F">
      <w:pPr>
        <w:pStyle w:val="BodyText"/>
      </w:pPr>
      <w:r w:rsidRPr="009E1367">
        <w:t>The number and make-up of participants in flagged regions indicates this is a useful program feature for engaging with particular target cohorts. The majority of service providers agree that flags and associated targets help to ensure YC services are targeted to Indigenous and/or humanitarian refugee young people (70 per cent), help improve YC services for Indigenous and/or humanitarian refugee young people (60 per cent), and help set appropriate priorities (58 per cent). There is a sizeable minority that disagree that flags and associated targets help improve YC services for Indigenous and/or humanitarian refugee young people (17 per cent). This is an area that needs further investigation by the YC team.</w:t>
      </w:r>
    </w:p>
    <w:p w14:paraId="4B63F2B5" w14:textId="77777777" w:rsidR="00497DBB" w:rsidRPr="009E1367" w:rsidRDefault="00497DBB" w:rsidP="0061433F">
      <w:pPr>
        <w:pStyle w:val="BodyText"/>
        <w:spacing w:after="0"/>
      </w:pPr>
      <w:r w:rsidRPr="009E1367">
        <w:t>Service providers and stakeholders report that YC:</w:t>
      </w:r>
    </w:p>
    <w:p w14:paraId="5462F7F9" w14:textId="77777777" w:rsidR="00497DBB" w:rsidRPr="009E1367" w:rsidRDefault="00497DBB" w:rsidP="0061433F">
      <w:pPr>
        <w:pStyle w:val="ListBullet"/>
      </w:pPr>
      <w:r>
        <w:t>T</w:t>
      </w:r>
      <w:r w:rsidRPr="009E1367">
        <w:t>argets young people who can most benefit from the program (95 per cent strongly agree or agree)</w:t>
      </w:r>
    </w:p>
    <w:p w14:paraId="73CFECB6" w14:textId="77777777" w:rsidR="00497DBB" w:rsidRPr="009E1367" w:rsidRDefault="00497DBB" w:rsidP="0061433F">
      <w:pPr>
        <w:pStyle w:val="ListBullet"/>
      </w:pPr>
      <w:r>
        <w:t>D</w:t>
      </w:r>
      <w:r w:rsidRPr="009E1367">
        <w:t>elivers services in places and ways that young people need and respond well to (90 per cent)</w:t>
      </w:r>
    </w:p>
    <w:p w14:paraId="0AB8F97B" w14:textId="77777777" w:rsidR="00497DBB" w:rsidRPr="009E1367" w:rsidRDefault="00497DBB" w:rsidP="0061433F">
      <w:pPr>
        <w:pStyle w:val="ListBullet"/>
      </w:pPr>
      <w:r>
        <w:t>D</w:t>
      </w:r>
      <w:r w:rsidRPr="009E1367">
        <w:t>elivers a service not delivered by other programs or organisations (88 per cent)</w:t>
      </w:r>
    </w:p>
    <w:p w14:paraId="7547A4CB" w14:textId="77777777" w:rsidR="00497DBB" w:rsidRPr="009E1367" w:rsidRDefault="00497DBB" w:rsidP="0061433F">
      <w:pPr>
        <w:pStyle w:val="ListBullet"/>
      </w:pPr>
      <w:r>
        <w:lastRenderedPageBreak/>
        <w:t>D</w:t>
      </w:r>
      <w:r w:rsidRPr="009E1367">
        <w:t>elivers services that address the root causes of young people disconnecting from education and training (86 per cent) (see</w:t>
      </w:r>
      <w:r>
        <w:t xml:space="preserve"> Figure 3.12</w:t>
      </w:r>
      <w:r w:rsidRPr="009E1367">
        <w:t>).</w:t>
      </w:r>
      <w:r w:rsidRPr="009E1367">
        <w:rPr>
          <w:rStyle w:val="FootnoteReference"/>
        </w:rPr>
        <w:footnoteReference w:id="38"/>
      </w:r>
    </w:p>
    <w:p w14:paraId="5889FA07" w14:textId="77777777" w:rsidR="00497DBB" w:rsidRPr="009E1367" w:rsidRDefault="00497DBB" w:rsidP="0061433F">
      <w:pPr>
        <w:pStyle w:val="Caption"/>
        <w:keepNext/>
        <w:jc w:val="both"/>
      </w:pPr>
      <w:bookmarkStart w:id="73" w:name="_Ref209351152"/>
      <w:r w:rsidRPr="009E1367">
        <w:t xml:space="preserve">Figure </w:t>
      </w:r>
      <w:bookmarkEnd w:id="73"/>
      <w:r>
        <w:t>3.12</w:t>
      </w:r>
      <w:r w:rsidRPr="009E1367">
        <w:t>: Service Providers’ Views on Whether the YC Program Addresses Areas of Need</w:t>
      </w:r>
    </w:p>
    <w:p w14:paraId="4049C92B" w14:textId="77777777" w:rsidR="00497DBB" w:rsidRPr="009E1367" w:rsidRDefault="00497DBB" w:rsidP="0061433F">
      <w:pPr>
        <w:pStyle w:val="BodyText"/>
      </w:pPr>
      <w:r w:rsidRPr="009E1367">
        <w:rPr>
          <w:noProof/>
          <w:lang w:eastAsia="en-AU"/>
        </w:rPr>
        <w:drawing>
          <wp:inline distT="0" distB="0" distL="0" distR="0" wp14:anchorId="3C2B4C9C" wp14:editId="66FA6C77">
            <wp:extent cx="6096423" cy="3419475"/>
            <wp:effectExtent l="0" t="0" r="0" b="9525"/>
            <wp:docPr id="177" name="Chart 177" descr="Figure 3.12: Service Providers’ Views on Whether the YC Program Addresses Areas of Need&#10;" title="Figure 3.12: Service Providers’ Views on Whether the YC Program Addresses Areas of Ne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9B73C4D" w14:textId="77777777" w:rsidR="00497DBB" w:rsidRPr="009E1367" w:rsidRDefault="00497DBB" w:rsidP="0061433F">
      <w:pPr>
        <w:pStyle w:val="Tablenote"/>
        <w:jc w:val="both"/>
      </w:pPr>
      <w:r w:rsidRPr="009E1367">
        <w:t>Source: dandolopartners survey of YC service providers (2012).</w:t>
      </w:r>
    </w:p>
    <w:p w14:paraId="35915354" w14:textId="77777777" w:rsidR="00497DBB" w:rsidRPr="009E1367" w:rsidRDefault="00497DBB" w:rsidP="0061433F">
      <w:pPr>
        <w:pStyle w:val="BodyText"/>
      </w:pPr>
      <w:r w:rsidRPr="009E1367">
        <w:t xml:space="preserve">Demand for YC services is high and continues to increase. Only 31 per cent of service providers believe that the program has enough capacity to meet demand for services (see </w:t>
      </w:r>
      <w:r w:rsidR="00F06CAD">
        <w:fldChar w:fldCharType="begin"/>
      </w:r>
      <w:r w:rsidR="00F06CAD">
        <w:instrText xml:space="preserve"> REF _Ref209351152 \h  \* MERGEFORMAT </w:instrText>
      </w:r>
      <w:r w:rsidR="00F06CAD">
        <w:fldChar w:fldCharType="separate"/>
      </w:r>
      <w:r w:rsidR="00A76CFC" w:rsidRPr="009E1367">
        <w:t xml:space="preserve">Figure </w:t>
      </w:r>
      <w:r w:rsidR="00F06CAD">
        <w:fldChar w:fldCharType="end"/>
      </w:r>
      <w:r w:rsidRPr="009E1367">
        <w:t>3.7). This view is consistent with those of the education and training organisations and community and youth sector organisations consulted. Service providers operating in major cities and inner and outer regional areas mentioned similar levels of capacity constraint. By contrast, YC service providers in remote and very remote areas recorded a noticeably higher level of concern about the capacity to meet service demand. In 2012, 70 per cent of participants are located in rural and regional areas.</w:t>
      </w:r>
    </w:p>
    <w:p w14:paraId="233692F0" w14:textId="77777777" w:rsidR="00497DBB" w:rsidRPr="009E1367" w:rsidRDefault="00497DBB" w:rsidP="0061433F">
      <w:pPr>
        <w:pStyle w:val="BodyText"/>
      </w:pPr>
      <w:r w:rsidRPr="009E1367">
        <w:t>The most common strategies that service providers use to manage capacity constraints include referring young people to other youth or specialist service providers (which is difficult in many rural and regional areas that are lacking in these services) or to other activities/services run by their organisation. Very few service providers move participants through to completion more quickly in order to take on new participants, or explain to the young person that there are no place available.</w:t>
      </w:r>
    </w:p>
    <w:p w14:paraId="7FAFB75B" w14:textId="77777777" w:rsidR="00497DBB" w:rsidRPr="009E1367" w:rsidRDefault="00497DBB" w:rsidP="0061433F">
      <w:pPr>
        <w:pStyle w:val="BodyText"/>
      </w:pPr>
      <w:r w:rsidRPr="009E1367">
        <w:t xml:space="preserve">The capacity to meet demand for individual support services is the most pressing challenge for the program currently and will need to be considered in the development of a future program (see Chapter </w:t>
      </w:r>
      <w:r w:rsidR="0061433F">
        <w:t>5</w:t>
      </w:r>
      <w:r w:rsidRPr="009E1367">
        <w:t>). YC is currently funded to provide individual support services to approximately 30,000 young people who are at risk of disengaging (i.e., still at school, in training or in a job) or disengaged. Around 150,000 15–19-year-olds are disengaged</w:t>
      </w:r>
      <w:r w:rsidRPr="009E1367">
        <w:rPr>
          <w:rStyle w:val="FootnoteReference"/>
        </w:rPr>
        <w:footnoteReference w:id="39"/>
      </w:r>
      <w:r w:rsidRPr="009E1367">
        <w:t xml:space="preserve"> while the number of young people at risk is unknown. This indicates that there are far fewer places in the YC program than the number of young people who could potentially benefit from the service.</w:t>
      </w:r>
    </w:p>
    <w:p w14:paraId="131A2AC7" w14:textId="77777777" w:rsidR="00497DBB" w:rsidRPr="009E1367" w:rsidRDefault="00497DBB" w:rsidP="0061433F">
      <w:pPr>
        <w:pStyle w:val="BodyText"/>
      </w:pPr>
      <w:r w:rsidRPr="009E1367">
        <w:t xml:space="preserve">In the Year 1 evaluation, some stakeholders identified that the relationship between YC and Job Services Australia (JSA) providers was underdeveloped in some areas. YC and JSA share a common client group – early school leavers. The views of a sample of </w:t>
      </w:r>
      <w:r w:rsidRPr="009E1367">
        <w:lastRenderedPageBreak/>
        <w:t xml:space="preserve">JSA providers on the relationship were sought by dandolopartners. The results indicated that most JSA service providers believe that JSA works well with YC. The vast majority also agreed that the two organisations need a stronger relationship in order to reduce duplication and provide comprehensive services for clients. </w:t>
      </w:r>
    </w:p>
    <w:p w14:paraId="6DE7CC90" w14:textId="77777777" w:rsidR="00497DBB" w:rsidRPr="009E1367" w:rsidRDefault="00497DBB" w:rsidP="0061433F">
      <w:pPr>
        <w:pStyle w:val="BodyText"/>
      </w:pPr>
      <w:r w:rsidRPr="009E1367">
        <w:t>Robust relationships between providers of the two programs appear to exist in instances of co-location, or operation in small geographical areas, such as rural areas. Most of the JSA service providers consulted agreed that regular meetings or communications would enhance this relationship; however, some survey respondents went further, arguing for formally linked systems.</w:t>
      </w:r>
    </w:p>
    <w:p w14:paraId="709F99F5" w14:textId="77777777" w:rsidR="00322B0D" w:rsidRPr="009E1367" w:rsidRDefault="00322B0D" w:rsidP="00322B0D">
      <w:pPr>
        <w:pStyle w:val="BodyText"/>
        <w:spacing w:after="0"/>
      </w:pPr>
      <w:r w:rsidRPr="009E1367">
        <w:t>In addition to providing sufficient capacity to meet demand for service, other areas that should be considered during the development of a future program include:</w:t>
      </w:r>
    </w:p>
    <w:p w14:paraId="35E250B4" w14:textId="77777777" w:rsidR="00322B0D" w:rsidRPr="009E1367" w:rsidRDefault="00322B0D" w:rsidP="00286D25">
      <w:pPr>
        <w:pStyle w:val="ListBullet"/>
      </w:pPr>
      <w:r>
        <w:t>T</w:t>
      </w:r>
      <w:r w:rsidRPr="009E1367">
        <w:t>he interaction of YC with other youth support programs</w:t>
      </w:r>
    </w:p>
    <w:p w14:paraId="463ED73E" w14:textId="77777777" w:rsidR="00322B0D" w:rsidRDefault="00322B0D" w:rsidP="00E45705">
      <w:pPr>
        <w:pStyle w:val="ListBullet"/>
      </w:pPr>
      <w:r>
        <w:t>T</w:t>
      </w:r>
      <w:r w:rsidRPr="009E1367">
        <w:t>he allocation of responsibility for disengaged and at-risk young people (e.g., allocating greater responsibility to schools for tracking young people until they are transitioned to further education, training or employment</w:t>
      </w:r>
      <w:r w:rsidR="00827DBB">
        <w:t>.</w:t>
      </w:r>
      <w:r w:rsidR="00901920" w:rsidRPr="00901920">
        <w:t xml:space="preserve"> </w:t>
      </w:r>
      <w:r w:rsidR="00326575">
        <w:t>(</w:t>
      </w:r>
      <w:r w:rsidR="00901920">
        <w:t>This would have resource implications for schools</w:t>
      </w:r>
      <w:r w:rsidR="00326575">
        <w:t>.)</w:t>
      </w:r>
    </w:p>
    <w:p w14:paraId="73D434CB" w14:textId="77777777" w:rsidR="00901920" w:rsidRPr="009E1367" w:rsidRDefault="00901920" w:rsidP="002E0407">
      <w:pPr>
        <w:pStyle w:val="ListBullet"/>
      </w:pPr>
      <w:r>
        <w:t xml:space="preserve">Providing services </w:t>
      </w:r>
      <w:r w:rsidR="00326575">
        <w:t xml:space="preserve">both </w:t>
      </w:r>
      <w:r>
        <w:t xml:space="preserve">to young people that are referred to the program (for example, by their school, family or Centrelink) </w:t>
      </w:r>
      <w:r w:rsidR="00326575">
        <w:t>and also</w:t>
      </w:r>
      <w:r>
        <w:t xml:space="preserve"> seeking out young people that would benefit from YC services that are not referred by education, training or service providers – this will ensure that the needs of young people in different circumstances (e.g. attending school, not attending school) are met, particularly those young people that are the most disengaged and not receiving support through other channels</w:t>
      </w:r>
    </w:p>
    <w:p w14:paraId="2EFA56B1" w14:textId="77777777" w:rsidR="00322B0D" w:rsidRPr="009E1367" w:rsidRDefault="00322B0D" w:rsidP="002E0407">
      <w:pPr>
        <w:pStyle w:val="ListBullet"/>
      </w:pPr>
      <w:r>
        <w:t>B</w:t>
      </w:r>
      <w:r w:rsidRPr="009E1367">
        <w:t>uilding systemic responses to issues faced by young people (e.g., through Strengthening Services in the Region) – there could be a strategy in place to shift service provider effort to this component of the program over time as individual young people’s issues are resolved.</w:t>
      </w:r>
    </w:p>
    <w:p w14:paraId="54DCA362" w14:textId="77777777" w:rsidR="00497DBB" w:rsidRPr="009E1367" w:rsidRDefault="00497DBB" w:rsidP="0061433F">
      <w:pPr>
        <w:pStyle w:val="Heading3"/>
        <w:jc w:val="both"/>
      </w:pPr>
      <w:r w:rsidRPr="009E1367">
        <w:t>National Career Development</w:t>
      </w:r>
    </w:p>
    <w:p w14:paraId="2F74D3B3" w14:textId="77777777" w:rsidR="00497DBB" w:rsidRPr="009E1367" w:rsidRDefault="00497DBB" w:rsidP="0061433F">
      <w:pPr>
        <w:pStyle w:val="BodyText"/>
      </w:pPr>
      <w:r w:rsidRPr="009E1367">
        <w:t>The NCDS is aimed at improving attainment and transitions and remains consistent with NP objectives.</w:t>
      </w:r>
      <w:r>
        <w:t xml:space="preserve"> </w:t>
      </w:r>
      <w:r w:rsidRPr="009E1367">
        <w:t xml:space="preserve">The </w:t>
      </w:r>
      <w:r>
        <w:t xml:space="preserve">NCD </w:t>
      </w:r>
      <w:r w:rsidRPr="009E1367">
        <w:t>Green Paper identifies the fact that a focus on career development should not be constrained to the youth cohort:</w:t>
      </w:r>
    </w:p>
    <w:p w14:paraId="2FEA3F7D" w14:textId="77777777" w:rsidR="00497DBB" w:rsidRPr="009E1367" w:rsidRDefault="00497DBB" w:rsidP="0061433F">
      <w:pPr>
        <w:pStyle w:val="BodyText"/>
      </w:pPr>
      <w:r w:rsidRPr="009E1367">
        <w:rPr>
          <w:i/>
        </w:rPr>
        <w:t>Career development helps people throughout their lives to plan and to make decisions about education, training, and career choices, and provides the right skills to do this. Support for career development (through education providers, governments, employers, career industry) includes the collection, organisation and provision of information needed to make these decisions; advice and guidance about education, training and work at key points in people’s lives.</w:t>
      </w:r>
      <w:r w:rsidRPr="009E1367">
        <w:rPr>
          <w:rStyle w:val="FootnoteReference"/>
        </w:rPr>
        <w:footnoteReference w:id="40"/>
      </w:r>
    </w:p>
    <w:p w14:paraId="4892607F" w14:textId="77777777" w:rsidR="00326575" w:rsidRDefault="00497DBB" w:rsidP="0061433F">
      <w:pPr>
        <w:pStyle w:val="BodyText"/>
      </w:pPr>
      <w:r w:rsidRPr="009E1367">
        <w:t xml:space="preserve">During consultations, some State and Territory governments expressed reservations about the Australian Government’s commitment to career development and their capacity to consistently deliver high-quality career development services and resources given the reduction in funding in the 2012–13 Budget. The NCDS should provide greater clarity around the respective roles of the Australian Government and State and Territory governments in career development. This should be accompanied by the publication of a clear statement to the States and Territories about the career development resources and initiatives the Australian Government will deliver, and what it expects the States and Territories to provide. This will assist the States and Territories in planning their delivery of career development support with greater certainty. It will be particularly important if national career development resources are not funded at the end of the NP, as States and Territories report that they are not in a position to </w:t>
      </w:r>
      <w:r w:rsidRPr="009E1367">
        <w:lastRenderedPageBreak/>
        <w:t xml:space="preserve">produce the resources the Australian Government delivers (and this would not be a desirable outcome given the efficiencies that result from the delivery of national resources). </w:t>
      </w:r>
    </w:p>
    <w:p w14:paraId="328CC9EB" w14:textId="77777777" w:rsidR="00901920" w:rsidRDefault="00901920" w:rsidP="0061433F">
      <w:pPr>
        <w:pStyle w:val="BodyText"/>
      </w:pPr>
      <w:r>
        <w:t xml:space="preserve">Ensuring career development is a mainstream part of Australian education and training, as opposed to an add-on service, was seen as an important step by </w:t>
      </w:r>
      <w:r w:rsidR="002E0407">
        <w:t xml:space="preserve">a number of </w:t>
      </w:r>
      <w:r>
        <w:t xml:space="preserve">stakeholders consulted. An option identified to </w:t>
      </w:r>
      <w:r w:rsidRPr="009E1367">
        <w:t>increase the profile and importance of career development in schools</w:t>
      </w:r>
      <w:r>
        <w:t xml:space="preserve"> was to include career development in the national curriculum.</w:t>
      </w:r>
    </w:p>
    <w:p w14:paraId="5E2B17C8" w14:textId="77777777" w:rsidR="00497DBB" w:rsidRPr="009E1367" w:rsidRDefault="00497DBB" w:rsidP="0061433F">
      <w:pPr>
        <w:pStyle w:val="Heading3"/>
        <w:jc w:val="both"/>
      </w:pPr>
      <w:r w:rsidRPr="009E1367">
        <w:t>The Compact with Young Australians</w:t>
      </w:r>
    </w:p>
    <w:p w14:paraId="363C4493" w14:textId="77777777" w:rsidR="00497DBB" w:rsidRPr="009E1367" w:rsidRDefault="00497DBB" w:rsidP="0061433F">
      <w:pPr>
        <w:pStyle w:val="BodyText"/>
      </w:pPr>
      <w:r w:rsidRPr="009E1367">
        <w:t>The Compact remains consistent with the NP objectives. The success of The Compact in assisting the retention and re-engagement of young people in education and training is contingent upon young people having access to education and training, and sufficient financial resources to participate.</w:t>
      </w:r>
    </w:p>
    <w:p w14:paraId="411F8AFA" w14:textId="77777777" w:rsidR="00497DBB" w:rsidRPr="009E1367" w:rsidRDefault="00497DBB" w:rsidP="0061433F">
      <w:pPr>
        <w:pStyle w:val="BodyText"/>
      </w:pPr>
      <w:r w:rsidRPr="009E1367">
        <w:t>JSA providers support early school leavers in finding and securing employment, and are therefore able to provide a perspective on the impact of The Compact on young people. The JSA providers surveyed tended to view The Compact positively. However, some noted that the benefits of The Compact were limited by capacity constraints on education service providers. This is not a view shared by the States and Territories, who report that sufficient training places are available to satisfy demand. Some JSA providers also raised concerns about lower-quality education and training providers, which were established as a result of increased demand for services driven by The Compact. This is an area that warrants further investigation.</w:t>
      </w:r>
    </w:p>
    <w:p w14:paraId="72236EE9" w14:textId="77777777" w:rsidR="00497DBB" w:rsidRPr="009E1367" w:rsidRDefault="00497DBB" w:rsidP="0061433F">
      <w:pPr>
        <w:pStyle w:val="BodyText"/>
      </w:pPr>
      <w:r w:rsidRPr="009E1367">
        <w:t xml:space="preserve">A common theme among JSA providers was that early school leavers poorly understood The Compact prior to receiving </w:t>
      </w:r>
      <w:r w:rsidR="00326575">
        <w:t xml:space="preserve">their </w:t>
      </w:r>
      <w:r w:rsidRPr="009E1367">
        <w:t>support. Some JSA providers were concerned that The Compact prompted young people to select training choices that were inappropriate for their needs, and led them to seek services from multiple providers simultaneously to fulfil The Compact requirements.</w:t>
      </w:r>
    </w:p>
    <w:p w14:paraId="5462D588" w14:textId="77777777" w:rsidR="00497DBB" w:rsidRPr="009E1367" w:rsidRDefault="00497DBB" w:rsidP="0061433F">
      <w:pPr>
        <w:pStyle w:val="BodyText"/>
      </w:pPr>
      <w:r w:rsidRPr="009E1367">
        <w:t>The responsibility for ensuring that young people participate in education, training and/or employment is shared between the States and Territories (through education legislation) and the Australian Government (through income support regulations). There are differences in how States and Territories have approached the monitoring and compliance of The Compact education participation requirements. Some jurisdictions have assigned departmental staff to track disengaged students or initiate legal action against non-compliant students. Many jurisdictions note the ongoing challenge of reaching already disengaged youth, particularly those located in regional and rural areas.</w:t>
      </w:r>
    </w:p>
    <w:p w14:paraId="6EA6AA08" w14:textId="77777777" w:rsidR="00497DBB" w:rsidRPr="009E1367" w:rsidRDefault="00497DBB" w:rsidP="0061433F">
      <w:pPr>
        <w:pStyle w:val="BodyText"/>
      </w:pPr>
      <w:r w:rsidRPr="009E1367">
        <w:t>Some of the education and training providers consulted raised the issue of young people not complying with The Compact participation requirements. Based on anecdotal experience, stakeholders have indicated that some young people enrol in education and training courses to access income support payments; they stop attending these courses, yet continue to receive payments when they are in breach of the participation requirements. There is a need for greater clarity around the allocation of responsibility for disengaged young people, as well as for a concerted effort to re-engage them in education and training.</w:t>
      </w:r>
    </w:p>
    <w:p w14:paraId="0AD5D6C4" w14:textId="77777777" w:rsidR="00517665" w:rsidRDefault="00517665">
      <w:pPr>
        <w:spacing w:line="380" w:lineRule="atLeast"/>
        <w:rPr>
          <w:rFonts w:eastAsiaTheme="majorEastAsia" w:cstheme="majorBidi"/>
          <w:bCs/>
          <w:color w:val="931B2F"/>
          <w:sz w:val="32"/>
          <w:szCs w:val="26"/>
        </w:rPr>
      </w:pPr>
      <w:bookmarkStart w:id="74" w:name="_Toc210269998"/>
      <w:r>
        <w:br w:type="page"/>
      </w:r>
    </w:p>
    <w:p w14:paraId="489CD95F" w14:textId="77777777" w:rsidR="00497DBB" w:rsidRPr="009E1367" w:rsidRDefault="00497DBB" w:rsidP="0061433F">
      <w:pPr>
        <w:pStyle w:val="Heading2"/>
      </w:pPr>
      <w:bookmarkStart w:id="75" w:name="_Toc219347246"/>
      <w:r w:rsidRPr="009E1367">
        <w:lastRenderedPageBreak/>
        <w:t>Efficiency</w:t>
      </w:r>
      <w:bookmarkEnd w:id="68"/>
      <w:bookmarkEnd w:id="74"/>
      <w:bookmarkEnd w:id="75"/>
    </w:p>
    <w:tbl>
      <w:tblPr>
        <w:tblStyle w:val="DandoloTableLeft"/>
        <w:tblW w:w="9639" w:type="dxa"/>
        <w:tblLook w:val="04A0" w:firstRow="1" w:lastRow="0" w:firstColumn="1" w:lastColumn="0" w:noHBand="0" w:noVBand="1"/>
        <w:tblCaption w:val="Summary assessment of Is it efficient?"/>
        <w:tblDescription w:val="Summary assessment of Is it efficient?"/>
      </w:tblPr>
      <w:tblGrid>
        <w:gridCol w:w="2694"/>
        <w:gridCol w:w="3401"/>
        <w:gridCol w:w="3544"/>
      </w:tblGrid>
      <w:tr w:rsidR="00497DBB" w:rsidRPr="009E1367" w14:paraId="3DF2458E"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44BE5E2" w14:textId="77777777" w:rsidR="00497DBB" w:rsidRPr="009E1367" w:rsidRDefault="00497DBB" w:rsidP="0061433F">
            <w:pPr>
              <w:spacing w:before="120" w:after="120"/>
              <w:jc w:val="both"/>
              <w:rPr>
                <w:b/>
                <w:color w:val="595959" w:themeColor="text1" w:themeTint="A6"/>
              </w:rPr>
            </w:pPr>
            <w:r w:rsidRPr="009E1367">
              <w:rPr>
                <w:b/>
              </w:rPr>
              <w:t>Evaluation question</w:t>
            </w:r>
          </w:p>
        </w:tc>
        <w:tc>
          <w:tcPr>
            <w:tcW w:w="3401" w:type="dxa"/>
            <w:vAlign w:val="top"/>
          </w:tcPr>
          <w:p w14:paraId="2EBED6CF" w14:textId="77777777" w:rsidR="00497DBB" w:rsidRPr="009E1367" w:rsidRDefault="00497DBB" w:rsidP="0061433F">
            <w:pPr>
              <w:spacing w:before="120" w:after="120"/>
              <w:jc w:val="both"/>
              <w:cnfStyle w:val="100000000000" w:firstRow="1" w:lastRow="0" w:firstColumn="0" w:lastColumn="0" w:oddVBand="0" w:evenVBand="0" w:oddHBand="0" w:evenHBand="0" w:firstRowFirstColumn="0" w:firstRowLastColumn="0" w:lastRowFirstColumn="0" w:lastRowLastColumn="0"/>
              <w:rPr>
                <w:b/>
              </w:rPr>
            </w:pPr>
            <w:r w:rsidRPr="009E1367">
              <w:rPr>
                <w:b/>
              </w:rPr>
              <w:t>Assessment in Year 1</w:t>
            </w:r>
          </w:p>
        </w:tc>
        <w:tc>
          <w:tcPr>
            <w:tcW w:w="3544" w:type="dxa"/>
          </w:tcPr>
          <w:p w14:paraId="6A439684" w14:textId="77777777" w:rsidR="00497DBB" w:rsidRPr="009E1367" w:rsidRDefault="00497DBB" w:rsidP="0061433F">
            <w:pPr>
              <w:spacing w:before="120" w:after="120"/>
              <w:jc w:val="both"/>
              <w:cnfStyle w:val="100000000000" w:firstRow="1" w:lastRow="0" w:firstColumn="0" w:lastColumn="0" w:oddVBand="0" w:evenVBand="0" w:oddHBand="0" w:evenHBand="0" w:firstRowFirstColumn="0" w:firstRowLastColumn="0" w:lastRowFirstColumn="0" w:lastRowLastColumn="0"/>
              <w:rPr>
                <w:b/>
              </w:rPr>
            </w:pPr>
            <w:r w:rsidRPr="009E1367">
              <w:rPr>
                <w:b/>
              </w:rPr>
              <w:t>Changes in Year 2</w:t>
            </w:r>
          </w:p>
        </w:tc>
      </w:tr>
      <w:tr w:rsidR="00497DBB" w:rsidRPr="009E1367" w14:paraId="047DDB29" w14:textId="77777777" w:rsidTr="00F935CF">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CCCCCC"/>
            <w:vAlign w:val="top"/>
          </w:tcPr>
          <w:p w14:paraId="12633F3E" w14:textId="77777777" w:rsidR="00497DBB" w:rsidRPr="009E1367" w:rsidRDefault="00497DBB" w:rsidP="0061433F">
            <w:pPr>
              <w:spacing w:before="120" w:after="120"/>
              <w:jc w:val="both"/>
              <w:rPr>
                <w:b w:val="0"/>
                <w:color w:val="auto"/>
                <w:sz w:val="24"/>
              </w:rPr>
            </w:pPr>
            <w:r w:rsidRPr="009E1367">
              <w:t>Is it efficient?</w:t>
            </w:r>
          </w:p>
        </w:tc>
      </w:tr>
      <w:tr w:rsidR="00497DBB" w:rsidRPr="009E1367" w14:paraId="388CC9C6" w14:textId="77777777" w:rsidTr="00F935CF">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800000"/>
            </w:tcBorders>
            <w:vAlign w:val="top"/>
          </w:tcPr>
          <w:p w14:paraId="6B4D58C2" w14:textId="77777777" w:rsidR="00497DBB" w:rsidRPr="009E1367" w:rsidRDefault="00497DBB" w:rsidP="00E8342B">
            <w:pPr>
              <w:spacing w:before="120" w:after="120"/>
              <w:rPr>
                <w:b w:val="0"/>
                <w:color w:val="595959" w:themeColor="text1" w:themeTint="A6"/>
                <w:sz w:val="24"/>
              </w:rPr>
            </w:pPr>
            <w:r w:rsidRPr="009E1367">
              <w:rPr>
                <w:b w:val="0"/>
                <w:bCs/>
              </w:rPr>
              <w:t>Have the NP outcomes and outputs been maximised for the investment?</w:t>
            </w:r>
          </w:p>
        </w:tc>
        <w:tc>
          <w:tcPr>
            <w:tcW w:w="3401" w:type="dxa"/>
            <w:tcBorders>
              <w:bottom w:val="single" w:sz="4" w:space="0" w:color="800000"/>
            </w:tcBorders>
            <w:vAlign w:val="top"/>
          </w:tcPr>
          <w:p w14:paraId="1152F268" w14:textId="77777777" w:rsidR="00497DBB" w:rsidRPr="009E1367" w:rsidRDefault="00497DBB" w:rsidP="00E8342B">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Not assessed in Year one</w:t>
            </w:r>
          </w:p>
        </w:tc>
        <w:tc>
          <w:tcPr>
            <w:tcW w:w="3544" w:type="dxa"/>
            <w:tcBorders>
              <w:bottom w:val="single" w:sz="4" w:space="0" w:color="800000"/>
            </w:tcBorders>
          </w:tcPr>
          <w:p w14:paraId="362A30DC" w14:textId="77777777" w:rsidR="00E8342B" w:rsidRPr="009E1367" w:rsidRDefault="00E8342B" w:rsidP="00FC7F6A">
            <w:pPr>
              <w:numPr>
                <w:ilvl w:val="0"/>
                <w:numId w:val="13"/>
              </w:numPr>
              <w:tabs>
                <w:tab w:val="num" w:pos="720"/>
              </w:tabs>
              <w:spacing w:before="120" w:after="120"/>
              <w:ind w:left="357" w:hanging="215"/>
              <w:jc w:val="both"/>
              <w:cnfStyle w:val="000000000000" w:firstRow="0" w:lastRow="0" w:firstColumn="0" w:lastColumn="0" w:oddVBand="0" w:evenVBand="0" w:oddHBand="0" w:evenHBand="0" w:firstRowFirstColumn="0" w:firstRowLastColumn="0" w:lastRowFirstColumn="0" w:lastRowLastColumn="0"/>
            </w:pPr>
            <w:r w:rsidRPr="009E1367">
              <w:t>Measurement against objectives are tracked.</w:t>
            </w:r>
          </w:p>
          <w:p w14:paraId="0BA140CA" w14:textId="77777777" w:rsidR="00E8342B" w:rsidRPr="009E1367" w:rsidRDefault="00E8342B" w:rsidP="00FC7F6A">
            <w:pPr>
              <w:numPr>
                <w:ilvl w:val="0"/>
                <w:numId w:val="13"/>
              </w:numPr>
              <w:tabs>
                <w:tab w:val="num" w:pos="720"/>
              </w:tabs>
              <w:spacing w:before="120" w:after="120"/>
              <w:ind w:left="357" w:hanging="215"/>
              <w:jc w:val="both"/>
              <w:cnfStyle w:val="000000000000" w:firstRow="0" w:lastRow="0" w:firstColumn="0" w:lastColumn="0" w:oddVBand="0" w:evenVBand="0" w:oddHBand="0" w:evenHBand="0" w:firstRowFirstColumn="0" w:firstRowLastColumn="0" w:lastRowFirstColumn="0" w:lastRowLastColumn="0"/>
              <w:rPr>
                <w:color w:val="auto"/>
                <w:sz w:val="24"/>
              </w:rPr>
            </w:pPr>
            <w:r w:rsidRPr="009E1367">
              <w:t>A number of targets are being achieved.</w:t>
            </w:r>
          </w:p>
          <w:p w14:paraId="443F4931" w14:textId="77777777" w:rsidR="00E8342B" w:rsidRPr="009E1367" w:rsidRDefault="00E8342B" w:rsidP="00FC7F6A">
            <w:pPr>
              <w:numPr>
                <w:ilvl w:val="0"/>
                <w:numId w:val="13"/>
              </w:numPr>
              <w:tabs>
                <w:tab w:val="num" w:pos="720"/>
              </w:tabs>
              <w:spacing w:before="120" w:after="120"/>
              <w:ind w:left="357" w:hanging="215"/>
              <w:jc w:val="both"/>
              <w:cnfStyle w:val="000000000000" w:firstRow="0" w:lastRow="0" w:firstColumn="0" w:lastColumn="0" w:oddVBand="0" w:evenVBand="0" w:oddHBand="0" w:evenHBand="0" w:firstRowFirstColumn="0" w:firstRowLastColumn="0" w:lastRowFirstColumn="0" w:lastRowLastColumn="0"/>
              <w:rPr>
                <w:color w:val="auto"/>
                <w:sz w:val="24"/>
              </w:rPr>
            </w:pPr>
            <w:r w:rsidRPr="009E1367">
              <w:t>The NP has created efficiencies in the YAT area through better coordination of initiatives and information sharing.</w:t>
            </w:r>
          </w:p>
          <w:p w14:paraId="4AE7C566" w14:textId="77777777" w:rsidR="00497DBB" w:rsidRPr="009E1367" w:rsidRDefault="00E8342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The Compact appears to have increased participation and reduced benefit recipients at minimal cost.</w:t>
            </w:r>
          </w:p>
        </w:tc>
      </w:tr>
    </w:tbl>
    <w:p w14:paraId="0C25841B" w14:textId="77777777" w:rsidR="00497DBB" w:rsidRPr="00750949" w:rsidRDefault="00497DBB" w:rsidP="0061433F">
      <w:pPr>
        <w:pStyle w:val="BodyText"/>
      </w:pPr>
      <w:r>
        <w:t>At DEEWR’s request e</w:t>
      </w:r>
      <w:r w:rsidRPr="009E1367">
        <w:t>fficiency was added to the evaluation framework at the start of 2012.</w:t>
      </w:r>
      <w:r>
        <w:t xml:space="preserve"> </w:t>
      </w:r>
      <w:r w:rsidRPr="009E1367">
        <w:t xml:space="preserve">The </w:t>
      </w:r>
      <w:r w:rsidR="00326575">
        <w:t>Treasury</w:t>
      </w:r>
      <w:r w:rsidRPr="009E1367">
        <w:t xml:space="preserve"> provides some guidance on the requirements and arrangements for conducting reviews of NPs under the Intergovernmental Agreement on Federal Financial Relations (Intergovernmental Agreement).</w:t>
      </w:r>
      <w:r w:rsidRPr="006966DD">
        <w:rPr>
          <w:vertAlign w:val="superscript"/>
        </w:rPr>
        <w:footnoteReference w:id="41"/>
      </w:r>
      <w:r w:rsidRPr="009E1367">
        <w:t xml:space="preserve"> Two questions are specified relating to efficiency:</w:t>
      </w:r>
      <w:r w:rsidRPr="009E1367">
        <w:rPr>
          <w:b/>
        </w:rPr>
        <w:t xml:space="preserve"> </w:t>
      </w:r>
      <w:r w:rsidRPr="009E1367">
        <w:t>Have outputs been produced commensurate with inputs? Has ‘value for money’ been achieved?</w:t>
      </w:r>
    </w:p>
    <w:p w14:paraId="1649A4C0" w14:textId="77777777" w:rsidR="00497DBB" w:rsidRPr="009E1367" w:rsidRDefault="00497DBB" w:rsidP="0061433F">
      <w:pPr>
        <w:pStyle w:val="BodyText"/>
      </w:pPr>
      <w:r w:rsidRPr="009E1367">
        <w:t>In relation to efficiency, the guidelines state that:</w:t>
      </w:r>
    </w:p>
    <w:p w14:paraId="22422248" w14:textId="77777777" w:rsidR="00326575" w:rsidRPr="00326575" w:rsidRDefault="00326575" w:rsidP="00326575">
      <w:pPr>
        <w:pStyle w:val="BodyText"/>
        <w:spacing w:after="160"/>
        <w:ind w:left="363"/>
        <w:rPr>
          <w:i/>
          <w:iCs/>
        </w:rPr>
      </w:pPr>
      <w:r w:rsidRPr="00326575">
        <w:rPr>
          <w:i/>
          <w:iCs/>
        </w:rPr>
        <w:t xml:space="preserve">Measurements of efficiency are best facilitated when performance measures, such as performance benchmarks and/or milestones are specifically provided for in the agreement, allowing for ‘value for money’ assessments. For example, how many services were delivered or what increase in services was achieved in return for the financial and non-financial contributions outlined in the agreement?    In addressing whether outcomes and/or outputs have been maximised for the investment, a review may consider: </w:t>
      </w:r>
    </w:p>
    <w:p w14:paraId="5E29F766" w14:textId="77777777" w:rsidR="00326575" w:rsidRPr="00326575" w:rsidRDefault="00326575" w:rsidP="00326575">
      <w:pPr>
        <w:pStyle w:val="BodyText"/>
        <w:spacing w:after="160"/>
        <w:ind w:left="363"/>
        <w:rPr>
          <w:i/>
          <w:iCs/>
        </w:rPr>
      </w:pPr>
      <w:r w:rsidRPr="00326575">
        <w:rPr>
          <w:i/>
          <w:iCs/>
        </w:rPr>
        <w:t xml:space="preserve">• the extent to which the parties to the agreement fulfilled their agreed roles and responsibilities; </w:t>
      </w:r>
    </w:p>
    <w:p w14:paraId="0B04FCB1" w14:textId="77777777" w:rsidR="00326575" w:rsidRPr="00326575" w:rsidRDefault="00326575" w:rsidP="00326575">
      <w:pPr>
        <w:pStyle w:val="BodyText"/>
        <w:spacing w:after="160"/>
        <w:ind w:left="363"/>
        <w:rPr>
          <w:i/>
          <w:iCs/>
        </w:rPr>
      </w:pPr>
      <w:r w:rsidRPr="00326575">
        <w:rPr>
          <w:i/>
          <w:iCs/>
        </w:rPr>
        <w:t xml:space="preserve">• evaluation of tracked progress against performance benchmarks;  </w:t>
      </w:r>
    </w:p>
    <w:p w14:paraId="595ED6B6" w14:textId="77777777" w:rsidR="00326575" w:rsidRPr="00326575" w:rsidRDefault="00326575" w:rsidP="00326575">
      <w:pPr>
        <w:pStyle w:val="BodyText"/>
        <w:spacing w:after="160"/>
        <w:ind w:left="363"/>
        <w:rPr>
          <w:i/>
          <w:iCs/>
        </w:rPr>
      </w:pPr>
      <w:r w:rsidRPr="00326575">
        <w:rPr>
          <w:i/>
          <w:iCs/>
        </w:rPr>
        <w:t xml:space="preserve">• the adequacy of the performance indicators and benchmarks for assessing whether objectives have been met;  </w:t>
      </w:r>
    </w:p>
    <w:p w14:paraId="265FD7BD" w14:textId="77777777" w:rsidR="00326575" w:rsidRDefault="00326575" w:rsidP="00326575">
      <w:pPr>
        <w:pStyle w:val="BodyText"/>
        <w:spacing w:after="160"/>
        <w:ind w:left="363"/>
        <w:rPr>
          <w:i/>
          <w:iCs/>
        </w:rPr>
      </w:pPr>
      <w:r w:rsidRPr="00326575">
        <w:rPr>
          <w:i/>
          <w:iCs/>
        </w:rPr>
        <w:t xml:space="preserve">• the extent to which the actual benefits of the agreement are commensurate with the funding provided; and  </w:t>
      </w:r>
    </w:p>
    <w:p w14:paraId="45E43C69" w14:textId="77777777" w:rsidR="00326575" w:rsidRDefault="00326575" w:rsidP="00326575">
      <w:pPr>
        <w:pStyle w:val="BodyText"/>
        <w:spacing w:after="160"/>
        <w:ind w:left="363"/>
        <w:rPr>
          <w:i/>
          <w:iCs/>
        </w:rPr>
      </w:pPr>
      <w:r w:rsidRPr="00326575">
        <w:rPr>
          <w:i/>
          <w:iCs/>
        </w:rPr>
        <w:t>• how outcomes, such as defined beneficial impacts of implementation, have been distinguished from how efficient the delivery of outputs have been, recognising that in some case</w:t>
      </w:r>
      <w:r>
        <w:rPr>
          <w:i/>
          <w:iCs/>
        </w:rPr>
        <w:t>s, changes in outcomes may not be measurable within the life of the agreement.</w:t>
      </w:r>
    </w:p>
    <w:p w14:paraId="5FEE5E4F" w14:textId="77777777" w:rsidR="00497DBB" w:rsidRPr="009E1367" w:rsidRDefault="00497DBB" w:rsidP="0061433F">
      <w:pPr>
        <w:pStyle w:val="BodyText"/>
        <w:spacing w:after="160"/>
      </w:pPr>
      <w:r w:rsidRPr="009E1367">
        <w:t>In terms of these matters, it is possible to assess the following</w:t>
      </w:r>
      <w:r w:rsidR="00E96517">
        <w:t xml:space="preserve"> for the YAT NP</w:t>
      </w:r>
      <w:r w:rsidRPr="009E1367">
        <w:t>:</w:t>
      </w:r>
    </w:p>
    <w:p w14:paraId="56A4F88E" w14:textId="77777777" w:rsidR="00497DBB" w:rsidRPr="009E1367" w:rsidRDefault="00497DBB" w:rsidP="0061433F">
      <w:pPr>
        <w:pStyle w:val="ListBullet"/>
      </w:pPr>
      <w:r w:rsidRPr="009E1367">
        <w:t>Measurements against objectives are tracked</w:t>
      </w:r>
    </w:p>
    <w:p w14:paraId="11E04318" w14:textId="77777777" w:rsidR="00497DBB" w:rsidRPr="009E1367" w:rsidRDefault="00497DBB" w:rsidP="0061433F">
      <w:pPr>
        <w:pStyle w:val="ListBullet"/>
      </w:pPr>
      <w:r w:rsidRPr="009E1367">
        <w:t>A number of targets are being achieved</w:t>
      </w:r>
    </w:p>
    <w:p w14:paraId="637AAB96" w14:textId="77777777" w:rsidR="00497DBB" w:rsidRPr="009E1367" w:rsidRDefault="00497DBB" w:rsidP="0061433F">
      <w:pPr>
        <w:pStyle w:val="ListBullet"/>
      </w:pPr>
      <w:r w:rsidRPr="009E1367">
        <w:t>The NP has created efficiencies in the YAT area through better coordination of initiatives and information sharing</w:t>
      </w:r>
    </w:p>
    <w:p w14:paraId="74157859" w14:textId="77777777" w:rsidR="00497DBB" w:rsidRPr="009E1367" w:rsidRDefault="00497DBB" w:rsidP="0061433F">
      <w:pPr>
        <w:pStyle w:val="ListBullet"/>
      </w:pPr>
      <w:r w:rsidRPr="009E1367">
        <w:t>The Compact seems to have increased participation and reduced benefit recipients at minimal cost.</w:t>
      </w:r>
    </w:p>
    <w:p w14:paraId="76B6ECE2" w14:textId="77777777" w:rsidR="00497DBB" w:rsidRPr="009E1367" w:rsidRDefault="00497DBB" w:rsidP="0061433F">
      <w:pPr>
        <w:pStyle w:val="BodyText"/>
        <w:spacing w:after="160"/>
      </w:pPr>
      <w:r w:rsidRPr="009E1367">
        <w:t>There are also indications that the NP has created efficiencies in the youth attainment and transition area:</w:t>
      </w:r>
    </w:p>
    <w:p w14:paraId="62AA925C" w14:textId="77777777" w:rsidR="00497DBB" w:rsidRPr="009E1367" w:rsidRDefault="00497DBB" w:rsidP="0061433F">
      <w:pPr>
        <w:pStyle w:val="ListBullet"/>
      </w:pPr>
      <w:r w:rsidRPr="009E1367">
        <w:lastRenderedPageBreak/>
        <w:t>Investment in improving youth attainment and transitions prevents later costs (e.g., income support)</w:t>
      </w:r>
    </w:p>
    <w:p w14:paraId="44BDC1CB" w14:textId="77777777" w:rsidR="00497DBB" w:rsidRPr="009E1367" w:rsidRDefault="00497DBB" w:rsidP="0061433F">
      <w:pPr>
        <w:pStyle w:val="ListBullet"/>
      </w:pPr>
      <w:r w:rsidRPr="009E1367">
        <w:t>Collaboration through the NP mechanism has reduced duplication of Australian Government and State/Territory-delivered services (e.g., YC and ICANs in South Australia).</w:t>
      </w:r>
    </w:p>
    <w:p w14:paraId="3EC05194" w14:textId="77777777" w:rsidR="00497DBB" w:rsidRPr="009E1367" w:rsidRDefault="00497DBB" w:rsidP="0061433F">
      <w:pPr>
        <w:pStyle w:val="BodyText"/>
      </w:pPr>
      <w:r w:rsidRPr="009E1367">
        <w:t>However, the issue of whether value for money has been achieved is more problematic.</w:t>
      </w:r>
    </w:p>
    <w:p w14:paraId="73066385" w14:textId="77777777" w:rsidR="00497DBB" w:rsidRPr="009E1367" w:rsidRDefault="00497DBB" w:rsidP="0061433F">
      <w:pPr>
        <w:pStyle w:val="BodyText"/>
      </w:pPr>
      <w:r w:rsidRPr="009E1367">
        <w:t>The NP was established without a rigorous policy development process or an analytical basis for allocating funds to get the most efficient outcome. It is therefore unlikely that the allocation of funds is optimal, although measuring the divergence from optimality is not possible.</w:t>
      </w:r>
    </w:p>
    <w:p w14:paraId="5724CD77" w14:textId="77777777" w:rsidR="00497DBB" w:rsidRPr="009E1367" w:rsidRDefault="00497DBB" w:rsidP="0061433F">
      <w:pPr>
        <w:pStyle w:val="BodyText"/>
      </w:pPr>
      <w:r w:rsidRPr="009E1367">
        <w:t>The diverse nature of the program does not readily facilitate a ‘value for money’ analysis. While it is possible to comment on roles and responsibilities, the NP did not include benchmarks and milestones or collect the information necessary for a ‘value for money’ assessment. In addition, there is no baseline data to determine if more services are being delivered in return for investment under the NP compared with earlier programs.</w:t>
      </w:r>
    </w:p>
    <w:p w14:paraId="39EB3AA7" w14:textId="77777777" w:rsidR="00497DBB" w:rsidRPr="009E1367" w:rsidRDefault="00497DBB" w:rsidP="0061433F">
      <w:pPr>
        <w:pStyle w:val="BodyText"/>
        <w:spacing w:after="160"/>
      </w:pPr>
      <w:r w:rsidRPr="009E1367">
        <w:t>Also, the features of the NP elements are such that the links between activity and measurable participation, attainment and transition outcomes are generally indirect, often with time lags:</w:t>
      </w:r>
    </w:p>
    <w:p w14:paraId="1035EC24" w14:textId="77777777" w:rsidR="00497DBB" w:rsidRPr="009E1367" w:rsidRDefault="00497DBB" w:rsidP="0061433F">
      <w:pPr>
        <w:pStyle w:val="ListBullet"/>
      </w:pPr>
      <w:r w:rsidRPr="009E1367">
        <w:t>MEAST funding has been used by government and non-government education sectors to maintain structured work placement programs, bolster career development resources, and provide mentoring support to young people, all of which impacts indirectly on measurable outcomes</w:t>
      </w:r>
    </w:p>
    <w:p w14:paraId="7FB0E1E3" w14:textId="77777777" w:rsidR="00497DBB" w:rsidRPr="009E1367" w:rsidRDefault="00497DBB" w:rsidP="0061433F">
      <w:pPr>
        <w:pStyle w:val="ListBullet"/>
      </w:pPr>
      <w:r w:rsidRPr="009E1367">
        <w:t>YC is a step away from YAT outcomes as success is measured by engagement outcomes, but the translation of this to attainment and transition outcomes is not guaranteed</w:t>
      </w:r>
    </w:p>
    <w:p w14:paraId="3FD6C63D" w14:textId="77777777" w:rsidR="00497DBB" w:rsidRPr="009E1367" w:rsidRDefault="00497DBB" w:rsidP="0061433F">
      <w:pPr>
        <w:pStyle w:val="ListBullet"/>
      </w:pPr>
      <w:r w:rsidRPr="009E1367">
        <w:t>PB activity is likely to have a longer-term pay-off that is not readily measurable in short-term YAT outcomes</w:t>
      </w:r>
    </w:p>
    <w:p w14:paraId="2D7FE6E8" w14:textId="77777777" w:rsidR="00497DBB" w:rsidRPr="009E1367" w:rsidRDefault="00497DBB" w:rsidP="0061433F">
      <w:pPr>
        <w:pStyle w:val="ListBullet"/>
      </w:pPr>
      <w:r w:rsidRPr="009E1367">
        <w:t>The Compact is probably the most efficient element, as its cost was minimal and it has had specific evident participation outcomes. But, as with YC, the impact on attainment and transition outcomes is not guaranteed.</w:t>
      </w:r>
    </w:p>
    <w:p w14:paraId="1ECA1678" w14:textId="77777777" w:rsidR="00497DBB" w:rsidRPr="009E1367" w:rsidRDefault="00497DBB" w:rsidP="0061433F">
      <w:pPr>
        <w:pStyle w:val="BodyText"/>
      </w:pPr>
      <w:r w:rsidRPr="009E1367">
        <w:t>Finally, it should be noted that stakeholder feedback indicates that diverging views exist regarding the question of whether the allocation of funding to specific programs is optimal:</w:t>
      </w:r>
    </w:p>
    <w:p w14:paraId="49CCB84F" w14:textId="77777777" w:rsidR="00497DBB" w:rsidRPr="009E1367" w:rsidRDefault="00497DBB" w:rsidP="0061433F">
      <w:pPr>
        <w:pStyle w:val="ListBullet"/>
      </w:pPr>
      <w:r w:rsidRPr="009E1367">
        <w:t>States and Territories argue that the MEAST initiatives do not have enough funding</w:t>
      </w:r>
    </w:p>
    <w:p w14:paraId="4DC789D0" w14:textId="77777777" w:rsidR="00497DBB" w:rsidRPr="009E1367" w:rsidRDefault="00497DBB" w:rsidP="0061433F">
      <w:pPr>
        <w:pStyle w:val="ListBullet"/>
      </w:pPr>
      <w:r w:rsidRPr="009E1367">
        <w:t>The near-universal view is that YC is having an impact, but as it is only dealing with about 25 per cent of the target group</w:t>
      </w:r>
      <w:r w:rsidRPr="009E1367">
        <w:rPr>
          <w:rStyle w:val="FootnoteReference"/>
        </w:rPr>
        <w:footnoteReference w:id="42"/>
      </w:r>
      <w:r w:rsidRPr="009E1367">
        <w:t>, it could be claimed that it is underfunded</w:t>
      </w:r>
    </w:p>
    <w:p w14:paraId="7AFEC59A" w14:textId="77777777" w:rsidR="00497DBB" w:rsidRPr="009E1367" w:rsidRDefault="00497DBB" w:rsidP="0061433F">
      <w:pPr>
        <w:pStyle w:val="ListBullet"/>
      </w:pPr>
      <w:r w:rsidRPr="009E1367">
        <w:t>Some State/Territory stakeholders question the relative level of funding for the PB program.</w:t>
      </w:r>
    </w:p>
    <w:p w14:paraId="1AEFAB5F" w14:textId="77777777" w:rsidR="00497DBB" w:rsidRPr="009E1367" w:rsidRDefault="00497DBB" w:rsidP="0061433F">
      <w:pPr>
        <w:pStyle w:val="Heading2"/>
      </w:pPr>
      <w:bookmarkStart w:id="76" w:name="_Toc199926703"/>
      <w:bookmarkStart w:id="77" w:name="_Toc210269999"/>
      <w:bookmarkStart w:id="78" w:name="_Toc219347247"/>
      <w:r w:rsidRPr="009E1367">
        <w:t>Governance and implementation</w:t>
      </w:r>
      <w:bookmarkEnd w:id="76"/>
      <w:bookmarkEnd w:id="77"/>
      <w:bookmarkEnd w:id="78"/>
    </w:p>
    <w:tbl>
      <w:tblPr>
        <w:tblStyle w:val="DandoloTableLeft"/>
        <w:tblW w:w="9639" w:type="dxa"/>
        <w:tblLook w:val="04A0" w:firstRow="1" w:lastRow="0" w:firstColumn="1" w:lastColumn="0" w:noHBand="0" w:noVBand="1"/>
        <w:tblCaption w:val="Summary assessment of Is it well governed and implemented?"/>
        <w:tblDescription w:val="Summary assessment of Is it well governed and implemented?"/>
      </w:tblPr>
      <w:tblGrid>
        <w:gridCol w:w="2694"/>
        <w:gridCol w:w="3401"/>
        <w:gridCol w:w="3544"/>
      </w:tblGrid>
      <w:tr w:rsidR="00497DBB" w:rsidRPr="009E1367" w14:paraId="7DF0A07E" w14:textId="77777777" w:rsidTr="00F9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78E09E4" w14:textId="77777777" w:rsidR="00497DBB" w:rsidRPr="009E1367" w:rsidRDefault="00497DBB" w:rsidP="0061433F">
            <w:pPr>
              <w:spacing w:before="120" w:after="120"/>
              <w:jc w:val="both"/>
              <w:rPr>
                <w:b/>
                <w:color w:val="595959" w:themeColor="text1" w:themeTint="A6"/>
              </w:rPr>
            </w:pPr>
            <w:r w:rsidRPr="009E1367">
              <w:rPr>
                <w:b/>
              </w:rPr>
              <w:t>Evaluation question</w:t>
            </w:r>
          </w:p>
        </w:tc>
        <w:tc>
          <w:tcPr>
            <w:tcW w:w="3401" w:type="dxa"/>
            <w:vAlign w:val="top"/>
          </w:tcPr>
          <w:p w14:paraId="1F1E5A61" w14:textId="77777777" w:rsidR="00497DBB" w:rsidRPr="009E1367" w:rsidRDefault="00497DBB" w:rsidP="0061433F">
            <w:pPr>
              <w:spacing w:before="120" w:after="120"/>
              <w:jc w:val="both"/>
              <w:cnfStyle w:val="100000000000" w:firstRow="1" w:lastRow="0" w:firstColumn="0" w:lastColumn="0" w:oddVBand="0" w:evenVBand="0" w:oddHBand="0" w:evenHBand="0" w:firstRowFirstColumn="0" w:firstRowLastColumn="0" w:lastRowFirstColumn="0" w:lastRowLastColumn="0"/>
              <w:rPr>
                <w:b/>
              </w:rPr>
            </w:pPr>
            <w:r w:rsidRPr="009E1367">
              <w:rPr>
                <w:b/>
              </w:rPr>
              <w:t>Assessment in year one</w:t>
            </w:r>
          </w:p>
        </w:tc>
        <w:tc>
          <w:tcPr>
            <w:tcW w:w="3544" w:type="dxa"/>
          </w:tcPr>
          <w:p w14:paraId="6A7DFA1A" w14:textId="77777777" w:rsidR="00497DBB" w:rsidRPr="009E1367" w:rsidRDefault="00497DBB" w:rsidP="0061433F">
            <w:pPr>
              <w:spacing w:before="120" w:after="120"/>
              <w:jc w:val="both"/>
              <w:cnfStyle w:val="100000000000" w:firstRow="1" w:lastRow="0" w:firstColumn="0" w:lastColumn="0" w:oddVBand="0" w:evenVBand="0" w:oddHBand="0" w:evenHBand="0" w:firstRowFirstColumn="0" w:firstRowLastColumn="0" w:lastRowFirstColumn="0" w:lastRowLastColumn="0"/>
              <w:rPr>
                <w:b/>
              </w:rPr>
            </w:pPr>
            <w:r w:rsidRPr="009E1367">
              <w:rPr>
                <w:b/>
              </w:rPr>
              <w:t>Changes in year two</w:t>
            </w:r>
          </w:p>
        </w:tc>
      </w:tr>
      <w:tr w:rsidR="00497DBB" w:rsidRPr="009E1367" w14:paraId="17467C13" w14:textId="77777777" w:rsidTr="00F935CF">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CCCCCC"/>
            <w:vAlign w:val="top"/>
          </w:tcPr>
          <w:p w14:paraId="1349F4F1" w14:textId="77777777" w:rsidR="00497DBB" w:rsidRPr="009E1367" w:rsidRDefault="00497DBB" w:rsidP="0061433F">
            <w:pPr>
              <w:spacing w:before="120" w:after="120"/>
              <w:jc w:val="both"/>
              <w:rPr>
                <w:b w:val="0"/>
                <w:color w:val="auto"/>
                <w:sz w:val="24"/>
              </w:rPr>
            </w:pPr>
            <w:r w:rsidRPr="009E1367">
              <w:t>Is it well governed and implemented?</w:t>
            </w:r>
          </w:p>
        </w:tc>
      </w:tr>
      <w:tr w:rsidR="00497DBB" w:rsidRPr="009E1367" w14:paraId="0ED601B2"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06129310" w14:textId="77777777" w:rsidR="00497DBB" w:rsidRPr="009E1367" w:rsidRDefault="00497DBB" w:rsidP="00E8342B">
            <w:pPr>
              <w:spacing w:before="120" w:after="120"/>
              <w:rPr>
                <w:b w:val="0"/>
                <w:color w:val="595959" w:themeColor="text1" w:themeTint="A6"/>
                <w:sz w:val="24"/>
              </w:rPr>
            </w:pPr>
            <w:r w:rsidRPr="009E1367">
              <w:rPr>
                <w:rFonts w:asciiTheme="minorHAnsi" w:hAnsiTheme="minorHAnsi" w:cs="Arial"/>
                <w:b w:val="0"/>
                <w:bCs/>
                <w:color w:val="595959" w:themeColor="text1" w:themeTint="A6"/>
              </w:rPr>
              <w:t>How well have stakeholders collaborated on the design and delivery of the NP?</w:t>
            </w:r>
          </w:p>
        </w:tc>
        <w:tc>
          <w:tcPr>
            <w:tcW w:w="3401" w:type="dxa"/>
            <w:vAlign w:val="top"/>
          </w:tcPr>
          <w:p w14:paraId="11A07C18" w14:textId="77777777" w:rsidR="00497DBB" w:rsidRPr="009E1367" w:rsidRDefault="00497DBB" w:rsidP="00E8342B">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Collaboration has generally been strong during the NP</w:t>
            </w:r>
          </w:p>
        </w:tc>
        <w:tc>
          <w:tcPr>
            <w:tcW w:w="3544" w:type="dxa"/>
          </w:tcPr>
          <w:p w14:paraId="54C56FCC"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 change – the Australian Government and States and Territories continue to work in partnership to deliver the NP.</w:t>
            </w:r>
          </w:p>
          <w:p w14:paraId="355EBF19"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 xml:space="preserve">NP program service providers collaborate through national and State/Territory networks </w:t>
            </w:r>
            <w:r w:rsidRPr="009E1367">
              <w:lastRenderedPageBreak/>
              <w:t>to make program improvements and get programs to work together better.</w:t>
            </w:r>
          </w:p>
        </w:tc>
      </w:tr>
      <w:tr w:rsidR="00497DBB" w:rsidRPr="009E1367" w14:paraId="2BA19E49"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430BB473" w14:textId="77777777" w:rsidR="00497DBB" w:rsidRPr="009E1367" w:rsidRDefault="00497DBB" w:rsidP="00E8342B">
            <w:pPr>
              <w:spacing w:before="120" w:after="120"/>
              <w:rPr>
                <w:b w:val="0"/>
                <w:color w:val="595959" w:themeColor="text1" w:themeTint="A6"/>
                <w:sz w:val="24"/>
              </w:rPr>
            </w:pPr>
            <w:r w:rsidRPr="009E1367">
              <w:rPr>
                <w:rFonts w:asciiTheme="minorHAnsi" w:hAnsiTheme="minorHAnsi" w:cs="Arial"/>
                <w:b w:val="0"/>
                <w:bCs/>
                <w:color w:val="595959" w:themeColor="text1" w:themeTint="A6"/>
              </w:rPr>
              <w:lastRenderedPageBreak/>
              <w:t>Is governance of the NP working effectively?</w:t>
            </w:r>
          </w:p>
        </w:tc>
        <w:tc>
          <w:tcPr>
            <w:tcW w:w="3401" w:type="dxa"/>
            <w:vAlign w:val="top"/>
          </w:tcPr>
          <w:p w14:paraId="33166EC1" w14:textId="77777777" w:rsidR="00497DBB" w:rsidRPr="009E1367" w:rsidRDefault="00497DBB" w:rsidP="00E8342B">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Appropriate governance arrangements are in place at national, jurisdictional and program levels – although it is difficult for some stakeholders to participate in these</w:t>
            </w:r>
          </w:p>
          <w:p w14:paraId="7EA3A6D2" w14:textId="77777777" w:rsidR="00497DBB" w:rsidRPr="009E1367" w:rsidRDefault="00497DBB" w:rsidP="00E8342B">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Positive relationships can generally be seen between stakeholders and the Commonwealth</w:t>
            </w:r>
          </w:p>
        </w:tc>
        <w:tc>
          <w:tcPr>
            <w:tcW w:w="3544" w:type="dxa"/>
            <w:vAlign w:val="top"/>
          </w:tcPr>
          <w:p w14:paraId="6743B5C8"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 change – good cooperation exists between the Australian Government and States and Territories.</w:t>
            </w:r>
          </w:p>
        </w:tc>
      </w:tr>
      <w:tr w:rsidR="00497DBB" w:rsidRPr="009E1367" w14:paraId="1769C936"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72422E2F" w14:textId="77777777" w:rsidR="00497DBB" w:rsidRPr="009E1367" w:rsidRDefault="00497DBB" w:rsidP="00E8342B">
            <w:pPr>
              <w:spacing w:before="120" w:after="120"/>
              <w:ind w:left="0"/>
              <w:rPr>
                <w:b w:val="0"/>
                <w:color w:val="595959" w:themeColor="text1" w:themeTint="A6"/>
                <w:sz w:val="24"/>
              </w:rPr>
            </w:pPr>
            <w:r w:rsidRPr="009E1367">
              <w:rPr>
                <w:rFonts w:asciiTheme="minorHAnsi" w:hAnsiTheme="minorHAnsi" w:cs="Arial"/>
                <w:bCs/>
                <w:color w:val="595959" w:themeColor="text1" w:themeTint="A6"/>
              </w:rPr>
              <w:t>How well is performance reporting working?</w:t>
            </w:r>
          </w:p>
        </w:tc>
        <w:tc>
          <w:tcPr>
            <w:tcW w:w="3401" w:type="dxa"/>
            <w:vAlign w:val="top"/>
          </w:tcPr>
          <w:p w14:paraId="6FF2AED7" w14:textId="77777777" w:rsidR="00497DBB" w:rsidRPr="009E1367" w:rsidRDefault="00497DBB" w:rsidP="00E8342B">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Key NP measures and data sources (that underpin reward payments) are flawed</w:t>
            </w:r>
          </w:p>
          <w:p w14:paraId="4C2A725A" w14:textId="77777777" w:rsidR="00497DBB" w:rsidRPr="009E1367" w:rsidRDefault="00497DBB" w:rsidP="00E8342B">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State and Territory performance reporting is in place, but could be improved to address needs of the non-government sector and present impacts/lessons learned from jurisdictional activities</w:t>
            </w:r>
          </w:p>
          <w:p w14:paraId="1371D777" w14:textId="77777777" w:rsidR="00497DBB" w:rsidRPr="009E1367" w:rsidRDefault="00497DBB" w:rsidP="00E8342B">
            <w:pPr>
              <w:spacing w:before="120" w:after="120"/>
              <w:cnfStyle w:val="000000000000" w:firstRow="0" w:lastRow="0" w:firstColumn="0" w:lastColumn="0" w:oddVBand="0" w:evenVBand="0" w:oddHBand="0" w:evenHBand="0" w:firstRowFirstColumn="0" w:firstRowLastColumn="0" w:lastRowFirstColumn="0" w:lastRowLastColumn="0"/>
              <w:rPr>
                <w:color w:val="auto"/>
                <w:sz w:val="20"/>
              </w:rPr>
            </w:pPr>
            <w:r w:rsidRPr="009E1367">
              <w:t>Program administration and quality of reporting was challenging at first but is improving</w:t>
            </w:r>
          </w:p>
        </w:tc>
        <w:tc>
          <w:tcPr>
            <w:tcW w:w="3544" w:type="dxa"/>
          </w:tcPr>
          <w:p w14:paraId="1163B1DF" w14:textId="77777777" w:rsidR="00497DBB" w:rsidRPr="00E9651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pPr>
            <w:r w:rsidRPr="00E96517">
              <w:t>Targets have focussed attention on the need for quality data.</w:t>
            </w:r>
          </w:p>
          <w:p w14:paraId="38AB6FFC" w14:textId="77777777" w:rsidR="00497DBB" w:rsidRPr="00E9651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pPr>
            <w:r w:rsidRPr="00E96517">
              <w:t>Agreement has been reached on the measures underpinning reward payments.</w:t>
            </w:r>
          </w:p>
          <w:p w14:paraId="23F3E453" w14:textId="77777777" w:rsidR="00497DBB" w:rsidRPr="00E9651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pPr>
            <w:r w:rsidRPr="00E96517">
              <w:t>Annual State and Territory performance reporting has begun to show the outcomes of activities.</w:t>
            </w:r>
          </w:p>
          <w:p w14:paraId="5E8B0C75"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0"/>
              </w:rPr>
            </w:pPr>
            <w:r w:rsidRPr="00E96517">
              <w:t>Some program reporting gives limited insight into the impact of programs on youth attainment and transition outcomes.</w:t>
            </w:r>
          </w:p>
        </w:tc>
      </w:tr>
      <w:tr w:rsidR="00497DBB" w:rsidRPr="009E1367" w14:paraId="4158191F" w14:textId="77777777" w:rsidTr="00F935CF">
        <w:tc>
          <w:tcPr>
            <w:cnfStyle w:val="001000000000" w:firstRow="0" w:lastRow="0" w:firstColumn="1" w:lastColumn="0" w:oddVBand="0" w:evenVBand="0" w:oddHBand="0" w:evenHBand="0" w:firstRowFirstColumn="0" w:firstRowLastColumn="0" w:lastRowFirstColumn="0" w:lastRowLastColumn="0"/>
            <w:tcW w:w="2694" w:type="dxa"/>
            <w:vAlign w:val="top"/>
          </w:tcPr>
          <w:p w14:paraId="5058D4E3" w14:textId="77777777" w:rsidR="00497DBB" w:rsidRPr="009E1367" w:rsidRDefault="00497DBB" w:rsidP="00E8342B">
            <w:pPr>
              <w:spacing w:before="120" w:after="120"/>
              <w:rPr>
                <w:rFonts w:asciiTheme="minorHAnsi" w:hAnsiTheme="minorHAnsi" w:cs="Arial"/>
                <w:b w:val="0"/>
                <w:bCs/>
                <w:color w:val="595959" w:themeColor="text1" w:themeTint="A6"/>
                <w:sz w:val="24"/>
              </w:rPr>
            </w:pPr>
            <w:r w:rsidRPr="009E1367">
              <w:rPr>
                <w:rFonts w:asciiTheme="minorHAnsi" w:hAnsiTheme="minorHAnsi" w:cs="Arial"/>
                <w:b w:val="0"/>
                <w:bCs/>
                <w:color w:val="595959" w:themeColor="text1" w:themeTint="A6"/>
              </w:rPr>
              <w:t>How effective is communication?</w:t>
            </w:r>
          </w:p>
        </w:tc>
        <w:tc>
          <w:tcPr>
            <w:tcW w:w="3401" w:type="dxa"/>
            <w:vAlign w:val="top"/>
          </w:tcPr>
          <w:p w14:paraId="7AEBF21C" w14:textId="77777777" w:rsidR="00497DBB" w:rsidRPr="009E1367" w:rsidRDefault="00497DBB" w:rsidP="00E8342B">
            <w:pPr>
              <w:spacing w:before="120" w:after="120"/>
              <w:cnfStyle w:val="000000000000" w:firstRow="0" w:lastRow="0" w:firstColumn="0" w:lastColumn="0" w:oddVBand="0" w:evenVBand="0" w:oddHBand="0" w:evenHBand="0" w:firstRowFirstColumn="0" w:firstRowLastColumn="0" w:lastRowFirstColumn="0" w:lastRowLastColumn="0"/>
              <w:rPr>
                <w:color w:val="auto"/>
                <w:sz w:val="24"/>
              </w:rPr>
            </w:pPr>
            <w:r w:rsidRPr="009E1367">
              <w:t>Stakeholders generally understand the NP objectives and value – Partnership Brokers and National Career Development are exceptions.</w:t>
            </w:r>
          </w:p>
        </w:tc>
        <w:tc>
          <w:tcPr>
            <w:tcW w:w="3544" w:type="dxa"/>
          </w:tcPr>
          <w:p w14:paraId="48B420B8" w14:textId="77777777" w:rsidR="00497DBB" w:rsidRPr="009E1367" w:rsidRDefault="00497DBB" w:rsidP="00FC7F6A">
            <w:pPr>
              <w:numPr>
                <w:ilvl w:val="0"/>
                <w:numId w:val="13"/>
              </w:numPr>
              <w:tabs>
                <w:tab w:val="num" w:pos="720"/>
              </w:tabs>
              <w:spacing w:before="120" w:after="120"/>
              <w:ind w:left="357" w:hanging="215"/>
              <w:cnfStyle w:val="000000000000" w:firstRow="0" w:lastRow="0" w:firstColumn="0" w:lastColumn="0" w:oddVBand="0" w:evenVBand="0" w:oddHBand="0" w:evenHBand="0" w:firstRowFirstColumn="0" w:firstRowLastColumn="0" w:lastRowFirstColumn="0" w:lastRowLastColumn="0"/>
              <w:rPr>
                <w:color w:val="auto"/>
                <w:sz w:val="24"/>
              </w:rPr>
            </w:pPr>
            <w:r w:rsidRPr="009E1367">
              <w:t>Not formally assessed in Year two – stakeholder views were consistent with Year one</w:t>
            </w:r>
          </w:p>
        </w:tc>
      </w:tr>
    </w:tbl>
    <w:p w14:paraId="6BC891C7" w14:textId="77777777" w:rsidR="00497DBB" w:rsidRDefault="00497DBB" w:rsidP="0061433F">
      <w:pPr>
        <w:pStyle w:val="Heading3"/>
        <w:jc w:val="both"/>
      </w:pPr>
      <w:r w:rsidRPr="009E1367">
        <w:t>Collaboration</w:t>
      </w:r>
    </w:p>
    <w:p w14:paraId="088D5F21" w14:textId="77777777" w:rsidR="00497DBB" w:rsidRPr="009E1367" w:rsidRDefault="00497DBB" w:rsidP="0061433F">
      <w:pPr>
        <w:pStyle w:val="BodyText"/>
      </w:pPr>
      <w:r w:rsidRPr="009E1367">
        <w:t>The NP established a precedent for collaboration by the Australian and State and Territory governments to design and deliver youth attainment and transition-related programs. The NP provided a national focus for existing and new initiatives to improve outcomes. A key feature was the establishment of outcome targets and the measurement of performance against these targets.</w:t>
      </w:r>
    </w:p>
    <w:p w14:paraId="328734C1" w14:textId="77777777" w:rsidR="00497DBB" w:rsidRPr="009E1367" w:rsidRDefault="00497DBB" w:rsidP="0061433F">
      <w:pPr>
        <w:pStyle w:val="BodyText"/>
      </w:pPr>
      <w:r w:rsidRPr="009E1367">
        <w:t>Jurisdictional stakeholders acknowledge the benefits of having a set of agreed priorities, and the overall interaction between the Australian Government and State/Territories appears to be satisfactory.</w:t>
      </w:r>
    </w:p>
    <w:p w14:paraId="07FF99B2" w14:textId="77777777" w:rsidR="00497DBB" w:rsidRPr="009E1367" w:rsidRDefault="00497DBB" w:rsidP="0061433F">
      <w:pPr>
        <w:pStyle w:val="BodyText"/>
      </w:pPr>
      <w:r w:rsidRPr="009E1367">
        <w:t>Since the Year 1 evaluation, all parties have continued to collaborate through the MWG and bilateral channels to support program delivery and implementation. No diminution of partnership effort is evident.</w:t>
      </w:r>
    </w:p>
    <w:p w14:paraId="73B80360" w14:textId="77777777" w:rsidR="00497DBB" w:rsidRPr="009E1367" w:rsidRDefault="00497DBB" w:rsidP="0061433F">
      <w:pPr>
        <w:pStyle w:val="BodyText"/>
      </w:pPr>
      <w:r w:rsidRPr="009E1367">
        <w:t>At a program level, collaboration across provider networks continues to be effective. While opportunities to collaborate more will always be available, examples are evident of where NP program service providers are actively collaborating to get program elements working together better (e.g., YC providers, PB providers and the Multicultural Youth Advocacy Network partnering to better meet the needs of humanitarian refugee youths).</w:t>
      </w:r>
    </w:p>
    <w:p w14:paraId="75665F2D" w14:textId="77777777" w:rsidR="00497DBB" w:rsidRPr="009E1367" w:rsidRDefault="00497DBB" w:rsidP="0061433F">
      <w:pPr>
        <w:pStyle w:val="BodyText"/>
      </w:pPr>
      <w:r w:rsidRPr="009E1367">
        <w:t>The NP set out the expectation that funding for the PB and YC programs would be transferred from the Australian Government to the States and Territories following the demonstrated achievement of the outcomes negotiated as part of implementation plans. This reflected the ‘reform areas’ targeted by each State and Territory. The Year 1 report concluded that it was unlikely that the States and Territories would support a transfer of responsibilities for those programs within the term of the NP. Nothing has changed in this regard.</w:t>
      </w:r>
    </w:p>
    <w:p w14:paraId="735E315D" w14:textId="77777777" w:rsidR="00497DBB" w:rsidRDefault="00497DBB" w:rsidP="0061433F">
      <w:pPr>
        <w:pStyle w:val="Heading3"/>
        <w:jc w:val="both"/>
      </w:pPr>
      <w:r w:rsidRPr="009E1367">
        <w:t>Governance</w:t>
      </w:r>
    </w:p>
    <w:p w14:paraId="7F98ABE6" w14:textId="77777777" w:rsidR="00497DBB" w:rsidRPr="009E1367" w:rsidRDefault="00497DBB" w:rsidP="0061433F">
      <w:pPr>
        <w:pStyle w:val="BodyText"/>
      </w:pPr>
      <w:r w:rsidRPr="009E1367">
        <w:t xml:space="preserve">There are no apparent changes to the effectiveness of governance arrangements. Appropriate governance arrangements are in place at the national, jurisdictional and program levels. The only issue that continues to be raised by some stakeholders (e.g., </w:t>
      </w:r>
      <w:r w:rsidRPr="009E1367">
        <w:lastRenderedPageBreak/>
        <w:t>smaller jurisdictions and some non-government schools sector representatives) is that the effort involved in participating in governance arrangements is out of proportion to the level of funding provided through the NP.</w:t>
      </w:r>
    </w:p>
    <w:p w14:paraId="1F07A525" w14:textId="77777777" w:rsidR="00497DBB" w:rsidRPr="009E1367" w:rsidRDefault="00497DBB" w:rsidP="0061433F">
      <w:pPr>
        <w:pStyle w:val="BodyText"/>
      </w:pPr>
      <w:r w:rsidRPr="009E1367">
        <w:t>Positive relationships can generally be seen between stakeholders and the Australian Government.</w:t>
      </w:r>
    </w:p>
    <w:p w14:paraId="03574966" w14:textId="77777777" w:rsidR="00497DBB" w:rsidRPr="009E1367" w:rsidRDefault="00497DBB" w:rsidP="0061433F">
      <w:pPr>
        <w:pStyle w:val="BodyText"/>
      </w:pPr>
      <w:r w:rsidRPr="009E1367">
        <w:t>Knowledge sharing between program providers seems to have increased since the Year 1 evaluation. The national and State/Territory networks have proved an effective mechanism for sharing knowledge and experience, and also for addressing issues common to service providers. The provider networks have moved from the establishment phase to undertaking projects. The majority of PBs (55 per cent) and YC service providers (67 per cent) agree or strongly agree that the national and State/Territory networks are effective in addressing issues common to service providers. The higher number of neutral and negative responses from PBs indicates that the PB network has more work to do to improve providers’ views of the networks.</w:t>
      </w:r>
    </w:p>
    <w:p w14:paraId="46A77012" w14:textId="77777777" w:rsidR="00497DBB" w:rsidRDefault="00497DBB" w:rsidP="0061433F">
      <w:pPr>
        <w:pStyle w:val="Heading3"/>
        <w:jc w:val="both"/>
      </w:pPr>
      <w:r w:rsidRPr="009E1367">
        <w:t>Performance reporting</w:t>
      </w:r>
      <w:r>
        <w:t xml:space="preserve"> </w:t>
      </w:r>
    </w:p>
    <w:p w14:paraId="20834E37" w14:textId="77777777" w:rsidR="00497DBB" w:rsidRDefault="00497DBB" w:rsidP="0061433F">
      <w:pPr>
        <w:pStyle w:val="BodyText"/>
      </w:pPr>
      <w:r w:rsidRPr="009E1367">
        <w:t>Since the Year 1 evaluation, changes have been made to improve the clarity and usefulness of the information included in the NP annual reports prepared by the States and Territories</w:t>
      </w:r>
      <w:r>
        <w:t xml:space="preserve"> about the MEAST and the Compact elements of the NP</w:t>
      </w:r>
      <w:r w:rsidRPr="009E1367">
        <w:t>. These reports are now beginning to document the outcomes of activities in more detail rather than just describing activities.</w:t>
      </w:r>
    </w:p>
    <w:p w14:paraId="685C4821" w14:textId="77777777" w:rsidR="00497DBB" w:rsidRPr="009E1367" w:rsidRDefault="00497DBB" w:rsidP="0061433F">
      <w:pPr>
        <w:pStyle w:val="BodyText"/>
      </w:pPr>
      <w:r w:rsidRPr="009E1367">
        <w:t>Stakeholder consultations confirm that the NP targets continue to focus attention on the importance of YAT outcomes and on activities to promote improved outcomes. The targets also highlight the need to improve the quality of data, which is an ongoing challenge in any complex set of programs. NP performance reporting is more difficult in a very small jurisdiction, as small movements of numbers can result in significant statistical movements.</w:t>
      </w:r>
    </w:p>
    <w:p w14:paraId="37480403" w14:textId="77777777" w:rsidR="00497DBB" w:rsidRPr="009E1367" w:rsidRDefault="00497DBB" w:rsidP="0061433F">
      <w:pPr>
        <w:pStyle w:val="BodyText"/>
      </w:pPr>
      <w:r w:rsidRPr="009E1367">
        <w:t xml:space="preserve">The Australian Government and States and Territories are yet to reach agreement on the data and methodology to be used to measure performance in relation to the attainment target underpinning the next (and final) reward payments. During the negotiation of the NP, it was agreed that the Australian Bureau of Statistics’ (ABS) </w:t>
      </w:r>
      <w:r w:rsidRPr="001C6EE2">
        <w:rPr>
          <w:i/>
        </w:rPr>
        <w:t>Survey of Education and Work</w:t>
      </w:r>
      <w:r w:rsidRPr="009E1367">
        <w:t xml:space="preserve"> (</w:t>
      </w:r>
      <w:r w:rsidRPr="001C6EE2">
        <w:rPr>
          <w:i/>
        </w:rPr>
        <w:t>SEW</w:t>
      </w:r>
      <w:r w:rsidRPr="009E1367">
        <w:t xml:space="preserve">) would be used for this purpose. Subsequently, advice that the ABS gave to the COAG Reform Council indicated that the </w:t>
      </w:r>
      <w:r w:rsidRPr="001C6EE2">
        <w:rPr>
          <w:i/>
        </w:rPr>
        <w:t>SEW</w:t>
      </w:r>
      <w:r w:rsidRPr="009E1367">
        <w:t xml:space="preserve"> was unsuitable. In July 2012, the MWG agreed to seek additional advice on an alternative method of calculating performance in relation to the attainment target (using State and Territory administrative data). The first phase of this work is expected to commence prior to the end of 2012. States and Territories have expressed frustration at the time taken to resolve issues with the data that underpins target performance reporting. For targets to be meaningful, in future NP arrangements, they will need to be set and measured based on data that is readily available and appropriate to measure.</w:t>
      </w:r>
    </w:p>
    <w:p w14:paraId="60CEC1C0" w14:textId="77777777" w:rsidR="00497DBB" w:rsidRPr="009E1367" w:rsidRDefault="00497DBB" w:rsidP="0061433F">
      <w:pPr>
        <w:pStyle w:val="BodyText"/>
      </w:pPr>
      <w:r w:rsidRPr="009E1367">
        <w:t>Since the Year 1 evaluation, improvements have been made to systems that capture service provider reporting. This has improved the breadth of information available to monitor the impact of the programs. The initiative of undertaking an extensive Partner Survey in the PB program proved very valuable, as discussed in section 3.3.</w:t>
      </w:r>
    </w:p>
    <w:p w14:paraId="76EBDAB5" w14:textId="77777777" w:rsidR="00497DBB" w:rsidRPr="009E1367" w:rsidRDefault="00497DBB" w:rsidP="0061433F">
      <w:pPr>
        <w:pStyle w:val="BodyText"/>
      </w:pPr>
      <w:r w:rsidRPr="009E1367">
        <w:t>One area that some provider stakeholders suggest needs more attention is the development of program reporting to provide greater insights into the impact of programs on youth attainment and transition outcomes. It may be that instead of pursuing this through changed program reporting, it would be more efficient at this stage in the life of the NP to handle it through more extensive reporting and communication of appropriate case studies.</w:t>
      </w:r>
    </w:p>
    <w:p w14:paraId="51324A8A" w14:textId="77777777" w:rsidR="00497DBB" w:rsidRDefault="00497DBB" w:rsidP="0061433F">
      <w:pPr>
        <w:pStyle w:val="Heading3"/>
        <w:jc w:val="both"/>
      </w:pPr>
      <w:r w:rsidRPr="009E1367">
        <w:t>Communications</w:t>
      </w:r>
    </w:p>
    <w:p w14:paraId="1162627B" w14:textId="77777777" w:rsidR="00497DBB" w:rsidRPr="009E1367" w:rsidRDefault="00497DBB" w:rsidP="0061433F">
      <w:pPr>
        <w:pStyle w:val="BodyText"/>
      </w:pPr>
      <w:r w:rsidRPr="009E1367">
        <w:t>This issue wasn’t specifically assessed in this year’s assessment. However, stakeholder consultations indicated views that were generally consistent with Year 1 in regard to overall objectives and value. Overall communication seems to be adequate.</w:t>
      </w:r>
    </w:p>
    <w:p w14:paraId="0668D411" w14:textId="77777777" w:rsidR="00497DBB" w:rsidRPr="009E1367" w:rsidRDefault="00497DBB" w:rsidP="0061433F">
      <w:pPr>
        <w:pStyle w:val="BodyText"/>
      </w:pPr>
      <w:r w:rsidRPr="009E1367">
        <w:lastRenderedPageBreak/>
        <w:t>In response to the findings of the Year 1 evaluation, DEEWR has increased the intensity of communication activities in relation to PB and National Career Development. In the case of PBs, efforts were made to communicate the role and value of PBs to critical stakeholders (government and non-government), whereas National Career Development communication involved a public consultation process concerning the NCDS. Provider surveys confirm that most providers see communication with DEEWR as being satisfactory.</w:t>
      </w:r>
    </w:p>
    <w:p w14:paraId="7E9C394F" w14:textId="77777777" w:rsidR="00497DBB" w:rsidRPr="009E1367" w:rsidRDefault="00497DBB" w:rsidP="0061433F">
      <w:pPr>
        <w:pStyle w:val="Heading2"/>
      </w:pPr>
      <w:bookmarkStart w:id="79" w:name="_Toc210270000"/>
      <w:bookmarkStart w:id="80" w:name="_Toc219347248"/>
      <w:r w:rsidRPr="009E1367">
        <w:t>Refinements to the National Partnership</w:t>
      </w:r>
      <w:bookmarkEnd w:id="79"/>
      <w:bookmarkEnd w:id="80"/>
    </w:p>
    <w:p w14:paraId="4A4F8130" w14:textId="77777777" w:rsidR="00497DBB" w:rsidRPr="009E1367" w:rsidRDefault="00497DBB" w:rsidP="0061433F">
      <w:pPr>
        <w:pStyle w:val="BodyText"/>
        <w:spacing w:after="0"/>
      </w:pPr>
      <w:r w:rsidRPr="009E1367">
        <w:t>Given that almost three-quarters of the NP lifetime has elapsed, there are limits on refinements that can be made to the NP elements. Overall, there are a number of areas that warrant further analysis, and there is also a need for a continued focus on the two main components of the NP – PBs and YC.</w:t>
      </w:r>
    </w:p>
    <w:p w14:paraId="671BE115" w14:textId="77777777" w:rsidR="00497DBB" w:rsidRPr="009E1367" w:rsidRDefault="00497DBB" w:rsidP="0061433F">
      <w:pPr>
        <w:pStyle w:val="BodyText"/>
        <w:spacing w:after="0"/>
      </w:pPr>
      <w:r w:rsidRPr="009E1367">
        <w:t>The achievement of the following would be worthwhile:</w:t>
      </w:r>
    </w:p>
    <w:p w14:paraId="3396C9E2" w14:textId="77777777" w:rsidR="00497DBB" w:rsidRPr="009E1367" w:rsidRDefault="00497DBB" w:rsidP="0061433F">
      <w:pPr>
        <w:pStyle w:val="ListBullet"/>
      </w:pPr>
      <w:r>
        <w:t>A</w:t>
      </w:r>
      <w:r w:rsidRPr="009E1367">
        <w:t xml:space="preserve"> better understanding of who are the disengaged and inactive young people, why their numbers </w:t>
      </w:r>
      <w:r w:rsidR="00D57147">
        <w:t xml:space="preserve">have </w:t>
      </w:r>
      <w:r w:rsidRPr="009E1367">
        <w:t>risen since the introduction of the NP</w:t>
      </w:r>
      <w:r>
        <w:t xml:space="preserve"> (particularly if this is a result of income support changes introduced as part of the Compact), what barriers they face and services that need to be provided to assist young people to overcome these barriers</w:t>
      </w:r>
      <w:r>
        <w:rPr>
          <w:rStyle w:val="FootnoteReference"/>
        </w:rPr>
        <w:footnoteReference w:id="43"/>
      </w:r>
    </w:p>
    <w:p w14:paraId="3ACBA21E" w14:textId="77777777" w:rsidR="00497DBB" w:rsidRPr="009E1367" w:rsidRDefault="00497DBB" w:rsidP="0061433F">
      <w:pPr>
        <w:pStyle w:val="ListBullet"/>
      </w:pPr>
      <w:r>
        <w:t>A</w:t>
      </w:r>
      <w:r w:rsidRPr="009E1367">
        <w:t>n analysis of YC outcomes achieved in different States and Territories, to help determine the impact of different program structures (e.g., age groups, ‘in school’ versus ‘out of school’</w:t>
      </w:r>
      <w:r>
        <w:t xml:space="preserve"> focus</w:t>
      </w:r>
      <w:r w:rsidRPr="009E1367">
        <w:t>)</w:t>
      </w:r>
    </w:p>
    <w:p w14:paraId="31172986" w14:textId="77777777" w:rsidR="00497DBB" w:rsidRPr="00926379" w:rsidRDefault="00497DBB" w:rsidP="0061433F">
      <w:pPr>
        <w:pStyle w:val="ListBullet"/>
      </w:pPr>
      <w:r>
        <w:t>A</w:t>
      </w:r>
      <w:r w:rsidRPr="009E1367">
        <w:t xml:space="preserve"> comparison of the reduction in the total quantum of income support payments with the investment through NP YAT</w:t>
      </w:r>
      <w:r>
        <w:t xml:space="preserve"> to assess its cost effectiveness</w:t>
      </w:r>
    </w:p>
    <w:p w14:paraId="60A0BE3D" w14:textId="77777777" w:rsidR="00497DBB" w:rsidRDefault="00497DBB" w:rsidP="0061433F">
      <w:pPr>
        <w:pStyle w:val="ListBullet"/>
      </w:pPr>
      <w:r>
        <w:t>A</w:t>
      </w:r>
      <w:r w:rsidRPr="009E1367">
        <w:t xml:space="preserve"> better understanding of how Centrelink and JSA interact with potential and current Youth Allowance (and other) recipients, YC, and education and training providers</w:t>
      </w:r>
    </w:p>
    <w:p w14:paraId="11AF0BB8" w14:textId="77777777" w:rsidR="00497DBB" w:rsidRPr="009E1367" w:rsidRDefault="00497DBB" w:rsidP="0061433F">
      <w:pPr>
        <w:pStyle w:val="ListBullet"/>
      </w:pPr>
      <w:r>
        <w:t xml:space="preserve">An analysis of whether the introduction of the Compact has generated </w:t>
      </w:r>
      <w:r w:rsidRPr="00BF21EF">
        <w:t>lower-quality education and training providers</w:t>
      </w:r>
      <w:r>
        <w:t>, and if so, the impact of this change on young people</w:t>
      </w:r>
      <w:r w:rsidR="007B6663">
        <w:t>.</w:t>
      </w:r>
    </w:p>
    <w:p w14:paraId="0361585B" w14:textId="77777777" w:rsidR="00497DBB" w:rsidRPr="009E1367" w:rsidRDefault="00497DBB" w:rsidP="0061433F">
      <w:pPr>
        <w:pStyle w:val="BodyText"/>
        <w:spacing w:after="0"/>
      </w:pPr>
      <w:r w:rsidRPr="009E1367">
        <w:t>The analysis of these areas would be assisted by better links between the parts of DEEWR that impact youth transitions (e.g. the team responsible for the Low SES School Communities NP, of which school–community partnerships are a component, and the employment area that sets income support policy).</w:t>
      </w:r>
    </w:p>
    <w:p w14:paraId="48874B9D" w14:textId="77777777" w:rsidR="00497DBB" w:rsidRPr="009E1367" w:rsidRDefault="00497DBB" w:rsidP="0061433F">
      <w:pPr>
        <w:pStyle w:val="BodyText"/>
        <w:spacing w:after="160"/>
      </w:pPr>
      <w:r w:rsidRPr="009E1367">
        <w:t>The PB program would be further strengthened by a continued focus on:</w:t>
      </w:r>
    </w:p>
    <w:p w14:paraId="096C947D" w14:textId="77777777" w:rsidR="00497DBB" w:rsidRPr="009E1367" w:rsidRDefault="00497DBB" w:rsidP="0061433F">
      <w:pPr>
        <w:pStyle w:val="ListBullet"/>
      </w:pPr>
      <w:r>
        <w:t>T</w:t>
      </w:r>
      <w:r w:rsidRPr="009E1367">
        <w:t>he broad promotion of the PB program:</w:t>
      </w:r>
    </w:p>
    <w:p w14:paraId="258939B5" w14:textId="77777777" w:rsidR="00497DBB" w:rsidRPr="0061433F" w:rsidRDefault="00497DBB" w:rsidP="0061433F">
      <w:pPr>
        <w:pStyle w:val="Listdash"/>
      </w:pPr>
      <w:r w:rsidRPr="0061433F">
        <w:t>to regional education authorities and schools</w:t>
      </w:r>
    </w:p>
    <w:p w14:paraId="1C77945F" w14:textId="77777777" w:rsidR="00497DBB" w:rsidRPr="0061433F" w:rsidRDefault="00497DBB" w:rsidP="0061433F">
      <w:pPr>
        <w:pStyle w:val="Listdash"/>
      </w:pPr>
      <w:r w:rsidRPr="0061433F">
        <w:t>to local government</w:t>
      </w:r>
    </w:p>
    <w:p w14:paraId="3283BC28" w14:textId="77777777" w:rsidR="00497DBB" w:rsidRPr="0061433F" w:rsidRDefault="00497DBB" w:rsidP="0061433F">
      <w:pPr>
        <w:pStyle w:val="Listdash"/>
      </w:pPr>
      <w:r w:rsidRPr="0061433F">
        <w:t>to business</w:t>
      </w:r>
    </w:p>
    <w:p w14:paraId="02D6147D" w14:textId="77777777" w:rsidR="00497DBB" w:rsidRPr="009E1367" w:rsidRDefault="00497DBB" w:rsidP="00FC7F6A">
      <w:pPr>
        <w:pStyle w:val="BodyText"/>
        <w:numPr>
          <w:ilvl w:val="0"/>
          <w:numId w:val="16"/>
        </w:numPr>
        <w:spacing w:after="0"/>
      </w:pPr>
      <w:r>
        <w:t>T</w:t>
      </w:r>
      <w:r w:rsidRPr="009E1367">
        <w:t>he sharing of good practice and partnership exemplars</w:t>
      </w:r>
    </w:p>
    <w:p w14:paraId="69DCBD99" w14:textId="77777777" w:rsidR="00497DBB" w:rsidRPr="009E1367" w:rsidRDefault="00497DBB" w:rsidP="00FC7F6A">
      <w:pPr>
        <w:pStyle w:val="BodyText"/>
        <w:numPr>
          <w:ilvl w:val="0"/>
          <w:numId w:val="16"/>
        </w:numPr>
        <w:spacing w:after="0"/>
      </w:pPr>
      <w:r>
        <w:t>B</w:t>
      </w:r>
      <w:r w:rsidRPr="009E1367">
        <w:t xml:space="preserve">uilding the capacity of </w:t>
      </w:r>
      <w:r w:rsidR="00904502">
        <w:t xml:space="preserve">lower-performing </w:t>
      </w:r>
      <w:r w:rsidRPr="009E1367">
        <w:t>PBs.</w:t>
      </w:r>
    </w:p>
    <w:p w14:paraId="54628DA5" w14:textId="77777777" w:rsidR="00497DBB" w:rsidRPr="009E1367" w:rsidRDefault="00497DBB" w:rsidP="0061433F">
      <w:pPr>
        <w:pStyle w:val="BodyText"/>
        <w:spacing w:after="0"/>
      </w:pPr>
      <w:r w:rsidRPr="009E1367">
        <w:t>The YC program would benefit from an ongoing focus on:</w:t>
      </w:r>
    </w:p>
    <w:p w14:paraId="63E0D578" w14:textId="77777777" w:rsidR="00497DBB" w:rsidRPr="009E1367" w:rsidRDefault="00497DBB" w:rsidP="0061433F">
      <w:pPr>
        <w:pStyle w:val="ListBullet"/>
      </w:pPr>
      <w:r>
        <w:t>M</w:t>
      </w:r>
      <w:r w:rsidRPr="009E1367">
        <w:t>anaging demand for individual support services</w:t>
      </w:r>
    </w:p>
    <w:p w14:paraId="436A5754" w14:textId="77777777" w:rsidR="00497DBB" w:rsidRPr="009E1367" w:rsidRDefault="00497DBB" w:rsidP="0061433F">
      <w:pPr>
        <w:pStyle w:val="ListBullet"/>
      </w:pPr>
      <w:r>
        <w:t>R</w:t>
      </w:r>
      <w:r w:rsidRPr="009E1367">
        <w:t>etaining more young people in the program until they achieve outcomes</w:t>
      </w:r>
    </w:p>
    <w:p w14:paraId="61A4F938" w14:textId="77777777" w:rsidR="00497DBB" w:rsidRPr="009E1367" w:rsidRDefault="00497DBB" w:rsidP="0061433F">
      <w:pPr>
        <w:pStyle w:val="ListBullet"/>
      </w:pPr>
      <w:r>
        <w:lastRenderedPageBreak/>
        <w:t>W</w:t>
      </w:r>
      <w:r w:rsidRPr="009E1367">
        <w:t>orking with schools to improve their capacity and willingness to work with re-engaged young people</w:t>
      </w:r>
      <w:r w:rsidR="00904502">
        <w:t xml:space="preserve"> (for many schools this has resource implications)</w:t>
      </w:r>
    </w:p>
    <w:p w14:paraId="10F9D308" w14:textId="77777777" w:rsidR="00497DBB" w:rsidRPr="009E1367" w:rsidRDefault="00497DBB" w:rsidP="0061433F">
      <w:pPr>
        <w:pStyle w:val="ListBullet"/>
      </w:pPr>
      <w:r>
        <w:t xml:space="preserve"> A</w:t>
      </w:r>
      <w:r w:rsidRPr="009E1367">
        <w:t>djusting the services delivered in response to changes in the local service delivery landscape (e.g.</w:t>
      </w:r>
      <w:r>
        <w:t xml:space="preserve"> </w:t>
      </w:r>
      <w:r w:rsidR="00D97215">
        <w:t>c</w:t>
      </w:r>
      <w:r w:rsidRPr="009E1367">
        <w:t>hanges to similar programs delivered by State and Territory governments)</w:t>
      </w:r>
    </w:p>
    <w:p w14:paraId="5B218CC8" w14:textId="77777777" w:rsidR="00497DBB" w:rsidRPr="009E1367" w:rsidRDefault="00497DBB" w:rsidP="0061433F">
      <w:pPr>
        <w:pStyle w:val="ListBullet"/>
      </w:pPr>
      <w:r>
        <w:t>I</w:t>
      </w:r>
      <w:r w:rsidRPr="009E1367">
        <w:t>dentifying young people who are disengaged from education and training (particularly those who stay at home during the day).</w:t>
      </w:r>
    </w:p>
    <w:p w14:paraId="3122BB4F" w14:textId="77777777" w:rsidR="00497DBB" w:rsidRPr="009E1367" w:rsidRDefault="00497DBB" w:rsidP="0061433F">
      <w:pPr>
        <w:pStyle w:val="ListBullet"/>
        <w:numPr>
          <w:ilvl w:val="0"/>
          <w:numId w:val="0"/>
        </w:numPr>
      </w:pPr>
      <w:r w:rsidRPr="009E1367">
        <w:t>The provision of early communication to YC and PB service providers about arrangements beyond the NP is also desirable.</w:t>
      </w:r>
    </w:p>
    <w:p w14:paraId="1C7899B2" w14:textId="77777777" w:rsidR="00497DBB" w:rsidRPr="009E1367" w:rsidRDefault="00497DBB" w:rsidP="0061433F">
      <w:pPr>
        <w:pStyle w:val="Heading2"/>
      </w:pPr>
      <w:bookmarkStart w:id="81" w:name="_Toc210270001"/>
      <w:bookmarkStart w:id="82" w:name="_Toc219347249"/>
      <w:r w:rsidRPr="009E1367">
        <w:t>Conclusion</w:t>
      </w:r>
      <w:bookmarkEnd w:id="81"/>
      <w:bookmarkEnd w:id="82"/>
    </w:p>
    <w:p w14:paraId="59AD0CE4" w14:textId="77777777" w:rsidR="00497DBB" w:rsidRDefault="00497DBB" w:rsidP="0061433F">
      <w:pPr>
        <w:pStyle w:val="BodyText"/>
        <w:spacing w:after="0"/>
      </w:pPr>
      <w:r w:rsidRPr="009E1367">
        <w:t>The NP has heightened collaboration between the Australian Government, States and Territories, and across school and other sectors, and this should continue to be leveraged. The NP activities are clearly targeted at improving YAT outcomes. The NP – as a portfolio of interventions – provides an indication of the relative effectiveness of different approaches to improving YAT outcomes. With just over 12 months left until the end of the NP, it is time to assess the outstanding challenges and identify how to address them.</w:t>
      </w:r>
    </w:p>
    <w:p w14:paraId="5ED46EC1" w14:textId="77777777" w:rsidR="00F935CF" w:rsidRDefault="00F935CF" w:rsidP="0061433F">
      <w:pPr>
        <w:spacing w:line="380" w:lineRule="atLeast"/>
        <w:jc w:val="both"/>
      </w:pPr>
      <w:r>
        <w:br w:type="page"/>
      </w:r>
    </w:p>
    <w:p w14:paraId="16A9B97C" w14:textId="77777777" w:rsidR="00F935CF" w:rsidRPr="00E47BDC" w:rsidRDefault="00F935CF" w:rsidP="00A3547E">
      <w:pPr>
        <w:pStyle w:val="Heading1NoNumbering"/>
        <w:spacing w:line="240" w:lineRule="auto"/>
      </w:pPr>
      <w:bookmarkStart w:id="83" w:name="_Toc210231258"/>
      <w:bookmarkStart w:id="84" w:name="_Toc219347250"/>
      <w:r w:rsidRPr="00E47BDC">
        <w:lastRenderedPageBreak/>
        <w:t>Part B – Beyond the current National Partnership</w:t>
      </w:r>
      <w:bookmarkEnd w:id="83"/>
      <w:bookmarkEnd w:id="84"/>
    </w:p>
    <w:p w14:paraId="083D7595" w14:textId="77777777" w:rsidR="00F935CF" w:rsidRPr="00E47BDC" w:rsidRDefault="00F935CF" w:rsidP="0061433F">
      <w:pPr>
        <w:pStyle w:val="BodyText"/>
      </w:pPr>
      <w:r w:rsidRPr="00E47BDC">
        <w:t>The purpose of this part of the report is to provide an overview of the outstanding challenges in the youth attainment and transitions space, and to indicate where future effort is needed to address these challenges. Another objective of this part of the report is to outline considerations for the development of future youth attainment and transitions policy, including principles, focus areas, potential funding models and roles for the different levels of government.</w:t>
      </w:r>
    </w:p>
    <w:p w14:paraId="38D49D10" w14:textId="77777777" w:rsidR="00F935CF" w:rsidRPr="00E47BDC" w:rsidRDefault="00F935CF" w:rsidP="0061433F">
      <w:pPr>
        <w:pStyle w:val="BodyText"/>
      </w:pPr>
      <w:r w:rsidRPr="00E47BDC">
        <w:t>This part of the report primarily draws on an extensive review of Australian and international literature on youth attainment and transitions.</w:t>
      </w:r>
      <w:r w:rsidRPr="00E47BDC">
        <w:rPr>
          <w:rStyle w:val="FootnoteReference"/>
        </w:rPr>
        <w:footnoteReference w:id="44"/>
      </w:r>
      <w:r w:rsidRPr="00E47BDC">
        <w:t xml:space="preserve"> It is also informed by the views of representatives from the:</w:t>
      </w:r>
    </w:p>
    <w:p w14:paraId="4F9A30AD" w14:textId="77777777" w:rsidR="00F935CF" w:rsidRPr="00E47BDC" w:rsidRDefault="00F935CF" w:rsidP="0061433F">
      <w:pPr>
        <w:pStyle w:val="ListBullet"/>
      </w:pPr>
      <w:r w:rsidRPr="00E47BDC">
        <w:t>Australian Government</w:t>
      </w:r>
    </w:p>
    <w:p w14:paraId="694A29B9" w14:textId="77777777" w:rsidR="00F935CF" w:rsidRPr="00E47BDC" w:rsidRDefault="00F935CF" w:rsidP="0061433F">
      <w:pPr>
        <w:pStyle w:val="ListBullet"/>
      </w:pPr>
      <w:r w:rsidRPr="00E47BDC">
        <w:t>State and Territory governments</w:t>
      </w:r>
    </w:p>
    <w:p w14:paraId="5D2F85FB" w14:textId="77777777" w:rsidR="00F935CF" w:rsidRPr="00E47BDC" w:rsidRDefault="00F935CF" w:rsidP="0061433F">
      <w:pPr>
        <w:pStyle w:val="ListBullet"/>
      </w:pPr>
      <w:r>
        <w:t>C</w:t>
      </w:r>
      <w:r w:rsidRPr="00E47BDC">
        <w:t>ommunity and youth sector</w:t>
      </w:r>
    </w:p>
    <w:p w14:paraId="0333DDFB" w14:textId="77777777" w:rsidR="00F935CF" w:rsidRPr="00E47BDC" w:rsidRDefault="00F935CF" w:rsidP="0061433F">
      <w:pPr>
        <w:pStyle w:val="ListBullet"/>
      </w:pPr>
      <w:r>
        <w:t>E</w:t>
      </w:r>
      <w:r w:rsidRPr="00E47BDC">
        <w:t>ducation and training sector</w:t>
      </w:r>
    </w:p>
    <w:p w14:paraId="77D799F5" w14:textId="77777777" w:rsidR="00F935CF" w:rsidRPr="00E47BDC" w:rsidRDefault="00F935CF" w:rsidP="0061433F">
      <w:pPr>
        <w:pStyle w:val="ListBullet"/>
      </w:pPr>
      <w:r>
        <w:t>B</w:t>
      </w:r>
      <w:r w:rsidRPr="00E47BDC">
        <w:t>usiness and industry sector.</w:t>
      </w:r>
    </w:p>
    <w:p w14:paraId="253A398E" w14:textId="77777777" w:rsidR="00F935CF" w:rsidRPr="00E47BDC" w:rsidRDefault="00F935CF" w:rsidP="0061433F">
      <w:pPr>
        <w:pStyle w:val="BodyText"/>
      </w:pPr>
    </w:p>
    <w:p w14:paraId="45BEB635" w14:textId="77777777" w:rsidR="00F935CF" w:rsidRPr="00E47BDC" w:rsidRDefault="00F935CF" w:rsidP="0061433F">
      <w:pPr>
        <w:pStyle w:val="Heading1"/>
        <w:spacing w:before="900" w:after="680" w:line="240" w:lineRule="auto"/>
        <w:jc w:val="both"/>
      </w:pPr>
      <w:bookmarkStart w:id="85" w:name="_Ref207008491"/>
      <w:bookmarkStart w:id="86" w:name="_Toc210231259"/>
      <w:bookmarkStart w:id="87" w:name="_Toc219347251"/>
      <w:r w:rsidRPr="00E47BDC">
        <w:lastRenderedPageBreak/>
        <w:t>Youth attainment and transition challenges</w:t>
      </w:r>
      <w:bookmarkEnd w:id="85"/>
      <w:bookmarkEnd w:id="86"/>
      <w:bookmarkEnd w:id="87"/>
    </w:p>
    <w:p w14:paraId="4060DCE1" w14:textId="77777777" w:rsidR="00F935CF" w:rsidRPr="00E47BDC" w:rsidRDefault="00F935CF" w:rsidP="0061433F">
      <w:pPr>
        <w:pStyle w:val="Heading2"/>
      </w:pPr>
      <w:bookmarkStart w:id="88" w:name="_Ref210123358"/>
      <w:bookmarkStart w:id="89" w:name="_Toc210231260"/>
      <w:bookmarkStart w:id="90" w:name="_Toc219347252"/>
      <w:r w:rsidRPr="00E47BDC">
        <w:t>The importance of a youth attainment and transition policy</w:t>
      </w:r>
      <w:bookmarkEnd w:id="88"/>
      <w:bookmarkEnd w:id="89"/>
      <w:bookmarkEnd w:id="90"/>
    </w:p>
    <w:p w14:paraId="5F068478" w14:textId="77777777" w:rsidR="00F935CF" w:rsidRPr="00E47BDC" w:rsidRDefault="00F935CF" w:rsidP="0061433F">
      <w:pPr>
        <w:pStyle w:val="Heading3"/>
        <w:jc w:val="both"/>
      </w:pPr>
      <w:r w:rsidRPr="00E47BDC">
        <w:t>Costs to individuals</w:t>
      </w:r>
      <w:r>
        <w:t xml:space="preserve"> of poor transitions</w:t>
      </w:r>
    </w:p>
    <w:p w14:paraId="1814DC8B" w14:textId="77777777" w:rsidR="00F935CF" w:rsidRPr="00E47BDC" w:rsidRDefault="00F935CF" w:rsidP="0061433F">
      <w:pPr>
        <w:pStyle w:val="BodyText"/>
      </w:pPr>
      <w:r w:rsidRPr="00E47BDC">
        <w:t xml:space="preserve">Failing to make a successful transition from school to work or post-school education and training carries costs for individual young people. These costs to individuals can be observed both in the short and longer terms. They take the form of higher incidences of unemployment, temporary and casual work, and inactivity; longer periods needed to settle into steady employment; and reduced lifetime opportunities and lower earnings and wealth (see </w:t>
      </w:r>
      <w:r w:rsidR="0056511F" w:rsidRPr="00E47BDC">
        <w:fldChar w:fldCharType="begin"/>
      </w:r>
      <w:r w:rsidRPr="00E47BDC">
        <w:instrText xml:space="preserve"> REF _Ref209673103 \h </w:instrText>
      </w:r>
      <w:r w:rsidR="0056511F" w:rsidRPr="00E47BDC">
        <w:fldChar w:fldCharType="separate"/>
      </w:r>
      <w:r w:rsidR="00A76CFC" w:rsidRPr="00E47BDC">
        <w:t>Table 4.</w:t>
      </w:r>
      <w:r w:rsidR="00A76CFC">
        <w:rPr>
          <w:noProof/>
        </w:rPr>
        <w:t>6</w:t>
      </w:r>
      <w:r w:rsidR="0056511F" w:rsidRPr="00E47BDC">
        <w:fldChar w:fldCharType="end"/>
      </w:r>
      <w:r w:rsidRPr="00E47BDC">
        <w:t>). The chances of all of these occurring appear to be magnified when the transition is protracted and difficult, with the success or otherwise of the period immediately after leaving full-time education being critical to the chances of succeeding in the longer term. The probability of these outcomes is, as indicated above, magnified for those who fail to complete Year 12 (or an equivalent vocational qualification).</w:t>
      </w:r>
    </w:p>
    <w:p w14:paraId="735D7804" w14:textId="77777777" w:rsidR="00F935CF" w:rsidRPr="00E47BDC" w:rsidRDefault="00F935CF" w:rsidP="0061433F">
      <w:pPr>
        <w:pStyle w:val="BodyText"/>
        <w:keepNext/>
      </w:pPr>
      <w:r w:rsidRPr="00E47BDC">
        <w:t>Recent OECD data for 25–64-year-olds estimates the benefits of completing upper secondary education</w:t>
      </w:r>
      <w:r w:rsidR="009A2DC8">
        <w:t xml:space="preserve"> (including equivalent vocational education qualifications)</w:t>
      </w:r>
      <w:r w:rsidRPr="00E47BDC">
        <w:t xml:space="preserve"> when compared with not completing it.</w:t>
      </w:r>
      <w:r w:rsidRPr="00E47BDC">
        <w:rPr>
          <w:vertAlign w:val="superscript"/>
        </w:rPr>
        <w:footnoteReference w:id="45"/>
      </w:r>
      <w:r w:rsidRPr="00E47BDC">
        <w:t xml:space="preserve"> For Australia:</w:t>
      </w:r>
    </w:p>
    <w:p w14:paraId="63D22225" w14:textId="77777777" w:rsidR="00F935CF" w:rsidRPr="00E47BDC" w:rsidRDefault="00F935CF" w:rsidP="0061433F">
      <w:pPr>
        <w:pStyle w:val="ListBullet"/>
      </w:pPr>
      <w:r w:rsidRPr="00E47BDC">
        <w:t>Unemployment rates are 1.6 times higher among those without upper secondary education than among those with upper secondary education.</w:t>
      </w:r>
    </w:p>
    <w:p w14:paraId="0F74C67A" w14:textId="77777777" w:rsidR="00F935CF" w:rsidRPr="00E47BDC" w:rsidRDefault="00F935CF" w:rsidP="0061433F">
      <w:pPr>
        <w:pStyle w:val="ListBullet"/>
      </w:pPr>
      <w:r w:rsidRPr="00E47BDC">
        <w:t>The proportion of full-time earners among those with upper secondary education is 12 per cent higher than among those without</w:t>
      </w:r>
      <w:r w:rsidR="00D57147">
        <w:t xml:space="preserve"> this level of education</w:t>
      </w:r>
      <w:r w:rsidRPr="00E47BDC">
        <w:t>, and the proportion of part-time earners or non-earners is 26 per cent lower.</w:t>
      </w:r>
      <w:r w:rsidR="00D57147">
        <w:t xml:space="preserve"> This indicates that the earning capacity of people with upper secondary education is greater than people without this level of education.</w:t>
      </w:r>
    </w:p>
    <w:p w14:paraId="0DEEF26B" w14:textId="77777777" w:rsidR="00F935CF" w:rsidRPr="00E47BDC" w:rsidRDefault="00F935CF" w:rsidP="0061433F">
      <w:pPr>
        <w:pStyle w:val="ListBullet"/>
      </w:pPr>
      <w:r w:rsidRPr="00E47BDC">
        <w:t>Among those without upper secondary education, earnings are only 81 per cent of those with upper secondary education.</w:t>
      </w:r>
    </w:p>
    <w:p w14:paraId="22D699E9" w14:textId="77777777" w:rsidR="00F935CF" w:rsidRPr="00715899" w:rsidRDefault="00F935CF" w:rsidP="0061433F">
      <w:pPr>
        <w:pStyle w:val="ListBullet"/>
      </w:pPr>
      <w:r w:rsidRPr="00715899">
        <w:t>The private rate of return for completing upper secondary education compared with not completing it is 11.4 per cent.</w:t>
      </w:r>
      <w:r w:rsidR="00715899">
        <w:rPr>
          <w:rStyle w:val="FootnoteReference"/>
        </w:rPr>
        <w:footnoteReference w:id="46"/>
      </w:r>
    </w:p>
    <w:p w14:paraId="1DDB4B79" w14:textId="77777777" w:rsidR="00F935CF" w:rsidRPr="00715899" w:rsidRDefault="00F935CF" w:rsidP="0061433F">
      <w:pPr>
        <w:pStyle w:val="ListBullet"/>
      </w:pPr>
      <w:r w:rsidRPr="00715899">
        <w:t>The public rate of return for completing upper secondary education compared with not completing it is 8.6 per cent.</w:t>
      </w:r>
      <w:r w:rsidR="00715899">
        <w:rPr>
          <w:rStyle w:val="FootnoteReference"/>
        </w:rPr>
        <w:footnoteReference w:id="47"/>
      </w:r>
    </w:p>
    <w:p w14:paraId="00EB33E8" w14:textId="77777777" w:rsidR="00F935CF" w:rsidRPr="00E47BDC" w:rsidRDefault="00F935CF" w:rsidP="0061433F">
      <w:pPr>
        <w:pStyle w:val="Heading3"/>
        <w:jc w:val="both"/>
      </w:pPr>
      <w:r w:rsidRPr="00E47BDC">
        <w:t>Economic and social costs</w:t>
      </w:r>
      <w:r>
        <w:t xml:space="preserve"> of poor transitions</w:t>
      </w:r>
    </w:p>
    <w:p w14:paraId="5A3301AE" w14:textId="77777777" w:rsidR="00F935CF" w:rsidRPr="00E47BDC" w:rsidRDefault="00F935CF" w:rsidP="0061433F">
      <w:pPr>
        <w:pStyle w:val="BodyText"/>
      </w:pPr>
      <w:r w:rsidRPr="00E47BDC">
        <w:t xml:space="preserve">The consequences for individuals of not making a successful transition, and in particular the consequences of not completing Year 12, translate into wider macroeconomic and social costs. By the same token, redressing them would translate into wider economic and social benefits. These occur through the ways in which higher rates of educational attainment translate into higher labour force participation rates, higher employment rates and higher earnings, and in turn through the impact of these upon indicators such as expenditure on unemployment benefits and welfare programs, and taxation receipts from higher earnings (see </w:t>
      </w:r>
      <w:r w:rsidR="0056511F" w:rsidRPr="00E47BDC">
        <w:fldChar w:fldCharType="begin"/>
      </w:r>
      <w:r w:rsidRPr="00E47BDC">
        <w:instrText xml:space="preserve"> REF _Ref209673103 \h </w:instrText>
      </w:r>
      <w:r w:rsidR="0056511F" w:rsidRPr="00E47BDC">
        <w:fldChar w:fldCharType="separate"/>
      </w:r>
      <w:r w:rsidR="00A76CFC" w:rsidRPr="00E47BDC">
        <w:t>Table 4.</w:t>
      </w:r>
      <w:r w:rsidR="00A76CFC">
        <w:rPr>
          <w:noProof/>
        </w:rPr>
        <w:t>6</w:t>
      </w:r>
      <w:r w:rsidR="0056511F" w:rsidRPr="00E47BDC">
        <w:fldChar w:fldCharType="end"/>
      </w:r>
      <w:r w:rsidRPr="00E47BDC">
        <w:t>).</w:t>
      </w:r>
    </w:p>
    <w:p w14:paraId="71D4451A" w14:textId="77777777" w:rsidR="00A3547E" w:rsidRDefault="00F935CF" w:rsidP="0061433F">
      <w:pPr>
        <w:pStyle w:val="BodyText"/>
      </w:pPr>
      <w:r w:rsidRPr="00E47BDC">
        <w:lastRenderedPageBreak/>
        <w:t xml:space="preserve">Estimates vary of the size of the economic benefits that would result from better transition outcomes and in particular from raising </w:t>
      </w:r>
      <w:r w:rsidR="00A3547E">
        <w:t>national</w:t>
      </w:r>
      <w:r w:rsidR="00A3547E" w:rsidRPr="00E47BDC">
        <w:t xml:space="preserve"> </w:t>
      </w:r>
      <w:r w:rsidRPr="00E47BDC">
        <w:t>Year 12 or equivalent attainment rates. But all estimates point to a gain in GDP and productivity. Access Economics has estimated that if Year 12 or equivalent retention rates were to increase to 90 per cent (from the estimated real retention rate in 2004 of 80 per cent</w:t>
      </w:r>
      <w:r w:rsidRPr="00E47BDC">
        <w:rPr>
          <w:vertAlign w:val="superscript"/>
        </w:rPr>
        <w:footnoteReference w:id="48"/>
      </w:r>
      <w:r w:rsidRPr="00E47BDC">
        <w:t>), GDP would be increased by 1.1 per cent by 2040. Federal government revenue would increase by 0.27 per cent of GDP, and this would be achieved at a cost of only 0.05 per cent of GDP in increased educational spending.</w:t>
      </w:r>
      <w:r w:rsidRPr="00E47BDC">
        <w:rPr>
          <w:vertAlign w:val="superscript"/>
        </w:rPr>
        <w:footnoteReference w:id="49"/>
      </w:r>
      <w:r w:rsidRPr="00E47BDC">
        <w:t xml:space="preserve"> Using earnings data from the </w:t>
      </w:r>
      <w:r w:rsidRPr="009C02C9">
        <w:rPr>
          <w:i/>
        </w:rPr>
        <w:t>Household Income and Labour Dynamics Survey</w:t>
      </w:r>
      <w:r w:rsidRPr="00E47BDC">
        <w:t>, Leigh (2007)</w:t>
      </w:r>
      <w:r w:rsidRPr="00E47BDC">
        <w:rPr>
          <w:vertAlign w:val="superscript"/>
        </w:rPr>
        <w:footnoteReference w:id="50"/>
      </w:r>
      <w:r w:rsidRPr="00E47BDC">
        <w:t xml:space="preserve"> estimates the annual earnings increase from completing Year 12, compared with not completing it, at 30 per cent. </w:t>
      </w:r>
      <w:r w:rsidR="00A3547E">
        <w:t xml:space="preserve">In his estimate of the economic return to various levels of education </w:t>
      </w:r>
      <w:r w:rsidRPr="00E47BDC">
        <w:t>Leigh</w:t>
      </w:r>
      <w:r w:rsidR="00A3547E">
        <w:t xml:space="preserve"> </w:t>
      </w:r>
      <w:r w:rsidRPr="00E47BDC">
        <w:t>finds</w:t>
      </w:r>
      <w:r w:rsidR="00A3547E">
        <w:t xml:space="preserve"> that raising Year 12 attainment appears to yield the highest annual benefits, with significant additional gains from </w:t>
      </w:r>
      <w:r w:rsidR="009D22D6">
        <w:t xml:space="preserve">vocational training at the Certificate II/IV level and university qualifications. These benefits flow from increased productivity and higher levels of </w:t>
      </w:r>
      <w:r w:rsidR="003408F3">
        <w:t xml:space="preserve">economic </w:t>
      </w:r>
      <w:r w:rsidR="009D22D6">
        <w:t>participation.</w:t>
      </w:r>
    </w:p>
    <w:p w14:paraId="776BFA64" w14:textId="77777777" w:rsidR="00F935CF" w:rsidRPr="00E47BDC" w:rsidRDefault="00F935CF" w:rsidP="0061433F">
      <w:pPr>
        <w:pStyle w:val="BodyText"/>
      </w:pPr>
      <w:r w:rsidRPr="00E47BDC">
        <w:t>In addition to direct economic benefits, raising Australia’s Year 12 or equivalent attainment rates would result in wider social benefits, which would have an economic flow-on. A major OECD review identifies social benefits flowing from higher levels of educational attainment that include:</w:t>
      </w:r>
    </w:p>
    <w:p w14:paraId="0471C997" w14:textId="77777777" w:rsidR="00F935CF" w:rsidRPr="00E47BDC" w:rsidRDefault="00F935CF" w:rsidP="0061433F">
      <w:pPr>
        <w:pStyle w:val="ListBullet"/>
      </w:pPr>
      <w:r>
        <w:t>I</w:t>
      </w:r>
      <w:r w:rsidRPr="00E47BDC">
        <w:t>mproved health and lower illness rates</w:t>
      </w:r>
    </w:p>
    <w:p w14:paraId="1C4F51B1" w14:textId="77777777" w:rsidR="00F935CF" w:rsidRPr="00E47BDC" w:rsidRDefault="00F935CF" w:rsidP="0061433F">
      <w:pPr>
        <w:pStyle w:val="ListBullet"/>
      </w:pPr>
      <w:r>
        <w:t>H</w:t>
      </w:r>
      <w:r w:rsidRPr="00E47BDC">
        <w:t>igher educational participation by the children of educated parents</w:t>
      </w:r>
    </w:p>
    <w:p w14:paraId="29FDB0BE" w14:textId="77777777" w:rsidR="00F935CF" w:rsidRPr="00E47BDC" w:rsidRDefault="00F935CF" w:rsidP="0061433F">
      <w:pPr>
        <w:pStyle w:val="ListBullet"/>
      </w:pPr>
      <w:r>
        <w:t>R</w:t>
      </w:r>
      <w:r w:rsidRPr="00E47BDC">
        <w:t>educed infant mortality</w:t>
      </w:r>
    </w:p>
    <w:p w14:paraId="047240C5" w14:textId="77777777" w:rsidR="00F935CF" w:rsidRPr="00E47BDC" w:rsidRDefault="00F935CF" w:rsidP="0061433F">
      <w:pPr>
        <w:pStyle w:val="ListBullet"/>
      </w:pPr>
      <w:r>
        <w:t>H</w:t>
      </w:r>
      <w:r w:rsidRPr="00E47BDC">
        <w:t>igher participation in lifelong learning</w:t>
      </w:r>
    </w:p>
    <w:p w14:paraId="2E2B6D94" w14:textId="77777777" w:rsidR="00F935CF" w:rsidRPr="00E47BDC" w:rsidRDefault="00F935CF" w:rsidP="0061433F">
      <w:pPr>
        <w:pStyle w:val="ListBullet"/>
      </w:pPr>
      <w:r>
        <w:t>L</w:t>
      </w:r>
      <w:r w:rsidRPr="00E47BDC">
        <w:t>ater retirement ages</w:t>
      </w:r>
    </w:p>
    <w:p w14:paraId="5317A074" w14:textId="77777777" w:rsidR="00F935CF" w:rsidRPr="00E47BDC" w:rsidRDefault="00F935CF" w:rsidP="0061433F">
      <w:pPr>
        <w:pStyle w:val="ListBullet"/>
      </w:pPr>
      <w:r>
        <w:t>G</w:t>
      </w:r>
      <w:r w:rsidRPr="00E47BDC">
        <w:t>reater civic engagement</w:t>
      </w:r>
    </w:p>
    <w:p w14:paraId="4C736C3D" w14:textId="77777777" w:rsidR="00F935CF" w:rsidRPr="00E47BDC" w:rsidRDefault="00F935CF" w:rsidP="0061433F">
      <w:pPr>
        <w:pStyle w:val="ListBullet"/>
      </w:pPr>
      <w:r>
        <w:t>Hi</w:t>
      </w:r>
      <w:r w:rsidRPr="00E47BDC">
        <w:t>gher rates of volunteering and community service</w:t>
      </w:r>
    </w:p>
    <w:p w14:paraId="030C41CC" w14:textId="77777777" w:rsidR="00F935CF" w:rsidRPr="00E47BDC" w:rsidRDefault="00F935CF" w:rsidP="0061433F">
      <w:pPr>
        <w:pStyle w:val="ListBullet"/>
      </w:pPr>
      <w:r>
        <w:t>G</w:t>
      </w:r>
      <w:r w:rsidRPr="00E47BDC">
        <w:t>reater political stability</w:t>
      </w:r>
    </w:p>
    <w:p w14:paraId="0844D63A" w14:textId="77777777" w:rsidR="00F935CF" w:rsidRPr="00E47BDC" w:rsidRDefault="00F935CF" w:rsidP="0061433F">
      <w:pPr>
        <w:pStyle w:val="ListBullet"/>
      </w:pPr>
      <w:r>
        <w:t>L</w:t>
      </w:r>
      <w:r w:rsidRPr="00E47BDC">
        <w:t>ower property crime rates.</w:t>
      </w:r>
      <w:r w:rsidRPr="00E47BDC">
        <w:rPr>
          <w:vertAlign w:val="superscript"/>
        </w:rPr>
        <w:footnoteReference w:id="51"/>
      </w:r>
    </w:p>
    <w:p w14:paraId="53DB1B81" w14:textId="77777777" w:rsidR="00F935CF" w:rsidRPr="00E47BDC" w:rsidRDefault="00F935CF" w:rsidP="0061433F">
      <w:pPr>
        <w:pStyle w:val="Caption"/>
        <w:jc w:val="both"/>
      </w:pPr>
    </w:p>
    <w:p w14:paraId="17BB09AF" w14:textId="77777777" w:rsidR="00F935CF" w:rsidRPr="00E47BDC" w:rsidRDefault="00F935CF" w:rsidP="0061433F">
      <w:pPr>
        <w:pStyle w:val="Caption"/>
        <w:keepNext/>
        <w:keepLines/>
        <w:jc w:val="both"/>
      </w:pPr>
      <w:bookmarkStart w:id="91" w:name="_Ref209673103"/>
      <w:r w:rsidRPr="00E47BDC">
        <w:t>Table 4.</w:t>
      </w:r>
      <w:r w:rsidR="001D7D12">
        <w:fldChar w:fldCharType="begin"/>
      </w:r>
      <w:r w:rsidR="001D7D12">
        <w:instrText xml:space="preserve"> SEQ Table \* ARABIC </w:instrText>
      </w:r>
      <w:r w:rsidR="001D7D12">
        <w:fldChar w:fldCharType="separate"/>
      </w:r>
      <w:r w:rsidR="00A76CFC">
        <w:rPr>
          <w:noProof/>
        </w:rPr>
        <w:t>6</w:t>
      </w:r>
      <w:r w:rsidR="001D7D12">
        <w:rPr>
          <w:noProof/>
        </w:rPr>
        <w:fldChar w:fldCharType="end"/>
      </w:r>
      <w:bookmarkEnd w:id="91"/>
      <w:r w:rsidRPr="00E47BDC">
        <w:t>: Costs of Unsuccessful Transitions from School to Work</w:t>
      </w:r>
    </w:p>
    <w:tbl>
      <w:tblPr>
        <w:tblStyle w:val="DandoloTableCentred"/>
        <w:tblW w:w="9356" w:type="dxa"/>
        <w:tblLook w:val="0420" w:firstRow="1" w:lastRow="0" w:firstColumn="0" w:lastColumn="0" w:noHBand="0" w:noVBand="1"/>
        <w:tblCaption w:val="Table 4.6: Costs of Unsuccessful Transitions from School to Work "/>
        <w:tblDescription w:val="Table 4.6: Costs of Unsuccessful Transitions from School to Work&#10;"/>
      </w:tblPr>
      <w:tblGrid>
        <w:gridCol w:w="4678"/>
        <w:gridCol w:w="4678"/>
      </w:tblGrid>
      <w:tr w:rsidR="004B29A0" w:rsidRPr="00E47BDC" w14:paraId="3181A47C" w14:textId="77777777" w:rsidTr="00830EF8">
        <w:trPr>
          <w:cnfStyle w:val="100000000000" w:firstRow="1" w:lastRow="0" w:firstColumn="0" w:lastColumn="0" w:oddVBand="0" w:evenVBand="0" w:oddHBand="0" w:evenHBand="0" w:firstRowFirstColumn="0" w:firstRowLastColumn="0" w:lastRowFirstColumn="0" w:lastRowLastColumn="0"/>
          <w:cantSplit/>
          <w:trHeight w:val="584"/>
        </w:trPr>
        <w:tc>
          <w:tcPr>
            <w:tcW w:w="4678" w:type="dxa"/>
            <w:hideMark/>
          </w:tcPr>
          <w:p w14:paraId="36EB3FF7" w14:textId="77777777" w:rsidR="004B29A0" w:rsidRPr="00E47BDC" w:rsidRDefault="004B29A0" w:rsidP="00830EF8">
            <w:pPr>
              <w:pStyle w:val="BodyText"/>
              <w:keepLines/>
            </w:pPr>
            <w:r w:rsidRPr="00E47BDC">
              <w:rPr>
                <w:b/>
                <w:bCs/>
              </w:rPr>
              <w:t>Costs to individuals</w:t>
            </w:r>
          </w:p>
        </w:tc>
        <w:tc>
          <w:tcPr>
            <w:tcW w:w="4678" w:type="dxa"/>
            <w:hideMark/>
          </w:tcPr>
          <w:p w14:paraId="7A01C8CF" w14:textId="77777777" w:rsidR="004B29A0" w:rsidRPr="00E47BDC" w:rsidRDefault="004B29A0" w:rsidP="00830EF8">
            <w:pPr>
              <w:pStyle w:val="BodyText"/>
              <w:keepLines/>
            </w:pPr>
            <w:r w:rsidRPr="00E47BDC">
              <w:rPr>
                <w:b/>
                <w:bCs/>
              </w:rPr>
              <w:t>Economic and social costs</w:t>
            </w:r>
          </w:p>
        </w:tc>
      </w:tr>
      <w:tr w:rsidR="004B29A0" w:rsidRPr="00E47BDC" w14:paraId="1CE08B7C" w14:textId="77777777" w:rsidTr="00830EF8">
        <w:trPr>
          <w:cantSplit/>
          <w:trHeight w:val="584"/>
        </w:trPr>
        <w:tc>
          <w:tcPr>
            <w:tcW w:w="4678" w:type="dxa"/>
            <w:hideMark/>
          </w:tcPr>
          <w:p w14:paraId="5590097B" w14:textId="77777777" w:rsidR="004B29A0" w:rsidRPr="00E47BDC" w:rsidRDefault="004B29A0" w:rsidP="00830EF8">
            <w:pPr>
              <w:pStyle w:val="BodyText"/>
              <w:keepLines/>
              <w:numPr>
                <w:ilvl w:val="0"/>
                <w:numId w:val="17"/>
              </w:numPr>
              <w:spacing w:before="180" w:after="180" w:line="240" w:lineRule="auto"/>
              <w:ind w:left="714" w:hanging="357"/>
              <w:jc w:val="left"/>
              <w:rPr>
                <w:color w:val="auto"/>
                <w:sz w:val="20"/>
              </w:rPr>
            </w:pPr>
            <w:r w:rsidRPr="00E47BDC">
              <w:t>Higher incidences of:</w:t>
            </w:r>
          </w:p>
          <w:p w14:paraId="11C884C2" w14:textId="77777777" w:rsidR="004B29A0" w:rsidRPr="0061433F" w:rsidRDefault="004B29A0" w:rsidP="00830EF8">
            <w:pPr>
              <w:pStyle w:val="Listdash"/>
              <w:keepLines/>
              <w:spacing w:before="180" w:after="180" w:line="240" w:lineRule="auto"/>
              <w:jc w:val="left"/>
              <w:rPr>
                <w:color w:val="auto"/>
                <w:sz w:val="20"/>
                <w:szCs w:val="18"/>
              </w:rPr>
            </w:pPr>
            <w:r w:rsidRPr="0061433F">
              <w:rPr>
                <w:szCs w:val="18"/>
              </w:rPr>
              <w:t>unemployment</w:t>
            </w:r>
          </w:p>
          <w:p w14:paraId="5499CE7B" w14:textId="77777777" w:rsidR="004B29A0" w:rsidRPr="0061433F" w:rsidRDefault="004B29A0" w:rsidP="00830EF8">
            <w:pPr>
              <w:pStyle w:val="Listdash"/>
              <w:keepLines/>
              <w:spacing w:before="180" w:after="180" w:line="240" w:lineRule="auto"/>
              <w:jc w:val="left"/>
              <w:rPr>
                <w:color w:val="auto"/>
                <w:sz w:val="20"/>
                <w:szCs w:val="18"/>
              </w:rPr>
            </w:pPr>
            <w:r w:rsidRPr="0061433F">
              <w:rPr>
                <w:szCs w:val="18"/>
              </w:rPr>
              <w:t>temporary and casual work</w:t>
            </w:r>
          </w:p>
          <w:p w14:paraId="2B9333E1" w14:textId="77777777" w:rsidR="004B29A0" w:rsidRPr="0061433F" w:rsidRDefault="004B29A0" w:rsidP="00830EF8">
            <w:pPr>
              <w:pStyle w:val="Listdash"/>
              <w:keepLines/>
              <w:spacing w:before="180" w:after="180" w:line="240" w:lineRule="auto"/>
              <w:jc w:val="left"/>
              <w:rPr>
                <w:color w:val="auto"/>
                <w:sz w:val="20"/>
                <w:szCs w:val="18"/>
              </w:rPr>
            </w:pPr>
            <w:r w:rsidRPr="0061433F">
              <w:rPr>
                <w:szCs w:val="18"/>
              </w:rPr>
              <w:t>inactivity</w:t>
            </w:r>
          </w:p>
          <w:p w14:paraId="493A077E" w14:textId="77777777" w:rsidR="004B29A0" w:rsidRPr="00E47BDC" w:rsidRDefault="004B29A0" w:rsidP="00830EF8">
            <w:pPr>
              <w:pStyle w:val="BodyText"/>
              <w:keepLines/>
              <w:numPr>
                <w:ilvl w:val="0"/>
                <w:numId w:val="17"/>
              </w:numPr>
              <w:spacing w:before="180" w:after="180" w:line="240" w:lineRule="auto"/>
              <w:jc w:val="left"/>
              <w:rPr>
                <w:color w:val="auto"/>
                <w:sz w:val="20"/>
              </w:rPr>
            </w:pPr>
            <w:r w:rsidRPr="00E47BDC">
              <w:t>Taking longer to settle into steady employment</w:t>
            </w:r>
          </w:p>
          <w:p w14:paraId="523E54EC" w14:textId="77777777" w:rsidR="004B29A0" w:rsidRPr="00E47BDC" w:rsidRDefault="004B29A0" w:rsidP="00830EF8">
            <w:pPr>
              <w:pStyle w:val="BodyText"/>
              <w:keepLines/>
              <w:numPr>
                <w:ilvl w:val="0"/>
                <w:numId w:val="17"/>
              </w:numPr>
              <w:spacing w:before="180" w:after="180" w:line="240" w:lineRule="auto"/>
              <w:jc w:val="left"/>
              <w:rPr>
                <w:color w:val="auto"/>
                <w:sz w:val="20"/>
              </w:rPr>
            </w:pPr>
            <w:r w:rsidRPr="00E47BDC">
              <w:t>Reduced lifetime opportunities and lower earnings and wealth</w:t>
            </w:r>
          </w:p>
        </w:tc>
        <w:tc>
          <w:tcPr>
            <w:tcW w:w="4678" w:type="dxa"/>
            <w:vAlign w:val="top"/>
            <w:hideMark/>
          </w:tcPr>
          <w:p w14:paraId="3C4CCE02" w14:textId="77777777" w:rsidR="004B29A0" w:rsidRPr="00E47BDC" w:rsidRDefault="004B29A0" w:rsidP="00830EF8">
            <w:pPr>
              <w:pStyle w:val="BodyText"/>
              <w:keepLines/>
              <w:numPr>
                <w:ilvl w:val="0"/>
                <w:numId w:val="17"/>
              </w:numPr>
              <w:spacing w:before="180" w:after="180" w:line="240" w:lineRule="auto"/>
              <w:ind w:left="714" w:hanging="357"/>
              <w:jc w:val="left"/>
              <w:rPr>
                <w:color w:val="auto"/>
                <w:sz w:val="20"/>
              </w:rPr>
            </w:pPr>
            <w:r w:rsidRPr="00E47BDC">
              <w:t>Lower labour force participation and employment rates</w:t>
            </w:r>
          </w:p>
          <w:p w14:paraId="6987E842" w14:textId="77777777" w:rsidR="004B29A0" w:rsidRPr="00E47BDC" w:rsidRDefault="004B29A0" w:rsidP="00830EF8">
            <w:pPr>
              <w:pStyle w:val="BodyText"/>
              <w:keepLines/>
              <w:numPr>
                <w:ilvl w:val="0"/>
                <w:numId w:val="17"/>
              </w:numPr>
              <w:spacing w:before="180" w:after="180" w:line="240" w:lineRule="auto"/>
              <w:ind w:left="714" w:hanging="357"/>
              <w:jc w:val="left"/>
              <w:rPr>
                <w:color w:val="auto"/>
                <w:sz w:val="20"/>
              </w:rPr>
            </w:pPr>
            <w:r w:rsidRPr="00E47BDC">
              <w:t>Lower earnings</w:t>
            </w:r>
          </w:p>
          <w:p w14:paraId="1DE61B66" w14:textId="77777777" w:rsidR="004B29A0" w:rsidRPr="00E47BDC" w:rsidRDefault="004B29A0" w:rsidP="00830EF8">
            <w:pPr>
              <w:pStyle w:val="BodyText"/>
              <w:keepLines/>
              <w:numPr>
                <w:ilvl w:val="0"/>
                <w:numId w:val="17"/>
              </w:numPr>
              <w:spacing w:before="180" w:after="180" w:line="240" w:lineRule="auto"/>
              <w:ind w:left="714" w:hanging="357"/>
              <w:jc w:val="left"/>
              <w:rPr>
                <w:color w:val="auto"/>
                <w:sz w:val="20"/>
              </w:rPr>
            </w:pPr>
            <w:r w:rsidRPr="00E47BDC">
              <w:t>Higher expenditure on unemployment benefits</w:t>
            </w:r>
          </w:p>
          <w:p w14:paraId="1FB5CF5B" w14:textId="77777777" w:rsidR="004B29A0" w:rsidRPr="00E47BDC" w:rsidRDefault="004B29A0" w:rsidP="00830EF8">
            <w:pPr>
              <w:pStyle w:val="BodyText"/>
              <w:keepLines/>
              <w:numPr>
                <w:ilvl w:val="0"/>
                <w:numId w:val="17"/>
              </w:numPr>
              <w:spacing w:before="180" w:after="180" w:line="240" w:lineRule="auto"/>
              <w:ind w:left="714" w:hanging="357"/>
              <w:jc w:val="left"/>
              <w:rPr>
                <w:color w:val="auto"/>
                <w:sz w:val="20"/>
              </w:rPr>
            </w:pPr>
            <w:r w:rsidRPr="00E47BDC">
              <w:t>Lower taxation receipts from lower earnings</w:t>
            </w:r>
          </w:p>
        </w:tc>
      </w:tr>
    </w:tbl>
    <w:p w14:paraId="3777966F" w14:textId="77777777" w:rsidR="00F935CF" w:rsidRPr="00E47BDC" w:rsidRDefault="00F935CF" w:rsidP="0061433F">
      <w:pPr>
        <w:pStyle w:val="Heading2"/>
      </w:pPr>
      <w:bookmarkStart w:id="92" w:name="_Toc210231261"/>
      <w:bookmarkStart w:id="93" w:name="_Toc219347253"/>
      <w:bookmarkStart w:id="94" w:name="_Ref209680130"/>
      <w:r w:rsidRPr="00E47BDC">
        <w:t>Influences on youth attainment and transitions</w:t>
      </w:r>
      <w:bookmarkEnd w:id="92"/>
      <w:bookmarkEnd w:id="93"/>
    </w:p>
    <w:p w14:paraId="01D30183" w14:textId="77777777" w:rsidR="00F935CF" w:rsidRPr="00E47BDC" w:rsidRDefault="00F935CF" w:rsidP="0061433F">
      <w:pPr>
        <w:pStyle w:val="BodyText"/>
      </w:pPr>
      <w:r w:rsidRPr="00E47BDC">
        <w:t xml:space="preserve">Transitions from school to work, whether successful or otherwise, are the outcome of a complex set of influences, some of which are more important than others, and some of which are harder to influence than others. The research literature indicates that three </w:t>
      </w:r>
      <w:r w:rsidRPr="00E47BDC">
        <w:lastRenderedPageBreak/>
        <w:t>sets of influences are important: the economic and social context; the institutional arrangements within the labour market, education and the income support system; and young people’s personal qualities.</w:t>
      </w:r>
    </w:p>
    <w:p w14:paraId="16EDA242" w14:textId="77777777" w:rsidR="00F935CF" w:rsidRPr="00E47BDC" w:rsidRDefault="00F935CF" w:rsidP="0061433F">
      <w:pPr>
        <w:pStyle w:val="BodyText"/>
      </w:pPr>
      <w:r w:rsidRPr="00E47BDC">
        <w:t>Some of the most significant influences are the overall state of the labour market (which in turn reflects the overall health of the economy) and the structure of advantage and disadvantage within society. The overall state of the labour market has a strong impact upon labour market transition outcomes such as employment and unemployment rates, but a lesser impact upon educational outcomes such as participation and attainment rates. The socioeconomic status (SES) of young people’s families is the most influential measure of advantage and disadvantage, and it has a strong impact upon both educational and labour market outcomes. Other contextual factors that have an impact include geographical location (e.g., remoteness), Indigenous status, type of school attended and immigrant status. However, the impact of factors such as these is far less than the impact of SES, and can disappear once the impact of SES is taken into account.</w:t>
      </w:r>
    </w:p>
    <w:p w14:paraId="35768324" w14:textId="77777777" w:rsidR="00F935CF" w:rsidRPr="00E47BDC" w:rsidRDefault="00F935CF" w:rsidP="0061433F">
      <w:pPr>
        <w:pStyle w:val="BodyText"/>
      </w:pPr>
      <w:r w:rsidRPr="00E47BDC">
        <w:t>A number of institutional factors are important:</w:t>
      </w:r>
    </w:p>
    <w:p w14:paraId="1E91B94C" w14:textId="77777777" w:rsidR="00F935CF" w:rsidRPr="00E47BDC" w:rsidRDefault="00F935CF" w:rsidP="0061433F">
      <w:pPr>
        <w:pStyle w:val="ListBullet"/>
      </w:pPr>
      <w:r w:rsidRPr="00E47BDC">
        <w:t>Transition outcomes are influenced by arrangements within the labour market. These include the level of youth wages, opportunities to undertake part-time work as a student, the existence of training wages, the availability of apprenticeships, and employment protection levels (the ease with which people can be hired and fired)</w:t>
      </w:r>
    </w:p>
    <w:p w14:paraId="577E5B72" w14:textId="77777777" w:rsidR="00F935CF" w:rsidRPr="00E47BDC" w:rsidRDefault="00F935CF" w:rsidP="0061433F">
      <w:pPr>
        <w:pStyle w:val="ListBullet"/>
      </w:pPr>
      <w:r w:rsidRPr="00E47BDC">
        <w:t>Educational arrangements that influence transition outcomes include the quality of teaching and learning, the quality and attractiveness of the school climate, the types of institutions available (e.g., senior high schools or Years 7–12 schools), the breadth of the curriculum, and the diversity and quality of the pathways that connect school to work or further education and training</w:t>
      </w:r>
    </w:p>
    <w:p w14:paraId="2586FF27" w14:textId="77777777" w:rsidR="00F935CF" w:rsidRPr="00E47BDC" w:rsidRDefault="00F935CF" w:rsidP="0061433F">
      <w:pPr>
        <w:pStyle w:val="ListBullet"/>
      </w:pPr>
      <w:r w:rsidRPr="00E47BDC">
        <w:t>Studies of why young people leave school early consistently show that, alongside factors associated with family disadvantage, disengagement from learning (not liking school, not liking the way that they are treated, and not finding what is available to learn interesting) has a strong impact</w:t>
      </w:r>
    </w:p>
    <w:p w14:paraId="46F753BC" w14:textId="77777777" w:rsidR="00F935CF" w:rsidRPr="00E47BDC" w:rsidRDefault="00F935CF" w:rsidP="0061433F">
      <w:pPr>
        <w:pStyle w:val="ListBullet"/>
      </w:pPr>
      <w:r w:rsidRPr="00E47BDC">
        <w:t>Institutional arrangements that connect the school to the world outside it also have an impact upon transition outcomes. These include opportunities to combine school with workplace experience, career guidance, links between schools and their local communities, links between schools and families, and community-based safety nets that quickly pick up early leavers and help to re-engage them with education and training</w:t>
      </w:r>
    </w:p>
    <w:p w14:paraId="1954219A" w14:textId="77777777" w:rsidR="00F935CF" w:rsidRPr="00E47BDC" w:rsidRDefault="00F935CF" w:rsidP="0061433F">
      <w:pPr>
        <w:pStyle w:val="ListBullet"/>
      </w:pPr>
      <w:r w:rsidRPr="00E47BDC">
        <w:t>Within the income support system, the level of, and conditions attached to, educational income support and welfare benefits have an impact upon outcomes.</w:t>
      </w:r>
    </w:p>
    <w:p w14:paraId="4B99BD4D" w14:textId="77777777" w:rsidR="00F935CF" w:rsidRPr="00E47BDC" w:rsidRDefault="00F935CF" w:rsidP="0061433F">
      <w:pPr>
        <w:pStyle w:val="BodyText"/>
      </w:pPr>
      <w:r w:rsidRPr="00E47BDC">
        <w:t>Of these, the one that is most consistently shown to have an impact upon successful transitions and labour market outcomes is educational achievement. In addition, factors such as resilience, self-confidence, career self-management skills, and having high aspirations and clear career goals also have an impact.</w:t>
      </w:r>
    </w:p>
    <w:p w14:paraId="64002131" w14:textId="77777777" w:rsidR="00F935CF" w:rsidRPr="00E47BDC" w:rsidRDefault="00F935CF" w:rsidP="0061433F">
      <w:pPr>
        <w:pStyle w:val="Heading2"/>
      </w:pPr>
      <w:bookmarkStart w:id="95" w:name="_Toc210231262"/>
      <w:bookmarkStart w:id="96" w:name="_Toc219347254"/>
      <w:r w:rsidRPr="00E47BDC">
        <w:t>How Australia is faring</w:t>
      </w:r>
      <w:bookmarkEnd w:id="94"/>
      <w:bookmarkEnd w:id="95"/>
      <w:bookmarkEnd w:id="96"/>
    </w:p>
    <w:p w14:paraId="7406360E" w14:textId="77777777" w:rsidR="00F935CF" w:rsidRPr="00E47BDC" w:rsidRDefault="00F935CF" w:rsidP="0061433F">
      <w:pPr>
        <w:pStyle w:val="BodyText"/>
      </w:pPr>
      <w:r w:rsidRPr="00E47BDC">
        <w:t>Chapter 2 outlines changes in national educational participation and attainment, employment and unemployment, and inactivity. On some measures, school-to-work transition outcomes in Australia compare quite well with those seen in many other OECD countries:</w:t>
      </w:r>
    </w:p>
    <w:p w14:paraId="2D54AE73" w14:textId="77777777" w:rsidR="00F935CF" w:rsidRPr="00E47BDC" w:rsidRDefault="00F935CF" w:rsidP="0061433F">
      <w:pPr>
        <w:pStyle w:val="ListBullet"/>
      </w:pPr>
      <w:r w:rsidRPr="00E47BDC">
        <w:t>Employment rates are relatively robust for young people who have left education</w:t>
      </w:r>
    </w:p>
    <w:p w14:paraId="24B532E4" w14:textId="77777777" w:rsidR="00F935CF" w:rsidRPr="00E47BDC" w:rsidRDefault="00F935CF" w:rsidP="0061433F">
      <w:pPr>
        <w:pStyle w:val="ListBullet"/>
      </w:pPr>
      <w:r w:rsidRPr="00E47BDC">
        <w:t>Youth unemployment rates are far lower than in countries such as Ireland, Spain and Italy</w:t>
      </w:r>
    </w:p>
    <w:p w14:paraId="566E28BF" w14:textId="77777777" w:rsidR="00F935CF" w:rsidRPr="00E47BDC" w:rsidRDefault="00F935CF" w:rsidP="0061433F">
      <w:pPr>
        <w:pStyle w:val="ListBullet"/>
      </w:pPr>
      <w:r w:rsidRPr="00E47BDC">
        <w:t>For those young people who do become unemployed, spells of unemployment tend to be shorter than in countries whose labour markets are less flexible and more tightly regulated than ours.</w:t>
      </w:r>
    </w:p>
    <w:p w14:paraId="5B1E1202" w14:textId="77777777" w:rsidR="00F935CF" w:rsidRPr="00E47BDC" w:rsidRDefault="00F935CF" w:rsidP="0061433F">
      <w:pPr>
        <w:pStyle w:val="BodyText"/>
      </w:pPr>
      <w:r w:rsidRPr="00E47BDC">
        <w:lastRenderedPageBreak/>
        <w:t>These positive indicators owe much to the strength of our economy and our labour market in recent years. However, there are a number of grounds for believing that we have school-to-work transition problems that need to be addressed, and that these are not trivial.</w:t>
      </w:r>
    </w:p>
    <w:p w14:paraId="2BA5C2C6" w14:textId="77777777" w:rsidR="00F935CF" w:rsidRPr="00E47BDC" w:rsidRDefault="00F935CF" w:rsidP="0061433F">
      <w:pPr>
        <w:pStyle w:val="Heading3"/>
        <w:jc w:val="both"/>
      </w:pPr>
      <w:r w:rsidRPr="00E47BDC">
        <w:t>Young people and educational participation</w:t>
      </w:r>
    </w:p>
    <w:p w14:paraId="112DFCED" w14:textId="77777777" w:rsidR="00F935CF" w:rsidRPr="00E47BDC" w:rsidRDefault="00F935CF" w:rsidP="0061433F">
      <w:pPr>
        <w:pStyle w:val="BodyText"/>
      </w:pPr>
      <w:r w:rsidRPr="00E47BDC">
        <w:t>Closely linked to these labour market indicators are a number of education indicators that point to challenges that will need to be addressed in order to improve overall transition outcomes. Since the introduction of the NP, there has been an increase in school participation by 16-year-olds and 17-year-olds (around 4 percentage points between 2008 and 2011), and an increase in rates of progression between Years 9 and 10, Years 10 and 11, and Years 11 and 12.</w:t>
      </w:r>
      <w:r w:rsidRPr="00E47BDC">
        <w:rPr>
          <w:rStyle w:val="FootnoteReference"/>
        </w:rPr>
        <w:footnoteReference w:id="52"/>
      </w:r>
      <w:r w:rsidRPr="00E47BDC">
        <w:t xml:space="preserve"> There has also been a (smaller) increase in participation in VET by 18–19-year-olds who have not completed Year 12.</w:t>
      </w:r>
      <w:r w:rsidRPr="00E47BDC">
        <w:rPr>
          <w:rStyle w:val="FootnoteReference"/>
        </w:rPr>
        <w:footnoteReference w:id="53"/>
      </w:r>
    </w:p>
    <w:p w14:paraId="2C4CBF27" w14:textId="77777777" w:rsidR="00F935CF" w:rsidRPr="00E47BDC" w:rsidRDefault="00F935CF" w:rsidP="0061433F">
      <w:pPr>
        <w:pStyle w:val="BodyText"/>
      </w:pPr>
      <w:r w:rsidRPr="00E47BDC">
        <w:t xml:space="preserve">However, there is still a major challenge ahead of Australia in reaching OECD best practice. Overall educational participation among 15–19-year-olds in Australia remained flat for a decade in the face of ongoing improvement within the OECD as a whole. In 2000, 82 per cent of 15–19-year-old Australians were participating in education, compared with an OECD average of 77 per cent; in 2010, our participation rate was 81 per cent, whereas the OECD average had risen to 83 per cent (see </w:t>
      </w:r>
      <w:r w:rsidR="0056511F" w:rsidRPr="00E47BDC">
        <w:rPr>
          <w:highlight w:val="yellow"/>
        </w:rPr>
        <w:fldChar w:fldCharType="begin"/>
      </w:r>
      <w:r w:rsidRPr="00E47BDC">
        <w:instrText xml:space="preserve"> REF _Ref209607534 \h </w:instrText>
      </w:r>
      <w:r w:rsidR="0056511F" w:rsidRPr="00E47BDC">
        <w:rPr>
          <w:highlight w:val="yellow"/>
        </w:rPr>
      </w:r>
      <w:r w:rsidR="0056511F" w:rsidRPr="00E47BDC">
        <w:rPr>
          <w:highlight w:val="yellow"/>
        </w:rPr>
        <w:fldChar w:fldCharType="separate"/>
      </w:r>
      <w:r w:rsidR="00A76CFC" w:rsidRPr="00E47BDC">
        <w:t>Figure 4.</w:t>
      </w:r>
      <w:r w:rsidR="00A76CFC">
        <w:rPr>
          <w:noProof/>
        </w:rPr>
        <w:t>2</w:t>
      </w:r>
      <w:r w:rsidR="0056511F" w:rsidRPr="00E47BDC">
        <w:rPr>
          <w:highlight w:val="yellow"/>
        </w:rPr>
        <w:fldChar w:fldCharType="end"/>
      </w:r>
      <w:r w:rsidRPr="00E47BDC">
        <w:t>).</w:t>
      </w:r>
    </w:p>
    <w:p w14:paraId="174E17B5" w14:textId="77777777" w:rsidR="00F935CF" w:rsidRPr="00E47BDC" w:rsidRDefault="00F935CF" w:rsidP="0061433F">
      <w:pPr>
        <w:pStyle w:val="Caption"/>
        <w:keepNext/>
        <w:jc w:val="both"/>
      </w:pPr>
      <w:bookmarkStart w:id="97" w:name="_Ref209607534"/>
      <w:r w:rsidRPr="00E47BDC">
        <w:t>Figure 4.</w:t>
      </w:r>
      <w:r w:rsidR="001D7D12">
        <w:fldChar w:fldCharType="begin"/>
      </w:r>
      <w:r w:rsidR="001D7D12">
        <w:instrText xml:space="preserve"> SEQ Figure \* ARABIC </w:instrText>
      </w:r>
      <w:r w:rsidR="001D7D12">
        <w:fldChar w:fldCharType="separate"/>
      </w:r>
      <w:r w:rsidR="00A76CFC">
        <w:rPr>
          <w:noProof/>
        </w:rPr>
        <w:t>2</w:t>
      </w:r>
      <w:r w:rsidR="001D7D12">
        <w:rPr>
          <w:noProof/>
        </w:rPr>
        <w:fldChar w:fldCharType="end"/>
      </w:r>
      <w:bookmarkEnd w:id="97"/>
      <w:r w:rsidRPr="00E47BDC">
        <w:t>: teenagers’ Educational participation has been flat in australia, but has been rising steadily in the OECD as a whole: 15–19-year-old students as a percentage of the population aged 15–19, 2000–10</w:t>
      </w:r>
    </w:p>
    <w:p w14:paraId="29F03ABF" w14:textId="77777777" w:rsidR="00F935CF" w:rsidRDefault="00F935CF" w:rsidP="0061433F">
      <w:pPr>
        <w:pStyle w:val="TableCellText"/>
        <w:ind w:left="0"/>
        <w:jc w:val="both"/>
      </w:pPr>
      <w:r>
        <w:rPr>
          <w:noProof/>
          <w:lang w:eastAsia="en-AU"/>
        </w:rPr>
        <w:drawing>
          <wp:inline distT="0" distB="0" distL="0" distR="0" wp14:anchorId="42A0FE82" wp14:editId="4EF989D9">
            <wp:extent cx="5940000" cy="2700000"/>
            <wp:effectExtent l="0" t="0" r="3810" b="0"/>
            <wp:docPr id="50" name="Chart 50" descr="Figure 4.2: teenagers’ Educational participation has been flat in australia, but has been rising steadily in the OECD as a whole: 15–19-year-old students as a percentage of the population aged 15–19, 2000–10&#10;" title="Figure 4.2: teenagers’ Educational participation has been flat in australia, but has been rising steadily in the OECD as a whole: 15–19-year-old students as a percentage of the population aged 15–19, 2000–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0A6983" w14:textId="77777777" w:rsidR="00F935CF" w:rsidRPr="00E47BDC" w:rsidRDefault="00F935CF" w:rsidP="0061433F">
      <w:pPr>
        <w:pStyle w:val="TableCellText"/>
        <w:ind w:left="0"/>
        <w:jc w:val="both"/>
      </w:pPr>
      <w:r w:rsidRPr="00E47BDC">
        <w:t xml:space="preserve">Source: OECD (2011, 2012) </w:t>
      </w:r>
      <w:r w:rsidRPr="009C02C9">
        <w:rPr>
          <w:i/>
        </w:rPr>
        <w:t>Education at a Glance</w:t>
      </w:r>
      <w:r w:rsidRPr="00E47BDC">
        <w:t>, Table C1.2.</w:t>
      </w:r>
    </w:p>
    <w:p w14:paraId="2A7E7BF1" w14:textId="77777777" w:rsidR="00F935CF" w:rsidRPr="00E47BDC" w:rsidRDefault="00F935CF" w:rsidP="0061433F">
      <w:pPr>
        <w:pStyle w:val="BodyText"/>
      </w:pPr>
      <w:r w:rsidRPr="00E47BDC">
        <w:t>Australia has set itself an ambitious target of raising 20–24-year-olds’ Year 12 (or equivalent Certificate III) attainment rates to 90 per cent by 2020, with an interim target for 2015 for Year 12 or Certificate II qualifications. Schools are at the heart of achieving this target:</w:t>
      </w:r>
    </w:p>
    <w:p w14:paraId="51658C9D" w14:textId="77777777" w:rsidR="00F935CF" w:rsidRPr="00E47BDC" w:rsidRDefault="00F935CF" w:rsidP="0061433F">
      <w:pPr>
        <w:pStyle w:val="ListBullet"/>
      </w:pPr>
      <w:r w:rsidRPr="00E47BDC">
        <w:t xml:space="preserve">Most 16–17-year-olds who are in education are in school (see </w:t>
      </w:r>
      <w:r w:rsidR="0056511F" w:rsidRPr="00E47BDC">
        <w:fldChar w:fldCharType="begin"/>
      </w:r>
      <w:r w:rsidRPr="00E47BDC">
        <w:instrText xml:space="preserve"> REF _Ref207019144 \h </w:instrText>
      </w:r>
      <w:r w:rsidR="0056511F" w:rsidRPr="00E47BDC">
        <w:fldChar w:fldCharType="separate"/>
      </w:r>
      <w:r w:rsidR="00A76CFC" w:rsidRPr="00E47BDC">
        <w:t>Figure 4.</w:t>
      </w:r>
      <w:r w:rsidR="00A76CFC">
        <w:rPr>
          <w:noProof/>
        </w:rPr>
        <w:t>3</w:t>
      </w:r>
      <w:r w:rsidR="0056511F" w:rsidRPr="00E47BDC">
        <w:fldChar w:fldCharType="end"/>
      </w:r>
      <w:r w:rsidRPr="00E47BDC">
        <w:t>), not publicly funded VET or higher education; most people who attain a Year 12 or equivalent qualification do so by the age of 18</w:t>
      </w:r>
    </w:p>
    <w:p w14:paraId="3FD05620" w14:textId="77777777" w:rsidR="00F935CF" w:rsidRPr="00E47BDC" w:rsidRDefault="00F935CF" w:rsidP="0061433F">
      <w:pPr>
        <w:pStyle w:val="ListBullet"/>
      </w:pPr>
      <w:r w:rsidRPr="00E47BDC">
        <w:t>The majority of young people who attain a Year 12 or equivalent qualification do so at school</w:t>
      </w:r>
      <w:r w:rsidRPr="00E47BDC">
        <w:rPr>
          <w:rStyle w:val="FootnoteReference"/>
        </w:rPr>
        <w:footnoteReference w:id="54"/>
      </w:r>
    </w:p>
    <w:p w14:paraId="3684E377" w14:textId="77777777" w:rsidR="00F935CF" w:rsidRPr="00E47BDC" w:rsidRDefault="00F935CF" w:rsidP="0061433F">
      <w:pPr>
        <w:pStyle w:val="ListBullet"/>
      </w:pPr>
      <w:r w:rsidRPr="00E47BDC">
        <w:lastRenderedPageBreak/>
        <w:t>VET participation by 16–17-year-olds without Year 12 has been falling in recent years, whereas school participation has risen slightly since the NP was introduced.</w:t>
      </w:r>
    </w:p>
    <w:p w14:paraId="23171DE8" w14:textId="77777777" w:rsidR="00F935CF" w:rsidRDefault="00F935CF" w:rsidP="0061433F">
      <w:pPr>
        <w:pStyle w:val="Caption"/>
        <w:keepNext/>
        <w:jc w:val="both"/>
      </w:pPr>
      <w:bookmarkStart w:id="98" w:name="_Ref207019144"/>
      <w:r w:rsidRPr="00E47BDC">
        <w:t>Figure 4.</w:t>
      </w:r>
      <w:r w:rsidR="001D7D12">
        <w:fldChar w:fldCharType="begin"/>
      </w:r>
      <w:r w:rsidR="001D7D12">
        <w:instrText xml:space="preserve"> SEQ Figure \* ARABIC </w:instrText>
      </w:r>
      <w:r w:rsidR="001D7D12">
        <w:fldChar w:fldCharType="separate"/>
      </w:r>
      <w:r w:rsidR="00A76CFC">
        <w:rPr>
          <w:noProof/>
        </w:rPr>
        <w:t>3</w:t>
      </w:r>
      <w:r w:rsidR="001D7D12">
        <w:rPr>
          <w:noProof/>
        </w:rPr>
        <w:fldChar w:fldCharType="end"/>
      </w:r>
      <w:bookmarkEnd w:id="98"/>
      <w:r w:rsidRPr="00E47BDC">
        <w:t>: 16–17-year-olds in education and training, by sector, 2010</w:t>
      </w:r>
    </w:p>
    <w:p w14:paraId="48E3004F" w14:textId="77777777" w:rsidR="00B75671" w:rsidRPr="00B75671" w:rsidRDefault="00B75671" w:rsidP="00B75671">
      <w:pPr>
        <w:pStyle w:val="BodyText"/>
      </w:pPr>
      <w:r>
        <w:rPr>
          <w:noProof/>
          <w:lang w:eastAsia="en-AU"/>
        </w:rPr>
        <w:drawing>
          <wp:inline distT="0" distB="0" distL="0" distR="0" wp14:anchorId="72B8318F" wp14:editId="40417BAC">
            <wp:extent cx="5940000" cy="3420000"/>
            <wp:effectExtent l="0" t="0" r="3810" b="9525"/>
            <wp:docPr id="17" name="Chart 17" descr="Figure 4.3: 16–17-year-olds in education and training, by sector, 2010&#10;" title="Figure 4.3: 16–17-year-olds in education and training, by sector, 20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78FA4ED" w14:textId="77777777" w:rsidR="00F935CF" w:rsidRPr="00E47BDC" w:rsidRDefault="00F935CF" w:rsidP="0061433F">
      <w:pPr>
        <w:pStyle w:val="TableCellText"/>
        <w:ind w:left="0"/>
        <w:jc w:val="both"/>
      </w:pPr>
      <w:r w:rsidRPr="00E47BDC">
        <w:t>Source: NCVER (2011</w:t>
      </w:r>
      <w:r w:rsidRPr="00E47BDC">
        <w:rPr>
          <w:i/>
        </w:rPr>
        <w:t>) Young People in Education and Training</w:t>
      </w:r>
      <w:r w:rsidRPr="00E47BDC">
        <w:t>, Adelaide.</w:t>
      </w:r>
    </w:p>
    <w:p w14:paraId="6CB6E3D9" w14:textId="77777777" w:rsidR="00F935CF" w:rsidRPr="00E47BDC" w:rsidRDefault="00F935CF" w:rsidP="0061433F">
      <w:pPr>
        <w:pStyle w:val="ListBullet"/>
        <w:numPr>
          <w:ilvl w:val="0"/>
          <w:numId w:val="0"/>
        </w:numPr>
      </w:pPr>
      <w:r w:rsidRPr="00E47BDC">
        <w:t>Increased participation seems unlikely if young people are not interested in what is available, and if they do not engage with how it is taught, where it is taught, and who teaches it. And this increased engagement with learning needs to occur in particular among those who are the least likely to participate in education and training at the moment.</w:t>
      </w:r>
    </w:p>
    <w:p w14:paraId="3F4FEE2C" w14:textId="77777777" w:rsidR="00F935CF" w:rsidRPr="00E47BDC" w:rsidRDefault="00F935CF" w:rsidP="0061433F">
      <w:pPr>
        <w:pStyle w:val="BodyText"/>
      </w:pPr>
      <w:r w:rsidRPr="00E47BDC">
        <w:t xml:space="preserve">The OECD’s </w:t>
      </w:r>
      <w:r w:rsidRPr="009C02C9">
        <w:t>Programme for International Student Assessment</w:t>
      </w:r>
      <w:r w:rsidRPr="00E47BDC">
        <w:t xml:space="preserve"> (PISA) survey points to a real challenge for Australia in raising engagement with learning among lowest achievers. Both the 2006 and 2009 surveys showed that overall interest in learning by 15-year-olds in Australia was at about the OECD average (see </w:t>
      </w:r>
      <w:r w:rsidR="0056511F" w:rsidRPr="00E47BDC">
        <w:fldChar w:fldCharType="begin"/>
      </w:r>
      <w:r w:rsidRPr="00E47BDC">
        <w:instrText xml:space="preserve"> REF _Ref336431635 \h </w:instrText>
      </w:r>
      <w:r w:rsidR="0056511F" w:rsidRPr="00E47BDC">
        <w:fldChar w:fldCharType="separate"/>
      </w:r>
      <w:r w:rsidR="00A76CFC" w:rsidRPr="00E47BDC">
        <w:t>Figure 4.</w:t>
      </w:r>
      <w:r w:rsidR="00A76CFC">
        <w:rPr>
          <w:noProof/>
        </w:rPr>
        <w:t>4</w:t>
      </w:r>
      <w:r w:rsidR="0056511F" w:rsidRPr="00E47BDC">
        <w:fldChar w:fldCharType="end"/>
      </w:r>
      <w:r w:rsidRPr="00E47BDC">
        <w:t xml:space="preserve">, left). However, both surveys showed that the gap in achievement between those most and least interested in learning was at the very top of the OECD range. And the gap in interest in learning between the best and the worst readers was also among the highest in the OECD (see </w:t>
      </w:r>
      <w:r w:rsidR="0056511F" w:rsidRPr="00E47BDC">
        <w:fldChar w:fldCharType="begin"/>
      </w:r>
      <w:r w:rsidRPr="00E47BDC">
        <w:instrText xml:space="preserve"> REF _Ref336431635 \h </w:instrText>
      </w:r>
      <w:r w:rsidR="0056511F" w:rsidRPr="00E47BDC">
        <w:fldChar w:fldCharType="separate"/>
      </w:r>
      <w:r w:rsidR="00A76CFC" w:rsidRPr="00E47BDC">
        <w:t>Figure 4.</w:t>
      </w:r>
      <w:r w:rsidR="00A76CFC">
        <w:rPr>
          <w:noProof/>
        </w:rPr>
        <w:t>4</w:t>
      </w:r>
      <w:r w:rsidR="0056511F" w:rsidRPr="00E47BDC">
        <w:fldChar w:fldCharType="end"/>
      </w:r>
      <w:r w:rsidRPr="00E47BDC">
        <w:t>, right). Whether lack of interest in learning leads to low achievement, or low achievement leads to low interest in learning, the fact remains that we face a substantial challenge in raising achievement levels among those disinterested in learning, and in raising interest in learning among low achievers. Both have implications for transition outcomes given the demonstrated links between disengagement from learning, low achievement and early school leaving.</w:t>
      </w:r>
    </w:p>
    <w:p w14:paraId="7870EF03" w14:textId="77777777" w:rsidR="00F935CF" w:rsidRPr="00E47BDC" w:rsidRDefault="00F935CF" w:rsidP="0061433F">
      <w:pPr>
        <w:spacing w:line="380" w:lineRule="atLeast"/>
        <w:jc w:val="both"/>
        <w:rPr>
          <w:rFonts w:cs="ArialNarrow-Bold"/>
          <w:bCs/>
          <w:caps/>
          <w:color w:val="000000"/>
          <w:sz w:val="16"/>
          <w:szCs w:val="16"/>
          <w:highlight w:val="yellow"/>
        </w:rPr>
      </w:pPr>
      <w:r w:rsidRPr="00E47BDC">
        <w:rPr>
          <w:highlight w:val="yellow"/>
        </w:rPr>
        <w:br w:type="page"/>
      </w:r>
    </w:p>
    <w:p w14:paraId="1F8E4EE9" w14:textId="77777777" w:rsidR="00F935CF" w:rsidRPr="00E47BDC" w:rsidRDefault="00F935CF" w:rsidP="0061433F">
      <w:pPr>
        <w:pStyle w:val="Caption"/>
        <w:keepNext/>
        <w:jc w:val="both"/>
      </w:pPr>
      <w:bookmarkStart w:id="99" w:name="_Ref336431635"/>
      <w:r w:rsidRPr="00E47BDC">
        <w:lastRenderedPageBreak/>
        <w:t>Figure 4.</w:t>
      </w:r>
      <w:r w:rsidR="001D7D12">
        <w:fldChar w:fldCharType="begin"/>
      </w:r>
      <w:r w:rsidR="001D7D12">
        <w:instrText xml:space="preserve"> SEQ Figure \* ARABIC </w:instrText>
      </w:r>
      <w:r w:rsidR="001D7D12">
        <w:fldChar w:fldCharType="separate"/>
      </w:r>
      <w:r w:rsidR="00A76CFC">
        <w:rPr>
          <w:noProof/>
        </w:rPr>
        <w:t>4</w:t>
      </w:r>
      <w:r w:rsidR="001D7D12">
        <w:rPr>
          <w:noProof/>
        </w:rPr>
        <w:fldChar w:fldCharType="end"/>
      </w:r>
      <w:bookmarkEnd w:id="99"/>
      <w:r w:rsidRPr="00E47BDC">
        <w:t>: Learning Engagement Levels (Left) and Achievement Levels (Gap in Reading Achievement Between Most and Least Engaged Learners)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935CF" w:rsidRPr="00E47BDC" w14:paraId="66850E2A" w14:textId="77777777" w:rsidTr="00F935CF">
        <w:trPr>
          <w:trHeight w:val="4422"/>
        </w:trPr>
        <w:tc>
          <w:tcPr>
            <w:tcW w:w="4788" w:type="dxa"/>
          </w:tcPr>
          <w:p w14:paraId="31760E32" w14:textId="77777777" w:rsidR="00F935CF" w:rsidRPr="00E47BDC" w:rsidRDefault="00811E2B" w:rsidP="0061433F">
            <w:pPr>
              <w:pStyle w:val="BodyText"/>
            </w:pPr>
            <w:r>
              <w:rPr>
                <w:noProof/>
                <w:lang w:eastAsia="en-AU"/>
              </w:rPr>
              <mc:AlternateContent>
                <mc:Choice Requires="wps">
                  <w:drawing>
                    <wp:anchor distT="0" distB="0" distL="114300" distR="114300" simplePos="0" relativeHeight="251659264" behindDoc="0" locked="0" layoutInCell="1" allowOverlap="1" wp14:anchorId="2CCEA5B8" wp14:editId="0EB84170">
                      <wp:simplePos x="0" y="0"/>
                      <wp:positionH relativeFrom="column">
                        <wp:posOffset>2562860</wp:posOffset>
                      </wp:positionH>
                      <wp:positionV relativeFrom="paragraph">
                        <wp:posOffset>1036955</wp:posOffset>
                      </wp:positionV>
                      <wp:extent cx="864235" cy="285115"/>
                      <wp:effectExtent l="10160" t="0" r="9525" b="95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4235" cy="285115"/>
                              </a:xfrm>
                              <a:prstGeom prst="rect">
                                <a:avLst/>
                              </a:prstGeom>
                              <a:solidFill>
                                <a:srgbClr val="FFFFFF"/>
                              </a:solidFill>
                              <a:ln w="9525">
                                <a:noFill/>
                                <a:miter lim="800000"/>
                                <a:headEnd/>
                                <a:tailEnd/>
                              </a:ln>
                            </wps:spPr>
                            <wps:txbx>
                              <w:txbxContent>
                                <w:p w14:paraId="05691700" w14:textId="77777777" w:rsidR="00F45E64" w:rsidRPr="00656B36" w:rsidRDefault="00F45E64" w:rsidP="00F935CF">
                                  <w:pPr>
                                    <w:rPr>
                                      <w:rFonts w:asciiTheme="majorHAnsi" w:hAnsiTheme="majorHAnsi"/>
                                    </w:rPr>
                                  </w:pPr>
                                  <w:r w:rsidRPr="00656B36">
                                    <w:rPr>
                                      <w:rFonts w:asciiTheme="majorHAnsi" w:hAnsiTheme="majorHAnsi"/>
                                    </w:rPr>
                                    <w:t>PISA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201.8pt;margin-top:81.65pt;width:68.05pt;height:22.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" stroked="f">
                      <v:textbox>
                        <w:txbxContent>
                          <w:p w14:paraId="05691700" w14:textId="77777777" w:rsidR="00F45E64" w:rsidRPr="00656B36" w:rsidRDefault="00F45E64" w:rsidP="00F935CF">
                            <w:pPr>
                              <w:rPr>
                                <w:rFonts w:asciiTheme="majorHAnsi" w:hAnsiTheme="majorHAnsi"/>
                              </w:rPr>
                            </w:pPr>
                            <w:r w:rsidRPr="00656B36">
                              <w:rPr>
                                <w:rFonts w:asciiTheme="majorHAnsi" w:hAnsiTheme="majorHAnsi"/>
                              </w:rPr>
                              <w:t>PISA points</w:t>
                            </w:r>
                          </w:p>
                        </w:txbxContent>
                      </v:textbox>
                    </v:shape>
                  </w:pict>
                </mc:Fallback>
              </mc:AlternateContent>
            </w:r>
            <w:r w:rsidR="00F935CF" w:rsidRPr="00E47BDC">
              <w:rPr>
                <w:noProof/>
                <w:lang w:eastAsia="en-AU"/>
              </w:rPr>
              <w:drawing>
                <wp:inline distT="0" distB="0" distL="0" distR="0" wp14:anchorId="4DB32500" wp14:editId="5FFD2A8D">
                  <wp:extent cx="2700000" cy="2700020"/>
                  <wp:effectExtent l="0" t="0" r="0" b="0"/>
                  <wp:docPr id="52" name="Chart 1" descr="Figure 4.4: Learning Engagement Levels (Left) and Achievement Levels (Gap in Reading Achievement Between Most and Least Engaged Learners) (Right)&#10;" title="Figure 4.4: Learning Engagement Levels (Left) and Achievement Levels (Gap in Reading Achievement Between Most and Least Engaged Learners) (Right) "/>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788" w:type="dxa"/>
          </w:tcPr>
          <w:p w14:paraId="190B6DEE" w14:textId="77777777" w:rsidR="00F935CF" w:rsidRPr="00E47BDC" w:rsidRDefault="00F935CF" w:rsidP="0061433F">
            <w:pPr>
              <w:pStyle w:val="BodyText"/>
            </w:pPr>
            <w:r w:rsidRPr="00E47BDC">
              <w:rPr>
                <w:noProof/>
                <w:lang w:eastAsia="en-AU"/>
              </w:rPr>
              <w:drawing>
                <wp:inline distT="0" distB="0" distL="0" distR="0" wp14:anchorId="38D2AB93" wp14:editId="38FD90BD">
                  <wp:extent cx="2700000" cy="2700000"/>
                  <wp:effectExtent l="0" t="0" r="18415" b="18415"/>
                  <wp:docPr id="53" name="Chart 1" descr="Figure 4.4: Learning Engagement Levels (Left) and Achievement Levels (Gap in Reading Achievement Between Most and Least Engaged Learners) (Right)&#10;" title="Figure 4.4: Learning Engagement Levels (Left) and Achievement Levels (Gap in Reading Achievement Between Most and Least Engaged Learners) (Right) "/>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197D3EC5" w14:textId="77777777" w:rsidR="00F935CF" w:rsidRPr="00E47BDC" w:rsidRDefault="00F935CF" w:rsidP="0061433F">
      <w:pPr>
        <w:pStyle w:val="Tablenote"/>
        <w:jc w:val="both"/>
      </w:pPr>
      <w:r w:rsidRPr="00E47BDC">
        <w:t xml:space="preserve">Source: OECD (2011) </w:t>
      </w:r>
      <w:r w:rsidRPr="00E47BDC">
        <w:rPr>
          <w:i/>
        </w:rPr>
        <w:t>PISA 2009 Results: Learning to Learn: Student Engagement, Strategies and Practices,</w:t>
      </w:r>
      <w:r w:rsidRPr="00E47BDC">
        <w:t xml:space="preserve"> Vol. III, Table III.1.1.</w:t>
      </w:r>
    </w:p>
    <w:p w14:paraId="74DDD96A" w14:textId="77777777" w:rsidR="00F935CF" w:rsidRPr="00E47BDC" w:rsidRDefault="00F935CF" w:rsidP="0061433F">
      <w:pPr>
        <w:pStyle w:val="BodyText"/>
      </w:pPr>
      <w:r w:rsidRPr="00E47BDC">
        <w:t xml:space="preserve">Among the common reasons given by </w:t>
      </w:r>
      <w:r w:rsidR="009A2DC8" w:rsidRPr="00E47BDC">
        <w:t>education, training, community and youth sector representatives</w:t>
      </w:r>
      <w:r w:rsidR="009A2DC8">
        <w:t xml:space="preserve"> to explain why </w:t>
      </w:r>
      <w:r w:rsidRPr="00E47BDC">
        <w:t xml:space="preserve">young people for leaving school early is the fact that they </w:t>
      </w:r>
      <w:r w:rsidR="009A2DC8">
        <w:t>cannot</w:t>
      </w:r>
      <w:r w:rsidR="009A2DC8" w:rsidRPr="00E47BDC">
        <w:t xml:space="preserve"> </w:t>
      </w:r>
      <w:r w:rsidRPr="00E47BDC">
        <w:t>not find anything to study that interested them, and the fact that they d</w:t>
      </w:r>
      <w:r w:rsidR="009A2DC8">
        <w:t>o</w:t>
      </w:r>
      <w:r w:rsidRPr="00E47BDC">
        <w:t xml:space="preserve"> not like the school and how they were treated there. This suggests that solutions to the challenges that we face in raising engagement with learning need to be sought in what is taught (the breadth of the curriculum), how it is taught (appropriate pedagogy), where learning occurs (school, classroom, workplace), and who young people learn from (teachers, mentors, peers, employers).</w:t>
      </w:r>
    </w:p>
    <w:p w14:paraId="7DEAAD24" w14:textId="77777777" w:rsidR="00F935CF" w:rsidRPr="00E47BDC" w:rsidRDefault="00F935CF" w:rsidP="0061433F">
      <w:pPr>
        <w:pStyle w:val="Heading3"/>
        <w:jc w:val="both"/>
      </w:pPr>
      <w:r w:rsidRPr="00E47BDC">
        <w:t>Young people and the labour market</w:t>
      </w:r>
    </w:p>
    <w:p w14:paraId="2F01452D" w14:textId="77777777" w:rsidR="00F935CF" w:rsidRPr="00E47BDC" w:rsidRDefault="00F935CF" w:rsidP="0061433F">
      <w:pPr>
        <w:pStyle w:val="BodyText"/>
      </w:pPr>
      <w:r w:rsidRPr="00E47BDC">
        <w:t>There is a strong inverse relationship between levels of educational participation and the number of young people who are not in education and either unemployed or inactive (NEET). Figure 4.</w:t>
      </w:r>
      <w:r w:rsidR="00715899">
        <w:t>5</w:t>
      </w:r>
      <w:r w:rsidRPr="00E47BDC">
        <w:t xml:space="preserve"> shows this relationship using international data:</w:t>
      </w:r>
    </w:p>
    <w:p w14:paraId="5EC79601" w14:textId="77777777" w:rsidR="00F935CF" w:rsidRPr="00E47BDC" w:rsidRDefault="00F935CF" w:rsidP="0061433F">
      <w:pPr>
        <w:pStyle w:val="ListBullet"/>
      </w:pPr>
      <w:r w:rsidRPr="00E47BDC">
        <w:t>Countries such as Denmark that have the highest rates of educational participation by 15–19-year-olds have the smallest number in the NEET group</w:t>
      </w:r>
    </w:p>
    <w:p w14:paraId="29D28938" w14:textId="77777777" w:rsidR="00F935CF" w:rsidRPr="00E47BDC" w:rsidRDefault="00F935CF" w:rsidP="0061433F">
      <w:pPr>
        <w:pStyle w:val="ListBullet"/>
      </w:pPr>
      <w:r w:rsidRPr="00E47BDC">
        <w:t>Those with low rates of educational participation such as Turkey have large numbers who are not in education and are either unemployed or inactive</w:t>
      </w:r>
    </w:p>
    <w:p w14:paraId="0CE6EF8E" w14:textId="77777777" w:rsidR="00F935CF" w:rsidRPr="00E47BDC" w:rsidRDefault="00F935CF" w:rsidP="0061433F">
      <w:pPr>
        <w:pStyle w:val="ListBullet"/>
      </w:pPr>
      <w:r w:rsidRPr="00E47BDC">
        <w:t>Australia falls between these two extremes.</w:t>
      </w:r>
    </w:p>
    <w:p w14:paraId="1280D5A2" w14:textId="77777777" w:rsidR="00F935CF" w:rsidRPr="00E47BDC" w:rsidRDefault="00F935CF" w:rsidP="0061433F">
      <w:pPr>
        <w:pStyle w:val="Caption"/>
        <w:keepNext/>
        <w:jc w:val="both"/>
      </w:pPr>
      <w:r w:rsidRPr="00E47BDC">
        <w:lastRenderedPageBreak/>
        <w:t>Figure</w:t>
      </w:r>
      <w:r w:rsidR="00715899">
        <w:t xml:space="preserve"> 4.5</w:t>
      </w:r>
      <w:r w:rsidRPr="00E47BDC">
        <w:t>: Educational Participation and NEET Rate</w:t>
      </w:r>
    </w:p>
    <w:p w14:paraId="7390606B" w14:textId="77777777" w:rsidR="00F935CF" w:rsidRDefault="00F935CF" w:rsidP="0061433F">
      <w:pPr>
        <w:pStyle w:val="Tablenote"/>
        <w:jc w:val="both"/>
      </w:pPr>
      <w:r w:rsidRPr="00E47BDC">
        <w:rPr>
          <w:noProof/>
          <w:lang w:eastAsia="en-AU"/>
        </w:rPr>
        <w:drawing>
          <wp:inline distT="0" distB="0" distL="0" distR="0" wp14:anchorId="60338C28" wp14:editId="6B981B5F">
            <wp:extent cx="5964813" cy="2700000"/>
            <wp:effectExtent l="0" t="0" r="4445" b="0"/>
            <wp:docPr id="54" name="Chart 54" descr="Figure 4.5: Educational Participation and NEET Rate&#10;" title="Figure 4.5: Educational Participation and NEET Rat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4CFEE66" w14:textId="77777777" w:rsidR="00F935CF" w:rsidRPr="00E47BDC" w:rsidRDefault="00F935CF" w:rsidP="0061433F">
      <w:pPr>
        <w:pStyle w:val="Tablenote"/>
        <w:jc w:val="both"/>
      </w:pPr>
      <w:r w:rsidRPr="00E47BDC">
        <w:t xml:space="preserve">Source: OECD (2011) </w:t>
      </w:r>
      <w:r w:rsidRPr="00E47BDC">
        <w:rPr>
          <w:i/>
        </w:rPr>
        <w:t>Education at a Glance</w:t>
      </w:r>
      <w:r w:rsidRPr="00E47BDC">
        <w:t>.</w:t>
      </w:r>
    </w:p>
    <w:p w14:paraId="37F9668B" w14:textId="77777777" w:rsidR="00F935CF" w:rsidRPr="00E47BDC" w:rsidRDefault="00F935CF" w:rsidP="0061433F">
      <w:pPr>
        <w:pStyle w:val="BodyText"/>
      </w:pPr>
      <w:r w:rsidRPr="00E47BDC">
        <w:t>Figure 4.</w:t>
      </w:r>
      <w:r w:rsidR="00715899">
        <w:t>6</w:t>
      </w:r>
      <w:r w:rsidRPr="00E47BDC">
        <w:t xml:space="preserve"> shows that the same relationship exists over time in Australia. As full-time educational participation rates rose between 1990 and 2012, the proportion of teenagers in the NEET group fell: from around 12 per cent of the age group in the early 1990s (when full-time educational participation was around 65 per cent) to around 8 per cent of the age group in 2012 (with participation standing at around 73 per cent of the age group).</w:t>
      </w:r>
    </w:p>
    <w:p w14:paraId="75DFB1C4" w14:textId="77777777" w:rsidR="00F935CF" w:rsidRPr="00E47BDC" w:rsidRDefault="00F935CF" w:rsidP="0061433F">
      <w:pPr>
        <w:pStyle w:val="Caption"/>
        <w:keepNext/>
        <w:jc w:val="both"/>
      </w:pPr>
      <w:r w:rsidRPr="00E47BDC">
        <w:t>Figure 4.</w:t>
      </w:r>
      <w:r w:rsidR="001D7D12">
        <w:fldChar w:fldCharType="begin"/>
      </w:r>
      <w:r w:rsidR="001D7D12">
        <w:instrText xml:space="preserve"> SEQ Figure \* ARABIC </w:instrText>
      </w:r>
      <w:r w:rsidR="001D7D12">
        <w:fldChar w:fldCharType="separate"/>
      </w:r>
      <w:r w:rsidR="00A76CFC">
        <w:rPr>
          <w:noProof/>
        </w:rPr>
        <w:t>5</w:t>
      </w:r>
      <w:r w:rsidR="001D7D12">
        <w:rPr>
          <w:noProof/>
        </w:rPr>
        <w:fldChar w:fldCharType="end"/>
      </w:r>
      <w:r w:rsidRPr="00E47BDC">
        <w:t>: Full-Time Educational Participation and NEET, 1990–2010</w:t>
      </w:r>
    </w:p>
    <w:p w14:paraId="21B3B327" w14:textId="77777777" w:rsidR="00F935CF" w:rsidRDefault="00F935CF" w:rsidP="0061433F">
      <w:pPr>
        <w:pStyle w:val="Tablenote"/>
        <w:jc w:val="both"/>
      </w:pPr>
      <w:r>
        <w:rPr>
          <w:noProof/>
          <w:lang w:eastAsia="en-AU"/>
        </w:rPr>
        <w:drawing>
          <wp:inline distT="0" distB="0" distL="0" distR="0" wp14:anchorId="4BAF85F4" wp14:editId="5E6872A4">
            <wp:extent cx="5964813" cy="2700000"/>
            <wp:effectExtent l="0" t="0" r="4445" b="0"/>
            <wp:docPr id="4" name="Chart 4" descr="Figure 4.5: Full-Time Educational Participation and NEET, 1990–2010&#10;" title="Figure 4.5: Full-Time Educational Participation and NEET, 1990–20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5EC97E4" w14:textId="77777777" w:rsidR="00F935CF" w:rsidRPr="00E47BDC" w:rsidRDefault="00F935CF" w:rsidP="0061433F">
      <w:pPr>
        <w:pStyle w:val="Tablenote"/>
        <w:jc w:val="both"/>
      </w:pPr>
      <w:r w:rsidRPr="00E47BDC">
        <w:t xml:space="preserve">Source: OECD (2011) </w:t>
      </w:r>
      <w:r w:rsidRPr="00E47BDC">
        <w:rPr>
          <w:i/>
        </w:rPr>
        <w:t>Education at a Glance</w:t>
      </w:r>
      <w:r w:rsidRPr="00E47BDC">
        <w:t>.</w:t>
      </w:r>
    </w:p>
    <w:p w14:paraId="608BCC8F" w14:textId="77777777" w:rsidR="00F935CF" w:rsidRPr="00E47BDC" w:rsidRDefault="00F935CF" w:rsidP="0061433F">
      <w:pPr>
        <w:pStyle w:val="BodyText"/>
      </w:pPr>
      <w:r w:rsidRPr="00E47BDC">
        <w:t>This strong relationship shows that raising educational participation and reducing the size of the NEET group are two aspects of the same policy challenge, and need to be tackled jointly.</w:t>
      </w:r>
    </w:p>
    <w:p w14:paraId="6E3375C5" w14:textId="77777777" w:rsidR="00F935CF" w:rsidRPr="00E47BDC" w:rsidRDefault="00F935CF" w:rsidP="0061433F">
      <w:pPr>
        <w:pStyle w:val="BodyText"/>
      </w:pPr>
      <w:r w:rsidRPr="00E47BDC">
        <w:t xml:space="preserve">Looking at the labour market, it is clear that while youth unemployment is relatively low when the labour market is buoyant, teenage unemployment is far more strongly influenced by the state of the labour market here than in other OECD countries. This means that Australian teenagers are much more vulnerable when the labour market turns down than are teenagers in other countries. This was evident during the 2008–09 GFC, when the number of Australian teenagers neither employed nor in education and training </w:t>
      </w:r>
      <w:r w:rsidRPr="00E47BDC">
        <w:lastRenderedPageBreak/>
        <w:t xml:space="preserve">increased at a much faster rate than in nearly all other OECD countries, even though the overall impact of the GFC here was far less (see </w:t>
      </w:r>
      <w:r w:rsidR="0056511F" w:rsidRPr="00E47BDC">
        <w:fldChar w:fldCharType="begin"/>
      </w:r>
      <w:r w:rsidRPr="00E47BDC">
        <w:instrText xml:space="preserve"> REF _Ref336432728 \h </w:instrText>
      </w:r>
      <w:r w:rsidR="0056511F" w:rsidRPr="00E47BDC">
        <w:fldChar w:fldCharType="separate"/>
      </w:r>
      <w:r w:rsidR="00A76CFC" w:rsidRPr="00E47BDC">
        <w:t>Figure 4.</w:t>
      </w:r>
      <w:r w:rsidR="00A76CFC">
        <w:rPr>
          <w:noProof/>
        </w:rPr>
        <w:t>6</w:t>
      </w:r>
      <w:r w:rsidR="0056511F" w:rsidRPr="00E47BDC">
        <w:fldChar w:fldCharType="end"/>
      </w:r>
      <w:r w:rsidRPr="00E47BDC">
        <w:t>).</w:t>
      </w:r>
    </w:p>
    <w:p w14:paraId="4739EF04" w14:textId="77777777" w:rsidR="00F935CF" w:rsidRDefault="00F935CF" w:rsidP="0061433F">
      <w:pPr>
        <w:pStyle w:val="Caption"/>
        <w:keepNext/>
        <w:jc w:val="both"/>
      </w:pPr>
      <w:bookmarkStart w:id="100" w:name="_Ref336432728"/>
      <w:r w:rsidRPr="00E47BDC">
        <w:t>Figure 4.</w:t>
      </w:r>
      <w:r w:rsidR="001D7D12">
        <w:fldChar w:fldCharType="begin"/>
      </w:r>
      <w:r w:rsidR="001D7D12">
        <w:instrText xml:space="preserve"> SEQ Figure \* ARABIC </w:instrText>
      </w:r>
      <w:r w:rsidR="001D7D12">
        <w:fldChar w:fldCharType="separate"/>
      </w:r>
      <w:r w:rsidR="00A76CFC">
        <w:rPr>
          <w:noProof/>
        </w:rPr>
        <w:t>6</w:t>
      </w:r>
      <w:r w:rsidR="001D7D12">
        <w:rPr>
          <w:noProof/>
        </w:rPr>
        <w:fldChar w:fldCharType="end"/>
      </w:r>
      <w:bookmarkEnd w:id="100"/>
      <w:r w:rsidRPr="00E47BDC">
        <w:t>: International Comparison of 15–19-year-olds Not In Employment, Education or Training, and 15–64-Year olds Unemployed, 2008–09</w:t>
      </w:r>
    </w:p>
    <w:p w14:paraId="14934E63" w14:textId="77777777" w:rsidR="00F935CF" w:rsidRPr="00D235AD" w:rsidRDefault="00F935CF" w:rsidP="0061433F">
      <w:pPr>
        <w:pStyle w:val="BodyText"/>
      </w:pPr>
      <w:r>
        <w:rPr>
          <w:noProof/>
          <w:lang w:eastAsia="en-AU"/>
        </w:rPr>
        <w:drawing>
          <wp:inline distT="0" distB="0" distL="0" distR="0" wp14:anchorId="103F1ECE" wp14:editId="04D8C45F">
            <wp:extent cx="5964813" cy="3414646"/>
            <wp:effectExtent l="0" t="0" r="4445" b="0"/>
            <wp:docPr id="55" name="Chart 55" descr="Figure 4.6: International Comparison of 15–19-year-olds Not In Employment, Education or Training, and 15–64-Year olds Unemployed, 2008–09&#10;" title="Figure 4.6: International Comparison of 15–19-year-olds Not In Employment, Education or Training, and 15–64-Year olds Unemployed, 2008–09 "/>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232EEF3" w14:textId="77777777" w:rsidR="00F935CF" w:rsidRPr="00E47BDC" w:rsidRDefault="00F935CF" w:rsidP="0061433F">
      <w:pPr>
        <w:pStyle w:val="Tablenote"/>
        <w:jc w:val="both"/>
      </w:pPr>
      <w:r w:rsidRPr="00E47BDC">
        <w:t xml:space="preserve">Sources: OECD (2010) </w:t>
      </w:r>
      <w:r w:rsidRPr="00E47BDC">
        <w:rPr>
          <w:i/>
        </w:rPr>
        <w:t>Education at a Glance</w:t>
      </w:r>
      <w:r w:rsidRPr="00E47BDC">
        <w:t>, Table C4.2a.</w:t>
      </w:r>
    </w:p>
    <w:p w14:paraId="2705C8F4" w14:textId="77777777" w:rsidR="00F935CF" w:rsidRPr="00E47BDC" w:rsidRDefault="00F935CF" w:rsidP="0061433F">
      <w:pPr>
        <w:pStyle w:val="BodyText"/>
      </w:pPr>
      <w:r w:rsidRPr="00E47BDC">
        <w:t>Over and above teenagers’ vulnerability to short-tem labour market fluctuations, their transition outcomes have been influenced by some longer-term structural changes to the youth labour market. These longer-term changes present policy challenges that were far less apparent in previous periods. For those teenagers who have left full-time education, the labour market is becoming increasingly difficult.</w:t>
      </w:r>
    </w:p>
    <w:p w14:paraId="23FB090A" w14:textId="77777777" w:rsidR="00F935CF" w:rsidRPr="00E47BDC" w:rsidRDefault="00F935CF" w:rsidP="0061433F">
      <w:pPr>
        <w:pStyle w:val="BodyText"/>
      </w:pPr>
      <w:r w:rsidRPr="00E47BDC">
        <w:t xml:space="preserve">Since 1990, there has been a steady decline in full-time job opportunities for teenagers, accentuated both by the 1991–92 recession and by the 2008–09 GFC. Experience tells us that full-time teenage employment levels do not recover when labour market conditions improve. In 1990, two-thirds of teenagers who had left full-time education held a full-time job. Now, less than half do. Declining full-time work has been accompanied by a steady increase in the proportion of those teenagers not in full-time education who hold only a part-time job: from one in 10 in 1990 to nearly one in four now (see </w:t>
      </w:r>
      <w:r w:rsidR="0056511F" w:rsidRPr="00E47BDC">
        <w:fldChar w:fldCharType="begin"/>
      </w:r>
      <w:r w:rsidRPr="00E47BDC">
        <w:instrText xml:space="preserve"> REF _Ref207018046 \h </w:instrText>
      </w:r>
      <w:r w:rsidR="0056511F" w:rsidRPr="00E47BDC">
        <w:fldChar w:fldCharType="separate"/>
      </w:r>
      <w:r w:rsidR="00A76CFC" w:rsidRPr="00E47BDC">
        <w:t>Figure 4.</w:t>
      </w:r>
      <w:r w:rsidR="00A76CFC">
        <w:rPr>
          <w:noProof/>
        </w:rPr>
        <w:t>7</w:t>
      </w:r>
      <w:r w:rsidR="0056511F" w:rsidRPr="00E47BDC">
        <w:fldChar w:fldCharType="end"/>
      </w:r>
      <w:r w:rsidRPr="00E47BDC">
        <w:t>).</w:t>
      </w:r>
    </w:p>
    <w:p w14:paraId="70969AA6" w14:textId="77777777" w:rsidR="00F935CF" w:rsidRPr="00E47BDC" w:rsidRDefault="00F935CF" w:rsidP="0061433F">
      <w:pPr>
        <w:pStyle w:val="BodyText"/>
      </w:pPr>
      <w:r w:rsidRPr="00E47BDC">
        <w:t xml:space="preserve">Teenage unemployment levels over this period have generally risen or fallen in line with overall labour market conditions. The proportion of 15–19-year-olds not in full-time education who were unemployed fell steadily between 2000 and 2008, but jumped sharply during the GFC. At 13 per cent, the number of those not in full-time education remained well above the pre-GFC level (see </w:t>
      </w:r>
      <w:r w:rsidR="0056511F" w:rsidRPr="00E47BDC">
        <w:fldChar w:fldCharType="begin"/>
      </w:r>
      <w:r w:rsidRPr="00E47BDC">
        <w:instrText xml:space="preserve"> REF _Ref207018046 \h </w:instrText>
      </w:r>
      <w:r w:rsidR="0056511F" w:rsidRPr="00E47BDC">
        <w:fldChar w:fldCharType="separate"/>
      </w:r>
      <w:r w:rsidR="00A76CFC" w:rsidRPr="00E47BDC">
        <w:t>Figure 4.</w:t>
      </w:r>
      <w:r w:rsidR="00A76CFC">
        <w:rPr>
          <w:noProof/>
        </w:rPr>
        <w:t>7</w:t>
      </w:r>
      <w:r w:rsidR="0056511F" w:rsidRPr="00E47BDC">
        <w:fldChar w:fldCharType="end"/>
      </w:r>
      <w:r w:rsidRPr="00E47BDC">
        <w:t>). Between 2000 and 2008, the number of 15–19-year-olds who were neither in full-time education nor in the labour force</w:t>
      </w:r>
      <w:r w:rsidRPr="00E47BDC">
        <w:rPr>
          <w:u w:val="single"/>
        </w:rPr>
        <w:t xml:space="preserve"> </w:t>
      </w:r>
      <w:r w:rsidRPr="00E47BDC">
        <w:t>jumped sharply, alongside unemployment, with the GFC. Since then, unlike unemployment, this figure has continued to rise, although there was a slight downward movement in 2012. This growth in the number of inactive youth is both worrying and insufficiently understood.</w:t>
      </w:r>
    </w:p>
    <w:p w14:paraId="5CB7C039" w14:textId="77777777" w:rsidR="00F935CF" w:rsidRPr="00E47BDC" w:rsidRDefault="00F935CF" w:rsidP="0061433F">
      <w:pPr>
        <w:pStyle w:val="Caption"/>
        <w:keepNext/>
        <w:keepLines/>
        <w:tabs>
          <w:tab w:val="left" w:pos="8457"/>
        </w:tabs>
        <w:jc w:val="both"/>
      </w:pPr>
      <w:bookmarkStart w:id="101" w:name="_Ref207018046"/>
      <w:r w:rsidRPr="00E47BDC">
        <w:lastRenderedPageBreak/>
        <w:t>Figure 4.</w:t>
      </w:r>
      <w:r w:rsidR="001D7D12">
        <w:fldChar w:fldCharType="begin"/>
      </w:r>
      <w:r w:rsidR="001D7D12">
        <w:instrText xml:space="preserve"> SEQ Figure \* ARABIC </w:instrText>
      </w:r>
      <w:r w:rsidR="001D7D12">
        <w:fldChar w:fldCharType="separate"/>
      </w:r>
      <w:r w:rsidR="00A76CFC">
        <w:rPr>
          <w:noProof/>
        </w:rPr>
        <w:t>7</w:t>
      </w:r>
      <w:r w:rsidR="001D7D12">
        <w:rPr>
          <w:noProof/>
        </w:rPr>
        <w:fldChar w:fldCharType="end"/>
      </w:r>
      <w:bookmarkEnd w:id="101"/>
      <w:r w:rsidRPr="00E47BDC">
        <w:t>: Activities of 15–19-year-olds who are not in full-time education, May 1990 – May 2012</w:t>
      </w: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935CF" w:rsidRPr="00E47BDC" w14:paraId="24E9E08F" w14:textId="77777777" w:rsidTr="00F935CF">
        <w:trPr>
          <w:jc w:val="center"/>
        </w:trPr>
        <w:tc>
          <w:tcPr>
            <w:tcW w:w="4788" w:type="dxa"/>
          </w:tcPr>
          <w:p w14:paraId="10563688" w14:textId="77777777" w:rsidR="00F935CF" w:rsidRPr="00E47BDC" w:rsidRDefault="00F935CF" w:rsidP="0061433F">
            <w:pPr>
              <w:keepNext/>
              <w:keepLines/>
              <w:spacing w:before="120" w:after="120"/>
              <w:jc w:val="both"/>
            </w:pPr>
            <w:r w:rsidRPr="00E47BDC">
              <w:rPr>
                <w:noProof/>
                <w:lang w:eastAsia="en-AU"/>
              </w:rPr>
              <w:drawing>
                <wp:inline distT="0" distB="0" distL="0" distR="0" wp14:anchorId="2FAC16F5" wp14:editId="75E02A5D">
                  <wp:extent cx="2880000" cy="2880000"/>
                  <wp:effectExtent l="0" t="0" r="0" b="0"/>
                  <wp:docPr id="56" name="Chart 56" descr="Figure 4.7: Activities of 15–19-year-olds who are not in full-time education, May 1990 – May 2012 &#10;" title="Figure 4.7: Activities of 15–19-year-olds who are not in full-time education, May 1990 – May 2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788" w:type="dxa"/>
          </w:tcPr>
          <w:p w14:paraId="5676C17E" w14:textId="77777777" w:rsidR="00F935CF" w:rsidRPr="00E47BDC" w:rsidRDefault="00F935CF" w:rsidP="0061433F">
            <w:pPr>
              <w:keepNext/>
              <w:keepLines/>
              <w:spacing w:before="120" w:after="120"/>
              <w:jc w:val="both"/>
            </w:pPr>
            <w:r w:rsidRPr="00E47BDC">
              <w:rPr>
                <w:noProof/>
                <w:lang w:eastAsia="en-AU"/>
              </w:rPr>
              <w:drawing>
                <wp:inline distT="0" distB="0" distL="0" distR="0" wp14:anchorId="3B3D4DE7" wp14:editId="55B7C5D0">
                  <wp:extent cx="2880000" cy="2880000"/>
                  <wp:effectExtent l="0" t="0" r="0" b="0"/>
                  <wp:docPr id="57" name="Chart 57" descr="Figure 4.7: Activities of 15–19-year-olds who are not in full-time education, May 1990 – May 2012 &#10;" title="Figure 4.7: Activities of 15–19-year-olds who are not in full-time education, May 1990 – May 2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3B588300" w14:textId="77777777" w:rsidR="00F935CF" w:rsidRPr="00E47BDC" w:rsidRDefault="00F935CF" w:rsidP="0061433F">
      <w:pPr>
        <w:pStyle w:val="Tablenote"/>
        <w:spacing w:line="240" w:lineRule="atLeast"/>
        <w:jc w:val="both"/>
      </w:pPr>
      <w:r w:rsidRPr="00E47BDC">
        <w:t xml:space="preserve">Source: ABS, </w:t>
      </w:r>
      <w:r w:rsidRPr="00E47BDC">
        <w:rPr>
          <w:i/>
        </w:rPr>
        <w:t>Labour Force, Australia, Detailed –-Electronic Delivery</w:t>
      </w:r>
      <w:r w:rsidRPr="00E47BDC">
        <w:t>, Table 03a, 6291.0.55.001.</w:t>
      </w:r>
    </w:p>
    <w:p w14:paraId="4DA6618E" w14:textId="77777777" w:rsidR="00F935CF" w:rsidRPr="00E47BDC" w:rsidRDefault="00F935CF" w:rsidP="0061433F">
      <w:pPr>
        <w:pStyle w:val="BodyText"/>
      </w:pPr>
      <w:r w:rsidRPr="00E47BDC">
        <w:t>The rise in the number of inactive youth has more than offset the recent fall in unemployment. As a consequence, the total NEET group has not declined markedly since the introduction of the National Partnership on Youth Attainment and Transitions: it now represents close to 30 per cent of all teenagers not in full-time education.</w:t>
      </w:r>
    </w:p>
    <w:p w14:paraId="02F9542A" w14:textId="77777777" w:rsidR="00F935CF" w:rsidRPr="00E47BDC" w:rsidRDefault="00F935CF" w:rsidP="0061433F">
      <w:pPr>
        <w:pStyle w:val="BodyText"/>
      </w:pPr>
      <w:r w:rsidRPr="00E47BDC">
        <w:t xml:space="preserve">It is estimated that around half of all inactive 15–19-year-olds are receiving passive Australian Government income support payments: in other words, those forms of income support not linked to participation in education or the labour force (see </w:t>
      </w:r>
      <w:r w:rsidR="0056511F" w:rsidRPr="00E47BDC">
        <w:fldChar w:fldCharType="begin"/>
      </w:r>
      <w:r w:rsidRPr="00E47BDC">
        <w:instrText xml:space="preserve"> REF _Ref209692959 \h </w:instrText>
      </w:r>
      <w:r w:rsidR="0056511F" w:rsidRPr="00E47BDC">
        <w:fldChar w:fldCharType="separate"/>
      </w:r>
      <w:r w:rsidR="00A76CFC" w:rsidRPr="00E47BDC">
        <w:t>Figure 4.</w:t>
      </w:r>
      <w:r w:rsidR="00A76CFC">
        <w:rPr>
          <w:noProof/>
        </w:rPr>
        <w:t>8</w:t>
      </w:r>
      <w:r w:rsidR="0056511F" w:rsidRPr="00E47BDC">
        <w:fldChar w:fldCharType="end"/>
      </w:r>
      <w:r w:rsidRPr="00E47BDC">
        <w:t>4.8).</w:t>
      </w:r>
      <w:r w:rsidRPr="00E47BDC">
        <w:rPr>
          <w:rStyle w:val="FootnoteReference"/>
        </w:rPr>
        <w:footnoteReference w:id="55"/>
      </w:r>
      <w:r w:rsidRPr="00E47BDC">
        <w:t xml:space="preserve"> This finding suggests that a future national policy on youth attainment and transition needs to increase movement from passive types of income support into active engagement with education, training and the labour market. Given that the other half of the inactive group remains an unknown quantity, there are strong reasons for the continued provision of the types of community-based services and assistance to disengaged young people that are provided by the YC program. Also, given that the other half of the inactive group receive no other Australian Government subsidy, and do not have formal contact with government, they are perhaps even less likely to receive information or support to re-enter the education and training market. There are therefore strong reasons for continued provision of the types of community-based services and assistance to disengaged young people that are provided by the Youth Connections program.</w:t>
      </w:r>
    </w:p>
    <w:p w14:paraId="321E7EFD" w14:textId="77777777" w:rsidR="00F935CF" w:rsidRDefault="00F935CF" w:rsidP="0061433F">
      <w:pPr>
        <w:pStyle w:val="Caption"/>
        <w:keepNext/>
        <w:jc w:val="both"/>
      </w:pPr>
      <w:bookmarkStart w:id="102" w:name="_Ref209692959"/>
      <w:r w:rsidRPr="00E47BDC">
        <w:lastRenderedPageBreak/>
        <w:t>Figure 4.</w:t>
      </w:r>
      <w:r w:rsidR="001D7D12">
        <w:fldChar w:fldCharType="begin"/>
      </w:r>
      <w:r w:rsidR="001D7D12">
        <w:instrText xml:space="preserve"> SEQ Figure \* ARABIC </w:instrText>
      </w:r>
      <w:r w:rsidR="001D7D12">
        <w:fldChar w:fldCharType="separate"/>
      </w:r>
      <w:r w:rsidR="00A76CFC">
        <w:rPr>
          <w:noProof/>
        </w:rPr>
        <w:t>8</w:t>
      </w:r>
      <w:r w:rsidR="001D7D12">
        <w:rPr>
          <w:noProof/>
        </w:rPr>
        <w:fldChar w:fldCharType="end"/>
      </w:r>
      <w:bookmarkEnd w:id="102"/>
      <w:r w:rsidRPr="00E47BDC">
        <w:t>: Estimated composition of inactive 15–19-year-olds not in full-time education and not in the labour force, June 2010</w:t>
      </w:r>
    </w:p>
    <w:p w14:paraId="56FA7E70" w14:textId="77777777" w:rsidR="00F935CF" w:rsidRPr="00BC3191" w:rsidRDefault="00F935CF" w:rsidP="0061433F">
      <w:pPr>
        <w:pStyle w:val="BodyText"/>
      </w:pPr>
      <w:r>
        <w:rPr>
          <w:noProof/>
          <w:lang w:eastAsia="en-AU"/>
        </w:rPr>
        <w:drawing>
          <wp:inline distT="0" distB="0" distL="0" distR="0" wp14:anchorId="3BD0B965" wp14:editId="2576B96C">
            <wp:extent cx="5486400" cy="3158490"/>
            <wp:effectExtent l="0" t="0" r="0" b="0"/>
            <wp:docPr id="58" name="Chart 58" descr="Figure 4.8: Estimated composition of inactive 15–19-year-olds not in full-time education and not in the labour force, June 2010&#10;" title="Figure 4.8: Estimated composition of inactive 15–19-year-olds not in full-time education and not in the labour force, June 20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2D166F4" w14:textId="77777777" w:rsidR="00F935CF" w:rsidRPr="00E47BDC" w:rsidRDefault="00F935CF" w:rsidP="0061433F">
      <w:pPr>
        <w:pStyle w:val="Tablenote"/>
        <w:spacing w:line="240" w:lineRule="atLeast"/>
        <w:jc w:val="both"/>
      </w:pPr>
      <w:r w:rsidRPr="00E47BDC">
        <w:t xml:space="preserve">Sources: Estimated from FaHCSIA Statistical Paper: Income Support Customers: A Statistical Overview, various issues; and ABS, </w:t>
      </w:r>
      <w:r w:rsidRPr="00E47BDC">
        <w:rPr>
          <w:i/>
        </w:rPr>
        <w:t>Labour Force, Australia, Detailed –-Electronic Delivery</w:t>
      </w:r>
      <w:r w:rsidRPr="00E47BDC">
        <w:t xml:space="preserve">, Table 03b: Labour force status for 15–19-year-olds by educational attendance, age and sex, 6291.0.55.001. The ‘Other’ category is estimated by subtracting the total number of benefit recipients aged less than 20 from the total number of inactive 15–19-year-olds as estimated in the </w:t>
      </w:r>
      <w:r w:rsidRPr="009C02C9">
        <w:rPr>
          <w:i/>
        </w:rPr>
        <w:t>Labour Force</w:t>
      </w:r>
      <w:r w:rsidRPr="00E47BDC">
        <w:t xml:space="preserve"> survey. See Table A5.</w:t>
      </w:r>
    </w:p>
    <w:p w14:paraId="1667776F" w14:textId="77777777" w:rsidR="00F935CF" w:rsidRPr="00E47BDC" w:rsidRDefault="00F935CF" w:rsidP="0061433F">
      <w:pPr>
        <w:pStyle w:val="Heading3"/>
        <w:jc w:val="both"/>
      </w:pPr>
      <w:r w:rsidRPr="00E47BDC">
        <w:t>Young people and transition outcomes</w:t>
      </w:r>
    </w:p>
    <w:p w14:paraId="1A5D9A2B" w14:textId="77777777" w:rsidR="00F935CF" w:rsidRPr="00E47BDC" w:rsidRDefault="00F935CF" w:rsidP="0061433F">
      <w:pPr>
        <w:pStyle w:val="BodyText"/>
      </w:pPr>
      <w:r w:rsidRPr="00E47BDC">
        <w:t xml:space="preserve">The transition from full-time education to full-time work has become increasingly long and unstable for young Australians. The amount of time that it takes to find any work after leaving full-time study has been rising, and the amount of time that it takes to find full-time work has risen even faster. In the mid-1980s, young people took, on average, less than a year to find work after they had left education, and only a little over a year to find a full-time job. By 2011, it was taking them an estimated average of three years to find any work after leaving education, and nearly five years to settle into a full-time job (see </w:t>
      </w:r>
      <w:r w:rsidR="0056511F" w:rsidRPr="00E47BDC">
        <w:fldChar w:fldCharType="begin"/>
      </w:r>
      <w:r w:rsidRPr="00E47BDC">
        <w:instrText xml:space="preserve"> REF _Ref209674443 \h </w:instrText>
      </w:r>
      <w:r w:rsidR="0056511F" w:rsidRPr="00E47BDC">
        <w:fldChar w:fldCharType="separate"/>
      </w:r>
      <w:r w:rsidR="00A76CFC" w:rsidRPr="00E47BDC">
        <w:t>Figure</w:t>
      </w:r>
      <w:r w:rsidR="00A76CFC">
        <w:t xml:space="preserve"> </w:t>
      </w:r>
      <w:r w:rsidR="00A76CFC" w:rsidRPr="00E47BDC">
        <w:t>4.</w:t>
      </w:r>
      <w:r w:rsidR="00A76CFC">
        <w:rPr>
          <w:noProof/>
        </w:rPr>
        <w:t>9</w:t>
      </w:r>
      <w:r w:rsidR="0056511F" w:rsidRPr="00E47BDC">
        <w:fldChar w:fldCharType="end"/>
      </w:r>
      <w:r w:rsidRPr="00E47BDC">
        <w:t>). Increasingly, young Australians are spending longer periods after leaving school in insecure part-time work, unemployment or inactivity, even if at times interspersed with periods of education and training or full-time work.</w:t>
      </w:r>
    </w:p>
    <w:p w14:paraId="13F029FB" w14:textId="77777777" w:rsidR="00F935CF" w:rsidRPr="00E47BDC" w:rsidRDefault="00F935CF" w:rsidP="0061433F">
      <w:pPr>
        <w:pStyle w:val="TableHeading"/>
        <w:keepNext/>
        <w:jc w:val="both"/>
      </w:pPr>
      <w:bookmarkStart w:id="103" w:name="_Ref209674443"/>
      <w:r w:rsidRPr="00E47BDC">
        <w:lastRenderedPageBreak/>
        <w:t>Figure</w:t>
      </w:r>
      <w:r w:rsidR="00DA770A">
        <w:t xml:space="preserve"> </w:t>
      </w:r>
      <w:r w:rsidRPr="00E47BDC">
        <w:t>4.</w:t>
      </w:r>
      <w:r w:rsidR="001D7D12">
        <w:fldChar w:fldCharType="begin"/>
      </w:r>
      <w:r w:rsidR="001D7D12">
        <w:instrText xml:space="preserve"> SEQ Figure \* ARABIC </w:instrText>
      </w:r>
      <w:r w:rsidR="001D7D12">
        <w:fldChar w:fldCharType="separate"/>
      </w:r>
      <w:r w:rsidR="00A76CFC">
        <w:rPr>
          <w:noProof/>
        </w:rPr>
        <w:t>9</w:t>
      </w:r>
      <w:r w:rsidR="001D7D12">
        <w:rPr>
          <w:noProof/>
        </w:rPr>
        <w:fldChar w:fldCharType="end"/>
      </w:r>
      <w:bookmarkEnd w:id="103"/>
      <w:r w:rsidRPr="00E47BDC">
        <w:t>: Unemployed persons aged 15–24 and not in full-time education: Percentage looking for their first full time job, 2000–12</w:t>
      </w:r>
    </w:p>
    <w:p w14:paraId="7F874B29" w14:textId="77777777" w:rsidR="00F935CF" w:rsidRPr="00E47BDC" w:rsidRDefault="00F935CF" w:rsidP="0061433F">
      <w:pPr>
        <w:pStyle w:val="BodyText"/>
      </w:pPr>
      <w:r w:rsidRPr="00E47BDC">
        <w:rPr>
          <w:noProof/>
          <w:lang w:eastAsia="en-AU"/>
        </w:rPr>
        <w:drawing>
          <wp:inline distT="0" distB="0" distL="0" distR="0" wp14:anchorId="31BCC4FE" wp14:editId="2918424A">
            <wp:extent cx="5940000" cy="2700000"/>
            <wp:effectExtent l="0" t="0" r="3810" b="0"/>
            <wp:docPr id="59" name="Chart 59" descr="Figure 4.9: Unemployed persons aged 15–24 and not in full-time education: Percentage looking for their first full time job, 2000–12&#10;" title="Figure 4.9: Unemployed persons aged 15–24 and not in full-time education: Percentage looking for their first full time job, 200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45B60F4" w14:textId="77777777" w:rsidR="00F935CF" w:rsidRPr="00E47BDC" w:rsidRDefault="00F935CF" w:rsidP="0061433F">
      <w:pPr>
        <w:pStyle w:val="Tablenote"/>
        <w:spacing w:line="240" w:lineRule="atLeast"/>
        <w:jc w:val="both"/>
      </w:pPr>
      <w:r w:rsidRPr="00E47BDC">
        <w:t xml:space="preserve">Source: ABS, </w:t>
      </w:r>
      <w:r w:rsidRPr="00E47BDC">
        <w:rPr>
          <w:i/>
        </w:rPr>
        <w:t>Labour Force, Australia, Detailed –-Electronic Delivery</w:t>
      </w:r>
      <w:r w:rsidRPr="00E47BDC">
        <w:t>, Table 03b: Labour force status for 15–19-year-olds by educational attendance, age and sex, 6291.0.55.001.</w:t>
      </w:r>
    </w:p>
    <w:p w14:paraId="40A32A43" w14:textId="77777777" w:rsidR="00F935CF" w:rsidRPr="00E47BDC" w:rsidRDefault="00F935CF" w:rsidP="0061433F">
      <w:pPr>
        <w:pStyle w:val="BodyText"/>
      </w:pPr>
      <w:r w:rsidRPr="00E47BDC">
        <w:t>Those young people who have not completed Year 12 are particularly vulnerable to adverse fluctuations of the labour market. ABS data</w:t>
      </w:r>
      <w:r w:rsidRPr="00E47BDC">
        <w:rPr>
          <w:rStyle w:val="FootnoteReference"/>
        </w:rPr>
        <w:footnoteReference w:id="56"/>
      </w:r>
      <w:r w:rsidRPr="00E47BDC">
        <w:t xml:space="preserve"> shows that after leaving school, they are more than twice as likely to make an unsuccessful transition, when judged by the proportion neither in full-time work nor full-time study, than are those who have completed Year 12. In 2011, nearly half of 15–19-year-olds who had not completed Year 12 were not fully engaged but on the margins of the labour market or post-school education and training: this compared with one in five of those who had completed Year 12 (44 per cent compared with 21 per cent).</w:t>
      </w:r>
    </w:p>
    <w:p w14:paraId="4E9919F7" w14:textId="77777777" w:rsidR="00F935CF" w:rsidRPr="00517665" w:rsidRDefault="00F935CF" w:rsidP="0061433F">
      <w:pPr>
        <w:pStyle w:val="BodyText"/>
        <w:keepNext/>
        <w:rPr>
          <w:u w:val="single"/>
        </w:rPr>
      </w:pPr>
      <w:r w:rsidRPr="00517665">
        <w:t>Comparing Australia to other countries’ outcomes provides a basis for deciding whether our transition outcomes are as good as may be expected, better, or worse. There are six predictor variables known to have a strong correlation with transition outcomes, and for which comparable international data is readily available:</w:t>
      </w:r>
      <w:r w:rsidRPr="00517665">
        <w:rPr>
          <w:vertAlign w:val="superscript"/>
        </w:rPr>
        <w:footnoteReference w:id="57"/>
      </w:r>
    </w:p>
    <w:p w14:paraId="6285F976" w14:textId="77777777" w:rsidR="00F935CF" w:rsidRPr="00517665" w:rsidRDefault="00F935CF" w:rsidP="0061433F">
      <w:pPr>
        <w:pStyle w:val="ListBullet"/>
      </w:pPr>
      <w:r w:rsidRPr="00517665">
        <w:t>The unemployment rate among persons aged 15–64, an indicator of overall labour market conditions</w:t>
      </w:r>
    </w:p>
    <w:p w14:paraId="48C010D0" w14:textId="77777777" w:rsidR="00F935CF" w:rsidRPr="00517665" w:rsidRDefault="00F935CF" w:rsidP="0061433F">
      <w:pPr>
        <w:pStyle w:val="ListBullet"/>
      </w:pPr>
      <w:r w:rsidRPr="00517665">
        <w:t>The employment-to-population ratio among 15–64-year-olds, another indicator of overall labour market conditions</w:t>
      </w:r>
    </w:p>
    <w:p w14:paraId="0B51D974" w14:textId="77777777" w:rsidR="00F935CF" w:rsidRPr="00517665" w:rsidRDefault="00F935CF" w:rsidP="0061433F">
      <w:pPr>
        <w:pStyle w:val="ListBullet"/>
      </w:pPr>
      <w:r w:rsidRPr="00517665">
        <w:t>GDP per capita (in US$ at purchasing power parity)</w:t>
      </w:r>
    </w:p>
    <w:p w14:paraId="5E0FDB1B" w14:textId="77777777" w:rsidR="00F935CF" w:rsidRPr="00517665" w:rsidRDefault="00F935CF" w:rsidP="0061433F">
      <w:pPr>
        <w:pStyle w:val="ListBullet"/>
      </w:pPr>
      <w:r w:rsidRPr="00517665">
        <w:t>PISA reading scores, a measure of educational achievement</w:t>
      </w:r>
    </w:p>
    <w:p w14:paraId="21557BD8" w14:textId="77777777" w:rsidR="00F935CF" w:rsidRPr="00517665" w:rsidRDefault="00F935CF" w:rsidP="0061433F">
      <w:pPr>
        <w:pStyle w:val="ListBullet"/>
      </w:pPr>
      <w:r w:rsidRPr="00517665">
        <w:t>The PISA index of economic, social and cultural status, a commonly used international indicator of socioeconomic status</w:t>
      </w:r>
    </w:p>
    <w:p w14:paraId="677CC98F" w14:textId="77777777" w:rsidR="00F935CF" w:rsidRPr="00517665" w:rsidRDefault="00F935CF" w:rsidP="0061433F">
      <w:pPr>
        <w:pStyle w:val="ListBullet"/>
      </w:pPr>
      <w:r w:rsidRPr="00517665">
        <w:t>The proportion of 15–19-year-old students participating in the labour market.</w:t>
      </w:r>
    </w:p>
    <w:p w14:paraId="394D66B7" w14:textId="77777777" w:rsidR="00F935CF" w:rsidRPr="00517665" w:rsidRDefault="00F935CF" w:rsidP="0061433F">
      <w:pPr>
        <w:pStyle w:val="ListBullet"/>
        <w:numPr>
          <w:ilvl w:val="0"/>
          <w:numId w:val="0"/>
        </w:numPr>
      </w:pPr>
      <w:r w:rsidRPr="00517665">
        <w:t>These outcomes are reflected in the NP objectives and the objectives of many other governments’ education and labour market policies:</w:t>
      </w:r>
    </w:p>
    <w:p w14:paraId="696A464E" w14:textId="77777777" w:rsidR="00F935CF" w:rsidRPr="00517665" w:rsidRDefault="00F935CF" w:rsidP="0061433F">
      <w:pPr>
        <w:pStyle w:val="ListBullet"/>
      </w:pPr>
      <w:r w:rsidRPr="00517665">
        <w:t>The number of 15–19-year-olds either unemployed or not participating in either education and training or the labour market (NEET) as a proportion of all 15–19-year-olds</w:t>
      </w:r>
    </w:p>
    <w:p w14:paraId="2D1817A5" w14:textId="77777777" w:rsidR="00F935CF" w:rsidRPr="00517665" w:rsidRDefault="00F935CF" w:rsidP="0061433F">
      <w:pPr>
        <w:pStyle w:val="ListBullet"/>
      </w:pPr>
      <w:r w:rsidRPr="00517665">
        <w:t>The number of 20–24-year-old non-students employed as a proportion of all 20–24-year-old non-students</w:t>
      </w:r>
    </w:p>
    <w:p w14:paraId="104FF1B5" w14:textId="77777777" w:rsidR="00F935CF" w:rsidRPr="00517665" w:rsidRDefault="00F935CF" w:rsidP="0061433F">
      <w:pPr>
        <w:pStyle w:val="ListBullet"/>
      </w:pPr>
      <w:r w:rsidRPr="00517665">
        <w:t>The number of 15–19-year-olds students as a proportion of all 15–19-year-olds</w:t>
      </w:r>
    </w:p>
    <w:p w14:paraId="65F85B48" w14:textId="77777777" w:rsidR="00F935CF" w:rsidRPr="00517665" w:rsidRDefault="00F935CF" w:rsidP="0061433F">
      <w:pPr>
        <w:pStyle w:val="ListBullet"/>
      </w:pPr>
      <w:r w:rsidRPr="00517665">
        <w:lastRenderedPageBreak/>
        <w:t>The proportion of 25–34-year-olds who have attained an upper secondary or equivalent qualification</w:t>
      </w:r>
      <w:r w:rsidRPr="00517665">
        <w:rPr>
          <w:vertAlign w:val="superscript"/>
        </w:rPr>
        <w:footnoteReference w:id="58"/>
      </w:r>
    </w:p>
    <w:p w14:paraId="03D2D1A5" w14:textId="77777777" w:rsidR="00F935CF" w:rsidRPr="00517665" w:rsidRDefault="00F935CF" w:rsidP="0061433F">
      <w:pPr>
        <w:pStyle w:val="ListBullet"/>
      </w:pPr>
      <w:r w:rsidRPr="00517665">
        <w:t>The proportion of 25–34-year-olds who have obtained a tertiary qualification.</w:t>
      </w:r>
      <w:r w:rsidRPr="00517665">
        <w:rPr>
          <w:vertAlign w:val="superscript"/>
        </w:rPr>
        <w:footnoteReference w:id="59"/>
      </w:r>
    </w:p>
    <w:p w14:paraId="49C15D6A" w14:textId="77777777" w:rsidR="00F935CF" w:rsidRPr="00517665" w:rsidRDefault="00F935CF" w:rsidP="0061433F">
      <w:pPr>
        <w:pStyle w:val="BodyText"/>
      </w:pPr>
      <w:r w:rsidRPr="00517665">
        <w:t>A comparison of international performance in these outcomes and objectives shows that Australia’s average transition outcomes are the lowest of the five most similar countries (Canada, Demark, Norway, the Netherlands and Switzerland</w:t>
      </w:r>
      <w:r w:rsidRPr="00517665">
        <w:rPr>
          <w:rStyle w:val="FootnoteReference"/>
        </w:rPr>
        <w:footnoteReference w:id="60"/>
      </w:r>
      <w:r w:rsidRPr="00517665">
        <w:t xml:space="preserve">). It also reveals that the gap between what might be expected on the basis of the predictor variables and outcomes is larger for Australia than the other five countries, including the countries most comparable to Australia (Canada and Denmark; see </w:t>
      </w:r>
      <w:r w:rsidR="0056511F" w:rsidRPr="00517665">
        <w:fldChar w:fldCharType="begin"/>
      </w:r>
      <w:r w:rsidRPr="00517665">
        <w:instrText xml:space="preserve"> REF _Ref209676682 \h </w:instrText>
      </w:r>
      <w:r w:rsidR="0056511F" w:rsidRPr="00517665">
        <w:fldChar w:fldCharType="separate"/>
      </w:r>
      <w:r w:rsidR="00A76CFC" w:rsidRPr="00517665">
        <w:t>Figure 4.</w:t>
      </w:r>
      <w:r w:rsidR="00A76CFC">
        <w:rPr>
          <w:noProof/>
        </w:rPr>
        <w:t>10</w:t>
      </w:r>
      <w:r w:rsidR="0056511F" w:rsidRPr="00517665">
        <w:fldChar w:fldCharType="end"/>
      </w:r>
      <w:r w:rsidRPr="00517665">
        <w:t>).</w:t>
      </w:r>
      <w:r w:rsidRPr="00517665">
        <w:rPr>
          <w:rStyle w:val="FootnoteReference"/>
        </w:rPr>
        <w:footnoteReference w:id="61"/>
      </w:r>
    </w:p>
    <w:p w14:paraId="1A29875F" w14:textId="77777777" w:rsidR="00F935CF" w:rsidRPr="00517665" w:rsidRDefault="00F935CF" w:rsidP="0061433F">
      <w:pPr>
        <w:pStyle w:val="Caption"/>
        <w:keepNext/>
        <w:jc w:val="both"/>
      </w:pPr>
      <w:bookmarkStart w:id="104" w:name="_Ref209676682"/>
      <w:r w:rsidRPr="00517665">
        <w:t>Figure 4.</w:t>
      </w:r>
      <w:r w:rsidR="001D7D12">
        <w:fldChar w:fldCharType="begin"/>
      </w:r>
      <w:r w:rsidR="001D7D12">
        <w:instrText xml:space="preserve"> SEQ Figure \* ARABIC </w:instrText>
      </w:r>
      <w:r w:rsidR="001D7D12">
        <w:fldChar w:fldCharType="separate"/>
      </w:r>
      <w:r w:rsidR="00A76CFC">
        <w:rPr>
          <w:noProof/>
        </w:rPr>
        <w:t>10</w:t>
      </w:r>
      <w:r w:rsidR="001D7D12">
        <w:rPr>
          <w:noProof/>
        </w:rPr>
        <w:fldChar w:fldCharType="end"/>
      </w:r>
      <w:bookmarkEnd w:id="104"/>
      <w:r w:rsidRPr="00517665">
        <w:t>: Average transition predictor scores and average transition outcome scores for six OECD countries, 2009</w:t>
      </w:r>
    </w:p>
    <w:p w14:paraId="463B1583" w14:textId="77777777" w:rsidR="00F935CF" w:rsidRPr="00517665" w:rsidRDefault="00F935CF" w:rsidP="0061433F">
      <w:pPr>
        <w:pStyle w:val="BodyText"/>
      </w:pPr>
      <w:r w:rsidRPr="00E45705">
        <w:rPr>
          <w:noProof/>
          <w:highlight w:val="yellow"/>
          <w:lang w:eastAsia="en-AU"/>
        </w:rPr>
        <w:drawing>
          <wp:inline distT="0" distB="0" distL="0" distR="0" wp14:anchorId="319D8B8D" wp14:editId="4717CEB7">
            <wp:extent cx="5940000" cy="2700000"/>
            <wp:effectExtent l="0" t="0" r="3810" b="0"/>
            <wp:docPr id="162" name="Chart 2" descr="Figure 4.10: Average transition predictor scores and average transition outcome scores for six OECD countries, 2009&#10;" title="Figure 4.10: Average transition predictor scores and average transition outcome scores for six OECD countries, 2009 "/>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3B51FCC" w14:textId="77777777" w:rsidR="00F935CF" w:rsidRPr="00517665" w:rsidRDefault="00F935CF" w:rsidP="0061433F">
      <w:pPr>
        <w:pStyle w:val="Tablenote"/>
        <w:jc w:val="both"/>
      </w:pPr>
      <w:r w:rsidRPr="00517665">
        <w:t xml:space="preserve">Sources: OECD (2011) </w:t>
      </w:r>
      <w:r w:rsidRPr="00517665">
        <w:rPr>
          <w:i/>
        </w:rPr>
        <w:t>Employment Outlook</w:t>
      </w:r>
      <w:r w:rsidRPr="00517665">
        <w:t xml:space="preserve">, Table B; OECD (2011) </w:t>
      </w:r>
      <w:r w:rsidRPr="00517665">
        <w:rPr>
          <w:i/>
        </w:rPr>
        <w:t>Factbook</w:t>
      </w:r>
      <w:r w:rsidRPr="00517665">
        <w:t xml:space="preserve">; PISA (2009) Tables I.2.3, II1.1; OECD (2011) </w:t>
      </w:r>
      <w:r w:rsidRPr="00517665">
        <w:rPr>
          <w:i/>
        </w:rPr>
        <w:t>Education at a Glance</w:t>
      </w:r>
      <w:r w:rsidRPr="00517665">
        <w:t>, Tables C4.2a, C1.1, A1.2a, A1.3a.</w:t>
      </w:r>
    </w:p>
    <w:p w14:paraId="3691D3D0" w14:textId="77777777" w:rsidR="00F935CF" w:rsidRPr="00517665" w:rsidRDefault="00F935CF" w:rsidP="0061433F">
      <w:pPr>
        <w:pStyle w:val="BodyText"/>
      </w:pPr>
      <w:r w:rsidRPr="00517665">
        <w:t xml:space="preserve">Four of these five countries are the best-performing OECD countries in terms of transition outcomes (all except Switzerland), whereas Australia ranks 12th. In summary, the analysis shows that Australia’s transition outcomes are below what would be expected on the basis of our natural advantages, that </w:t>
      </w:r>
      <w:r w:rsidR="00DA770A" w:rsidRPr="00517665">
        <w:t xml:space="preserve">is </w:t>
      </w:r>
      <w:r w:rsidRPr="00517665">
        <w:t>we fall well below world’s best practice, and that we achieve worse transition outcomes than similar OECD countries.</w:t>
      </w:r>
    </w:p>
    <w:p w14:paraId="1377B253" w14:textId="77777777" w:rsidR="00F935CF" w:rsidRPr="00517665" w:rsidRDefault="00F935CF" w:rsidP="0061433F">
      <w:pPr>
        <w:pStyle w:val="BodyText"/>
        <w:rPr>
          <w:u w:val="single"/>
        </w:rPr>
      </w:pPr>
      <w:r w:rsidRPr="00517665">
        <w:t>Given the similarity of contextual factors that have a strong influence on transition outcomes in Australia and the other countries, it is difficult to argue that other countries do better than Australia because they are wealthier, have better performing labour markets, have young people who have more contact with the labour market while they are students, and have families of young people with higher economic, social and cultural resources, or because their school systems have produced higher achievement levels by the age of 15. Transition outcomes are a function not only of these types of factors but of the quality of the institutional arrangements in education, the labour market, the community and the income support system that facilitate and support transitions. On this basis, the conclusion can be drawn that the institutional arrangements that support transition outcomes are not as effective here as in similar, best-performing OECD countries, and that these need to be improved if our transition outcomes are to improve.</w:t>
      </w:r>
    </w:p>
    <w:p w14:paraId="7200D2DF" w14:textId="77777777" w:rsidR="00F935CF" w:rsidRPr="00517665" w:rsidRDefault="00F935CF" w:rsidP="00AB0E90">
      <w:pPr>
        <w:pStyle w:val="BodyText"/>
        <w:keepNext/>
      </w:pPr>
      <w:r w:rsidRPr="00517665">
        <w:lastRenderedPageBreak/>
        <w:t>In summary, the challenges in the youth attainment and transitions environment that need to be addressed to improve outcomes are:</w:t>
      </w:r>
    </w:p>
    <w:p w14:paraId="24A6A21C" w14:textId="77777777" w:rsidR="00F935CF" w:rsidRPr="00517665" w:rsidRDefault="00F935CF" w:rsidP="0061433F">
      <w:pPr>
        <w:pStyle w:val="ListBullet"/>
      </w:pPr>
      <w:r w:rsidRPr="00517665">
        <w:t>Further increasing 15–19-year-olds’ participation in education</w:t>
      </w:r>
    </w:p>
    <w:p w14:paraId="27A5D1A2" w14:textId="77777777" w:rsidR="00F935CF" w:rsidRPr="00517665" w:rsidRDefault="00F935CF" w:rsidP="0061433F">
      <w:pPr>
        <w:pStyle w:val="ListBullet"/>
      </w:pPr>
      <w:r w:rsidRPr="00517665">
        <w:t>Raising engagement with learning among low achievers</w:t>
      </w:r>
    </w:p>
    <w:p w14:paraId="1F67F5F1" w14:textId="77777777" w:rsidR="00F935CF" w:rsidRPr="00517665" w:rsidRDefault="00F935CF" w:rsidP="0061433F">
      <w:pPr>
        <w:pStyle w:val="ListBullet"/>
      </w:pPr>
      <w:r w:rsidRPr="00517665">
        <w:t>Establishing good links between schools and workplaces</w:t>
      </w:r>
    </w:p>
    <w:p w14:paraId="7252D9F7" w14:textId="77777777" w:rsidR="00F935CF" w:rsidRPr="00517665" w:rsidRDefault="00F935CF" w:rsidP="0061433F">
      <w:pPr>
        <w:pStyle w:val="ListBullet"/>
      </w:pPr>
      <w:r w:rsidRPr="00517665">
        <w:t>Ensuring young people have a strong focus on their post-school goals</w:t>
      </w:r>
    </w:p>
    <w:p w14:paraId="6F80DA81" w14:textId="77777777" w:rsidR="00F935CF" w:rsidRPr="00517665" w:rsidRDefault="00F935CF" w:rsidP="0061433F">
      <w:pPr>
        <w:pStyle w:val="ListBullet"/>
      </w:pPr>
      <w:r w:rsidRPr="00517665">
        <w:t>Getting a better understanding of inactive young people</w:t>
      </w:r>
    </w:p>
    <w:p w14:paraId="3D4B77C8" w14:textId="77777777" w:rsidR="00F935CF" w:rsidRPr="00517665" w:rsidRDefault="00F935CF" w:rsidP="0061433F">
      <w:pPr>
        <w:pStyle w:val="ListBullet"/>
      </w:pPr>
      <w:r w:rsidRPr="00517665">
        <w:t>Reducing the size of the inactive group.</w:t>
      </w:r>
    </w:p>
    <w:p w14:paraId="133F034F" w14:textId="77777777" w:rsidR="00F935CF" w:rsidRPr="00E47BDC" w:rsidRDefault="00F935CF" w:rsidP="0061433F">
      <w:pPr>
        <w:pStyle w:val="BodyText"/>
      </w:pPr>
    </w:p>
    <w:p w14:paraId="736EA465" w14:textId="77777777" w:rsidR="00F935CF" w:rsidRPr="00E47BDC" w:rsidRDefault="00F935CF" w:rsidP="0061433F">
      <w:pPr>
        <w:pStyle w:val="Heading1"/>
        <w:spacing w:before="900" w:after="680" w:line="240" w:lineRule="auto"/>
        <w:jc w:val="both"/>
      </w:pPr>
      <w:bookmarkStart w:id="105" w:name="_Ref207011405"/>
      <w:bookmarkStart w:id="106" w:name="_Ref207016916"/>
      <w:bookmarkStart w:id="107" w:name="_Toc210231263"/>
      <w:bookmarkStart w:id="108" w:name="_Toc219347255"/>
      <w:r w:rsidRPr="00E47BDC">
        <w:lastRenderedPageBreak/>
        <w:t>Focus areas for improving youth attainment and transition outcomes</w:t>
      </w:r>
      <w:bookmarkEnd w:id="105"/>
      <w:bookmarkEnd w:id="106"/>
      <w:bookmarkEnd w:id="107"/>
      <w:bookmarkEnd w:id="108"/>
    </w:p>
    <w:p w14:paraId="76A5A775" w14:textId="77777777" w:rsidR="00F935CF" w:rsidRPr="00E47BDC" w:rsidRDefault="00F935CF" w:rsidP="0061433F">
      <w:pPr>
        <w:pStyle w:val="BodyText"/>
      </w:pPr>
      <w:r w:rsidRPr="00E47BDC">
        <w:t xml:space="preserve">The aim of this chapter is to provide the broad framework for a future youth attainment and transition policy. This includes the goals that such a policy should be trying to achieve and the issues that it should address. It also includes implications for different funding models (broad-purpose block grants with hooks; specific-purpose grants to school systems; specific-purpose grants to non-government organisations) based on the goals and focus issues, and some (illustrative) specific options that could be used to achieve the framework’s goals. It does not, however, represent a fully developed policy position. Although it is informed by consultations with the Australian and State and Territory governments, it has not received their formal endorsements and is intended only as a basis for further discussions. Chapter </w:t>
      </w:r>
      <w:r w:rsidR="0056511F" w:rsidRPr="00E47BDC">
        <w:fldChar w:fldCharType="begin"/>
      </w:r>
      <w:r w:rsidRPr="00E47BDC">
        <w:instrText xml:space="preserve"> REF _Ref207011409 \w \h </w:instrText>
      </w:r>
      <w:r w:rsidR="0056511F" w:rsidRPr="00E47BDC">
        <w:fldChar w:fldCharType="separate"/>
      </w:r>
      <w:r w:rsidR="00A76CFC">
        <w:t>6</w:t>
      </w:r>
      <w:r w:rsidR="0056511F" w:rsidRPr="00E47BDC">
        <w:fldChar w:fldCharType="end"/>
      </w:r>
      <w:r w:rsidRPr="00E47BDC">
        <w:t xml:space="preserve"> outlines the steps that need to be taken to reach this point.</w:t>
      </w:r>
    </w:p>
    <w:p w14:paraId="4C161B94" w14:textId="77777777" w:rsidR="00F935CF" w:rsidRPr="00E47BDC" w:rsidRDefault="00F935CF" w:rsidP="0061433F">
      <w:pPr>
        <w:pStyle w:val="Heading2"/>
      </w:pPr>
      <w:bookmarkStart w:id="109" w:name="_Toc210231264"/>
      <w:bookmarkStart w:id="110" w:name="_Toc219347256"/>
      <w:r w:rsidRPr="00E47BDC">
        <w:t>Principles and examples of intervention features, and challenges for a future policy</w:t>
      </w:r>
      <w:bookmarkEnd w:id="109"/>
      <w:bookmarkEnd w:id="110"/>
    </w:p>
    <w:p w14:paraId="072CE226" w14:textId="77777777" w:rsidR="00F935CF" w:rsidRPr="00E47BDC" w:rsidRDefault="00F935CF" w:rsidP="0061433F">
      <w:pPr>
        <w:pStyle w:val="BodyText"/>
      </w:pPr>
      <w:r w:rsidRPr="00E47BDC">
        <w:t>Describing all the factors that impact on youth attainment and transition outcomes is a non-trivial task because of the range of influences on outcomes achieved and the myriad of interactions between factors.</w:t>
      </w:r>
    </w:p>
    <w:p w14:paraId="5FEC7610" w14:textId="77777777" w:rsidR="00F935CF" w:rsidRPr="00E47BDC" w:rsidRDefault="00F935CF" w:rsidP="0061433F">
      <w:pPr>
        <w:pStyle w:val="BodyText"/>
      </w:pPr>
      <w:r w:rsidRPr="00E47BDC">
        <w:t>The factors vary widely in the strength of their association with YAT outcomes. Not all of their impacts are easily measured, particularly many of the important institutional arrangements in education and those that connect education to the world outside it. And even when they are measurable, consistent performance indicators across jurisdictions are often not available.</w:t>
      </w:r>
    </w:p>
    <w:p w14:paraId="0D7A2EBD" w14:textId="77777777" w:rsidR="00F935CF" w:rsidRPr="00E47BDC" w:rsidRDefault="00F935CF" w:rsidP="0061433F">
      <w:pPr>
        <w:pStyle w:val="BodyText"/>
      </w:pPr>
      <w:r w:rsidRPr="00E47BDC">
        <w:t xml:space="preserve">To further complicate matters, the factors that produce YAT outcomes can interact with one another such that, for example, the impact of family background can vary depending upon factors such as school climate, social capital, self-confidence, level of aspirations, opportunities to learn in workplace settings, and career guidance. YAT outcomes are the result of the ways in which the </w:t>
      </w:r>
      <w:r w:rsidRPr="00E47BDC">
        <w:rPr>
          <w:i/>
        </w:rPr>
        <w:t>system</w:t>
      </w:r>
      <w:r w:rsidRPr="00E47BDC">
        <w:t xml:space="preserve"> operates, rather than the existence of individual initiatives. Good outcomes, from a system perspective, can be achieved in a number of ways, and for a number of different reasons.</w:t>
      </w:r>
    </w:p>
    <w:p w14:paraId="235FC3DB" w14:textId="77777777" w:rsidR="00F935CF" w:rsidRPr="00E47BDC" w:rsidRDefault="00F935CF" w:rsidP="0061433F">
      <w:pPr>
        <w:pStyle w:val="BodyText"/>
      </w:pPr>
      <w:r w:rsidRPr="00E47BDC">
        <w:t>Nevertheless, it is important to attempt to map the key factors.</w:t>
      </w:r>
    </w:p>
    <w:p w14:paraId="2BE96F11" w14:textId="77777777" w:rsidR="00F935CF" w:rsidRPr="00E47BDC" w:rsidRDefault="00B94D6A" w:rsidP="0061433F">
      <w:pPr>
        <w:pStyle w:val="BodyText"/>
      </w:pPr>
      <w:r>
        <w:t>Figure 5.1</w:t>
      </w:r>
      <w:r w:rsidR="00F935CF" w:rsidRPr="00E47BDC">
        <w:t xml:space="preserve"> represents the complex interplay of factors that influence youth attainment and transition outcomes. It shows that what occurs during the transition phase is impacted by the preceding years in a young person’s life, particularly through access to interventions to address disadvantage in the early years and the development of solid education fundamentals. The breadth of factors indicates that multiple institutions and players are involved in transitions, and that different interventions are needed for different young people – particularly to address the needs of young people who are at risk of disengaging or have disengaged from education or training.</w:t>
      </w:r>
    </w:p>
    <w:p w14:paraId="3556B618" w14:textId="77777777" w:rsidR="00F935CF" w:rsidRDefault="00F935CF" w:rsidP="0061433F">
      <w:pPr>
        <w:pStyle w:val="Caption"/>
        <w:keepNext/>
        <w:jc w:val="both"/>
      </w:pPr>
      <w:bookmarkStart w:id="111" w:name="_Ref210098105"/>
      <w:r w:rsidRPr="00E47BDC">
        <w:lastRenderedPageBreak/>
        <w:t>Figure 5.1: Factors that influence youth attainment and transition outcomes</w:t>
      </w:r>
      <w:bookmarkEnd w:id="111"/>
    </w:p>
    <w:p w14:paraId="5A94852B" w14:textId="77777777" w:rsidR="00F935CF" w:rsidRDefault="000463BC" w:rsidP="00E45705">
      <w:pPr>
        <w:pStyle w:val="BodyText"/>
      </w:pPr>
      <w:r w:rsidRPr="000463BC">
        <w:rPr>
          <w:noProof/>
          <w:lang w:eastAsia="en-AU"/>
        </w:rPr>
        <w:drawing>
          <wp:inline distT="0" distB="0" distL="0" distR="0" wp14:anchorId="7BACC176" wp14:editId="58C9257E">
            <wp:extent cx="6043930" cy="4335397"/>
            <wp:effectExtent l="0" t="0" r="1270" b="8255"/>
            <wp:docPr id="19" name="Picture 1" descr="Figure 5.1: Factors that influence youth attainment and transition outcomes&#10;" title="Figure 5.1: Factors that influence youth attainment and transition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43930" cy="4335397"/>
                    </a:xfrm>
                    <a:prstGeom prst="rect">
                      <a:avLst/>
                    </a:prstGeom>
                    <a:noFill/>
                    <a:ln>
                      <a:noFill/>
                    </a:ln>
                  </pic:spPr>
                </pic:pic>
              </a:graphicData>
            </a:graphic>
          </wp:inline>
        </w:drawing>
      </w:r>
    </w:p>
    <w:p w14:paraId="0EC5A348" w14:textId="77777777" w:rsidR="00F935CF" w:rsidRPr="00E47BDC" w:rsidRDefault="00F935CF" w:rsidP="0061433F">
      <w:pPr>
        <w:pStyle w:val="Tablenote"/>
        <w:jc w:val="both"/>
      </w:pPr>
      <w:r w:rsidRPr="00E47BDC">
        <w:t>Note: The influences of young people’s personal characteristics are not represented in this figure.</w:t>
      </w:r>
    </w:p>
    <w:p w14:paraId="4F15C0C5" w14:textId="77777777" w:rsidR="00F935CF" w:rsidRPr="00E47BDC" w:rsidRDefault="00F935CF" w:rsidP="0061433F">
      <w:pPr>
        <w:pStyle w:val="BodyText"/>
      </w:pPr>
      <w:r w:rsidRPr="00E47BDC">
        <w:t>As stressed in Chapter 3, the state of the labour market has a significant impact on transition outcomes. Policy interventions that influence the labour market are therefore of central relevance to transition outcomes. However, the prime focus of such interventions is usually on broad economic and social goals. Consequently, they are not considered further in this chapter, the focus of which is on key factors that are more specifically related to education and training, and support for young people.</w:t>
      </w:r>
    </w:p>
    <w:p w14:paraId="10912793" w14:textId="77777777" w:rsidR="00F935CF" w:rsidRPr="00E47BDC" w:rsidRDefault="00F935CF" w:rsidP="0061433F">
      <w:pPr>
        <w:pStyle w:val="BodyText"/>
      </w:pPr>
      <w:r w:rsidRPr="00E47BDC">
        <w:t>Although overall labour market conditions, SES and educational achievement have been consistently shown to have a strong impact upon transition outcomes, it is important to stress that they are not all determining. Strong institutional arrangements, including effective relationships between key actors such as education sectors, employers and levels of government, can help to redress disadvantage and raise achievement, and help young people compete effectively for jobs.</w:t>
      </w:r>
    </w:p>
    <w:p w14:paraId="2BA7FC5C" w14:textId="77777777" w:rsidR="00F935CF" w:rsidRPr="00E47BDC" w:rsidRDefault="00F935CF" w:rsidP="0061433F">
      <w:pPr>
        <w:pStyle w:val="BodyText"/>
      </w:pPr>
      <w:r w:rsidRPr="00E47BDC">
        <w:t>The starting point of this chapter is the assertion that there is no ‘silver bullet’ solution to improving youth attainment and transition outcomes. Three areas of focus require attention in a comprehensive approach:</w:t>
      </w:r>
    </w:p>
    <w:p w14:paraId="6689139C" w14:textId="77777777" w:rsidR="00F935CF" w:rsidRPr="00E47BDC" w:rsidRDefault="00F935CF" w:rsidP="0061433F">
      <w:pPr>
        <w:pStyle w:val="ListBullet"/>
      </w:pPr>
      <w:r w:rsidRPr="00E47BDC">
        <w:t>Educational fundamentals need to be in place, not just for the youth cohort but throughout schooling</w:t>
      </w:r>
    </w:p>
    <w:p w14:paraId="33C23EBC" w14:textId="77777777" w:rsidR="00F935CF" w:rsidRPr="00E47BDC" w:rsidRDefault="00F935CF" w:rsidP="0061433F">
      <w:pPr>
        <w:pStyle w:val="ListBullet"/>
      </w:pPr>
      <w:r w:rsidRPr="00E47BDC">
        <w:rPr>
          <w:bCs/>
        </w:rPr>
        <w:t>Comprehensive YAT policies and interventions are needed that promote better engagement, attainment and transitions for all young people</w:t>
      </w:r>
    </w:p>
    <w:p w14:paraId="3DED7DD3" w14:textId="77777777" w:rsidR="00F935CF" w:rsidRPr="00E47BDC" w:rsidRDefault="00F935CF" w:rsidP="0061433F">
      <w:pPr>
        <w:pStyle w:val="ListBullet"/>
      </w:pPr>
      <w:r w:rsidRPr="00E47BDC">
        <w:rPr>
          <w:bCs/>
        </w:rPr>
        <w:t>Young people at greater risk of disengaging</w:t>
      </w:r>
      <w:r w:rsidRPr="00E47BDC">
        <w:t xml:space="preserve"> need to be</w:t>
      </w:r>
      <w:r w:rsidRPr="00E47BDC">
        <w:rPr>
          <w:bCs/>
        </w:rPr>
        <w:t xml:space="preserve"> specifically targeted.</w:t>
      </w:r>
    </w:p>
    <w:p w14:paraId="5B00E516" w14:textId="77777777" w:rsidR="00F935CF" w:rsidRPr="00E47BDC" w:rsidRDefault="00F935CF" w:rsidP="0061433F">
      <w:pPr>
        <w:pStyle w:val="Heading3"/>
        <w:jc w:val="both"/>
      </w:pPr>
      <w:r w:rsidRPr="00E47BDC">
        <w:lastRenderedPageBreak/>
        <w:t>Educational fundamentals</w:t>
      </w:r>
    </w:p>
    <w:p w14:paraId="4C616A3D" w14:textId="77777777" w:rsidR="00F935CF" w:rsidRPr="00E47BDC" w:rsidRDefault="00F935CF" w:rsidP="0061433F">
      <w:pPr>
        <w:pStyle w:val="BodyText"/>
      </w:pPr>
      <w:r w:rsidRPr="00E47BDC">
        <w:t>It almost goes without saying that outcomes will be suboptimal without fundamental education system effectiveness across all age cohorts, from the very young to young adults, irrespective of other specific interventions.</w:t>
      </w:r>
    </w:p>
    <w:p w14:paraId="5035798E" w14:textId="77777777" w:rsidR="00F935CF" w:rsidRPr="00E47BDC" w:rsidRDefault="00F935CF" w:rsidP="0061433F">
      <w:pPr>
        <w:pStyle w:val="BodyText"/>
        <w:keepNext/>
      </w:pPr>
      <w:r w:rsidRPr="00E47BDC">
        <w:t>Features that are generally accepted as being important in getting the educational fundamentals right include the following:</w:t>
      </w:r>
    </w:p>
    <w:p w14:paraId="2E851CCC" w14:textId="77777777" w:rsidR="00F935CF" w:rsidRPr="00E47BDC" w:rsidRDefault="00F935CF" w:rsidP="0061433F">
      <w:pPr>
        <w:pStyle w:val="ListBullet"/>
        <w:contextualSpacing w:val="0"/>
      </w:pPr>
      <w:r w:rsidRPr="00E47BDC">
        <w:t>Families need to be engaged. The role of families is critical in education, from the earliest age. It is also the main mechanism for providing support for young people through the transition phases of their life</w:t>
      </w:r>
    </w:p>
    <w:p w14:paraId="43AE7A47" w14:textId="77777777" w:rsidR="00F935CF" w:rsidRPr="00E47BDC" w:rsidRDefault="00F935CF" w:rsidP="0061433F">
      <w:pPr>
        <w:pStyle w:val="ListBullet"/>
        <w:contextualSpacing w:val="0"/>
      </w:pPr>
      <w:r w:rsidRPr="00E47BDC">
        <w:t>There needs to be a strong, comprehensive and consistent focus on:</w:t>
      </w:r>
    </w:p>
    <w:p w14:paraId="1795CA2A" w14:textId="77777777" w:rsidR="00167F13" w:rsidRDefault="00F935CF" w:rsidP="0061433F">
      <w:pPr>
        <w:pStyle w:val="Listdash"/>
      </w:pPr>
      <w:r w:rsidRPr="00DB7D08">
        <w:t xml:space="preserve">the development of literacy and numeracy skills </w:t>
      </w:r>
    </w:p>
    <w:p w14:paraId="687974F6" w14:textId="77777777" w:rsidR="00F935CF" w:rsidRPr="00DB7D08" w:rsidRDefault="00167F13" w:rsidP="0061433F">
      <w:pPr>
        <w:pStyle w:val="Listdash"/>
      </w:pPr>
      <w:r>
        <w:t>the delivery of</w:t>
      </w:r>
      <w:r w:rsidR="00F935CF" w:rsidRPr="00DB7D08">
        <w:t xml:space="preserve"> flexible learning</w:t>
      </w:r>
      <w:r>
        <w:t xml:space="preserve"> options</w:t>
      </w:r>
      <w:r w:rsidRPr="00DB7D08">
        <w:rPr>
          <w:rStyle w:val="FootnoteReference"/>
        </w:rPr>
        <w:footnoteReference w:id="62"/>
      </w:r>
    </w:p>
    <w:p w14:paraId="1688FB0E" w14:textId="77777777" w:rsidR="00F935CF" w:rsidRPr="00DB7D08" w:rsidRDefault="00F935CF" w:rsidP="0061433F">
      <w:pPr>
        <w:pStyle w:val="Listdash"/>
      </w:pPr>
      <w:r w:rsidRPr="00DB7D08">
        <w:t>the quality of school leadership</w:t>
      </w:r>
    </w:p>
    <w:p w14:paraId="2013FAF7" w14:textId="77777777" w:rsidR="00F935CF" w:rsidRPr="00DB7D08" w:rsidRDefault="00F935CF" w:rsidP="0061433F">
      <w:pPr>
        <w:pStyle w:val="Listdash"/>
      </w:pPr>
      <w:r w:rsidRPr="00DB7D08">
        <w:t>teacher quality and accountability</w:t>
      </w:r>
    </w:p>
    <w:p w14:paraId="398F9605" w14:textId="77777777" w:rsidR="00F935CF" w:rsidRPr="00DB7D08" w:rsidRDefault="00F935CF" w:rsidP="0061433F">
      <w:pPr>
        <w:pStyle w:val="Listdash"/>
      </w:pPr>
      <w:r w:rsidRPr="00DB7D08">
        <w:t>addressing school disadvantage and student disadvantage</w:t>
      </w:r>
    </w:p>
    <w:p w14:paraId="547B11CF" w14:textId="77777777" w:rsidR="00F935CF" w:rsidRPr="00E47BDC" w:rsidRDefault="00F935CF" w:rsidP="0061433F">
      <w:pPr>
        <w:pStyle w:val="ListBullet"/>
      </w:pPr>
      <w:r w:rsidRPr="00E47BDC">
        <w:t>The climate in schools needs to be positive. Young people are more likely to value education, aspire and achieve good educational outcomes when there is a positive climate that makes the school experience stimulating and rewarding</w:t>
      </w:r>
    </w:p>
    <w:p w14:paraId="106723CB" w14:textId="77777777" w:rsidR="00F935CF" w:rsidRPr="00E47BDC" w:rsidRDefault="00F935CF" w:rsidP="0061433F">
      <w:pPr>
        <w:pStyle w:val="ListBullet"/>
      </w:pPr>
      <w:r w:rsidRPr="00E47BDC">
        <w:t>The curriculum needs to be broad and engaging, but with a focus on high-value subjects. Young people have varied interests, and there needs to be a fit between curriculum offerings and their interests to engage them. However, care needs to be taken in doing this to remain focused on the subjects that are highly valued in the labour market</w:t>
      </w:r>
    </w:p>
    <w:p w14:paraId="5FD4E44F" w14:textId="77777777" w:rsidR="00F935CF" w:rsidRPr="00E47BDC" w:rsidRDefault="00F935CF" w:rsidP="0061433F">
      <w:pPr>
        <w:pStyle w:val="ListBullet"/>
      </w:pPr>
      <w:r w:rsidRPr="00E47BDC">
        <w:t>A range of relevant post-school education and training delivery options needs to be available. Pathway choice is essential to ensure that the different needs and aspirations of young people are met.</w:t>
      </w:r>
    </w:p>
    <w:p w14:paraId="05478212" w14:textId="77777777" w:rsidR="00F935CF" w:rsidRPr="00E47BDC" w:rsidRDefault="00F935CF" w:rsidP="0061433F">
      <w:pPr>
        <w:pStyle w:val="BodyText"/>
      </w:pPr>
      <w:r w:rsidRPr="00E47BDC">
        <w:t>At a system-wide level, putting in place initiatives to improve educational fundamentals requires dealing with significant challenges:</w:t>
      </w:r>
    </w:p>
    <w:p w14:paraId="23559813" w14:textId="77777777" w:rsidR="00F935CF" w:rsidRPr="00E47BDC" w:rsidRDefault="00F935CF" w:rsidP="0061433F">
      <w:pPr>
        <w:pStyle w:val="ListBullet"/>
      </w:pPr>
      <w:r w:rsidRPr="00E47BDC">
        <w:t>The system is complex, with many stakeholders who often have different views about the best approach to take on specific issues.</w:t>
      </w:r>
    </w:p>
    <w:p w14:paraId="25B7D8D6" w14:textId="77777777" w:rsidR="00F935CF" w:rsidRPr="00E47BDC" w:rsidRDefault="00F935CF" w:rsidP="0061433F">
      <w:pPr>
        <w:pStyle w:val="ListBullet"/>
      </w:pPr>
      <w:r w:rsidRPr="00E47BDC">
        <w:t>With many initiatives being pursued at the national, State/Territory and local levels, there is the potential for overlap, duplication and conflict. Optimal outcomes require coordination and partnerships, which can be difficult to establish and maintain.</w:t>
      </w:r>
    </w:p>
    <w:p w14:paraId="19064B9B" w14:textId="77777777" w:rsidR="00F935CF" w:rsidRPr="00E47BDC" w:rsidRDefault="00F935CF" w:rsidP="0061433F">
      <w:pPr>
        <w:pStyle w:val="ListBullet"/>
      </w:pPr>
      <w:r w:rsidRPr="00E47BDC">
        <w:t>Funding issues limit the capacity to deal with identified issues such as student and school disadvantage.</w:t>
      </w:r>
    </w:p>
    <w:p w14:paraId="218F4630" w14:textId="77777777" w:rsidR="00F935CF" w:rsidRPr="00E47BDC" w:rsidRDefault="00F935CF" w:rsidP="0061433F">
      <w:pPr>
        <w:pStyle w:val="BodyText"/>
      </w:pPr>
      <w:r w:rsidRPr="00E47BDC">
        <w:t xml:space="preserve">However, significant steps have been taken by governments in recent years to bring about system reform on a national basis. This has included Australian Government infrastructure funding (e.g., the </w:t>
      </w:r>
      <w:hyperlink r:id="rId76" w:history="1">
        <w:r w:rsidRPr="00E47BDC">
          <w:t>Digital Education Revolution</w:t>
        </w:r>
      </w:hyperlink>
      <w:r w:rsidRPr="00E47BDC">
        <w:t xml:space="preserve">, the Trade Training Centres Program and the Building the Education Revolution) and three Smarter Schools National Partnerships aimed at addressing disadvantage, supporting teachers and school leaders, and improving literacy and numeracy. As well, important initiatives have been implemented to ensure transparency in school performance data, reporting and assessment, to increase local school </w:t>
      </w:r>
      <w:hyperlink r:id="rId77" w:history="1">
        <w:r w:rsidRPr="00E47BDC">
          <w:t>empowerment</w:t>
        </w:r>
      </w:hyperlink>
      <w:r w:rsidRPr="00E47BDC">
        <w:t xml:space="preserve"> and to develop a world-class </w:t>
      </w:r>
      <w:hyperlink r:id="rId78" w:history="1">
        <w:r w:rsidRPr="00E47BDC">
          <w:t>national curriculum</w:t>
        </w:r>
      </w:hyperlink>
      <w:r w:rsidRPr="00E47BDC">
        <w:t xml:space="preserve">. The response to the </w:t>
      </w:r>
      <w:r w:rsidRPr="00095A69">
        <w:t>Review of Funding for Schooling (the ‘Gonski Review’) is also very relevant her</w:t>
      </w:r>
      <w:r w:rsidRPr="00E47BDC">
        <w:t>e.</w:t>
      </w:r>
      <w:r w:rsidRPr="00E47BDC">
        <w:rPr>
          <w:rStyle w:val="FootnoteReference"/>
        </w:rPr>
        <w:footnoteReference w:id="63"/>
      </w:r>
    </w:p>
    <w:p w14:paraId="108460DA" w14:textId="77777777" w:rsidR="00F935CF" w:rsidRPr="00E47BDC" w:rsidRDefault="00F935CF" w:rsidP="0061433F">
      <w:pPr>
        <w:pStyle w:val="Heading3"/>
        <w:jc w:val="both"/>
      </w:pPr>
      <w:r w:rsidRPr="00E47BDC">
        <w:lastRenderedPageBreak/>
        <w:t>Comprehensive YAT policies and interventions</w:t>
      </w:r>
    </w:p>
    <w:p w14:paraId="418454A0" w14:textId="77777777" w:rsidR="00F935CF" w:rsidRPr="00E47BDC" w:rsidRDefault="00F935CF" w:rsidP="0061433F">
      <w:pPr>
        <w:pStyle w:val="BodyText"/>
      </w:pPr>
      <w:r w:rsidRPr="00E47BDC">
        <w:t>Even if the educational fundamentals are sound, the evidence outlined in Chapter 4 suggests that specific interventions are necessary to ensure optimal youth attainment and transition outcomes.</w:t>
      </w:r>
    </w:p>
    <w:p w14:paraId="0CAF5844" w14:textId="77777777" w:rsidR="00F935CF" w:rsidRPr="00E47BDC" w:rsidRDefault="00F935CF" w:rsidP="0061433F">
      <w:pPr>
        <w:pStyle w:val="BodyText"/>
      </w:pPr>
      <w:r w:rsidRPr="00E47BDC">
        <w:t>It is our contention that a framework of national, State/Territory and local policies and services is required to address the general needs and aspirations of young people so that they engage with learning and can achieve better attainment and transition outcomes. These interventions must foster engagement, provide learning options and reduce friction at transition points.</w:t>
      </w:r>
    </w:p>
    <w:p w14:paraId="3DD9EFE3" w14:textId="77777777" w:rsidR="00F935CF" w:rsidRPr="00E47BDC" w:rsidRDefault="00F935CF" w:rsidP="0061433F">
      <w:pPr>
        <w:pStyle w:val="BodyText"/>
        <w:spacing w:after="160"/>
      </w:pPr>
      <w:r w:rsidRPr="00E47BDC">
        <w:t xml:space="preserve">Based on a review of the literature and the wide consultations undertaken as part of this evaluation, the following </w:t>
      </w:r>
      <w:r w:rsidR="00306B54">
        <w:t>desired features</w:t>
      </w:r>
      <w:r w:rsidR="00306B54" w:rsidRPr="00E47BDC">
        <w:t xml:space="preserve"> </w:t>
      </w:r>
      <w:r w:rsidRPr="00E47BDC">
        <w:t>of specific policies and interventions have been identified:</w:t>
      </w:r>
    </w:p>
    <w:p w14:paraId="6CD4A05E" w14:textId="77777777" w:rsidR="00F935CF" w:rsidRPr="00E47BDC" w:rsidRDefault="00F935CF" w:rsidP="0061433F">
      <w:pPr>
        <w:pStyle w:val="ListBullet"/>
      </w:pPr>
      <w:r w:rsidRPr="00E47BDC">
        <w:t>Integrated national, State/Territory and local policies and services:</w:t>
      </w:r>
    </w:p>
    <w:p w14:paraId="34192C3D" w14:textId="77777777" w:rsidR="00F935CF" w:rsidRPr="00DB7D08" w:rsidRDefault="00F935CF" w:rsidP="0061433F">
      <w:pPr>
        <w:pStyle w:val="Listdash"/>
      </w:pPr>
      <w:r w:rsidRPr="00DB7D08">
        <w:t>based on sound evidence</w:t>
      </w:r>
    </w:p>
    <w:p w14:paraId="44C2DDD4" w14:textId="77777777" w:rsidR="00F935CF" w:rsidRPr="00DB7D08" w:rsidRDefault="00F935CF" w:rsidP="0061433F">
      <w:pPr>
        <w:pStyle w:val="Listdash"/>
      </w:pPr>
      <w:r w:rsidRPr="00DB7D08">
        <w:t>focused where maximum leverage can be achieved in young people’s development (e.g., matched to young people’s neurological development)</w:t>
      </w:r>
    </w:p>
    <w:p w14:paraId="02C4D44D" w14:textId="77777777" w:rsidR="00F935CF" w:rsidRPr="00DB7D08" w:rsidRDefault="00F935CF" w:rsidP="0061433F">
      <w:pPr>
        <w:pStyle w:val="Listdash"/>
      </w:pPr>
      <w:r w:rsidRPr="00DB7D08">
        <w:t>supporting the diverse needs and aspirations of young people</w:t>
      </w:r>
    </w:p>
    <w:p w14:paraId="54114FFC" w14:textId="77777777" w:rsidR="00F935CF" w:rsidRPr="00DB7D08" w:rsidRDefault="00F935CF" w:rsidP="0061433F">
      <w:pPr>
        <w:pStyle w:val="Listdash"/>
      </w:pPr>
      <w:r w:rsidRPr="00DB7D08">
        <w:t xml:space="preserve">linking different interventions that provide graded assistance (e.g. </w:t>
      </w:r>
      <w:r w:rsidRPr="00DB7D08">
        <w:rPr>
          <w:rFonts w:cs="Arial"/>
          <w:color w:val="1A1A1A"/>
        </w:rPr>
        <w:t>youth transition support and assistance for at-risk youth)</w:t>
      </w:r>
      <w:r w:rsidRPr="00DB7D08">
        <w:rPr>
          <w:rStyle w:val="FootnoteReference"/>
          <w:rFonts w:cs="Arial"/>
          <w:color w:val="1A1A1A"/>
        </w:rPr>
        <w:footnoteReference w:id="64"/>
      </w:r>
    </w:p>
    <w:p w14:paraId="3736515D" w14:textId="77777777" w:rsidR="00F935CF" w:rsidRPr="00DB7D08" w:rsidRDefault="00F935CF" w:rsidP="0061433F">
      <w:pPr>
        <w:pStyle w:val="Listdash"/>
      </w:pPr>
      <w:r w:rsidRPr="00DB7D08">
        <w:t>with shared targets and agreed performance measures</w:t>
      </w:r>
    </w:p>
    <w:p w14:paraId="39DC2CF6" w14:textId="77777777" w:rsidR="00F935CF" w:rsidRPr="00E47BDC" w:rsidRDefault="00F935CF" w:rsidP="0061433F">
      <w:pPr>
        <w:pStyle w:val="ListBullet"/>
        <w:numPr>
          <w:ilvl w:val="0"/>
          <w:numId w:val="0"/>
        </w:numPr>
        <w:ind w:left="720"/>
        <w:contextualSpacing w:val="0"/>
      </w:pPr>
      <w:r w:rsidRPr="00E47BDC">
        <w:t>An integrated approach is necessary to focus effort on the most effective ways of promoting engagement, attainment and successful transitions. The NP YAT has demonstrated the benefit that comes from such an agreed national policy and program framework in terms of focus, coordination and performance measurement.</w:t>
      </w:r>
    </w:p>
    <w:p w14:paraId="4EB59A7B" w14:textId="77777777" w:rsidR="00F935CF" w:rsidRPr="00E47BDC" w:rsidRDefault="00F935CF" w:rsidP="0061433F">
      <w:pPr>
        <w:pStyle w:val="ListBullet"/>
        <w:contextualSpacing w:val="0"/>
      </w:pPr>
      <w:r>
        <w:t>C</w:t>
      </w:r>
      <w:r w:rsidRPr="00E47BDC">
        <w:t>ommunity strengthening initiatives that engage young people, parents, schools and training providers, business and community groups</w:t>
      </w:r>
    </w:p>
    <w:p w14:paraId="27F4349B" w14:textId="77777777" w:rsidR="00F935CF" w:rsidRPr="00E47BDC" w:rsidRDefault="00F935CF" w:rsidP="0061433F">
      <w:pPr>
        <w:pStyle w:val="ListBullet"/>
        <w:numPr>
          <w:ilvl w:val="0"/>
          <w:numId w:val="0"/>
        </w:numPr>
        <w:ind w:left="720"/>
        <w:contextualSpacing w:val="0"/>
      </w:pPr>
      <w:r w:rsidRPr="00E47BDC">
        <w:t>A strong community can help keep young people engaged with education and assist with the transition to further education, training and work. For example, partnerships between parents, schools, businesses and community groups can provide opportunities for work placements as well as programs such as community-based safety nets to support young people who are at risk of becoming disengaged.</w:t>
      </w:r>
    </w:p>
    <w:p w14:paraId="5E92E291" w14:textId="77777777" w:rsidR="00F935CF" w:rsidRPr="00E47BDC" w:rsidRDefault="00F935CF" w:rsidP="0061433F">
      <w:pPr>
        <w:pStyle w:val="ListBullet"/>
        <w:keepNext/>
      </w:pPr>
      <w:r>
        <w:t>S</w:t>
      </w:r>
      <w:r w:rsidRPr="00E47BDC">
        <w:t>ervices to young people that support engagement, attainment and transition, being:</w:t>
      </w:r>
    </w:p>
    <w:p w14:paraId="440AC0B9" w14:textId="77777777" w:rsidR="00F935CF" w:rsidRPr="00DB7D08" w:rsidRDefault="00F935CF" w:rsidP="0061433F">
      <w:pPr>
        <w:pStyle w:val="Listdash"/>
      </w:pPr>
      <w:r w:rsidRPr="00DB7D08">
        <w:t>flexible and matching the specific needs of young people at the local level</w:t>
      </w:r>
    </w:p>
    <w:p w14:paraId="6B905032" w14:textId="77777777" w:rsidR="00F935CF" w:rsidRPr="00DB7D08" w:rsidRDefault="00F935CF" w:rsidP="0061433F">
      <w:pPr>
        <w:pStyle w:val="Listdash"/>
      </w:pPr>
      <w:r w:rsidRPr="00DB7D08">
        <w:t>targeted and tailored to the local service-delivery landscape to avoid duplication and overlap</w:t>
      </w:r>
    </w:p>
    <w:p w14:paraId="1A6189F3" w14:textId="77777777" w:rsidR="00F935CF" w:rsidRPr="00E47BDC" w:rsidRDefault="00F935CF" w:rsidP="0061433F">
      <w:pPr>
        <w:pStyle w:val="ListBullet"/>
        <w:numPr>
          <w:ilvl w:val="0"/>
          <w:numId w:val="0"/>
        </w:numPr>
        <w:ind w:left="720"/>
        <w:rPr>
          <w:highlight w:val="yellow"/>
        </w:rPr>
      </w:pPr>
      <w:r w:rsidRPr="00E47BDC">
        <w:t>At the local level, there will often be specific challenges that require targeted services for young people. These may involve providing an improved range of education and training opportunities. They may also involve ameliorating the barriers faced by young people (e.g., a lack of mentors or work placement opportunities; transport difficulties getting to work placements). Devolved autonomy to apply funding is needed to address these local needs.</w:t>
      </w:r>
    </w:p>
    <w:p w14:paraId="2AF5E574" w14:textId="77777777" w:rsidR="00F935CF" w:rsidRPr="00E47BDC" w:rsidRDefault="00F935CF" w:rsidP="0061433F">
      <w:pPr>
        <w:pStyle w:val="ListBullet"/>
        <w:numPr>
          <w:ilvl w:val="0"/>
          <w:numId w:val="0"/>
        </w:numPr>
        <w:ind w:left="720"/>
        <w:contextualSpacing w:val="0"/>
      </w:pPr>
      <w:r w:rsidRPr="00E47BDC">
        <w:t xml:space="preserve">Studies show that disadvantaged and low-achieving students who beat the odds and succeed at school spend more time learning than disadvantaged low achievers who do not succeed; that they are engaged and confident learners; are more motivated; experience a positive school climate; have career plans; and have high aspirations. Effective strategies </w:t>
      </w:r>
      <w:r w:rsidRPr="00E47BDC">
        <w:lastRenderedPageBreak/>
        <w:t>targeted at low-achieving and disadvantaged students can include mentoring and career guidance, the addressing of welfare needs and family outreach, tutoring, and individual case management.</w:t>
      </w:r>
    </w:p>
    <w:p w14:paraId="36705321" w14:textId="77777777" w:rsidR="00F935CF" w:rsidRPr="00E47BDC" w:rsidRDefault="00F935CF" w:rsidP="0061433F">
      <w:pPr>
        <w:pStyle w:val="ListBullet"/>
      </w:pPr>
      <w:r w:rsidRPr="00E47BDC">
        <w:t>Interventions focusing on engagement as a precursor to attainment and transition:</w:t>
      </w:r>
    </w:p>
    <w:p w14:paraId="0E31F77A" w14:textId="77777777" w:rsidR="00F935CF" w:rsidRPr="00DB7D08" w:rsidRDefault="00F935CF" w:rsidP="0061433F">
      <w:pPr>
        <w:pStyle w:val="Listdash"/>
      </w:pPr>
      <w:r w:rsidRPr="00DB7D08">
        <w:t>using methods that are effective with the target age cohort</w:t>
      </w:r>
    </w:p>
    <w:p w14:paraId="2DEFB8AC" w14:textId="77777777" w:rsidR="00F935CF" w:rsidRPr="00DB7D08" w:rsidRDefault="00F935CF" w:rsidP="0061433F">
      <w:pPr>
        <w:pStyle w:val="Listdash"/>
      </w:pPr>
      <w:r w:rsidRPr="00DB7D08">
        <w:t>promoting positive peer-group interactions</w:t>
      </w:r>
    </w:p>
    <w:p w14:paraId="608C5E8C" w14:textId="77777777" w:rsidR="00F935CF" w:rsidRPr="00E47BDC" w:rsidRDefault="00F935CF" w:rsidP="0061433F">
      <w:pPr>
        <w:pStyle w:val="ListBullet"/>
        <w:numPr>
          <w:ilvl w:val="0"/>
          <w:numId w:val="0"/>
        </w:numPr>
        <w:ind w:left="720"/>
        <w:contextualSpacing w:val="0"/>
      </w:pPr>
      <w:r w:rsidRPr="00E47BDC">
        <w:t>Engagement is a precondition for attainment and successful transitions; the cost of disengagement is high for individual young people, and ultimately for the community. Effective intervention methods are therefore needed for young people at risk of disengagement. There is an emerging evidence base regarding what tends to work and what doesn’t</w:t>
      </w:r>
      <w:r>
        <w:t xml:space="preserve">. With further research confirmation, </w:t>
      </w:r>
      <w:r w:rsidRPr="00E47BDC">
        <w:t>this</w:t>
      </w:r>
      <w:r>
        <w:t xml:space="preserve"> knowledge </w:t>
      </w:r>
      <w:r w:rsidRPr="00E47BDC">
        <w:t>should be used to design interventions.</w:t>
      </w:r>
    </w:p>
    <w:p w14:paraId="04140651" w14:textId="77777777" w:rsidR="00F935CF" w:rsidRPr="00E47BDC" w:rsidRDefault="00F935CF" w:rsidP="0061433F">
      <w:pPr>
        <w:pStyle w:val="ListBullet"/>
        <w:numPr>
          <w:ilvl w:val="0"/>
          <w:numId w:val="0"/>
        </w:numPr>
        <w:ind w:left="720"/>
        <w:contextualSpacing w:val="0"/>
      </w:pPr>
      <w:r w:rsidRPr="00E47BDC">
        <w:t>The importance of peer influence (both negative and positive) on participation, attainment and transitions needs careful attention. The development of positive peer-support networks is an option to be considered to increase positive outcomes, rather than relying on adults directing young people.</w:t>
      </w:r>
    </w:p>
    <w:p w14:paraId="0F4302A8" w14:textId="77777777" w:rsidR="00F935CF" w:rsidRPr="00E47BDC" w:rsidRDefault="00F935CF" w:rsidP="0061433F">
      <w:pPr>
        <w:pStyle w:val="ListBullet"/>
        <w:contextualSpacing w:val="0"/>
      </w:pPr>
      <w:r>
        <w:t>Y</w:t>
      </w:r>
      <w:r w:rsidRPr="00E47BDC">
        <w:t>oung people building an awareness and understanding of post-school options</w:t>
      </w:r>
    </w:p>
    <w:p w14:paraId="18C9A779" w14:textId="77777777" w:rsidR="00F935CF" w:rsidRPr="00E47BDC" w:rsidRDefault="00F935CF" w:rsidP="0061433F">
      <w:pPr>
        <w:pStyle w:val="ListBullet"/>
        <w:numPr>
          <w:ilvl w:val="0"/>
          <w:numId w:val="0"/>
        </w:numPr>
        <w:ind w:left="720"/>
        <w:contextualSpacing w:val="0"/>
      </w:pPr>
      <w:r w:rsidRPr="00E47BDC">
        <w:t>An awareness of work and careers is something that should be built up throughout schooling. Quality career information, including information that reflects local labour market demand, needs to be readily available to meet the needs of young people through their education. Specialist career advice, supported by up-to-date, regionally specific career information, becomes critical in the later stages of schooling and for those who are unemployed or working with training providers.</w:t>
      </w:r>
    </w:p>
    <w:p w14:paraId="0B2A8887" w14:textId="77777777" w:rsidR="00F935CF" w:rsidRPr="00E47BDC" w:rsidRDefault="00F935CF" w:rsidP="0061433F">
      <w:pPr>
        <w:pStyle w:val="ListBullet"/>
      </w:pPr>
      <w:r>
        <w:t>C</w:t>
      </w:r>
      <w:r w:rsidRPr="00E47BDC">
        <w:t>hoice of pathway options, where:</w:t>
      </w:r>
    </w:p>
    <w:p w14:paraId="79C46607" w14:textId="77777777" w:rsidR="00F935CF" w:rsidRPr="00DB7D08" w:rsidRDefault="00F935CF" w:rsidP="0061433F">
      <w:pPr>
        <w:pStyle w:val="Listdash"/>
      </w:pPr>
      <w:r w:rsidRPr="00DB7D08">
        <w:t>an implicit pathway bias is minimised</w:t>
      </w:r>
    </w:p>
    <w:p w14:paraId="7E8B0337" w14:textId="77777777" w:rsidR="00F935CF" w:rsidRPr="00DB7D08" w:rsidRDefault="00F935CF" w:rsidP="0061433F">
      <w:pPr>
        <w:pStyle w:val="Listdash"/>
      </w:pPr>
      <w:r w:rsidRPr="00DB7D08">
        <w:t>flexible pathways are supported, but dead-ends are minimised</w:t>
      </w:r>
    </w:p>
    <w:p w14:paraId="36074BBE" w14:textId="77777777" w:rsidR="00F935CF" w:rsidRPr="00E47BDC" w:rsidRDefault="00F935CF" w:rsidP="0061433F">
      <w:pPr>
        <w:pStyle w:val="ListBullet"/>
        <w:numPr>
          <w:ilvl w:val="0"/>
          <w:numId w:val="0"/>
        </w:numPr>
        <w:ind w:left="720"/>
        <w:contextualSpacing w:val="0"/>
      </w:pPr>
      <w:r w:rsidRPr="00E47BDC">
        <w:t>Young people have diverse aspirations in terms of their ideal careers, and these require varied post-school education, training and work experience. Successful transition outcomes are more likely to occur if young people have flexible pathway options and are not inadvertently ‘steered’ down a pathway that is inappropriate for them. On the other hand, care needs to be taken to ensure that ‘dead-end’ pathways are minimised (e.g., education options in a local area that do not reflect the needs of the local labour market).</w:t>
      </w:r>
    </w:p>
    <w:p w14:paraId="50F18E1E" w14:textId="77777777" w:rsidR="00F935CF" w:rsidRPr="00E47BDC" w:rsidRDefault="00F935CF" w:rsidP="0061433F">
      <w:pPr>
        <w:pStyle w:val="ListBullet"/>
        <w:keepNext/>
        <w:contextualSpacing w:val="0"/>
      </w:pPr>
      <w:r w:rsidRPr="00E47BDC">
        <w:t>Availability of work placement opportunities</w:t>
      </w:r>
    </w:p>
    <w:p w14:paraId="5DE5E36C" w14:textId="77777777" w:rsidR="00F935CF" w:rsidRPr="00E47BDC" w:rsidRDefault="00F935CF" w:rsidP="0061433F">
      <w:pPr>
        <w:pStyle w:val="ListBullet"/>
        <w:numPr>
          <w:ilvl w:val="0"/>
          <w:numId w:val="0"/>
        </w:numPr>
        <w:ind w:left="720"/>
      </w:pPr>
      <w:r w:rsidRPr="00E47BDC">
        <w:t>It is important that young people gain an appreciation of what work involves and what is required to be successful in the workplace. This is best done through practical workplace experience.</w:t>
      </w:r>
    </w:p>
    <w:p w14:paraId="57528DDC" w14:textId="77777777" w:rsidR="00F935CF" w:rsidRPr="00E47BDC" w:rsidRDefault="00F935CF" w:rsidP="0061433F">
      <w:pPr>
        <w:pStyle w:val="BodyText"/>
        <w:spacing w:after="160"/>
      </w:pPr>
      <w:r w:rsidRPr="00E47BDC">
        <w:t>There will be a number of challenges in implementing a new national YAT policy framework when the current NP ceases:</w:t>
      </w:r>
    </w:p>
    <w:p w14:paraId="151912C8" w14:textId="77777777" w:rsidR="00F935CF" w:rsidRPr="00E47BDC" w:rsidRDefault="00F935CF" w:rsidP="0061433F">
      <w:pPr>
        <w:pStyle w:val="ListBullet"/>
      </w:pPr>
      <w:r w:rsidRPr="00E47BDC">
        <w:t xml:space="preserve">It requires an elaboration on the YAT components of existing national education policies, such as the </w:t>
      </w:r>
      <w:r w:rsidRPr="00FF25B6">
        <w:rPr>
          <w:i/>
        </w:rPr>
        <w:t>Melbourne Declaration on Educational Goals for Young Australians</w:t>
      </w:r>
      <w:r w:rsidRPr="00E47BDC">
        <w:t xml:space="preserve"> and the </w:t>
      </w:r>
      <w:r w:rsidRPr="00FF25B6">
        <w:rPr>
          <w:i/>
        </w:rPr>
        <w:t>National Education Agreement</w:t>
      </w:r>
      <w:r w:rsidRPr="00E47BDC">
        <w:rPr>
          <w:rStyle w:val="FootnoteReference"/>
        </w:rPr>
        <w:footnoteReference w:id="65"/>
      </w:r>
    </w:p>
    <w:p w14:paraId="7DF23EAC" w14:textId="77777777" w:rsidR="00F935CF" w:rsidRPr="00E47BDC" w:rsidRDefault="00F935CF" w:rsidP="0061433F">
      <w:pPr>
        <w:pStyle w:val="ListBullet"/>
      </w:pPr>
      <w:r w:rsidRPr="00E47BDC">
        <w:t>When the NP YAT expires, a new agreement with shared aspirations and targets needs to be in place</w:t>
      </w:r>
    </w:p>
    <w:p w14:paraId="515B3948" w14:textId="77777777" w:rsidR="00F935CF" w:rsidRPr="00E47BDC" w:rsidRDefault="00F935CF" w:rsidP="0061433F">
      <w:pPr>
        <w:pStyle w:val="ListBullet"/>
      </w:pPr>
      <w:r w:rsidRPr="00E47BDC">
        <w:lastRenderedPageBreak/>
        <w:t>NP YAT funding will cease in less than 18 months, and fiscal pressure on all jurisdictions will constrain funding for the replacement /extension of initiatives</w:t>
      </w:r>
    </w:p>
    <w:p w14:paraId="33B14F1B" w14:textId="77777777" w:rsidR="00F935CF" w:rsidRPr="00E47BDC" w:rsidRDefault="00F935CF" w:rsidP="0061433F">
      <w:pPr>
        <w:pStyle w:val="ListBullet"/>
      </w:pPr>
      <w:r w:rsidRPr="00E47BDC">
        <w:t>An evidence base either exists or is emerging on many pertinent matters, but a comprehensive description of what is required and what works best is yet to be developed</w:t>
      </w:r>
    </w:p>
    <w:p w14:paraId="34349161" w14:textId="77777777" w:rsidR="00F935CF" w:rsidRPr="00E47BDC" w:rsidRDefault="00F935CF" w:rsidP="0061433F">
      <w:pPr>
        <w:pStyle w:val="ListBullet"/>
      </w:pPr>
      <w:r w:rsidRPr="00E47BDC">
        <w:t>Community strengthening is complex and requires the cooperation and involvement of community groups, jurisdictions, businesses and community service providers</w:t>
      </w:r>
    </w:p>
    <w:p w14:paraId="5FBA1685" w14:textId="77777777" w:rsidR="00F935CF" w:rsidRPr="00E47BDC" w:rsidRDefault="00F935CF" w:rsidP="0061433F">
      <w:pPr>
        <w:pStyle w:val="ListBullet"/>
      </w:pPr>
      <w:r w:rsidRPr="00E47BDC">
        <w:t>The engagement of young people in the 15–19-year-old cohort is highly dependent on teacher quality, school leadership, school culture and climate, curriculum choice and accountabilities</w:t>
      </w:r>
    </w:p>
    <w:p w14:paraId="00FED5D2" w14:textId="77777777" w:rsidR="00F935CF" w:rsidRPr="00E47BDC" w:rsidRDefault="00F935CF" w:rsidP="0061433F">
      <w:pPr>
        <w:pStyle w:val="ListBullet"/>
      </w:pPr>
      <w:r w:rsidRPr="00E47BDC">
        <w:t>The responsibility/accountability for assisting young people with challenges outside/beyond school can be unclear</w:t>
      </w:r>
    </w:p>
    <w:p w14:paraId="4B5D832C" w14:textId="77777777" w:rsidR="00F935CF" w:rsidRPr="00E47BDC" w:rsidRDefault="00F935CF" w:rsidP="0061433F">
      <w:pPr>
        <w:pStyle w:val="ListBullet"/>
      </w:pPr>
      <w:r w:rsidRPr="00E47BDC">
        <w:t>The availability and quality of pathway planning and career information and advice is variable</w:t>
      </w:r>
    </w:p>
    <w:p w14:paraId="5D7E1D6E" w14:textId="77777777" w:rsidR="00F935CF" w:rsidRPr="00E47BDC" w:rsidRDefault="00F935CF" w:rsidP="0061433F">
      <w:pPr>
        <w:pStyle w:val="ListBullet"/>
      </w:pPr>
      <w:r w:rsidRPr="00E47BDC">
        <w:t>Work placement opportunities are often difficult to obtain</w:t>
      </w:r>
    </w:p>
    <w:p w14:paraId="4A3BE039" w14:textId="77777777" w:rsidR="00F935CF" w:rsidRPr="00E47BDC" w:rsidRDefault="00F935CF" w:rsidP="0061433F">
      <w:pPr>
        <w:pStyle w:val="ListBullet"/>
      </w:pPr>
      <w:r w:rsidRPr="00E47BDC">
        <w:t>Pathway options and curriculum choice can be limited because:</w:t>
      </w:r>
    </w:p>
    <w:p w14:paraId="7615CDAF" w14:textId="77777777" w:rsidR="00F935CF" w:rsidRPr="00DB7D08" w:rsidRDefault="00F935CF" w:rsidP="0061433F">
      <w:pPr>
        <w:pStyle w:val="Listdash"/>
      </w:pPr>
      <w:r w:rsidRPr="00DB7D08">
        <w:t>of a bias towards a particular academic pathway in some schools</w:t>
      </w:r>
    </w:p>
    <w:p w14:paraId="3D80B0C1" w14:textId="77777777" w:rsidR="00F935CF" w:rsidRPr="00DB7D08" w:rsidRDefault="00F935CF" w:rsidP="0061433F">
      <w:pPr>
        <w:pStyle w:val="Listdash"/>
      </w:pPr>
      <w:r w:rsidRPr="00DB7D08">
        <w:t>the availability of flexible pathways can be limited</w:t>
      </w:r>
    </w:p>
    <w:p w14:paraId="0D09B176" w14:textId="77777777" w:rsidR="00F935CF" w:rsidRPr="00DB7D08" w:rsidRDefault="00F935CF" w:rsidP="0061433F">
      <w:pPr>
        <w:pStyle w:val="Listdash"/>
      </w:pPr>
      <w:r w:rsidRPr="00DB7D08">
        <w:t>some pathways lead to dead-ends.</w:t>
      </w:r>
    </w:p>
    <w:p w14:paraId="47E9AB12" w14:textId="77777777" w:rsidR="00F935CF" w:rsidRPr="00E47BDC" w:rsidRDefault="00F935CF" w:rsidP="0061433F">
      <w:pPr>
        <w:pStyle w:val="Heading3"/>
        <w:jc w:val="both"/>
      </w:pPr>
      <w:r w:rsidRPr="00E47BDC">
        <w:t>Specific targeting of those at risk</w:t>
      </w:r>
    </w:p>
    <w:p w14:paraId="6A54BC03" w14:textId="77777777" w:rsidR="00F935CF" w:rsidRPr="00E47BDC" w:rsidRDefault="00F935CF" w:rsidP="0061433F">
      <w:pPr>
        <w:pStyle w:val="BodyText"/>
      </w:pPr>
      <w:r w:rsidRPr="00E47BDC">
        <w:t>The need for priority to be given to specific policy interventions that focus on those at risk of becoming disengaged is also evident from the analysis outlined in Chapter 4. This involves multiple solutions tailored to meet the specific needs of young people who are disengaged, or at risk of disengagement.</w:t>
      </w:r>
    </w:p>
    <w:p w14:paraId="4FBD9D33" w14:textId="77777777" w:rsidR="00F935CF" w:rsidRPr="00E47BDC" w:rsidRDefault="00F935CF" w:rsidP="0061433F">
      <w:pPr>
        <w:pStyle w:val="BodyText"/>
      </w:pPr>
      <w:r w:rsidRPr="00E47BDC">
        <w:t>Successful models in other countries have some common features: a legal requirement for local authorities to contact all early school leavers within weeks rather than months after they drop out of school, to identify those who may be at risk (e.g., those not in employment or other training); personal advisers or mentors who develop highly flexible individual action plans for all participants; a goal of ensuring that young people return to education and training in order to obtain an upper secondary qualification; the restriction of income support to those who agree to participate in the safety net programs; and extensive cooperation among governments, parents, schools, the business community and welfare and juvenile justice authorities to assist dropouts.</w:t>
      </w:r>
      <w:r w:rsidRPr="00E47BDC">
        <w:rPr>
          <w:vertAlign w:val="superscript"/>
        </w:rPr>
        <w:footnoteReference w:id="66"/>
      </w:r>
    </w:p>
    <w:p w14:paraId="38448CC3" w14:textId="77777777" w:rsidR="00F935CF" w:rsidRPr="00E47BDC" w:rsidRDefault="00F935CF" w:rsidP="0061433F">
      <w:pPr>
        <w:pStyle w:val="BodyText"/>
        <w:spacing w:after="160"/>
      </w:pPr>
      <w:r w:rsidRPr="00E47BDC">
        <w:t>Based on a review of the international literature and the wide consultations undertaken as part of this evaluation, the following features of interventions that are needed have been identified:</w:t>
      </w:r>
    </w:p>
    <w:p w14:paraId="38D8E982" w14:textId="77777777" w:rsidR="00F935CF" w:rsidRPr="00E47BDC" w:rsidRDefault="00F935CF" w:rsidP="0061433F">
      <w:pPr>
        <w:pStyle w:val="ListBullet"/>
        <w:contextualSpacing w:val="0"/>
      </w:pPr>
      <w:r w:rsidRPr="00E47BDC">
        <w:t>Early intervention occurs to avoid crisis intervention later.</w:t>
      </w:r>
    </w:p>
    <w:p w14:paraId="748303CE" w14:textId="77777777" w:rsidR="00F935CF" w:rsidRPr="00E47BDC" w:rsidRDefault="00F935CF" w:rsidP="0061433F">
      <w:pPr>
        <w:pStyle w:val="ListBullet"/>
        <w:numPr>
          <w:ilvl w:val="0"/>
          <w:numId w:val="0"/>
        </w:numPr>
        <w:ind w:left="720"/>
        <w:contextualSpacing w:val="0"/>
      </w:pPr>
      <w:r w:rsidRPr="00E47BDC">
        <w:t>The earlier intervention occurs after (or even before) disengagement occurs, the more likely it will be that the issues a disengaged young person faces can be resolved successfully. In time, the issues faced by a disengaged young person are likely to become more complex and difficult to resolve.</w:t>
      </w:r>
    </w:p>
    <w:p w14:paraId="6135DF09" w14:textId="77777777" w:rsidR="00F935CF" w:rsidRPr="00E47BDC" w:rsidRDefault="00F935CF" w:rsidP="0061433F">
      <w:pPr>
        <w:pStyle w:val="ListBullet"/>
        <w:contextualSpacing w:val="0"/>
      </w:pPr>
      <w:r w:rsidRPr="00E47BDC">
        <w:t>Families are engaged, when possible.</w:t>
      </w:r>
    </w:p>
    <w:p w14:paraId="6ABA3701" w14:textId="77777777" w:rsidR="00F935CF" w:rsidRPr="00E47BDC" w:rsidRDefault="00F935CF" w:rsidP="0061433F">
      <w:pPr>
        <w:pStyle w:val="ListBullet"/>
        <w:numPr>
          <w:ilvl w:val="0"/>
          <w:numId w:val="0"/>
        </w:numPr>
        <w:ind w:left="720"/>
        <w:contextualSpacing w:val="0"/>
      </w:pPr>
      <w:r w:rsidRPr="00E47BDC">
        <w:t>Family involvement is paramount, whenever it is practical. Family engagement provides critical linkages and support for intervention initiatives.</w:t>
      </w:r>
    </w:p>
    <w:p w14:paraId="04DD204C" w14:textId="77777777" w:rsidR="00F935CF" w:rsidRPr="00E47BDC" w:rsidRDefault="00F935CF" w:rsidP="00E45705">
      <w:pPr>
        <w:pStyle w:val="ListBullet"/>
        <w:keepNext/>
        <w:ind w:left="714" w:hanging="357"/>
      </w:pPr>
      <w:r w:rsidRPr="00E47BDC">
        <w:lastRenderedPageBreak/>
        <w:t>Support is comprehensive and coordinated:</w:t>
      </w:r>
    </w:p>
    <w:p w14:paraId="322CAB8C" w14:textId="77777777" w:rsidR="00F935CF" w:rsidRPr="00DB7D08" w:rsidRDefault="00F935CF" w:rsidP="0061433F">
      <w:pPr>
        <w:pStyle w:val="Listdash"/>
      </w:pPr>
      <w:r w:rsidRPr="00DB7D08">
        <w:t>‘wraparound’ services – case management</w:t>
      </w:r>
    </w:p>
    <w:p w14:paraId="76BDEC94" w14:textId="77777777" w:rsidR="00F935CF" w:rsidRPr="00DB7D08" w:rsidRDefault="00F935CF" w:rsidP="0061433F">
      <w:pPr>
        <w:pStyle w:val="Listdash"/>
      </w:pPr>
      <w:r w:rsidRPr="00DB7D08">
        <w:t>support agencies have clear responsibilities and accountabilities</w:t>
      </w:r>
    </w:p>
    <w:p w14:paraId="6F29D7FC" w14:textId="77777777" w:rsidR="00F935CF" w:rsidRPr="00DB7D08" w:rsidRDefault="00F935CF" w:rsidP="0061433F">
      <w:pPr>
        <w:pStyle w:val="Listdash"/>
      </w:pPr>
      <w:r w:rsidRPr="00DB7D08">
        <w:t>participation-contingent income support with strong monitoring and compliance</w:t>
      </w:r>
    </w:p>
    <w:p w14:paraId="334FBFE1" w14:textId="77777777" w:rsidR="00F935CF" w:rsidRPr="00E47BDC" w:rsidRDefault="00F935CF" w:rsidP="0061433F">
      <w:pPr>
        <w:pStyle w:val="ListBullet"/>
        <w:numPr>
          <w:ilvl w:val="0"/>
          <w:numId w:val="0"/>
        </w:numPr>
        <w:ind w:left="720"/>
        <w:contextualSpacing w:val="0"/>
      </w:pPr>
      <w:r w:rsidRPr="00E47BDC">
        <w:t>While case management is relatively expensive and can be difficult to organise across agencies, there is evidence that it is the best way of coordinating the range of support services that may apply to a disengaged young person (e.g., education, welfare, health and justice). This approach seeks to ‘wrap’ appropriate services around the individual, rather than have the person deal with each service provider in an uncoordinated manner. In any case, it is important that the responsibilities and accountabilities of different support agencies are clear in this complex environment. Experience with The Compact with Young Australians highlights the fact that participation-contingent income support can be effective provided there is strong monitoring and compliance.</w:t>
      </w:r>
    </w:p>
    <w:p w14:paraId="1580F2C8" w14:textId="77777777" w:rsidR="00F935CF" w:rsidRPr="00E47BDC" w:rsidRDefault="00F935CF" w:rsidP="0061433F">
      <w:pPr>
        <w:pStyle w:val="ListBullet"/>
      </w:pPr>
      <w:r w:rsidRPr="00E47BDC">
        <w:t>Learning environments are inclusive of all young people and have the resources to support the needs of those who re-engage; e.g., through experiential learning, flexible timetables and access to the appropriate support staff.</w:t>
      </w:r>
    </w:p>
    <w:p w14:paraId="0EEEA68B" w14:textId="77777777" w:rsidR="00F935CF" w:rsidRPr="00E47BDC" w:rsidRDefault="00F935CF" w:rsidP="0061433F">
      <w:pPr>
        <w:pStyle w:val="ListBullet"/>
      </w:pPr>
      <w:r w:rsidRPr="00E47BDC">
        <w:t>Support is well targeted.</w:t>
      </w:r>
    </w:p>
    <w:p w14:paraId="7477EBB3" w14:textId="77777777" w:rsidR="00F935CF" w:rsidRPr="00E47BDC" w:rsidRDefault="00F935CF" w:rsidP="0061433F">
      <w:pPr>
        <w:pStyle w:val="BodyText"/>
        <w:spacing w:after="160"/>
      </w:pPr>
      <w:r w:rsidRPr="00E47BDC">
        <w:t>Given the strength of the evidence concerning the relationship between early school leaving and socioeconomic disadvantage, low achievement and disengagement from learning, interventions should be targeted at schools and regions in which disadvantaged students, low-achieving students and disengaged learners are concentrated.</w:t>
      </w:r>
    </w:p>
    <w:p w14:paraId="379A1DA0" w14:textId="77777777" w:rsidR="00F935CF" w:rsidRPr="00E47BDC" w:rsidRDefault="00F935CF" w:rsidP="0061433F">
      <w:pPr>
        <w:pStyle w:val="BodyText"/>
        <w:spacing w:after="160"/>
      </w:pPr>
      <w:r w:rsidRPr="00E47BDC">
        <w:t>The main challenges involved in implementing such initiatives include the following:</w:t>
      </w:r>
    </w:p>
    <w:p w14:paraId="2E6F56AC" w14:textId="77777777" w:rsidR="00F935CF" w:rsidRPr="00E47BDC" w:rsidRDefault="00F935CF" w:rsidP="0061433F">
      <w:pPr>
        <w:pStyle w:val="ListBullet"/>
      </w:pPr>
      <w:r w:rsidRPr="00E47BDC">
        <w:t xml:space="preserve">Effective early intervention requires coordinated responses across a number of organisational ‘silos’ – </w:t>
      </w:r>
      <w:r w:rsidR="00306B54">
        <w:t xml:space="preserve">such as </w:t>
      </w:r>
      <w:r w:rsidRPr="00E47BDC">
        <w:t>education, welfare</w:t>
      </w:r>
      <w:r w:rsidR="00306B54">
        <w:t xml:space="preserve"> and</w:t>
      </w:r>
      <w:r w:rsidRPr="00E47BDC">
        <w:t xml:space="preserve"> justice</w:t>
      </w:r>
    </w:p>
    <w:p w14:paraId="005CCC45" w14:textId="77777777" w:rsidR="00F935CF" w:rsidRPr="00E47BDC" w:rsidRDefault="00F935CF" w:rsidP="0061433F">
      <w:pPr>
        <w:pStyle w:val="ListBullet"/>
      </w:pPr>
      <w:r w:rsidRPr="00E47BDC">
        <w:t>Family support can be limited for some young people</w:t>
      </w:r>
    </w:p>
    <w:p w14:paraId="031526FF" w14:textId="77777777" w:rsidR="00F935CF" w:rsidRPr="00E47BDC" w:rsidRDefault="00F935CF" w:rsidP="0061433F">
      <w:pPr>
        <w:pStyle w:val="ListBullet"/>
      </w:pPr>
      <w:r w:rsidRPr="00E47BDC">
        <w:t>The provision of services on a ‘wraparound’ basis can be difficult and initially costly to establish because it involves coordination between different agencies</w:t>
      </w:r>
    </w:p>
    <w:p w14:paraId="5D85B364" w14:textId="77777777" w:rsidR="00F935CF" w:rsidRPr="00E47BDC" w:rsidRDefault="00F935CF" w:rsidP="0061433F">
      <w:pPr>
        <w:pStyle w:val="ListBullet"/>
      </w:pPr>
      <w:r w:rsidRPr="00E47BDC">
        <w:t>The case management of disengaged young people is relatively expensive and is only likely to be successful if there is an effective ‘handover of responsibility’ for a re-engaged young person back to a school or other education/training provider that has the capability to maintain engagement</w:t>
      </w:r>
    </w:p>
    <w:p w14:paraId="6D3FF8BA" w14:textId="77777777" w:rsidR="00F935CF" w:rsidRPr="00E47BDC" w:rsidRDefault="00F935CF" w:rsidP="0061433F">
      <w:pPr>
        <w:pStyle w:val="ListBullet"/>
      </w:pPr>
      <w:r w:rsidRPr="00E47BDC">
        <w:t>It could be expensive to adequately support schools to deal with re-engaged young people</w:t>
      </w:r>
    </w:p>
    <w:p w14:paraId="4A35E9B0" w14:textId="77777777" w:rsidR="00F935CF" w:rsidRPr="00E47BDC" w:rsidRDefault="00F935CF" w:rsidP="0061433F">
      <w:pPr>
        <w:pStyle w:val="ListBullet"/>
      </w:pPr>
      <w:r w:rsidRPr="00E47BDC">
        <w:t>Many disengaged young people are hard to identify and contact</w:t>
      </w:r>
    </w:p>
    <w:p w14:paraId="1152D0FE" w14:textId="77777777" w:rsidR="00F935CF" w:rsidRPr="00E47BDC" w:rsidRDefault="00F935CF" w:rsidP="0061433F">
      <w:pPr>
        <w:pStyle w:val="ListBullet"/>
      </w:pPr>
      <w:r w:rsidRPr="00E47BDC">
        <w:t>Inclusive educational environments can be seen to be ‘lowering the bar’.</w:t>
      </w:r>
    </w:p>
    <w:p w14:paraId="312861C3" w14:textId="77777777" w:rsidR="00F935CF" w:rsidRPr="00E47BDC" w:rsidRDefault="00F935CF" w:rsidP="0061433F">
      <w:pPr>
        <w:pStyle w:val="Heading3"/>
        <w:jc w:val="both"/>
      </w:pPr>
      <w:r w:rsidRPr="00E47BDC">
        <w:t>Summary of policy principles and intervention features</w:t>
      </w:r>
    </w:p>
    <w:p w14:paraId="753B463C" w14:textId="77777777" w:rsidR="00F935CF" w:rsidRPr="00E47BDC" w:rsidRDefault="00F935CF" w:rsidP="0061433F">
      <w:pPr>
        <w:pStyle w:val="BodyText"/>
      </w:pPr>
      <w:r w:rsidRPr="00E47BDC">
        <w:t>The following diagrams seek to provide a summary of the content of this section.</w:t>
      </w:r>
    </w:p>
    <w:p w14:paraId="7E02682D" w14:textId="77777777" w:rsidR="00F935CF" w:rsidRDefault="00F935CF" w:rsidP="0061433F">
      <w:pPr>
        <w:pStyle w:val="Caption"/>
        <w:keepNext/>
        <w:jc w:val="both"/>
      </w:pPr>
      <w:r w:rsidRPr="00E47BDC">
        <w:lastRenderedPageBreak/>
        <w:t xml:space="preserve">Figure </w:t>
      </w:r>
      <w:r>
        <w:t>5.3</w:t>
      </w:r>
      <w:r w:rsidRPr="00E47BDC">
        <w:t>: Future YAT Policy Principles and Intervention Features</w:t>
      </w:r>
    </w:p>
    <w:p w14:paraId="3D637445" w14:textId="77777777" w:rsidR="00F935CF" w:rsidRPr="004228AC" w:rsidRDefault="00167F13" w:rsidP="0061433F">
      <w:pPr>
        <w:pStyle w:val="BodyText"/>
      </w:pPr>
      <w:r w:rsidRPr="00167F13">
        <w:rPr>
          <w:noProof/>
          <w:lang w:eastAsia="en-AU"/>
        </w:rPr>
        <w:drawing>
          <wp:inline distT="0" distB="0" distL="0" distR="0" wp14:anchorId="29328A90" wp14:editId="5EC720E2">
            <wp:extent cx="6043930" cy="4159426"/>
            <wp:effectExtent l="0" t="0" r="1270" b="6350"/>
            <wp:docPr id="23" name="Picture 1" descr="Figure 5.3: Future YAT Policy Principles and Intervention Features&#10;" title="Figure 5.3: Future YAT Policy Principles and Intervention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43930" cy="4159426"/>
                    </a:xfrm>
                    <a:prstGeom prst="rect">
                      <a:avLst/>
                    </a:prstGeom>
                    <a:noFill/>
                    <a:ln>
                      <a:noFill/>
                    </a:ln>
                  </pic:spPr>
                </pic:pic>
              </a:graphicData>
            </a:graphic>
          </wp:inline>
        </w:drawing>
      </w:r>
    </w:p>
    <w:p w14:paraId="2B704087" w14:textId="77777777" w:rsidR="00F935CF" w:rsidRPr="00E47BDC" w:rsidRDefault="00F935CF" w:rsidP="0061433F">
      <w:pPr>
        <w:pStyle w:val="Caption"/>
        <w:keepNext/>
        <w:jc w:val="both"/>
      </w:pPr>
      <w:r w:rsidRPr="00E47BDC">
        <w:t>Figure</w:t>
      </w:r>
      <w:r>
        <w:t xml:space="preserve"> 5.4</w:t>
      </w:r>
      <w:r w:rsidRPr="00E47BDC">
        <w:t>: Challenges for a Future YAT Policy</w:t>
      </w:r>
    </w:p>
    <w:p w14:paraId="0C683D22" w14:textId="77777777" w:rsidR="00F935CF" w:rsidRPr="00E47BDC" w:rsidRDefault="00F935CF" w:rsidP="0061433F">
      <w:pPr>
        <w:pStyle w:val="BodyText"/>
      </w:pPr>
      <w:r w:rsidRPr="00E47BDC">
        <w:rPr>
          <w:noProof/>
          <w:lang w:eastAsia="en-AU"/>
        </w:rPr>
        <w:drawing>
          <wp:inline distT="0" distB="0" distL="0" distR="0" wp14:anchorId="2C6E53E9" wp14:editId="3278023E">
            <wp:extent cx="6043930" cy="4224613"/>
            <wp:effectExtent l="0" t="0" r="1270" b="0"/>
            <wp:docPr id="163" name="Picture 2" descr="Figure 5.4: Challenges for a Future YAT Policy&#10;" title="Figure 5.4: Challenges for a Future YAT P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3930" cy="4224613"/>
                    </a:xfrm>
                    <a:prstGeom prst="rect">
                      <a:avLst/>
                    </a:prstGeom>
                    <a:noFill/>
                    <a:ln>
                      <a:noFill/>
                    </a:ln>
                  </pic:spPr>
                </pic:pic>
              </a:graphicData>
            </a:graphic>
          </wp:inline>
        </w:drawing>
      </w:r>
    </w:p>
    <w:p w14:paraId="15FDFCC6" w14:textId="77777777" w:rsidR="00F935CF" w:rsidRPr="00E47BDC" w:rsidRDefault="00F935CF" w:rsidP="0061433F">
      <w:pPr>
        <w:pStyle w:val="Heading2"/>
      </w:pPr>
      <w:bookmarkStart w:id="112" w:name="_Ref210122901"/>
      <w:bookmarkStart w:id="113" w:name="_Toc210231265"/>
      <w:bookmarkStart w:id="114" w:name="_Toc219347257"/>
      <w:r w:rsidRPr="00E47BDC">
        <w:lastRenderedPageBreak/>
        <w:t>Improving YAT outcomes</w:t>
      </w:r>
      <w:bookmarkEnd w:id="112"/>
      <w:bookmarkEnd w:id="113"/>
      <w:bookmarkEnd w:id="114"/>
    </w:p>
    <w:p w14:paraId="4BD6ECFB" w14:textId="77777777" w:rsidR="00F935CF" w:rsidRPr="00E47BDC" w:rsidRDefault="00F935CF" w:rsidP="0061433F">
      <w:pPr>
        <w:pStyle w:val="Heading3"/>
        <w:jc w:val="both"/>
      </w:pPr>
      <w:r w:rsidRPr="00E47BDC">
        <w:t>Overview</w:t>
      </w:r>
    </w:p>
    <w:p w14:paraId="0F4E23BE" w14:textId="77777777" w:rsidR="00F935CF" w:rsidRPr="00E47BDC" w:rsidRDefault="00F935CF" w:rsidP="0061433F">
      <w:pPr>
        <w:pStyle w:val="BodyText"/>
        <w:spacing w:after="160"/>
      </w:pPr>
      <w:r w:rsidRPr="00E47BDC">
        <w:t>Improving youth attainment and transition outcomes requires an agreed national policy on youth attainment and transitions, one with shared aspirations and targets.</w:t>
      </w:r>
      <w:r w:rsidR="00306B54">
        <w:t xml:space="preserve"> </w:t>
      </w:r>
      <w:r w:rsidRPr="00E47BDC">
        <w:t xml:space="preserve">The long-term national vision of goals that was put in place through the </w:t>
      </w:r>
      <w:r w:rsidRPr="00BC6F89">
        <w:rPr>
          <w:i/>
        </w:rPr>
        <w:t>National Education Agreement</w:t>
      </w:r>
      <w:r w:rsidRPr="00E47BDC">
        <w:t xml:space="preserve"> (NEA) and the </w:t>
      </w:r>
      <w:r w:rsidRPr="00BC6F89">
        <w:rPr>
          <w:i/>
        </w:rPr>
        <w:t>Melbourne Declaration on Educational Goals for Young Australians</w:t>
      </w:r>
      <w:r w:rsidRPr="00E47BDC">
        <w:rPr>
          <w:rStyle w:val="FootnoteReference"/>
        </w:rPr>
        <w:footnoteReference w:id="67"/>
      </w:r>
      <w:r w:rsidRPr="00E47BDC">
        <w:t xml:space="preserve"> provides an excellent foundation for the efforts of the education system. However:</w:t>
      </w:r>
    </w:p>
    <w:p w14:paraId="43BDD93C" w14:textId="77777777" w:rsidR="00F935CF" w:rsidRPr="00E47BDC" w:rsidRDefault="00F935CF" w:rsidP="0061433F">
      <w:pPr>
        <w:pStyle w:val="ListBullet"/>
      </w:pPr>
      <w:r w:rsidRPr="00E47BDC">
        <w:t>They are relatively light on when it comes to specific references to YAT issues</w:t>
      </w:r>
    </w:p>
    <w:p w14:paraId="6543A8E3" w14:textId="77777777" w:rsidR="00F935CF" w:rsidRPr="00E47BDC" w:rsidRDefault="00F935CF" w:rsidP="0061433F">
      <w:pPr>
        <w:pStyle w:val="ListBullet"/>
      </w:pPr>
      <w:r w:rsidRPr="00E47BDC">
        <w:t>Their aspirations are expressed at a high level and much of the challenge lies in implementation, which is true for all areas of the Declaration and NEA, including YAT.</w:t>
      </w:r>
    </w:p>
    <w:p w14:paraId="6FB3015A" w14:textId="77777777" w:rsidR="00F935CF" w:rsidRPr="00E47BDC" w:rsidRDefault="00557997" w:rsidP="0061433F">
      <w:pPr>
        <w:pStyle w:val="BodyText"/>
        <w:spacing w:after="160"/>
      </w:pPr>
      <w:r>
        <w:t>Figure 5.5</w:t>
      </w:r>
      <w:r w:rsidR="00F935CF" w:rsidRPr="00E47BDC">
        <w:t xml:space="preserve"> acknowledges that the NP YAT only covers some of the key issues identified in section 5.1. While it has played a very useful role, a broader, more comprehensive policy </w:t>
      </w:r>
      <w:r w:rsidR="000437FD">
        <w:t xml:space="preserve">response </w:t>
      </w:r>
      <w:r w:rsidR="00F935CF" w:rsidRPr="00E47BDC">
        <w:t>is needed to replace the NP YAT when it c</w:t>
      </w:r>
      <w:r w:rsidR="00F935CF" w:rsidRPr="00517665">
        <w:t>oncludes</w:t>
      </w:r>
      <w:r w:rsidR="000437FD" w:rsidRPr="00904144">
        <w:t>.</w:t>
      </w:r>
      <w:r w:rsidR="00B73837" w:rsidRPr="00D97215">
        <w:t xml:space="preserve"> In particular, the policy will need to go beyond “add on programs” of the NP to focus on all of upper secondary education, and </w:t>
      </w:r>
      <w:r w:rsidR="00B73837" w:rsidRPr="00B024BA">
        <w:t xml:space="preserve">extend to focus on </w:t>
      </w:r>
      <w:r w:rsidR="00B73837" w:rsidRPr="00CE044E">
        <w:t>all disengaged young people</w:t>
      </w:r>
      <w:r w:rsidR="00B73837" w:rsidRPr="003317D4">
        <w:t>, not just some of them.</w:t>
      </w:r>
    </w:p>
    <w:p w14:paraId="4147C152" w14:textId="77777777" w:rsidR="00417EED" w:rsidRPr="00417EED" w:rsidRDefault="00F935CF" w:rsidP="00417EED">
      <w:pPr>
        <w:pStyle w:val="Caption"/>
        <w:keepNext/>
        <w:jc w:val="both"/>
      </w:pPr>
      <w:bookmarkStart w:id="115" w:name="_Ref210214740"/>
      <w:r w:rsidRPr="00E47BDC">
        <w:t>Figure</w:t>
      </w:r>
      <w:bookmarkEnd w:id="115"/>
      <w:r>
        <w:t xml:space="preserve"> 5.5</w:t>
      </w:r>
      <w:r w:rsidRPr="00E47BDC">
        <w:t>: Map of Factors Addressed by the NP (see text in Black and White)</w:t>
      </w:r>
    </w:p>
    <w:p w14:paraId="78D048B8" w14:textId="77777777" w:rsidR="00F935CF" w:rsidRDefault="000463BC" w:rsidP="0061433F">
      <w:pPr>
        <w:pStyle w:val="Tablenote"/>
        <w:jc w:val="both"/>
      </w:pPr>
      <w:r w:rsidRPr="000463BC">
        <w:rPr>
          <w:noProof/>
          <w:lang w:eastAsia="en-AU"/>
        </w:rPr>
        <w:drawing>
          <wp:inline distT="0" distB="0" distL="0" distR="0" wp14:anchorId="50FCD952" wp14:editId="318C5163">
            <wp:extent cx="6043930" cy="4335397"/>
            <wp:effectExtent l="0" t="0" r="1270" b="8255"/>
            <wp:docPr id="26" name="Picture 2" descr="Figure 5.5: Map of Factors Addressed by the NP (see text in Black and White)&#10;" title="Figure 5.5: Map of Factors Addressed by the NP (see text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3930" cy="4335397"/>
                    </a:xfrm>
                    <a:prstGeom prst="rect">
                      <a:avLst/>
                    </a:prstGeom>
                    <a:noFill/>
                    <a:ln>
                      <a:noFill/>
                    </a:ln>
                  </pic:spPr>
                </pic:pic>
              </a:graphicData>
            </a:graphic>
          </wp:inline>
        </w:drawing>
      </w:r>
    </w:p>
    <w:p w14:paraId="6982A431" w14:textId="77777777" w:rsidR="00F935CF" w:rsidRPr="00E47BDC" w:rsidRDefault="00F935CF" w:rsidP="0061433F">
      <w:pPr>
        <w:pStyle w:val="Tablenote"/>
        <w:jc w:val="both"/>
      </w:pPr>
      <w:r w:rsidRPr="00E47BDC">
        <w:t>Note: Jurisdictions were able to choose their areas of focus. Therefore, not all jurisdictions have addressed the factors identified. These factors may be addressed through other State/Territory-based programs.</w:t>
      </w:r>
    </w:p>
    <w:p w14:paraId="53E1D4A0" w14:textId="77777777" w:rsidR="00F935CF" w:rsidRPr="00E47BDC" w:rsidRDefault="00F935CF" w:rsidP="0061433F">
      <w:pPr>
        <w:pStyle w:val="BodyText"/>
        <w:spacing w:after="160"/>
      </w:pPr>
      <w:r w:rsidRPr="00E47BDC">
        <w:t>Given the previous analysis, a</w:t>
      </w:r>
      <w:r w:rsidR="00B73837">
        <w:t>chieving YAT goals requires a</w:t>
      </w:r>
      <w:r w:rsidRPr="00E47BDC">
        <w:t xml:space="preserve"> policy </w:t>
      </w:r>
      <w:r w:rsidR="00B73837">
        <w:t>focus concentrated in</w:t>
      </w:r>
      <w:r w:rsidRPr="00E47BDC">
        <w:t xml:space="preserve"> f</w:t>
      </w:r>
      <w:r w:rsidR="002B5B4E">
        <w:t>ive</w:t>
      </w:r>
      <w:r w:rsidRPr="00E47BDC">
        <w:t xml:space="preserve"> areas:</w:t>
      </w:r>
    </w:p>
    <w:p w14:paraId="19A6DC63" w14:textId="77777777" w:rsidR="00F935CF" w:rsidRPr="00E47BDC" w:rsidRDefault="00F935CF" w:rsidP="00306B54">
      <w:pPr>
        <w:pStyle w:val="ListBullet"/>
      </w:pPr>
      <w:r w:rsidRPr="00E47BDC">
        <w:lastRenderedPageBreak/>
        <w:t>The educational fundamentals need to be put in place. This element has a much broader application than that represented by YAT. As outlined previously, it is the focus of much national policy consideration and is not expanded on further in this report.</w:t>
      </w:r>
    </w:p>
    <w:p w14:paraId="316188C6" w14:textId="77777777" w:rsidR="00F935CF" w:rsidRPr="00E47BDC" w:rsidRDefault="00F935CF" w:rsidP="00306B54">
      <w:pPr>
        <w:pStyle w:val="ListBullet"/>
      </w:pPr>
      <w:r w:rsidRPr="00E47BDC">
        <w:t>The specific capability of upper secondary schooling needs to be strengthened around YAT through improved leadership, relevant professional skills, research and curriculum.</w:t>
      </w:r>
    </w:p>
    <w:p w14:paraId="05C8E05C" w14:textId="77777777" w:rsidR="00F935CF" w:rsidRPr="00E47BDC" w:rsidRDefault="00F935CF" w:rsidP="00306B54">
      <w:pPr>
        <w:pStyle w:val="ListBullet"/>
      </w:pPr>
      <w:r w:rsidRPr="00E47BDC">
        <w:t>Community-strengthening initiatives need to be deepened to further engage young people, parents, schools and training providers, and business and community groups.</w:t>
      </w:r>
    </w:p>
    <w:p w14:paraId="0653E764" w14:textId="77777777" w:rsidR="002B5B4E" w:rsidRDefault="00F935CF" w:rsidP="00CB48A2">
      <w:pPr>
        <w:pStyle w:val="ListBullet"/>
      </w:pPr>
      <w:r w:rsidRPr="00E47BDC">
        <w:t>More systematic career development and pathway planning initiatives and resources need to be implemented</w:t>
      </w:r>
    </w:p>
    <w:p w14:paraId="5BE0A31F" w14:textId="77777777" w:rsidR="00DD422C" w:rsidRPr="000629F8" w:rsidRDefault="00DD422C" w:rsidP="00DD422C">
      <w:pPr>
        <w:pStyle w:val="ListBullet"/>
        <w:rPr>
          <w:bCs/>
          <w:iCs/>
        </w:rPr>
      </w:pPr>
      <w:r w:rsidRPr="00A31CDE">
        <w:rPr>
          <w:bCs/>
          <w:iCs/>
        </w:rPr>
        <w:t>Ensuring that</w:t>
      </w:r>
      <w:r>
        <w:rPr>
          <w:bCs/>
          <w:iCs/>
        </w:rPr>
        <w:t xml:space="preserve"> tailored support</w:t>
      </w:r>
      <w:r w:rsidRPr="00A31CDE">
        <w:rPr>
          <w:bCs/>
          <w:iCs/>
        </w:rPr>
        <w:t xml:space="preserve"> services are </w:t>
      </w:r>
      <w:r>
        <w:rPr>
          <w:bCs/>
          <w:iCs/>
        </w:rPr>
        <w:t>available to meet</w:t>
      </w:r>
      <w:r w:rsidRPr="00A31CDE">
        <w:rPr>
          <w:bCs/>
          <w:iCs/>
        </w:rPr>
        <w:t xml:space="preserve"> </w:t>
      </w:r>
      <w:r>
        <w:rPr>
          <w:bCs/>
          <w:iCs/>
        </w:rPr>
        <w:t xml:space="preserve">the demands of all </w:t>
      </w:r>
      <w:r w:rsidRPr="00A31CDE">
        <w:rPr>
          <w:bCs/>
          <w:iCs/>
        </w:rPr>
        <w:t xml:space="preserve">young people </w:t>
      </w:r>
      <w:r>
        <w:rPr>
          <w:bCs/>
          <w:iCs/>
        </w:rPr>
        <w:t xml:space="preserve">that are </w:t>
      </w:r>
      <w:r w:rsidRPr="00A31CDE">
        <w:rPr>
          <w:bCs/>
          <w:iCs/>
        </w:rPr>
        <w:t>at risk</w:t>
      </w:r>
      <w:r>
        <w:rPr>
          <w:bCs/>
          <w:iCs/>
        </w:rPr>
        <w:t xml:space="preserve"> of disengaging or are disengaged</w:t>
      </w:r>
      <w:r w:rsidRPr="00A31CDE">
        <w:rPr>
          <w:bCs/>
          <w:iCs/>
        </w:rPr>
        <w:t>.</w:t>
      </w:r>
    </w:p>
    <w:p w14:paraId="53DEB427" w14:textId="77777777" w:rsidR="00B73837" w:rsidRPr="00FF3C71" w:rsidRDefault="00B73837" w:rsidP="00E45705">
      <w:pPr>
        <w:pStyle w:val="BodyText"/>
      </w:pPr>
      <w:r>
        <w:t xml:space="preserve">It is acknowledged that a broad range of policy initiatives related to productivity and participation impact on these areas, and a replacement for the YAT NP will only be a part of an overall policy agenda. It will primarily focus on </w:t>
      </w:r>
      <w:r w:rsidRPr="002E4639">
        <w:t>a set of arrangements that offer support direct</w:t>
      </w:r>
      <w:r>
        <w:t xml:space="preserve">ly to young people, support relevant </w:t>
      </w:r>
      <w:r w:rsidRPr="002E4639">
        <w:t xml:space="preserve">reform occurring within schools, build community capacity, and provide disincentives to nonparticipation </w:t>
      </w:r>
      <w:r>
        <w:t>However, it is important that the alignment between the full set of initiatives is improved and that any ‘gaps’ with respect to the f</w:t>
      </w:r>
      <w:r w:rsidR="00AF26AB">
        <w:t>ive</w:t>
      </w:r>
      <w:r>
        <w:t xml:space="preserve"> areas outlined above are filled (as discussed further below).</w:t>
      </w:r>
    </w:p>
    <w:p w14:paraId="21B2187B" w14:textId="77777777" w:rsidR="00F935CF" w:rsidRPr="00E47BDC" w:rsidRDefault="00F935CF" w:rsidP="0061433F">
      <w:pPr>
        <w:pStyle w:val="Heading3"/>
        <w:jc w:val="both"/>
      </w:pPr>
      <w:r w:rsidRPr="00E47BDC">
        <w:t>Focus areas for a future national YAT policy</w:t>
      </w:r>
    </w:p>
    <w:p w14:paraId="4861F821" w14:textId="77777777" w:rsidR="00F935CF" w:rsidRPr="00E47BDC" w:rsidRDefault="00F935CF" w:rsidP="0061433F">
      <w:pPr>
        <w:pStyle w:val="BodyText"/>
      </w:pPr>
      <w:r w:rsidRPr="00E47BDC">
        <w:t xml:space="preserve">The following diagram </w:t>
      </w:r>
      <w:r>
        <w:t>(see Figure 5.6</w:t>
      </w:r>
      <w:r w:rsidRPr="00E47BDC">
        <w:t>) provides a summary of the content of these focus areas.</w:t>
      </w:r>
    </w:p>
    <w:p w14:paraId="7178F4D5" w14:textId="77777777" w:rsidR="00F935CF" w:rsidRPr="00E47BDC" w:rsidRDefault="00F935CF" w:rsidP="0061433F">
      <w:pPr>
        <w:pStyle w:val="Caption"/>
        <w:keepNext/>
        <w:jc w:val="both"/>
      </w:pPr>
      <w:r w:rsidRPr="00E47BDC">
        <w:t>Figure</w:t>
      </w:r>
      <w:r>
        <w:t xml:space="preserve"> 5.6</w:t>
      </w:r>
      <w:r w:rsidRPr="00E47BDC">
        <w:t>: Key Focus Areas for Improving Youth Attainment and Transition Outcomes</w:t>
      </w:r>
    </w:p>
    <w:p w14:paraId="48559055" w14:textId="77777777" w:rsidR="00F935CF" w:rsidRPr="00E47BDC" w:rsidRDefault="00F935CF" w:rsidP="0061433F">
      <w:pPr>
        <w:pStyle w:val="BodyText"/>
        <w:spacing w:after="0"/>
      </w:pPr>
      <w:r w:rsidRPr="00AA66E4">
        <w:rPr>
          <w:noProof/>
          <w:lang w:eastAsia="en-AU"/>
        </w:rPr>
        <w:drawing>
          <wp:inline distT="0" distB="0" distL="0" distR="0" wp14:anchorId="5756B41E" wp14:editId="074EF5BA">
            <wp:extent cx="6043930" cy="2870867"/>
            <wp:effectExtent l="0" t="0" r="1270" b="0"/>
            <wp:docPr id="294" name="Picture 7" descr="Figure 5.6: Key Focus Areas for Improving Youth Attainment and Transition Outcomes&#10;" title="Figure 5.6: Key Focus Areas for Improving Youth Attainment and Transition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3930" cy="2870867"/>
                    </a:xfrm>
                    <a:prstGeom prst="rect">
                      <a:avLst/>
                    </a:prstGeom>
                    <a:noFill/>
                    <a:ln>
                      <a:noFill/>
                    </a:ln>
                  </pic:spPr>
                </pic:pic>
              </a:graphicData>
            </a:graphic>
          </wp:inline>
        </w:drawing>
      </w:r>
    </w:p>
    <w:p w14:paraId="158ED796" w14:textId="77777777" w:rsidR="00F935CF" w:rsidRDefault="00F935CF" w:rsidP="0061433F">
      <w:pPr>
        <w:pStyle w:val="Tablenote"/>
        <w:jc w:val="both"/>
      </w:pPr>
      <w:r>
        <w:t>* This has a much broader application than YAT. It is the focus of national policy consideration and is not expanded on in this report.</w:t>
      </w:r>
    </w:p>
    <w:p w14:paraId="23F14CA4" w14:textId="77777777" w:rsidR="00F935CF" w:rsidRPr="001F7883" w:rsidRDefault="00F935CF" w:rsidP="001F7883">
      <w:pPr>
        <w:pStyle w:val="Heading4"/>
      </w:pPr>
      <w:r w:rsidRPr="001F7883">
        <w:t>Strengthening the capabilities of upper secondary schooling around YAT</w:t>
      </w:r>
    </w:p>
    <w:p w14:paraId="7B15FD6D" w14:textId="77777777" w:rsidR="00F935CF" w:rsidRPr="00E47BDC" w:rsidRDefault="00F935CF" w:rsidP="0061433F">
      <w:pPr>
        <w:pStyle w:val="BodyText"/>
      </w:pPr>
      <w:r w:rsidRPr="00E47BDC">
        <w:t>Post-Year 10 is a distinct phase of education in its own right, with unique challenges that need to be reflected in appropriate policy frameworks, administrative and institutional arrangements, and funding.</w:t>
      </w:r>
    </w:p>
    <w:p w14:paraId="15A8343D" w14:textId="77777777" w:rsidR="00F935CF" w:rsidRPr="00E47BDC" w:rsidRDefault="00F935CF" w:rsidP="0061433F">
      <w:pPr>
        <w:pStyle w:val="BodyText"/>
      </w:pPr>
      <w:r w:rsidRPr="00E47BDC">
        <w:lastRenderedPageBreak/>
        <w:t>Also, increasing participation requirements mean that some schools have become responsible for a larger number of young people that historically would have left, or are seeing young people re-engage in education and training</w:t>
      </w:r>
      <w:r w:rsidR="00306B54">
        <w:t xml:space="preserve"> (to a lesser degree)</w:t>
      </w:r>
      <w:r w:rsidRPr="00E47BDC">
        <w:t>. The initial report of this evaluation documented the following stakeholder views:</w:t>
      </w:r>
    </w:p>
    <w:p w14:paraId="70E8C287" w14:textId="77777777" w:rsidR="00F935CF" w:rsidRPr="00E47BDC" w:rsidRDefault="00F935CF" w:rsidP="0061433F">
      <w:pPr>
        <w:pStyle w:val="ListBullet"/>
      </w:pPr>
      <w:r w:rsidRPr="00E47BDC">
        <w:t>Many of these students have characteristics and needs that differ from those of other students. For example, many of those who have been out of school for extended periods have lower literacy and numeracy levels, or require different education or training options to stay engaged</w:t>
      </w:r>
    </w:p>
    <w:p w14:paraId="2C7BA1FE" w14:textId="77777777" w:rsidR="00F935CF" w:rsidRPr="00E47BDC" w:rsidRDefault="00F935CF" w:rsidP="0061433F">
      <w:pPr>
        <w:pStyle w:val="ListBullet"/>
      </w:pPr>
      <w:r w:rsidRPr="00E47BDC">
        <w:t>Some schools do not have the resources or appropriate staff to support this cohort of young people.</w:t>
      </w:r>
      <w:r w:rsidRPr="00E47BDC">
        <w:rPr>
          <w:vertAlign w:val="superscript"/>
        </w:rPr>
        <w:footnoteReference w:id="68"/>
      </w:r>
    </w:p>
    <w:p w14:paraId="1E0244F3" w14:textId="77777777" w:rsidR="00F935CF" w:rsidRPr="00E47BDC" w:rsidRDefault="00F935CF" w:rsidP="0061433F">
      <w:pPr>
        <w:pStyle w:val="BodyText"/>
        <w:keepNext/>
      </w:pPr>
      <w:r w:rsidRPr="00E47BDC">
        <w:t>A framework for strengthening the capability of upper secondary schooling would need to consider how best to:</w:t>
      </w:r>
    </w:p>
    <w:p w14:paraId="581BD02E" w14:textId="77777777" w:rsidR="00F935CF" w:rsidRPr="00E47BDC" w:rsidRDefault="00F935CF" w:rsidP="0061433F">
      <w:pPr>
        <w:pStyle w:val="ListBullet"/>
      </w:pPr>
      <w:r w:rsidRPr="00E47BDC">
        <w:t>Broaden the curriculum choices available to individual students; for example, by promoting and extending institutional arrangements such as senior colleges</w:t>
      </w:r>
    </w:p>
    <w:p w14:paraId="3E0E4D80" w14:textId="77777777" w:rsidR="00F935CF" w:rsidRPr="00E47BDC" w:rsidRDefault="00F935CF" w:rsidP="0061433F">
      <w:pPr>
        <w:pStyle w:val="ListBullet"/>
      </w:pPr>
      <w:r w:rsidRPr="00E47BDC">
        <w:t>Emphasise the role of school leadership in improving engagement and attainment</w:t>
      </w:r>
    </w:p>
    <w:p w14:paraId="45C00AB4" w14:textId="77777777" w:rsidR="00F935CF" w:rsidRPr="00E47BDC" w:rsidRDefault="00F935CF" w:rsidP="0061433F">
      <w:pPr>
        <w:pStyle w:val="ListBullet"/>
      </w:pPr>
      <w:r w:rsidRPr="00E47BDC">
        <w:t>Strengthen the connections between schools, workplaces and communities</w:t>
      </w:r>
    </w:p>
    <w:p w14:paraId="7367881C" w14:textId="77777777" w:rsidR="00F935CF" w:rsidRPr="00E47BDC" w:rsidRDefault="0093082E" w:rsidP="0061433F">
      <w:pPr>
        <w:pStyle w:val="ListBullet"/>
      </w:pPr>
      <w:r>
        <w:t>E</w:t>
      </w:r>
      <w:r w:rsidR="00F935CF" w:rsidRPr="00E47BDC">
        <w:t>xtend the use of teaching methods best suited to the needs of older students</w:t>
      </w:r>
    </w:p>
    <w:p w14:paraId="65DD8983" w14:textId="77777777" w:rsidR="00F935CF" w:rsidRPr="00E47BDC" w:rsidRDefault="00F935CF" w:rsidP="0061433F">
      <w:pPr>
        <w:pStyle w:val="ListBullet"/>
      </w:pPr>
      <w:r w:rsidRPr="00E47BDC">
        <w:t>Improve the support services provided to those students most at risk of leaving school early.</w:t>
      </w:r>
    </w:p>
    <w:p w14:paraId="7EF163CB" w14:textId="77777777" w:rsidR="00F935CF" w:rsidRPr="00E47BDC" w:rsidRDefault="00F935CF" w:rsidP="001F7883">
      <w:pPr>
        <w:pStyle w:val="BodyText"/>
        <w:keepNext/>
      </w:pPr>
      <w:r w:rsidRPr="00E47BDC">
        <w:t>It would need to take into account:</w:t>
      </w:r>
    </w:p>
    <w:p w14:paraId="0D8E5098" w14:textId="77777777" w:rsidR="00F935CF" w:rsidRPr="00E47BDC" w:rsidRDefault="00F935CF" w:rsidP="0061433F">
      <w:pPr>
        <w:pStyle w:val="ListBullet"/>
      </w:pPr>
      <w:r>
        <w:t>H</w:t>
      </w:r>
      <w:r w:rsidRPr="00E47BDC">
        <w:t>ow responsibility for students of upper secondary age is divided among the various stakeholders</w:t>
      </w:r>
    </w:p>
    <w:p w14:paraId="27B695C9" w14:textId="77777777" w:rsidR="00F935CF" w:rsidRPr="00E47BDC" w:rsidRDefault="00F935CF" w:rsidP="0061433F">
      <w:pPr>
        <w:pStyle w:val="ListBullet"/>
      </w:pPr>
      <w:r>
        <w:t>T</w:t>
      </w:r>
      <w:r w:rsidRPr="00E47BDC">
        <w:t>he short-term capital costs associated with altering the stock of educational facilities to reflect new educational needs</w:t>
      </w:r>
    </w:p>
    <w:p w14:paraId="229D0D33" w14:textId="77777777" w:rsidR="00F935CF" w:rsidRPr="00E47BDC" w:rsidRDefault="00F935CF" w:rsidP="0061433F">
      <w:pPr>
        <w:pStyle w:val="ListBullet"/>
      </w:pPr>
      <w:r>
        <w:t>T</w:t>
      </w:r>
      <w:r w:rsidRPr="00E47BDC">
        <w:t>he implications for teachers’ skills of teaching methods appropriate to older students, and any implications for teacher working conditions</w:t>
      </w:r>
    </w:p>
    <w:p w14:paraId="7E101472" w14:textId="77777777" w:rsidR="00F935CF" w:rsidRPr="00E47BDC" w:rsidRDefault="00F935CF" w:rsidP="0061433F">
      <w:pPr>
        <w:pStyle w:val="ListBullet"/>
      </w:pPr>
      <w:r w:rsidRPr="00E47BDC">
        <w:t>The challenges for school leaders in creating school climates that make a distinctive and more appropriate provision for the post-Year 10 group as a whole, as well as better provision for students who are not bound for tertiary education or at risk of leaving early.</w:t>
      </w:r>
    </w:p>
    <w:p w14:paraId="49ED5F16" w14:textId="77777777" w:rsidR="00F935CF" w:rsidRPr="00E47BDC" w:rsidRDefault="00F935CF" w:rsidP="0061433F">
      <w:pPr>
        <w:pStyle w:val="BodyText"/>
      </w:pPr>
      <w:r w:rsidRPr="00E47BDC">
        <w:t>A national policy framework with the goal of achieving these objectives, and which reflected the challenges involved, would obviously have funding implications. It would need to take into account:</w:t>
      </w:r>
    </w:p>
    <w:p w14:paraId="3265AAA1" w14:textId="77777777" w:rsidR="00F935CF" w:rsidRPr="00E47BDC" w:rsidRDefault="00F935CF" w:rsidP="0061433F">
      <w:pPr>
        <w:pStyle w:val="ListBullet"/>
      </w:pPr>
      <w:r w:rsidRPr="00E47BDC">
        <w:t>The appropriate division of funding responsibility between the Australian Government and the States/Territories</w:t>
      </w:r>
    </w:p>
    <w:p w14:paraId="014FC1F3" w14:textId="77777777" w:rsidR="00F935CF" w:rsidRPr="00E47BDC" w:rsidRDefault="00F935CF" w:rsidP="0061433F">
      <w:pPr>
        <w:pStyle w:val="ListBullet"/>
      </w:pPr>
      <w:r w:rsidRPr="00E47BDC">
        <w:t>The role of the Australian Government in national leadership, promoting good practice, and conducting research and other policy-focused analyses</w:t>
      </w:r>
    </w:p>
    <w:p w14:paraId="6BD04A7C" w14:textId="77777777" w:rsidR="00F935CF" w:rsidRPr="00E47BDC" w:rsidRDefault="00F935CF" w:rsidP="0061433F">
      <w:pPr>
        <w:pStyle w:val="ListBullet"/>
      </w:pPr>
      <w:r w:rsidRPr="00E47BDC">
        <w:t>The appropriate funding methods, whether through conditions attached to overall school funding agreements or specific-purpose programs designed to support the broad objectives of the framework.</w:t>
      </w:r>
    </w:p>
    <w:p w14:paraId="30C674A1" w14:textId="77777777" w:rsidR="00F935CF" w:rsidRPr="00E47BDC" w:rsidRDefault="00F935CF" w:rsidP="0061433F">
      <w:pPr>
        <w:pStyle w:val="BodyText"/>
        <w:keepNext/>
      </w:pPr>
      <w:r w:rsidRPr="00E47BDC">
        <w:t>Developing such a framework would involve a number of steps, including:</w:t>
      </w:r>
    </w:p>
    <w:p w14:paraId="487513FD" w14:textId="77777777" w:rsidR="00F935CF" w:rsidRPr="00E47BDC" w:rsidRDefault="00F935CF" w:rsidP="0061433F">
      <w:pPr>
        <w:pStyle w:val="ListBullet"/>
      </w:pPr>
      <w:r w:rsidRPr="00E47BDC">
        <w:t>Conducting a national review of institutional models of post-Year 10 education that facilitate a broadening of curriculum choices (including VET options available to students), and of their relative costs, advantages and disadvantages – this could include consideration of the introduction of senior colleges or similar institutional arrangements by modifying existing school buildings and campuses</w:t>
      </w:r>
      <w:r w:rsidR="009A62AD">
        <w:t xml:space="preserve"> and developing the capability of school personnel to operate in a senior college environment</w:t>
      </w:r>
    </w:p>
    <w:p w14:paraId="4E8CA009" w14:textId="77777777" w:rsidR="00F935CF" w:rsidRPr="00E47BDC" w:rsidRDefault="00F935CF" w:rsidP="0061433F">
      <w:pPr>
        <w:pStyle w:val="ListBullet"/>
      </w:pPr>
      <w:r>
        <w:lastRenderedPageBreak/>
        <w:t>C</w:t>
      </w:r>
      <w:r w:rsidRPr="00E47BDC">
        <w:t>onducting ongoing research on the economic and social benefits of upper secondary completion</w:t>
      </w:r>
    </w:p>
    <w:p w14:paraId="03E44BEB" w14:textId="77777777" w:rsidR="00F935CF" w:rsidRPr="00E47BDC" w:rsidRDefault="00F935CF" w:rsidP="0061433F">
      <w:pPr>
        <w:pStyle w:val="ListBullet"/>
      </w:pPr>
      <w:r>
        <w:t>S</w:t>
      </w:r>
      <w:r w:rsidRPr="00E47BDC">
        <w:t>trengthening the capacity of upper secondary school leaders to support transition outcomes</w:t>
      </w:r>
      <w:r w:rsidRPr="00E47BDC">
        <w:rPr>
          <w:rStyle w:val="FootnoteReference"/>
        </w:rPr>
        <w:footnoteReference w:id="69"/>
      </w:r>
    </w:p>
    <w:p w14:paraId="68413742" w14:textId="77777777" w:rsidR="00F935CF" w:rsidRPr="00E47BDC" w:rsidRDefault="00F935CF" w:rsidP="0061433F">
      <w:pPr>
        <w:pStyle w:val="ListBullet"/>
      </w:pPr>
      <w:r w:rsidRPr="00E47BDC">
        <w:t>Improving teaching and learning practices for upper secondary students (including teacher-development programs focused on teaching and learning methods appropriate to upper secondary-aged students)</w:t>
      </w:r>
    </w:p>
    <w:p w14:paraId="28F1C45B" w14:textId="77777777" w:rsidR="00F935CF" w:rsidRPr="00E47BDC" w:rsidRDefault="00F935CF" w:rsidP="0061433F">
      <w:pPr>
        <w:pStyle w:val="ListBullet"/>
      </w:pPr>
      <w:r w:rsidRPr="00E47BDC">
        <w:t>Investigating and disseminating good practice in preventing early school leaving.</w:t>
      </w:r>
    </w:p>
    <w:p w14:paraId="5E06A7AE" w14:textId="77777777" w:rsidR="00F935CF" w:rsidRPr="00E47BDC" w:rsidRDefault="00F935CF" w:rsidP="0061433F">
      <w:pPr>
        <w:pStyle w:val="Heading4"/>
      </w:pPr>
      <w:r w:rsidRPr="00E47BDC">
        <w:t>Deepening community-strengthening initiatives</w:t>
      </w:r>
    </w:p>
    <w:p w14:paraId="405BA922" w14:textId="77777777" w:rsidR="00F935CF" w:rsidRPr="00E47BDC" w:rsidRDefault="00F935CF" w:rsidP="0061433F">
      <w:pPr>
        <w:pStyle w:val="BodyText"/>
      </w:pPr>
      <w:r w:rsidRPr="00E47BDC">
        <w:t>Engagement, attainment and transition outcomes cannot be achieved by actions at the school level alone. It is also necessary to continue to build stronger connections between young people and their families, schools, communities and businesses.</w:t>
      </w:r>
    </w:p>
    <w:p w14:paraId="17745EE9" w14:textId="77777777" w:rsidR="00F935CF" w:rsidRPr="00E47BDC" w:rsidRDefault="00F935CF" w:rsidP="0061433F">
      <w:pPr>
        <w:pStyle w:val="BodyText"/>
      </w:pPr>
      <w:r w:rsidRPr="00E47BDC">
        <w:t>This requires community-strengthening initiatives involving young people, families, schools and training providers, and business and community groups in activities and initiatives that:</w:t>
      </w:r>
    </w:p>
    <w:p w14:paraId="6669D726" w14:textId="77777777" w:rsidR="00F935CF" w:rsidRPr="00E47BDC" w:rsidRDefault="00E2755A" w:rsidP="0061433F">
      <w:pPr>
        <w:pStyle w:val="ListBullet"/>
      </w:pPr>
      <w:r>
        <w:t>Expose young people to alternative learning options, where available and of high-quality, to alternative learning institutions</w:t>
      </w:r>
    </w:p>
    <w:p w14:paraId="056FCA17" w14:textId="77777777" w:rsidR="00F935CF" w:rsidRPr="00E47BDC" w:rsidRDefault="00F935CF" w:rsidP="0061433F">
      <w:pPr>
        <w:pStyle w:val="ListBullet"/>
      </w:pPr>
      <w:r w:rsidRPr="00E47BDC">
        <w:t>Provide opportunities to experience work environments and training</w:t>
      </w:r>
    </w:p>
    <w:p w14:paraId="2CA87C72" w14:textId="77777777" w:rsidR="00F935CF" w:rsidRPr="00E47BDC" w:rsidRDefault="00E2755A" w:rsidP="0061433F">
      <w:pPr>
        <w:pStyle w:val="ListBullet"/>
      </w:pPr>
      <w:r>
        <w:t>B</w:t>
      </w:r>
      <w:r w:rsidR="00F935CF" w:rsidRPr="00E47BDC">
        <w:t>uild positive networks between young people</w:t>
      </w:r>
    </w:p>
    <w:p w14:paraId="56BADBB5" w14:textId="77777777" w:rsidR="00F935CF" w:rsidRPr="00E47BDC" w:rsidRDefault="00F935CF" w:rsidP="0061433F">
      <w:pPr>
        <w:pStyle w:val="ListBullet"/>
      </w:pPr>
      <w:r w:rsidRPr="00E47BDC">
        <w:t>Provide practical, community-based programs to help young people at risk of disengagement, and their families (e.g., community-based safety nets).</w:t>
      </w:r>
    </w:p>
    <w:p w14:paraId="598B94BB" w14:textId="77777777" w:rsidR="00F935CF" w:rsidRPr="00E47BDC" w:rsidRDefault="00F935CF" w:rsidP="0061433F">
      <w:pPr>
        <w:pStyle w:val="BodyText"/>
      </w:pPr>
      <w:r w:rsidRPr="00E47BDC">
        <w:t>The benefits of partnerships are evident from the responses from partner organisations in the PB program that were obtained in the evaluation of the NP, as is the fact that schools and businesses need assistance to develop effective partnerships.</w:t>
      </w:r>
    </w:p>
    <w:p w14:paraId="5AD5ABF0" w14:textId="77777777" w:rsidR="00F935CF" w:rsidRPr="00E47BDC" w:rsidRDefault="00F935CF" w:rsidP="0061433F">
      <w:pPr>
        <w:pStyle w:val="Heading4"/>
      </w:pPr>
      <w:r w:rsidRPr="00E47BDC">
        <w:t>Implementing more systematic career development and pathway planning initiatives</w:t>
      </w:r>
    </w:p>
    <w:p w14:paraId="52320681" w14:textId="77777777" w:rsidR="00F935CF" w:rsidRPr="00E47BDC" w:rsidRDefault="00F935CF" w:rsidP="0061433F">
      <w:pPr>
        <w:pStyle w:val="BodyText"/>
      </w:pPr>
      <w:r w:rsidRPr="00E47BDC">
        <w:t>An awareness of work and careers is built throughout schooling</w:t>
      </w:r>
      <w:r w:rsidR="00E2755A">
        <w:t xml:space="preserve"> </w:t>
      </w:r>
      <w:r w:rsidR="0093082E">
        <w:t>involving</w:t>
      </w:r>
      <w:r w:rsidR="00E2755A">
        <w:t xml:space="preserve"> teachers, </w:t>
      </w:r>
      <w:r w:rsidR="008B11F2">
        <w:t xml:space="preserve">trainers, </w:t>
      </w:r>
      <w:r w:rsidR="00E2755A">
        <w:t>career advisors, employers, family members and peers</w:t>
      </w:r>
      <w:r w:rsidRPr="00E47BDC">
        <w:t xml:space="preserve">. </w:t>
      </w:r>
      <w:r w:rsidR="00E2755A">
        <w:t xml:space="preserve">For career and pathway planning to be effective, it </w:t>
      </w:r>
      <w:r w:rsidRPr="00E47BDC">
        <w:t>needs to be facilitated by the availability of quality information and appropriate advice that matches the needs of a particular age group. Providing opportunities for young people to learn about what work involves is also important.</w:t>
      </w:r>
    </w:p>
    <w:p w14:paraId="6430676A" w14:textId="77777777" w:rsidR="00F935CF" w:rsidRPr="00E47BDC" w:rsidRDefault="00F935CF" w:rsidP="0061433F">
      <w:pPr>
        <w:pStyle w:val="BodyText"/>
      </w:pPr>
      <w:r w:rsidRPr="00E47BDC">
        <w:t>In upper secondary schooling, the focus needs to be on the provision of specialist career-development assistance, followed by the development of individual pathway plans. While career-development assistance is provided in most schools, the quality varies and specialist career advisers do not always provide it.</w:t>
      </w:r>
    </w:p>
    <w:p w14:paraId="2FFC4492" w14:textId="77777777" w:rsidR="00F935CF" w:rsidRPr="00E47BDC" w:rsidRDefault="00F935CF" w:rsidP="0061433F">
      <w:pPr>
        <w:pStyle w:val="BodyText"/>
      </w:pPr>
      <w:r w:rsidRPr="00E47BDC">
        <w:t xml:space="preserve">There also needs to be a focus on providing career-development assistance to young people who have dropped out of education without completing Year 12 or the equivalent, </w:t>
      </w:r>
      <w:r>
        <w:t>so that they are encouraged to</w:t>
      </w:r>
      <w:r w:rsidRPr="00E47BDC">
        <w:t xml:space="preserve"> re-engage with education and training.</w:t>
      </w:r>
    </w:p>
    <w:p w14:paraId="7BDF6090" w14:textId="77777777" w:rsidR="00F935CF" w:rsidRPr="00E47BDC" w:rsidRDefault="00F935CF" w:rsidP="0061433F">
      <w:pPr>
        <w:pStyle w:val="BodyText"/>
      </w:pPr>
      <w:r w:rsidRPr="00E47BDC">
        <w:t>The National Career Development Strategy is progressing and should provide a sound basis for an agreed national approach in this important area.</w:t>
      </w:r>
    </w:p>
    <w:p w14:paraId="4388781D" w14:textId="77777777" w:rsidR="00F935CF" w:rsidRPr="00E47BDC" w:rsidRDefault="00F935CF" w:rsidP="0061433F">
      <w:pPr>
        <w:pStyle w:val="Heading4"/>
      </w:pPr>
      <w:r w:rsidRPr="00E47BDC">
        <w:t xml:space="preserve">Ensuring </w:t>
      </w:r>
      <w:r>
        <w:t xml:space="preserve">that </w:t>
      </w:r>
      <w:r w:rsidRPr="00E47BDC">
        <w:t>appropriate services are provided for young people at risk</w:t>
      </w:r>
    </w:p>
    <w:p w14:paraId="6574B77E" w14:textId="77777777" w:rsidR="00F935CF" w:rsidRPr="00E47BDC" w:rsidRDefault="00F935CF" w:rsidP="0061433F">
      <w:pPr>
        <w:pStyle w:val="BodyText"/>
      </w:pPr>
      <w:r w:rsidRPr="00E47BDC">
        <w:t>The challenge of reducing the number of unemployed and inactive teenagers requires national solutions that span several portfolios – those of the Australian Government and the States and Territories.</w:t>
      </w:r>
    </w:p>
    <w:p w14:paraId="49B03723" w14:textId="77777777" w:rsidR="00F935CF" w:rsidRPr="00E47BDC" w:rsidRDefault="00F935CF" w:rsidP="0061433F">
      <w:pPr>
        <w:pStyle w:val="BodyText"/>
      </w:pPr>
      <w:r w:rsidRPr="00E47BDC">
        <w:t>The first element of a national approach must be more effective action to reduce the number of early school leavers. Strengthening the capability of upper secondary schooling, as discussed above, is the key here.</w:t>
      </w:r>
    </w:p>
    <w:p w14:paraId="084015CE" w14:textId="77777777" w:rsidR="00F935CF" w:rsidRPr="00E47BDC" w:rsidRDefault="00F935CF" w:rsidP="0061433F">
      <w:pPr>
        <w:pStyle w:val="BodyText"/>
      </w:pPr>
      <w:r w:rsidRPr="00E47BDC">
        <w:lastRenderedPageBreak/>
        <w:t>The second element is a strategy to better deal with those disengaged young people who have dropped out of school early. It is critical to provide national safety net services to support young people who leave school early and cannot find a job, to help them re-engage with education and training, and in particular to assist those who are not involved in education, training or the labour market.</w:t>
      </w:r>
    </w:p>
    <w:p w14:paraId="1D913C61" w14:textId="77777777" w:rsidR="00F935CF" w:rsidRPr="00E47BDC" w:rsidRDefault="00F935CF" w:rsidP="0061433F">
      <w:pPr>
        <w:pStyle w:val="BodyText"/>
      </w:pPr>
      <w:r w:rsidRPr="00E47BDC">
        <w:t>The evidence points to the diverse composition, in terms of income support status, of the group of young people who are neither in employment, education nor training, and to the diversity of their needs and characteristics. Any future Commonwealth support for re-engaging early school leavers should therefore span the employment, income support and education and training portfolios, and combine comprehensiveness, segmentation and the targeting of young people in different circumstances that access different institutions.</w:t>
      </w:r>
    </w:p>
    <w:p w14:paraId="67C62615" w14:textId="77777777" w:rsidR="00F935CF" w:rsidRPr="00E47BDC" w:rsidRDefault="00F935CF" w:rsidP="0061433F">
      <w:pPr>
        <w:pStyle w:val="BodyText"/>
      </w:pPr>
      <w:r w:rsidRPr="00E47BDC">
        <w:t>A national strategy focused on disengaged young people should:</w:t>
      </w:r>
    </w:p>
    <w:p w14:paraId="37AFF375" w14:textId="77777777" w:rsidR="00F935CF" w:rsidRPr="00E47BDC" w:rsidRDefault="00F935CF" w:rsidP="0061433F">
      <w:pPr>
        <w:pStyle w:val="ListBullet"/>
      </w:pPr>
      <w:r w:rsidRPr="00E47BDC">
        <w:t>Obtain a better understanding of who disengaged and inactive young people are, and why their numbers have risen since the introduction of the NP YAT</w:t>
      </w:r>
    </w:p>
    <w:p w14:paraId="741BA4B2" w14:textId="77777777" w:rsidR="00F935CF" w:rsidRPr="00E47BDC" w:rsidRDefault="00F935CF" w:rsidP="0061433F">
      <w:pPr>
        <w:pStyle w:val="ListBullet"/>
      </w:pPr>
      <w:r w:rsidRPr="00E47BDC">
        <w:t>Seek national agreement to more clearly differentiate responsibility for at-risk young people who are enrolled in school, and those who are not – this is required to reduce overlap between the States and Territories on the one hand and the Australian Government on the other, and to allow more efficient use of resources</w:t>
      </w:r>
    </w:p>
    <w:p w14:paraId="638A2EA8" w14:textId="77777777" w:rsidR="00F935CF" w:rsidRPr="00E47BDC" w:rsidRDefault="00F935CF" w:rsidP="0061433F">
      <w:pPr>
        <w:pStyle w:val="ListBullet"/>
      </w:pPr>
      <w:r w:rsidRPr="00E47BDC">
        <w:t xml:space="preserve">Continue </w:t>
      </w:r>
      <w:r>
        <w:t xml:space="preserve">with the raised participation age and retain participation-contingent income support requirements introduced as part of the </w:t>
      </w:r>
      <w:r w:rsidRPr="00E47BDC">
        <w:t xml:space="preserve">Compact with Young Australians initiative, </w:t>
      </w:r>
      <w:r>
        <w:t>underpinned</w:t>
      </w:r>
      <w:r w:rsidRPr="00E47BDC">
        <w:t xml:space="preserve"> by stronger monitoring and compliance arrangements</w:t>
      </w:r>
      <w:r>
        <w:t xml:space="preserve"> aimed at directing young people to the support they need to establish and maintain participation in education, training and/or employment</w:t>
      </w:r>
    </w:p>
    <w:p w14:paraId="472CD5BF" w14:textId="77777777" w:rsidR="00F935CF" w:rsidRPr="00E47BDC" w:rsidRDefault="00F935CF" w:rsidP="0061433F">
      <w:pPr>
        <w:pStyle w:val="ListBullet"/>
      </w:pPr>
      <w:r w:rsidRPr="00E47BDC">
        <w:t xml:space="preserve">Take a national approach to inactive youth that spans the Australian Government’s income support, disability, health, employment, and education and training portfolios – this is in recognition of the fact that around half of inactive youth are federal, non-participation-contingent, income-support clients, of whom the largest group receive </w:t>
      </w:r>
      <w:r w:rsidR="00A20353">
        <w:t>D</w:t>
      </w:r>
      <w:r w:rsidRPr="00E47BDC">
        <w:t xml:space="preserve">isability </w:t>
      </w:r>
      <w:r w:rsidR="00A20353">
        <w:t>S</w:t>
      </w:r>
      <w:r w:rsidRPr="00E47BDC">
        <w:t xml:space="preserve">upport </w:t>
      </w:r>
      <w:r w:rsidR="00A20353">
        <w:t>P</w:t>
      </w:r>
      <w:r w:rsidRPr="00E47BDC">
        <w:t>ensions</w:t>
      </w:r>
    </w:p>
    <w:p w14:paraId="1E10DDC0" w14:textId="77777777" w:rsidR="00F935CF" w:rsidRPr="00E47BDC" w:rsidRDefault="00F935CF" w:rsidP="0061433F">
      <w:pPr>
        <w:pStyle w:val="ListBullet"/>
      </w:pPr>
      <w:r w:rsidRPr="00E47BDC">
        <w:t>Provide adequate funding for a</w:t>
      </w:r>
      <w:r>
        <w:t>n Australian Government</w:t>
      </w:r>
      <w:r w:rsidRPr="00E47BDC">
        <w:t xml:space="preserve"> program (along the lines of YC) targeted at those disengaged young people who are not enrolled in education and training. Such a program is needed given the Australian Government’s responsibilities for labour market policy, and because of the implications of disengagement in the long term for welfare services and income support. This evaluation has shown that YC effectively targets the regions and groups who are most in need, that it is flexible in its approach, and that it provides a holistic approach to young people’s needs</w:t>
      </w:r>
      <w:r>
        <w:t>.</w:t>
      </w:r>
      <w:r w:rsidRPr="00E47BDC">
        <w:t xml:space="preserve"> It also has been shown to improve participants’ sense of wellbeing, it is valued and appreciated by participants, and it results in positive outcomes in an appreciable proportion of cases. However, the demand for services exceeds the existing capacity, which is effectively capped, based on the level of funding available rather than the level of demand. This impedes the capacity of service providers to quickly respond to disengaged young people.</w:t>
      </w:r>
    </w:p>
    <w:p w14:paraId="0817CEAB" w14:textId="77777777" w:rsidR="00F935CF" w:rsidRPr="00E47BDC" w:rsidRDefault="00F935CF" w:rsidP="0061433F">
      <w:pPr>
        <w:pStyle w:val="ListBullet"/>
      </w:pPr>
      <w:r w:rsidRPr="00E47BDC">
        <w:t>Improve coordination at the local level between those who provide re-engagement services, such as YC and Centrelink, JSA and education and training providers.</w:t>
      </w:r>
    </w:p>
    <w:p w14:paraId="14602747" w14:textId="77777777" w:rsidR="00F935CF" w:rsidRPr="00E47BDC" w:rsidRDefault="00F935CF" w:rsidP="0061433F">
      <w:pPr>
        <w:pStyle w:val="Heading2"/>
      </w:pPr>
      <w:bookmarkStart w:id="116" w:name="_Toc210231266"/>
      <w:bookmarkStart w:id="117" w:name="_Toc219347258"/>
      <w:r w:rsidRPr="00E47BDC">
        <w:t>Implications for different funding models</w:t>
      </w:r>
      <w:bookmarkEnd w:id="116"/>
      <w:bookmarkEnd w:id="117"/>
    </w:p>
    <w:p w14:paraId="47CF8843" w14:textId="77777777" w:rsidR="00F935CF" w:rsidRPr="00E47BDC" w:rsidRDefault="00F935CF" w:rsidP="0061433F">
      <w:pPr>
        <w:pStyle w:val="BodyText"/>
      </w:pPr>
      <w:r w:rsidRPr="00E47BDC">
        <w:t>Pursuit of the focus areas outlined in the previous section will require careful consideration of both the quantum of funding and the way in which funding is provided. Ensuring that the allocation of resources across the alternative (i.e., competing) components of an overall strategy is optimal will be a significant challenge.</w:t>
      </w:r>
    </w:p>
    <w:p w14:paraId="7FAB5863" w14:textId="77777777" w:rsidR="00F935CF" w:rsidRPr="00E47BDC" w:rsidRDefault="00F935CF" w:rsidP="0061433F">
      <w:pPr>
        <w:pStyle w:val="BodyText"/>
      </w:pPr>
      <w:r w:rsidRPr="00E47BDC">
        <w:lastRenderedPageBreak/>
        <w:t>To generalise, the nature of the initiatives/interventions required to improve youth attainment and transitions necessitates clear financial incentives or established funding contingent requirements.</w:t>
      </w:r>
    </w:p>
    <w:p w14:paraId="6B6ADD4D" w14:textId="77777777" w:rsidR="00F935CF" w:rsidRPr="00E47BDC" w:rsidRDefault="00F935CF" w:rsidP="0061433F">
      <w:pPr>
        <w:pStyle w:val="BodyText"/>
      </w:pPr>
      <w:r w:rsidRPr="00E47BDC">
        <w:t>There are various funding options available for pursuing the initiatives and reforms outlined above. Essentially, they fit into the following categories:</w:t>
      </w:r>
    </w:p>
    <w:p w14:paraId="7DB8BF3E" w14:textId="77777777" w:rsidR="00F935CF" w:rsidRPr="00E47BDC" w:rsidRDefault="00F935CF" w:rsidP="0061433F">
      <w:pPr>
        <w:pStyle w:val="ListBullet"/>
      </w:pPr>
      <w:r w:rsidRPr="00E47BDC">
        <w:t>Australian Government:</w:t>
      </w:r>
    </w:p>
    <w:p w14:paraId="338D997F" w14:textId="77777777" w:rsidR="00F935CF" w:rsidRPr="00DB7D08" w:rsidRDefault="00F935CF" w:rsidP="0061433F">
      <w:pPr>
        <w:pStyle w:val="Listdash"/>
      </w:pPr>
      <w:r w:rsidRPr="00DB7D08">
        <w:t>broad-purpose block grants without conditions</w:t>
      </w:r>
    </w:p>
    <w:p w14:paraId="5A466D3C" w14:textId="77777777" w:rsidR="00F935CF" w:rsidRPr="00DB7D08" w:rsidRDefault="00F935CF" w:rsidP="0061433F">
      <w:pPr>
        <w:pStyle w:val="Listdash"/>
      </w:pPr>
      <w:r w:rsidRPr="00DB7D08">
        <w:t>broad-purpose block grants with conditions</w:t>
      </w:r>
    </w:p>
    <w:p w14:paraId="5AD9774E" w14:textId="77777777" w:rsidR="00F935CF" w:rsidRPr="00DB7D08" w:rsidRDefault="00F935CF" w:rsidP="0061433F">
      <w:pPr>
        <w:pStyle w:val="Listdash"/>
      </w:pPr>
      <w:r w:rsidRPr="00DB7D08">
        <w:t>specific-purpose grants to school sectors</w:t>
      </w:r>
    </w:p>
    <w:p w14:paraId="63C2C360" w14:textId="77777777" w:rsidR="00F935CF" w:rsidRPr="00DB7D08" w:rsidRDefault="00F935CF" w:rsidP="0061433F">
      <w:pPr>
        <w:pStyle w:val="Listdash"/>
      </w:pPr>
      <w:r w:rsidRPr="00DB7D08">
        <w:t>specific-purpose grants to non-government organisations</w:t>
      </w:r>
    </w:p>
    <w:p w14:paraId="41CE2420" w14:textId="77777777" w:rsidR="00F935CF" w:rsidRPr="00DB7D08" w:rsidRDefault="00F935CF" w:rsidP="0061433F">
      <w:pPr>
        <w:pStyle w:val="Listdash"/>
      </w:pPr>
      <w:r w:rsidRPr="00DB7D08">
        <w:t>participation-contingent income support to individuals</w:t>
      </w:r>
    </w:p>
    <w:p w14:paraId="1C4CA8D5" w14:textId="77777777" w:rsidR="00F935CF" w:rsidRPr="00E47BDC" w:rsidRDefault="00F935CF" w:rsidP="0061433F">
      <w:pPr>
        <w:pStyle w:val="ListBullet"/>
      </w:pPr>
      <w:r w:rsidRPr="00E47BDC">
        <w:t>State/Territory:</w:t>
      </w:r>
    </w:p>
    <w:p w14:paraId="43F5B89D" w14:textId="77777777" w:rsidR="00F935CF" w:rsidRPr="00DB7D08" w:rsidRDefault="00F935CF" w:rsidP="0061433F">
      <w:pPr>
        <w:pStyle w:val="Listdash"/>
      </w:pPr>
      <w:r w:rsidRPr="00DB7D08">
        <w:t>broad-purpose block funding to schools without conditions</w:t>
      </w:r>
    </w:p>
    <w:p w14:paraId="44B83295" w14:textId="77777777" w:rsidR="00F935CF" w:rsidRPr="00DB7D08" w:rsidRDefault="00F935CF" w:rsidP="0061433F">
      <w:pPr>
        <w:pStyle w:val="Listdash"/>
      </w:pPr>
      <w:r w:rsidRPr="00DB7D08">
        <w:t>broad-purpose block funding to schools with conditions</w:t>
      </w:r>
    </w:p>
    <w:p w14:paraId="697945E8" w14:textId="77777777" w:rsidR="00F935CF" w:rsidRPr="00DB7D08" w:rsidRDefault="00F935CF" w:rsidP="0061433F">
      <w:pPr>
        <w:pStyle w:val="Listdash"/>
      </w:pPr>
      <w:r w:rsidRPr="00DB7D08">
        <w:t>specific-purpose funding to schools</w:t>
      </w:r>
    </w:p>
    <w:p w14:paraId="6C7BD5EE" w14:textId="77777777" w:rsidR="00F935CF" w:rsidRPr="00DB7D08" w:rsidRDefault="00F935CF" w:rsidP="0061433F">
      <w:pPr>
        <w:pStyle w:val="Listdash"/>
      </w:pPr>
      <w:r w:rsidRPr="00DB7D08">
        <w:t>specific-purpose grants to non-government organisations.</w:t>
      </w:r>
    </w:p>
    <w:p w14:paraId="65CB06F1" w14:textId="77777777" w:rsidR="00F935CF" w:rsidRPr="00E47BDC" w:rsidRDefault="00F935CF" w:rsidP="0061433F">
      <w:pPr>
        <w:pStyle w:val="BodyText"/>
      </w:pPr>
      <w:r w:rsidRPr="00E47BDC">
        <w:t>There are pros and cons for most of these alternative approaches, and these need to be carefully considered when developing a new policy. The provision of participation-contingent income support to individuals in the YAT target cohort seems to be an effective and efficient approach by the Australian Government</w:t>
      </w:r>
      <w:r w:rsidRPr="00E47BDC">
        <w:rPr>
          <w:rStyle w:val="FootnoteReference"/>
        </w:rPr>
        <w:footnoteReference w:id="70"/>
      </w:r>
      <w:r w:rsidRPr="00E47BDC">
        <w:t>, which should be continued.</w:t>
      </w:r>
    </w:p>
    <w:p w14:paraId="38D63294" w14:textId="77777777" w:rsidR="00F935CF" w:rsidRPr="00E47BDC" w:rsidRDefault="00F935CF" w:rsidP="0061433F">
      <w:pPr>
        <w:pStyle w:val="BodyText"/>
        <w:spacing w:after="160"/>
      </w:pPr>
      <w:r w:rsidRPr="00E47BDC">
        <w:t xml:space="preserve">The proposals in the Review of Funding for Schooling (the ‘Gonski Review’) to reform school funding could do much to address some of the issues that result in less-than-ideal transition outcomes – in particular, funding to help overcome some of the impact of socioeconomic disadvantage upon outcomes. However, the reforms alone will not address all the requirements for improved attainment and transition outcomes. There are two </w:t>
      </w:r>
      <w:r>
        <w:t xml:space="preserve">main </w:t>
      </w:r>
      <w:r w:rsidRPr="00E47BDC">
        <w:t>reasons for this:</w:t>
      </w:r>
    </w:p>
    <w:p w14:paraId="0C5F283E" w14:textId="77777777" w:rsidR="00F935CF" w:rsidRPr="00E47BDC" w:rsidRDefault="00F935CF" w:rsidP="0061433F">
      <w:pPr>
        <w:pStyle w:val="ListBullet"/>
      </w:pPr>
      <w:r w:rsidRPr="00E47BDC">
        <w:t>The proposals do not specifically focus on upper secondary schooling or post-school education and training, and there is no guarantee that any additional funding that may eventuate will be directed towards key transition issues.</w:t>
      </w:r>
    </w:p>
    <w:p w14:paraId="39978926" w14:textId="77777777" w:rsidR="00F935CF" w:rsidRPr="00E47BDC" w:rsidRDefault="00F935CF" w:rsidP="0061433F">
      <w:pPr>
        <w:pStyle w:val="ListBullet"/>
      </w:pPr>
      <w:r w:rsidRPr="00E47BDC">
        <w:t>Good transition outcomes require a cross-portfolio approach involving specific initiatives that encompasses not only schooling but also employment and the labour market more broadly, vocational education and training, and income support. This will not be achieved just through changes to general school funding arrangements.</w:t>
      </w:r>
    </w:p>
    <w:p w14:paraId="05753A3E" w14:textId="77777777" w:rsidR="00F935CF" w:rsidRPr="00E47BDC" w:rsidRDefault="00F935CF" w:rsidP="0061433F">
      <w:pPr>
        <w:pStyle w:val="BodyText"/>
        <w:keepNext/>
        <w:spacing w:after="160"/>
      </w:pPr>
      <w:r w:rsidRPr="00E47BDC">
        <w:t>Whatever approach is taken to funding initiatives to improve YAT outcomes and minimise disengagement, several obvious considerations are relevant:</w:t>
      </w:r>
    </w:p>
    <w:p w14:paraId="7D482247" w14:textId="77777777" w:rsidR="00F935CF" w:rsidRPr="00E47BDC" w:rsidRDefault="00F935CF" w:rsidP="0061433F">
      <w:pPr>
        <w:pStyle w:val="ListBullet"/>
      </w:pPr>
      <w:r w:rsidRPr="00E47BDC">
        <w:t>The quantum of funding for a program must be adequate (and provided over a relevant time frame) to achieve target objectives.</w:t>
      </w:r>
    </w:p>
    <w:p w14:paraId="5358021E" w14:textId="77777777" w:rsidR="00F935CF" w:rsidRPr="00E47BDC" w:rsidRDefault="00F935CF" w:rsidP="0061433F">
      <w:pPr>
        <w:pStyle w:val="ListBullet"/>
      </w:pPr>
      <w:r w:rsidRPr="00E47BDC">
        <w:t>Funding provided without conditions is less likely to achieve the target objectives.</w:t>
      </w:r>
    </w:p>
    <w:p w14:paraId="72560A58" w14:textId="77777777" w:rsidR="00F935CF" w:rsidRPr="00E47BDC" w:rsidRDefault="00F935CF" w:rsidP="0061433F">
      <w:pPr>
        <w:pStyle w:val="ListBullet"/>
      </w:pPr>
      <w:r w:rsidRPr="00E47BDC">
        <w:t>Incentive-based funding and funding contingent on specified requirements being achieved have attractions, although implementation can be challenging.</w:t>
      </w:r>
    </w:p>
    <w:p w14:paraId="69D7BCD0" w14:textId="77777777" w:rsidR="00F935CF" w:rsidRPr="00E47BDC" w:rsidRDefault="00F935CF" w:rsidP="0061433F">
      <w:pPr>
        <w:pStyle w:val="ListBullet"/>
      </w:pPr>
      <w:r w:rsidRPr="00E47BDC">
        <w:t>Effective outcomes will require agreement between the Australian Government and States/Territories on funding contributions.</w:t>
      </w:r>
    </w:p>
    <w:p w14:paraId="147378AB" w14:textId="77777777" w:rsidR="00F935CF" w:rsidRPr="00E47BDC" w:rsidRDefault="00F935CF" w:rsidP="0061433F">
      <w:pPr>
        <w:pStyle w:val="BodyText"/>
      </w:pPr>
      <w:r w:rsidRPr="00E47BDC">
        <w:lastRenderedPageBreak/>
        <w:t xml:space="preserve">The current fiscal challenges facing the Australian Government and States/Territories, and the Australian Government’s proposal to pursue the recommendations of the ‘Gonski Review’, make dealing with these funding issues for YAT initiatives even more difficult. However, it is worth stressing again that the economic and social costs of failing to promote engagement, attainment and transition outcomes is large and long-lasting (see section </w:t>
      </w:r>
      <w:r w:rsidR="0056511F" w:rsidRPr="00E47BDC">
        <w:fldChar w:fldCharType="begin"/>
      </w:r>
      <w:r w:rsidRPr="00E47BDC">
        <w:instrText xml:space="preserve"> REF _Ref210123358 \r \h </w:instrText>
      </w:r>
      <w:r w:rsidR="0056511F" w:rsidRPr="00E47BDC">
        <w:fldChar w:fldCharType="separate"/>
      </w:r>
      <w:r w:rsidR="00A76CFC">
        <w:t>4.1</w:t>
      </w:r>
      <w:r w:rsidR="0056511F" w:rsidRPr="00E47BDC">
        <w:fldChar w:fldCharType="end"/>
      </w:r>
      <w:r w:rsidRPr="00E47BDC">
        <w:t>).</w:t>
      </w:r>
    </w:p>
    <w:p w14:paraId="2CE8EA53" w14:textId="77777777" w:rsidR="00F935CF" w:rsidRPr="00E47BDC" w:rsidRDefault="00F935CF" w:rsidP="0061433F">
      <w:pPr>
        <w:pStyle w:val="BodyText"/>
        <w:rPr>
          <w:highlight w:val="yellow"/>
        </w:rPr>
      </w:pPr>
    </w:p>
    <w:p w14:paraId="7E724073" w14:textId="77777777" w:rsidR="00F935CF" w:rsidRPr="00E47BDC" w:rsidRDefault="00F935CF" w:rsidP="0061433F">
      <w:pPr>
        <w:pStyle w:val="Heading1"/>
        <w:spacing w:before="900" w:after="680" w:line="240" w:lineRule="auto"/>
        <w:jc w:val="both"/>
      </w:pPr>
      <w:bookmarkStart w:id="118" w:name="_Ref207011409"/>
      <w:bookmarkStart w:id="119" w:name="_Toc210231267"/>
      <w:bookmarkStart w:id="120" w:name="_Toc219347259"/>
      <w:r w:rsidRPr="00E47BDC">
        <w:lastRenderedPageBreak/>
        <w:t xml:space="preserve">Looking </w:t>
      </w:r>
      <w:bookmarkEnd w:id="118"/>
      <w:bookmarkEnd w:id="119"/>
      <w:r w:rsidRPr="00E47BDC">
        <w:t>ahead</w:t>
      </w:r>
      <w:bookmarkEnd w:id="120"/>
    </w:p>
    <w:p w14:paraId="001F74DE" w14:textId="77777777" w:rsidR="00F935CF" w:rsidRPr="00E47BDC" w:rsidRDefault="00F935CF" w:rsidP="0061433F">
      <w:pPr>
        <w:pStyle w:val="Heading2"/>
      </w:pPr>
      <w:bookmarkStart w:id="121" w:name="_Toc219347260"/>
      <w:r w:rsidRPr="00E47BDC">
        <w:t>Roles for government</w:t>
      </w:r>
      <w:bookmarkEnd w:id="121"/>
    </w:p>
    <w:p w14:paraId="51D30A24" w14:textId="77777777" w:rsidR="00F935CF" w:rsidRPr="00E47BDC" w:rsidRDefault="00F935CF" w:rsidP="0061433F">
      <w:pPr>
        <w:pStyle w:val="Heading3"/>
        <w:jc w:val="both"/>
      </w:pPr>
      <w:r w:rsidRPr="00E47BDC">
        <w:t>The role of the Australian Government</w:t>
      </w:r>
    </w:p>
    <w:p w14:paraId="2838E857" w14:textId="77777777" w:rsidR="00F935CF" w:rsidRPr="00E47BDC" w:rsidRDefault="00F935CF" w:rsidP="0061433F">
      <w:pPr>
        <w:pStyle w:val="BodyText"/>
      </w:pPr>
      <w:r w:rsidRPr="00E47BDC">
        <w:t>In determining the appropriate allocation of roles under a future national youth attainment and transitions policy, it is helpful to think of the respective responsibilities and interests of the Australian Government and the States and Territories.</w:t>
      </w:r>
    </w:p>
    <w:p w14:paraId="2A360AA1" w14:textId="77777777" w:rsidR="00F935CF" w:rsidRPr="00E47BDC" w:rsidRDefault="00F935CF" w:rsidP="0061433F">
      <w:pPr>
        <w:pStyle w:val="BodyText"/>
      </w:pPr>
      <w:r w:rsidRPr="00E47BDC">
        <w:t>The Australian Government</w:t>
      </w:r>
      <w:r w:rsidRPr="00E47BDC" w:rsidDel="0013190F">
        <w:t xml:space="preserve"> </w:t>
      </w:r>
      <w:r w:rsidRPr="00E47BDC">
        <w:t>is responsible for national economic policy, national labour market policies, and the provision of income support.</w:t>
      </w:r>
    </w:p>
    <w:p w14:paraId="76427EBA" w14:textId="77777777" w:rsidR="00F935CF" w:rsidRPr="00E47BDC" w:rsidRDefault="00F935CF" w:rsidP="0061433F">
      <w:pPr>
        <w:pStyle w:val="BodyText"/>
      </w:pPr>
      <w:r w:rsidRPr="00E47BDC">
        <w:t>Its responsibility for economic policy gives the Australian Government an interest in raising rates of educational participation and</w:t>
      </w:r>
      <w:r w:rsidR="00A838B4">
        <w:t xml:space="preserve"> </w:t>
      </w:r>
      <w:r w:rsidRPr="00E47BDC">
        <w:t>attainment, because of the link between higher rates of educational attainment and higher productivity and GDP, as well as the link to indicators such as positive health outcomes and reduced crime that have expenditure and productivity implications. The economic interest that it has in increasing educational attainment applies to Year 12 (or equivalent) attainment independently of tertiary attainment, as each can be shown to have independent economic benefits.</w:t>
      </w:r>
      <w:r w:rsidR="00A838B4">
        <w:rPr>
          <w:rStyle w:val="FootnoteReference"/>
        </w:rPr>
        <w:footnoteReference w:id="71"/>
      </w:r>
    </w:p>
    <w:p w14:paraId="7004A745" w14:textId="77777777" w:rsidR="00F935CF" w:rsidRPr="00E47BDC" w:rsidRDefault="00F935CF" w:rsidP="0061433F">
      <w:pPr>
        <w:pStyle w:val="BodyText"/>
      </w:pPr>
      <w:r w:rsidRPr="00E47BDC">
        <w:t>The Australian Government’s</w:t>
      </w:r>
      <w:r w:rsidRPr="00E47BDC" w:rsidDel="0013190F">
        <w:t xml:space="preserve"> </w:t>
      </w:r>
      <w:r w:rsidRPr="00E47BDC">
        <w:t>responsibility for labour market policy gives it an interest in increased Year 12 completion rates because of the link between these and increased rates of employment and labour force participation, and reduced rates of unemployment. Its responsibility for labour market policy gives it an interest in promoting labour market flexibility and responsiveness, and labour mobility, supported by improved career self-management skills, and in nationally available, high-quality educational, occupational and labour market information.</w:t>
      </w:r>
    </w:p>
    <w:p w14:paraId="7D91EC16" w14:textId="77777777" w:rsidR="00F935CF" w:rsidRPr="00E47BDC" w:rsidRDefault="00F935CF" w:rsidP="0061433F">
      <w:pPr>
        <w:pStyle w:val="BodyText"/>
      </w:pPr>
      <w:r w:rsidRPr="00E47BDC">
        <w:t>The Australian Government’s</w:t>
      </w:r>
      <w:r w:rsidRPr="00E47BDC" w:rsidDel="0013190F">
        <w:t xml:space="preserve"> </w:t>
      </w:r>
      <w:r w:rsidRPr="00E47BDC">
        <w:t>responsibility for income support gives it a direct interest in reducing the number of young people who are either unemployed or neither in education nor the labour market, both because of the immediate budgetary costs and because of the longer-term implications for welfare dependency.</w:t>
      </w:r>
    </w:p>
    <w:p w14:paraId="621B0918" w14:textId="77777777" w:rsidR="00F935CF" w:rsidRPr="00E47BDC" w:rsidRDefault="00F935CF" w:rsidP="0061433F">
      <w:pPr>
        <w:pStyle w:val="BodyText"/>
      </w:pPr>
      <w:r w:rsidRPr="00E47BDC">
        <w:t>Stakeholders from the education and training, business and industry, and community and youth sectors see the Australian Government</w:t>
      </w:r>
      <w:r w:rsidRPr="00E47BDC" w:rsidDel="0013190F">
        <w:t xml:space="preserve"> </w:t>
      </w:r>
      <w:r w:rsidRPr="00E47BDC">
        <w:t>playing multiple roles in the youth attainment and transitions space:</w:t>
      </w:r>
    </w:p>
    <w:p w14:paraId="4238B65C" w14:textId="77777777" w:rsidR="00F935CF" w:rsidRPr="00E47BDC" w:rsidRDefault="00F935CF" w:rsidP="0061433F">
      <w:pPr>
        <w:pStyle w:val="ListBullet"/>
      </w:pPr>
      <w:r>
        <w:t>S</w:t>
      </w:r>
      <w:r w:rsidRPr="00E47BDC">
        <w:t>trategy:</w:t>
      </w:r>
    </w:p>
    <w:p w14:paraId="14B8BCB1" w14:textId="77777777" w:rsidR="00F935CF" w:rsidRPr="00DB7D08" w:rsidRDefault="00F935CF" w:rsidP="0061433F">
      <w:pPr>
        <w:pStyle w:val="Listdash"/>
      </w:pPr>
      <w:r w:rsidRPr="00DB7D08">
        <w:t>establishing a long-term view of Australia’s future and a pathway for getting there</w:t>
      </w:r>
    </w:p>
    <w:p w14:paraId="0E2BA0E7" w14:textId="77777777" w:rsidR="00F935CF" w:rsidRPr="00DB7D08" w:rsidRDefault="00F935CF" w:rsidP="0061433F">
      <w:pPr>
        <w:pStyle w:val="Listdash"/>
      </w:pPr>
      <w:r w:rsidRPr="00DB7D08">
        <w:t>setting national objectives and policies, and facilitating cooperation by jurisdictions</w:t>
      </w:r>
    </w:p>
    <w:p w14:paraId="3AC88626" w14:textId="77777777" w:rsidR="00F935CF" w:rsidRPr="00E47BDC" w:rsidRDefault="00F935CF" w:rsidP="0061433F">
      <w:pPr>
        <w:pStyle w:val="ListBullet"/>
      </w:pPr>
      <w:r>
        <w:t>P</w:t>
      </w:r>
      <w:r w:rsidRPr="00E47BDC">
        <w:t>olicy:</w:t>
      </w:r>
    </w:p>
    <w:p w14:paraId="39CF3D8A" w14:textId="77777777" w:rsidR="00F935CF" w:rsidRPr="00DB7D08" w:rsidRDefault="00F935CF" w:rsidP="0061433F">
      <w:pPr>
        <w:pStyle w:val="Listdash"/>
      </w:pPr>
      <w:r w:rsidRPr="00DB7D08">
        <w:t>linking different policy initiatives that impact on education and training</w:t>
      </w:r>
    </w:p>
    <w:p w14:paraId="5E78B9E3" w14:textId="77777777" w:rsidR="00F935CF" w:rsidRPr="00DB7D08" w:rsidRDefault="00F935CF" w:rsidP="0061433F">
      <w:pPr>
        <w:pStyle w:val="Listdash"/>
      </w:pPr>
      <w:r w:rsidRPr="00DB7D08">
        <w:t>promoting lifelong learning and improved career self-management skills</w:t>
      </w:r>
    </w:p>
    <w:p w14:paraId="588022BD" w14:textId="77777777" w:rsidR="00F935CF" w:rsidRPr="00DB7D08" w:rsidRDefault="00F935CF" w:rsidP="0061433F">
      <w:pPr>
        <w:pStyle w:val="Listdash"/>
      </w:pPr>
      <w:r w:rsidRPr="00DB7D08">
        <w:lastRenderedPageBreak/>
        <w:t>implementing a new national career-development strategy</w:t>
      </w:r>
    </w:p>
    <w:p w14:paraId="46C18E5E" w14:textId="77777777" w:rsidR="00F935CF" w:rsidRPr="00E47BDC" w:rsidRDefault="00F935CF" w:rsidP="0061433F">
      <w:pPr>
        <w:pStyle w:val="ListBullet"/>
      </w:pPr>
      <w:r>
        <w:t>G</w:t>
      </w:r>
      <w:r w:rsidRPr="00E47BDC">
        <w:t>overnance and delivery:</w:t>
      </w:r>
    </w:p>
    <w:p w14:paraId="0A7F8099" w14:textId="77777777" w:rsidR="00F935CF" w:rsidRPr="00DB7D08" w:rsidRDefault="00F935CF" w:rsidP="0061433F">
      <w:pPr>
        <w:pStyle w:val="Listdash"/>
      </w:pPr>
      <w:r w:rsidRPr="00DB7D08">
        <w:t>sharing best practice – finding and promoting things that work</w:t>
      </w:r>
    </w:p>
    <w:p w14:paraId="587515E4" w14:textId="77777777" w:rsidR="00F935CF" w:rsidRPr="00DB7D08" w:rsidRDefault="00F935CF" w:rsidP="0061433F">
      <w:pPr>
        <w:pStyle w:val="Listdash"/>
      </w:pPr>
      <w:r w:rsidRPr="00DB7D08">
        <w:t>coordinating responsibilities with the State/Territory and local levels through a mixture of nationwide, State/Territory-wide and targeted local projects</w:t>
      </w:r>
    </w:p>
    <w:p w14:paraId="1ED5C165" w14:textId="77777777" w:rsidR="00F935CF" w:rsidRPr="00DB7D08" w:rsidRDefault="00F935CF" w:rsidP="0061433F">
      <w:pPr>
        <w:pStyle w:val="Listdash"/>
      </w:pPr>
      <w:r w:rsidRPr="00DB7D08">
        <w:t>providing high-quality educational, occupational and labour market information</w:t>
      </w:r>
    </w:p>
    <w:p w14:paraId="0968F2F2" w14:textId="77777777" w:rsidR="00F935CF" w:rsidRPr="00DB7D08" w:rsidRDefault="00F935CF" w:rsidP="0061433F">
      <w:pPr>
        <w:pStyle w:val="Listdash"/>
      </w:pPr>
      <w:r w:rsidRPr="00DB7D08">
        <w:t>coordinating the activities of relevant federal portfolios (e.g., schooling, family and community services).</w:t>
      </w:r>
    </w:p>
    <w:p w14:paraId="1A3CEAAF" w14:textId="77777777" w:rsidR="00F935CF" w:rsidRPr="00E47BDC" w:rsidRDefault="00F935CF" w:rsidP="0061433F">
      <w:pPr>
        <w:pStyle w:val="BodyText"/>
      </w:pPr>
      <w:r w:rsidRPr="00E47BDC">
        <w:t xml:space="preserve">Specific to the focus areas discussed in Chapter </w:t>
      </w:r>
      <w:r w:rsidR="0056511F" w:rsidRPr="00E47BDC">
        <w:fldChar w:fldCharType="begin"/>
      </w:r>
      <w:r w:rsidRPr="00E47BDC">
        <w:instrText xml:space="preserve"> REF _Ref207011405 \r \h </w:instrText>
      </w:r>
      <w:r w:rsidR="0056511F" w:rsidRPr="00E47BDC">
        <w:fldChar w:fldCharType="separate"/>
      </w:r>
      <w:r w:rsidR="00A76CFC">
        <w:t>5</w:t>
      </w:r>
      <w:r w:rsidR="0056511F" w:rsidRPr="00E47BDC">
        <w:fldChar w:fldCharType="end"/>
      </w:r>
      <w:r w:rsidRPr="00E47BDC">
        <w:t xml:space="preserve"> of this report, the provision of services to re-engage early school leavers that are sufficient in scope and quality to meet the needs of all youth not engaged in employment, education or</w:t>
      </w:r>
      <w:r>
        <w:t xml:space="preserve"> training (NEET) is primarily an Australian Government </w:t>
      </w:r>
      <w:r w:rsidRPr="00E47BDC">
        <w:t>responsibility.</w:t>
      </w:r>
    </w:p>
    <w:p w14:paraId="2E03FAF7" w14:textId="77777777" w:rsidR="00F935CF" w:rsidRPr="00E47BDC" w:rsidRDefault="00F935CF" w:rsidP="0061433F">
      <w:pPr>
        <w:pStyle w:val="Heading3"/>
        <w:jc w:val="both"/>
      </w:pPr>
      <w:r w:rsidRPr="00E47BDC">
        <w:t>The role of the State and Territory governments</w:t>
      </w:r>
    </w:p>
    <w:p w14:paraId="69BFA2D4" w14:textId="77777777" w:rsidR="00F935CF" w:rsidRPr="00E47BDC" w:rsidRDefault="00F935CF" w:rsidP="0061433F">
      <w:pPr>
        <w:pStyle w:val="BodyText"/>
      </w:pPr>
      <w:r w:rsidRPr="00E47BDC">
        <w:t xml:space="preserve">States and Territories have primary responsibility for education delivery. As a result, governments at this level have a direct interest in delivering educational and developmental outcomes. States and Territories are also responsible for their health and justice systems. These responsibilities give States and Territories an interest in containing unnecessary demand for these services. Higher levels of educational attainment are associated with outcomes such as improved health, lower illness rates and lower property crime rates (see </w:t>
      </w:r>
      <w:r>
        <w:t>S</w:t>
      </w:r>
      <w:r w:rsidRPr="00E47BDC">
        <w:t xml:space="preserve">ection </w:t>
      </w:r>
      <w:r w:rsidR="0056511F" w:rsidRPr="00E47BDC">
        <w:fldChar w:fldCharType="begin"/>
      </w:r>
      <w:r w:rsidRPr="00E47BDC">
        <w:instrText xml:space="preserve"> REF _Ref210123358 \w \h </w:instrText>
      </w:r>
      <w:r w:rsidR="0056511F" w:rsidRPr="00E47BDC">
        <w:fldChar w:fldCharType="separate"/>
      </w:r>
      <w:r w:rsidR="00A76CFC">
        <w:t>4.1</w:t>
      </w:r>
      <w:r w:rsidR="0056511F" w:rsidRPr="00E47BDC">
        <w:fldChar w:fldCharType="end"/>
      </w:r>
      <w:r w:rsidRPr="00E47BDC">
        <w:t>).</w:t>
      </w:r>
      <w:r w:rsidRPr="00E47BDC">
        <w:rPr>
          <w:vertAlign w:val="superscript"/>
        </w:rPr>
        <w:footnoteReference w:id="72"/>
      </w:r>
    </w:p>
    <w:p w14:paraId="77D69BB1" w14:textId="77777777" w:rsidR="00F935CF" w:rsidRPr="00E47BDC" w:rsidRDefault="00F935CF" w:rsidP="0061433F">
      <w:pPr>
        <w:pStyle w:val="BodyText"/>
      </w:pPr>
      <w:r w:rsidRPr="00E47BDC">
        <w:t xml:space="preserve">The following focus areas, which were discussed in Chapter </w:t>
      </w:r>
      <w:r w:rsidR="0056511F" w:rsidRPr="00E47BDC">
        <w:fldChar w:fldCharType="begin"/>
      </w:r>
      <w:r w:rsidRPr="00E47BDC">
        <w:instrText xml:space="preserve"> REF _Ref207011405 \r \h </w:instrText>
      </w:r>
      <w:r w:rsidR="0056511F" w:rsidRPr="00E47BDC">
        <w:fldChar w:fldCharType="separate"/>
      </w:r>
      <w:r w:rsidR="00A76CFC">
        <w:t>5</w:t>
      </w:r>
      <w:r w:rsidR="0056511F" w:rsidRPr="00E47BDC">
        <w:fldChar w:fldCharType="end"/>
      </w:r>
      <w:r w:rsidRPr="00E47BDC">
        <w:t xml:space="preserve"> of this report, are primarily State/Territory responsibilities:</w:t>
      </w:r>
    </w:p>
    <w:p w14:paraId="7F1FDF17" w14:textId="77777777" w:rsidR="00F935CF" w:rsidRPr="00E47BDC" w:rsidRDefault="00F935CF" w:rsidP="0061433F">
      <w:pPr>
        <w:pStyle w:val="ListBullet"/>
      </w:pPr>
      <w:r w:rsidRPr="00E47BDC">
        <w:t>Working in partnership with the Australian Government to develop an agreed national policy on youth attainment and transitions with shared aspirations and targets, to replace the NP YAT when it concludes</w:t>
      </w:r>
    </w:p>
    <w:p w14:paraId="04BE770F" w14:textId="77777777" w:rsidR="00F935CF" w:rsidRPr="00E47BDC" w:rsidRDefault="00F935CF" w:rsidP="0061433F">
      <w:pPr>
        <w:pStyle w:val="ListBullet"/>
      </w:pPr>
      <w:r w:rsidRPr="00E47BDC">
        <w:t xml:space="preserve">Ensuring that all young people acquire the </w:t>
      </w:r>
      <w:r>
        <w:t xml:space="preserve">educational </w:t>
      </w:r>
      <w:r w:rsidRPr="00E47BDC">
        <w:t>fundamentals</w:t>
      </w:r>
    </w:p>
    <w:p w14:paraId="19EA3E1D" w14:textId="77777777" w:rsidR="00F935CF" w:rsidRPr="00E47BDC" w:rsidRDefault="00F935CF" w:rsidP="0061433F">
      <w:pPr>
        <w:pStyle w:val="ListBullet"/>
      </w:pPr>
      <w:r w:rsidRPr="00E47BDC">
        <w:t>Strengthening the specific capability of upper secondary schooling around YAT through improved leadership, relevant professional skills, research and curriculum</w:t>
      </w:r>
    </w:p>
    <w:p w14:paraId="4A5D92D6" w14:textId="77777777" w:rsidR="00F935CF" w:rsidRPr="00E47BDC" w:rsidRDefault="00F935CF" w:rsidP="0061433F">
      <w:pPr>
        <w:pStyle w:val="ListBullet"/>
      </w:pPr>
      <w:r w:rsidRPr="00E47BDC">
        <w:t>Deepening community-strengthening initiatives to engage young people, parents, schools and training providers, and business and community groups</w:t>
      </w:r>
      <w:r w:rsidR="00A01453">
        <w:rPr>
          <w:rStyle w:val="FootnoteReference"/>
        </w:rPr>
        <w:footnoteReference w:id="73"/>
      </w:r>
    </w:p>
    <w:p w14:paraId="02D6ED58" w14:textId="77777777" w:rsidR="00F935CF" w:rsidRPr="00E47BDC" w:rsidRDefault="00F935CF" w:rsidP="0061433F">
      <w:pPr>
        <w:pStyle w:val="ListBullet"/>
      </w:pPr>
      <w:r w:rsidRPr="00E47BDC">
        <w:t xml:space="preserve">Implementing systemic </w:t>
      </w:r>
      <w:r>
        <w:t xml:space="preserve">career development and </w:t>
      </w:r>
      <w:r w:rsidRPr="00E47BDC">
        <w:t xml:space="preserve">pathway planning initiatives and resources </w:t>
      </w:r>
      <w:r>
        <w:t xml:space="preserve">so that young people can develop individual plans </w:t>
      </w:r>
      <w:r w:rsidRPr="00E47BDC">
        <w:t>(where this is not occurring)</w:t>
      </w:r>
    </w:p>
    <w:p w14:paraId="0A5BF508" w14:textId="77777777" w:rsidR="00F935CF" w:rsidRPr="00E47BDC" w:rsidRDefault="00F935CF" w:rsidP="0061433F">
      <w:pPr>
        <w:pStyle w:val="ListBullet"/>
      </w:pPr>
      <w:r w:rsidRPr="00E47BDC">
        <w:t>Providing support services for those students most at risk of dropping out of education or training.</w:t>
      </w:r>
    </w:p>
    <w:p w14:paraId="04D3DFE5" w14:textId="77777777" w:rsidR="00F935CF" w:rsidRPr="00E47BDC" w:rsidRDefault="00F935CF" w:rsidP="0061433F">
      <w:pPr>
        <w:pStyle w:val="Heading2"/>
      </w:pPr>
      <w:bookmarkStart w:id="122" w:name="_Toc210231269"/>
      <w:bookmarkStart w:id="123" w:name="_Toc219347261"/>
      <w:bookmarkStart w:id="124" w:name="_Toc210102583"/>
      <w:r w:rsidRPr="00E47BDC">
        <w:t>Roles for non-government stakeholders</w:t>
      </w:r>
      <w:bookmarkEnd w:id="122"/>
      <w:bookmarkEnd w:id="123"/>
    </w:p>
    <w:p w14:paraId="4F411033" w14:textId="77777777" w:rsidR="00A76CFC" w:rsidRDefault="00F935CF">
      <w:pPr>
        <w:spacing w:line="380" w:lineRule="atLeast"/>
        <w:rPr>
          <w:bCs/>
          <w:caps/>
          <w:color w:val="3C3C3B"/>
          <w:sz w:val="16"/>
          <w:szCs w:val="18"/>
        </w:rPr>
      </w:pPr>
      <w:r w:rsidRPr="00E47BDC">
        <w:t xml:space="preserve">In addition to the Australian and State and Territory </w:t>
      </w:r>
      <w:r>
        <w:t>G</w:t>
      </w:r>
      <w:r w:rsidRPr="00E47BDC">
        <w:t xml:space="preserve">overnments, there are other stakeholders that have a role to play in improving youth attainment and transition outcomes. </w:t>
      </w:r>
      <w:r w:rsidR="0056511F" w:rsidRPr="00E47BDC">
        <w:rPr>
          <w:highlight w:val="yellow"/>
        </w:rPr>
        <w:fldChar w:fldCharType="begin"/>
      </w:r>
      <w:r w:rsidRPr="00E47BDC">
        <w:instrText xml:space="preserve"> REF _Ref210125596 \h </w:instrText>
      </w:r>
      <w:r w:rsidR="0056511F" w:rsidRPr="00E47BDC">
        <w:rPr>
          <w:highlight w:val="yellow"/>
        </w:rPr>
      </w:r>
      <w:r w:rsidR="0056511F" w:rsidRPr="00E47BDC">
        <w:rPr>
          <w:highlight w:val="yellow"/>
        </w:rPr>
        <w:fldChar w:fldCharType="separate"/>
      </w:r>
      <w:r w:rsidR="00A76CFC">
        <w:br w:type="page"/>
      </w:r>
    </w:p>
    <w:p w14:paraId="0E175212" w14:textId="77777777" w:rsidR="00F935CF" w:rsidRPr="00E47BDC" w:rsidRDefault="00A76CFC" w:rsidP="0061433F">
      <w:pPr>
        <w:pStyle w:val="BodyText"/>
      </w:pPr>
      <w:r w:rsidRPr="00E47BDC">
        <w:lastRenderedPageBreak/>
        <w:t xml:space="preserve">Table </w:t>
      </w:r>
      <w:r w:rsidR="0056511F" w:rsidRPr="00E47BDC">
        <w:rPr>
          <w:highlight w:val="yellow"/>
        </w:rPr>
        <w:fldChar w:fldCharType="end"/>
      </w:r>
      <w:r w:rsidR="00F935CF" w:rsidRPr="00E47BDC">
        <w:t>6.1 details the key stakeholders involved and the roles they could potentially play in a future YAT policy.</w:t>
      </w:r>
    </w:p>
    <w:p w14:paraId="2DF38304" w14:textId="77777777" w:rsidR="00F935CF" w:rsidRPr="00E47BDC" w:rsidRDefault="00F935CF" w:rsidP="0061433F">
      <w:pPr>
        <w:pStyle w:val="Caption"/>
        <w:keepNext/>
        <w:jc w:val="both"/>
      </w:pPr>
      <w:bookmarkStart w:id="125" w:name="_Ref210125596"/>
      <w:r w:rsidRPr="00E47BDC">
        <w:t xml:space="preserve">Table </w:t>
      </w:r>
      <w:bookmarkEnd w:id="125"/>
      <w:r w:rsidRPr="00E47BDC">
        <w:t>6.1: YAT stakeholders and Potential Roles</w:t>
      </w:r>
    </w:p>
    <w:tbl>
      <w:tblPr>
        <w:tblStyle w:val="DandoloTableCentred"/>
        <w:tblW w:w="0" w:type="auto"/>
        <w:tblLook w:val="04A0" w:firstRow="1" w:lastRow="0" w:firstColumn="1" w:lastColumn="0" w:noHBand="0" w:noVBand="1"/>
        <w:tblCaption w:val="Table 6.1: YAT stakeholders and Potential Roles "/>
        <w:tblDescription w:val="Table 6.1: YAT stakeholders and Potential Roles&#10;"/>
      </w:tblPr>
      <w:tblGrid>
        <w:gridCol w:w="2410"/>
        <w:gridCol w:w="7108"/>
      </w:tblGrid>
      <w:tr w:rsidR="00F935CF" w:rsidRPr="00E47BDC" w14:paraId="5FEDCC87" w14:textId="77777777" w:rsidTr="00E93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1F5F8AE" w14:textId="77777777" w:rsidR="00F935CF" w:rsidRPr="00E47BDC" w:rsidRDefault="00F935CF" w:rsidP="0061433F">
            <w:pPr>
              <w:pStyle w:val="BodyText"/>
            </w:pPr>
            <w:r w:rsidRPr="00E47BDC">
              <w:t>Stakeholders</w:t>
            </w:r>
          </w:p>
        </w:tc>
        <w:tc>
          <w:tcPr>
            <w:tcW w:w="7108" w:type="dxa"/>
          </w:tcPr>
          <w:p w14:paraId="04522F50" w14:textId="77777777" w:rsidR="00F935CF" w:rsidRPr="00E47BDC" w:rsidRDefault="00F935CF" w:rsidP="0061433F">
            <w:pPr>
              <w:pStyle w:val="BodyText"/>
              <w:cnfStyle w:val="100000000000" w:firstRow="1" w:lastRow="0" w:firstColumn="0" w:lastColumn="0" w:oddVBand="0" w:evenVBand="0" w:oddHBand="0" w:evenHBand="0" w:firstRowFirstColumn="0" w:firstRowLastColumn="0" w:lastRowFirstColumn="0" w:lastRowLastColumn="0"/>
              <w:rPr>
                <w:b/>
              </w:rPr>
            </w:pPr>
            <w:r w:rsidRPr="00E47BDC">
              <w:rPr>
                <w:b/>
              </w:rPr>
              <w:t>Potential roles</w:t>
            </w:r>
          </w:p>
        </w:tc>
      </w:tr>
      <w:tr w:rsidR="00F935CF" w:rsidRPr="00E47BDC" w14:paraId="251975A1" w14:textId="77777777" w:rsidTr="00E9321B">
        <w:tc>
          <w:tcPr>
            <w:cnfStyle w:val="001000000000" w:firstRow="0" w:lastRow="0" w:firstColumn="1" w:lastColumn="0" w:oddVBand="0" w:evenVBand="0" w:oddHBand="0" w:evenHBand="0" w:firstRowFirstColumn="0" w:firstRowLastColumn="0" w:lastRowFirstColumn="0" w:lastRowLastColumn="0"/>
            <w:tcW w:w="2410" w:type="dxa"/>
            <w:vAlign w:val="top"/>
          </w:tcPr>
          <w:p w14:paraId="40CC4749" w14:textId="77777777" w:rsidR="00F935CF" w:rsidRPr="00E47BDC" w:rsidRDefault="00F935CF" w:rsidP="00AA101C">
            <w:pPr>
              <w:pStyle w:val="BodyText"/>
              <w:spacing w:before="160" w:after="160" w:line="240" w:lineRule="auto"/>
              <w:jc w:val="left"/>
              <w:rPr>
                <w:b w:val="0"/>
                <w:color w:val="auto"/>
                <w:sz w:val="24"/>
              </w:rPr>
            </w:pPr>
            <w:r w:rsidRPr="00E47BDC">
              <w:t>Catholic and independent school sectors</w:t>
            </w:r>
          </w:p>
        </w:tc>
        <w:tc>
          <w:tcPr>
            <w:tcW w:w="7108" w:type="dxa"/>
            <w:vAlign w:val="top"/>
          </w:tcPr>
          <w:p w14:paraId="77D7991A"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S</w:t>
            </w:r>
            <w:r w:rsidRPr="00E47BDC">
              <w:t>ee State/Territory responsibilities above</w:t>
            </w:r>
          </w:p>
        </w:tc>
      </w:tr>
      <w:tr w:rsidR="00F935CF" w:rsidRPr="00E47BDC" w14:paraId="7C14E5F3" w14:textId="77777777" w:rsidTr="00E9321B">
        <w:tc>
          <w:tcPr>
            <w:cnfStyle w:val="001000000000" w:firstRow="0" w:lastRow="0" w:firstColumn="1" w:lastColumn="0" w:oddVBand="0" w:evenVBand="0" w:oddHBand="0" w:evenHBand="0" w:firstRowFirstColumn="0" w:firstRowLastColumn="0" w:lastRowFirstColumn="0" w:lastRowLastColumn="0"/>
            <w:tcW w:w="2410" w:type="dxa"/>
            <w:vAlign w:val="top"/>
          </w:tcPr>
          <w:p w14:paraId="5CC26CA4" w14:textId="77777777" w:rsidR="00F935CF" w:rsidRPr="00E47BDC" w:rsidRDefault="00F935CF" w:rsidP="00AA101C">
            <w:pPr>
              <w:pStyle w:val="BodyText"/>
              <w:spacing w:before="160" w:after="160" w:line="240" w:lineRule="auto"/>
              <w:jc w:val="left"/>
              <w:rPr>
                <w:b w:val="0"/>
                <w:color w:val="auto"/>
                <w:sz w:val="24"/>
              </w:rPr>
            </w:pPr>
            <w:r w:rsidRPr="00E47BDC">
              <w:t>Further and higher education providers (TAFE, VET, universities and adult education)</w:t>
            </w:r>
          </w:p>
        </w:tc>
        <w:tc>
          <w:tcPr>
            <w:tcW w:w="7108" w:type="dxa"/>
            <w:vAlign w:val="top"/>
          </w:tcPr>
          <w:p w14:paraId="29CEB089" w14:textId="77777777" w:rsidR="00F935CF" w:rsidRPr="00DC3A97"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I</w:t>
            </w:r>
            <w:r w:rsidRPr="00E47BDC">
              <w:t>nvolvement in pathway planning</w:t>
            </w:r>
          </w:p>
          <w:p w14:paraId="79575341" w14:textId="77777777" w:rsidR="00F935CF" w:rsidRPr="00467D59"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Support for improving upper secondary capability (e.g. through broader curriculum choice)</w:t>
            </w:r>
          </w:p>
          <w:p w14:paraId="2621DC80"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Participation in community strengthening initiatives</w:t>
            </w:r>
          </w:p>
        </w:tc>
      </w:tr>
      <w:tr w:rsidR="00F935CF" w:rsidRPr="00E47BDC" w14:paraId="043A7FEC" w14:textId="77777777" w:rsidTr="00E9321B">
        <w:tc>
          <w:tcPr>
            <w:cnfStyle w:val="001000000000" w:firstRow="0" w:lastRow="0" w:firstColumn="1" w:lastColumn="0" w:oddVBand="0" w:evenVBand="0" w:oddHBand="0" w:evenHBand="0" w:firstRowFirstColumn="0" w:firstRowLastColumn="0" w:lastRowFirstColumn="0" w:lastRowLastColumn="0"/>
            <w:tcW w:w="2410" w:type="dxa"/>
            <w:vAlign w:val="top"/>
          </w:tcPr>
          <w:p w14:paraId="48C6981C" w14:textId="77777777" w:rsidR="00F935CF" w:rsidRPr="00E47BDC" w:rsidRDefault="00F935CF" w:rsidP="00AA101C">
            <w:pPr>
              <w:pStyle w:val="BodyText"/>
              <w:spacing w:before="160" w:after="160" w:line="240" w:lineRule="auto"/>
              <w:jc w:val="left"/>
              <w:rPr>
                <w:b w:val="0"/>
                <w:color w:val="auto"/>
                <w:sz w:val="24"/>
              </w:rPr>
            </w:pPr>
            <w:r w:rsidRPr="00E47BDC">
              <w:t>Youth and community groups and service providers</w:t>
            </w:r>
          </w:p>
        </w:tc>
        <w:tc>
          <w:tcPr>
            <w:tcW w:w="7108" w:type="dxa"/>
            <w:vAlign w:val="top"/>
          </w:tcPr>
          <w:p w14:paraId="05C63554"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P</w:t>
            </w:r>
            <w:r w:rsidRPr="00E47BDC">
              <w:t>articipation in partnerships with schools and training providers, businesses and parents to improve transition outcomes and provide community-based safety nets for disengaged young people</w:t>
            </w:r>
          </w:p>
          <w:p w14:paraId="1FF8921D"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rsidRPr="00E47BDC">
              <w:t>Delivering targeted programs to young people needing assistance, including services to support disadvantaged students and students most at risk of dropping out of school and to re-engage early school leavers</w:t>
            </w:r>
          </w:p>
          <w:p w14:paraId="1E0A17A9"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I</w:t>
            </w:r>
            <w:r w:rsidRPr="00E47BDC">
              <w:t>nvolvement in the delivery of mentoring programs</w:t>
            </w:r>
          </w:p>
        </w:tc>
      </w:tr>
      <w:tr w:rsidR="00F935CF" w:rsidRPr="00E47BDC" w14:paraId="70FBE3DC" w14:textId="77777777" w:rsidTr="00E9321B">
        <w:tc>
          <w:tcPr>
            <w:cnfStyle w:val="001000000000" w:firstRow="0" w:lastRow="0" w:firstColumn="1" w:lastColumn="0" w:oddVBand="0" w:evenVBand="0" w:oddHBand="0" w:evenHBand="0" w:firstRowFirstColumn="0" w:firstRowLastColumn="0" w:lastRowFirstColumn="0" w:lastRowLastColumn="0"/>
            <w:tcW w:w="2410" w:type="dxa"/>
            <w:vAlign w:val="top"/>
          </w:tcPr>
          <w:p w14:paraId="534A25D3" w14:textId="77777777" w:rsidR="00F935CF" w:rsidRPr="00E47BDC" w:rsidRDefault="00F935CF" w:rsidP="00AA101C">
            <w:pPr>
              <w:pStyle w:val="BodyText"/>
              <w:spacing w:before="160" w:after="160" w:line="240" w:lineRule="auto"/>
              <w:jc w:val="left"/>
              <w:rPr>
                <w:b w:val="0"/>
                <w:color w:val="auto"/>
                <w:sz w:val="24"/>
              </w:rPr>
            </w:pPr>
            <w:r w:rsidRPr="00E47BDC">
              <w:t>Business and industry groups</w:t>
            </w:r>
          </w:p>
        </w:tc>
        <w:tc>
          <w:tcPr>
            <w:tcW w:w="7108" w:type="dxa"/>
            <w:vAlign w:val="top"/>
          </w:tcPr>
          <w:p w14:paraId="5E99E61E"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F</w:t>
            </w:r>
            <w:r w:rsidRPr="00E47BDC">
              <w:t>ostering employer awareness of the characteristics of this generation of young people</w:t>
            </w:r>
          </w:p>
          <w:p w14:paraId="511DFE44"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P</w:t>
            </w:r>
            <w:r w:rsidRPr="00E47BDC">
              <w:t>romoting awareness of self-employment and small business ownership as pathway options</w:t>
            </w:r>
          </w:p>
          <w:p w14:paraId="06B049BA"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P</w:t>
            </w:r>
            <w:r w:rsidRPr="00E47BDC">
              <w:t>romoting awareness of the value of supporting pathways planning, work placements and other workplace experience activities</w:t>
            </w:r>
          </w:p>
          <w:p w14:paraId="340921F0"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rsidRPr="00E47BDC">
              <w:t>Providing input into career-development initiatives and resources</w:t>
            </w:r>
          </w:p>
          <w:p w14:paraId="5D67C4F5"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S</w:t>
            </w:r>
            <w:r w:rsidRPr="00E47BDC">
              <w:t>upporting the development and distribution of occupational and labour market information</w:t>
            </w:r>
          </w:p>
        </w:tc>
      </w:tr>
      <w:tr w:rsidR="00F935CF" w:rsidRPr="00E47BDC" w14:paraId="13300451" w14:textId="77777777" w:rsidTr="00E9321B">
        <w:tc>
          <w:tcPr>
            <w:cnfStyle w:val="001000000000" w:firstRow="0" w:lastRow="0" w:firstColumn="1" w:lastColumn="0" w:oddVBand="0" w:evenVBand="0" w:oddHBand="0" w:evenHBand="0" w:firstRowFirstColumn="0" w:firstRowLastColumn="0" w:lastRowFirstColumn="0" w:lastRowLastColumn="0"/>
            <w:tcW w:w="2410" w:type="dxa"/>
            <w:vAlign w:val="top"/>
          </w:tcPr>
          <w:p w14:paraId="0A616E9A" w14:textId="77777777" w:rsidR="00F935CF" w:rsidRPr="00E47BDC" w:rsidRDefault="00F935CF" w:rsidP="00AA101C">
            <w:pPr>
              <w:pStyle w:val="BodyText"/>
              <w:spacing w:before="160" w:after="160" w:line="240" w:lineRule="auto"/>
              <w:jc w:val="left"/>
              <w:rPr>
                <w:b w:val="0"/>
                <w:color w:val="auto"/>
                <w:sz w:val="24"/>
              </w:rPr>
            </w:pPr>
            <w:r w:rsidRPr="00E47BDC">
              <w:t>Businesses</w:t>
            </w:r>
          </w:p>
        </w:tc>
        <w:tc>
          <w:tcPr>
            <w:tcW w:w="7108" w:type="dxa"/>
            <w:vAlign w:val="top"/>
          </w:tcPr>
          <w:p w14:paraId="56DCD133"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P</w:t>
            </w:r>
            <w:r w:rsidRPr="00E47BDC">
              <w:t>articipation in partnerships with community groups, schools and training providers and parents to improve transition outcomes and provide community-based safety nets for disengaged young people</w:t>
            </w:r>
          </w:p>
          <w:p w14:paraId="705287C3"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P</w:t>
            </w:r>
            <w:r w:rsidRPr="00E47BDC">
              <w:t>roviding work placement and workplace experience activities</w:t>
            </w:r>
          </w:p>
          <w:p w14:paraId="292F35CF"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In</w:t>
            </w:r>
            <w:r w:rsidRPr="00E47BDC">
              <w:t>volvement in the delivery of mentoring programs</w:t>
            </w:r>
          </w:p>
        </w:tc>
      </w:tr>
      <w:tr w:rsidR="00F935CF" w:rsidRPr="00E47BDC" w14:paraId="5EC56FF1" w14:textId="77777777" w:rsidTr="00E9321B">
        <w:tc>
          <w:tcPr>
            <w:cnfStyle w:val="001000000000" w:firstRow="0" w:lastRow="0" w:firstColumn="1" w:lastColumn="0" w:oddVBand="0" w:evenVBand="0" w:oddHBand="0" w:evenHBand="0" w:firstRowFirstColumn="0" w:firstRowLastColumn="0" w:lastRowFirstColumn="0" w:lastRowLastColumn="0"/>
            <w:tcW w:w="2410" w:type="dxa"/>
          </w:tcPr>
          <w:p w14:paraId="34226128" w14:textId="77777777" w:rsidR="00F935CF" w:rsidRPr="00E47BDC" w:rsidRDefault="00F935CF" w:rsidP="00AA101C">
            <w:pPr>
              <w:pStyle w:val="BodyText"/>
              <w:jc w:val="left"/>
              <w:rPr>
                <w:b w:val="0"/>
                <w:color w:val="auto"/>
                <w:sz w:val="20"/>
              </w:rPr>
            </w:pPr>
            <w:r w:rsidRPr="00E47BDC">
              <w:t>Parents and families</w:t>
            </w:r>
          </w:p>
        </w:tc>
        <w:tc>
          <w:tcPr>
            <w:tcW w:w="7108" w:type="dxa"/>
          </w:tcPr>
          <w:p w14:paraId="25F60B2F"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S</w:t>
            </w:r>
            <w:r w:rsidRPr="00E47BDC">
              <w:t>upporting the development of education fundamentals through active participation in the education of young people</w:t>
            </w:r>
          </w:p>
          <w:p w14:paraId="6B17C0C5"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P</w:t>
            </w:r>
            <w:r w:rsidRPr="00E47BDC">
              <w:t>articipation in partnerships with community groups, schools and training providers and business to improve transition outcomes and provide community-based safety nets for disengaged young people</w:t>
            </w:r>
          </w:p>
          <w:p w14:paraId="094B3656"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P</w:t>
            </w:r>
            <w:r w:rsidRPr="00E47BDC">
              <w:t>articipation in programs provided by community groups and service providers for particular young people needing assistance, where relevant</w:t>
            </w:r>
          </w:p>
          <w:p w14:paraId="257042F5" w14:textId="77777777" w:rsidR="00F935CF" w:rsidRPr="00E47BDC" w:rsidRDefault="00F935CF" w:rsidP="00AA101C">
            <w:pPr>
              <w:pStyle w:val="ListBullet"/>
              <w:spacing w:before="160" w:line="240" w:lineRule="auto"/>
              <w:jc w:val="left"/>
              <w:cnfStyle w:val="000000000000" w:firstRow="0" w:lastRow="0" w:firstColumn="0" w:lastColumn="0" w:oddVBand="0" w:evenVBand="0" w:oddHBand="0" w:evenHBand="0" w:firstRowFirstColumn="0" w:firstRowLastColumn="0" w:lastRowFirstColumn="0" w:lastRowLastColumn="0"/>
              <w:rPr>
                <w:color w:val="auto"/>
                <w:sz w:val="24"/>
              </w:rPr>
            </w:pPr>
            <w:r>
              <w:t>I</w:t>
            </w:r>
            <w:r w:rsidRPr="00E47BDC">
              <w:t>nvolvement in pathway planning</w:t>
            </w:r>
          </w:p>
        </w:tc>
      </w:tr>
    </w:tbl>
    <w:p w14:paraId="57646091" w14:textId="77777777" w:rsidR="00F935CF" w:rsidRPr="00E47BDC" w:rsidRDefault="00F935CF" w:rsidP="0061433F">
      <w:pPr>
        <w:pStyle w:val="BodyText"/>
      </w:pPr>
      <w:r w:rsidRPr="00E47BDC">
        <w:t>For a future national youth attainment and transitions policy to be successful, it will need the backing and ongoing support of all of these stakeholders.</w:t>
      </w:r>
    </w:p>
    <w:p w14:paraId="40D989B8" w14:textId="77777777" w:rsidR="00F935CF" w:rsidRPr="00E47BDC" w:rsidRDefault="00F935CF" w:rsidP="0061433F">
      <w:pPr>
        <w:pStyle w:val="Heading2"/>
      </w:pPr>
      <w:bookmarkStart w:id="126" w:name="_Toc210231270"/>
      <w:bookmarkStart w:id="127" w:name="_Toc219347262"/>
      <w:r w:rsidRPr="00E47BDC">
        <w:t>Moving from principles to application</w:t>
      </w:r>
      <w:bookmarkEnd w:id="124"/>
      <w:bookmarkEnd w:id="126"/>
      <w:bookmarkEnd w:id="127"/>
    </w:p>
    <w:p w14:paraId="74853906" w14:textId="77777777" w:rsidR="00F935CF" w:rsidRPr="00E47BDC" w:rsidRDefault="00F935CF" w:rsidP="0061433F">
      <w:pPr>
        <w:pStyle w:val="BodyText"/>
      </w:pPr>
      <w:r w:rsidRPr="00E47BDC">
        <w:t>A number of steps need to be taken in order to enact a set of interventions and initiatives that will ensure Australia is a leader among its economic and social peers in terms of achieving YAT outcomes. It will take time to develop a comprehensive and robust new national policy. It would be best to plan how this might occur well in advance of the end of the current NP.</w:t>
      </w:r>
    </w:p>
    <w:p w14:paraId="35E98B93" w14:textId="77777777" w:rsidR="00F935CF" w:rsidRPr="00E47BDC" w:rsidRDefault="00F935CF" w:rsidP="0061433F">
      <w:pPr>
        <w:pStyle w:val="BodyText"/>
      </w:pPr>
      <w:r w:rsidRPr="00E47BDC">
        <w:lastRenderedPageBreak/>
        <w:t>It is acknowledged that this will be challenging given competing policy demands, various election cycles at the national and State/Territory levels, and the current fiscal environment. However, a robust process is likely to provide a more effective program response to the YAT challenge Australia faces than an ad hoc approach.</w:t>
      </w:r>
    </w:p>
    <w:p w14:paraId="5B9C4B8F" w14:textId="77777777" w:rsidR="00F935CF" w:rsidRPr="00E47BDC" w:rsidRDefault="00F935CF" w:rsidP="0061433F">
      <w:pPr>
        <w:pStyle w:val="BodyText"/>
      </w:pPr>
      <w:r w:rsidRPr="00E47BDC">
        <w:t xml:space="preserve">The following high-level plan specifies four </w:t>
      </w:r>
      <w:r>
        <w:t xml:space="preserve">main </w:t>
      </w:r>
      <w:r w:rsidRPr="00E47BDC">
        <w:t>steps in developing a new national policy:</w:t>
      </w:r>
    </w:p>
    <w:p w14:paraId="160B9FE4" w14:textId="77777777" w:rsidR="00F935CF" w:rsidRPr="00E47BDC" w:rsidRDefault="00F935CF" w:rsidP="0061433F">
      <w:pPr>
        <w:pStyle w:val="BodyText"/>
        <w:spacing w:after="160"/>
        <w:ind w:left="992" w:hanging="992"/>
      </w:pPr>
      <w:r w:rsidRPr="00E47BDC">
        <w:t>Step 1:</w:t>
      </w:r>
      <w:r w:rsidRPr="00E47BDC">
        <w:tab/>
        <w:t>Confirm agreement on the objective</w:t>
      </w:r>
    </w:p>
    <w:p w14:paraId="5701B9BB" w14:textId="77777777" w:rsidR="00F935CF" w:rsidRPr="00E47BDC" w:rsidRDefault="00F935CF" w:rsidP="0061433F">
      <w:pPr>
        <w:pStyle w:val="ListBullet"/>
      </w:pPr>
      <w:r w:rsidRPr="00E47BDC">
        <w:t>Before developing a new policy, governments should confirm a commitment, in principle, to a continuing focus on YAT outcomes, and appropriate intervention through partnership arrangements to facilitate this</w:t>
      </w:r>
    </w:p>
    <w:p w14:paraId="783F14D8" w14:textId="77777777" w:rsidR="00F935CF" w:rsidRPr="00E47BDC" w:rsidRDefault="00F935CF" w:rsidP="0061433F">
      <w:pPr>
        <w:pStyle w:val="ListBullet"/>
      </w:pPr>
      <w:r w:rsidRPr="00E47BDC">
        <w:t xml:space="preserve">A set of overall program design principles should then be considered and agreed upon. The material contained in Chapters </w:t>
      </w:r>
      <w:r w:rsidR="0056511F" w:rsidRPr="00E47BDC">
        <w:fldChar w:fldCharType="begin"/>
      </w:r>
      <w:r w:rsidRPr="00E47BDC">
        <w:instrText xml:space="preserve"> REF _Ref207008491 \r \h </w:instrText>
      </w:r>
      <w:r w:rsidR="0056511F" w:rsidRPr="00E47BDC">
        <w:fldChar w:fldCharType="separate"/>
      </w:r>
      <w:r w:rsidR="00A76CFC">
        <w:t>4</w:t>
      </w:r>
      <w:r w:rsidR="0056511F" w:rsidRPr="00E47BDC">
        <w:fldChar w:fldCharType="end"/>
      </w:r>
      <w:r w:rsidRPr="00E47BDC">
        <w:t xml:space="preserve"> and </w:t>
      </w:r>
      <w:r w:rsidR="0056511F" w:rsidRPr="00E47BDC">
        <w:fldChar w:fldCharType="begin"/>
      </w:r>
      <w:r w:rsidRPr="00E47BDC">
        <w:instrText xml:space="preserve"> REF _Ref207011405 \r \h </w:instrText>
      </w:r>
      <w:r w:rsidR="0056511F" w:rsidRPr="00E47BDC">
        <w:fldChar w:fldCharType="separate"/>
      </w:r>
      <w:r w:rsidR="00A76CFC">
        <w:t>5</w:t>
      </w:r>
      <w:r w:rsidR="0056511F" w:rsidRPr="00E47BDC">
        <w:fldChar w:fldCharType="end"/>
      </w:r>
      <w:r w:rsidRPr="00E47BDC">
        <w:t xml:space="preserve"> of this report is designed to promote such consideration.</w:t>
      </w:r>
    </w:p>
    <w:p w14:paraId="270FA179" w14:textId="77777777" w:rsidR="00F935CF" w:rsidRPr="00E47BDC" w:rsidRDefault="00F935CF" w:rsidP="0061433F">
      <w:pPr>
        <w:pStyle w:val="BodyText"/>
        <w:spacing w:after="160"/>
        <w:ind w:left="992" w:hanging="992"/>
      </w:pPr>
      <w:r w:rsidRPr="00E47BDC">
        <w:t>Step 2:</w:t>
      </w:r>
      <w:r w:rsidRPr="00E47BDC">
        <w:tab/>
        <w:t>Confirm a common understanding of what is required</w:t>
      </w:r>
    </w:p>
    <w:p w14:paraId="1DB2744E" w14:textId="77777777" w:rsidR="00F935CF" w:rsidRPr="00E47BDC" w:rsidRDefault="00F935CF" w:rsidP="0061433F">
      <w:pPr>
        <w:pStyle w:val="ListBullet"/>
      </w:pPr>
      <w:r w:rsidRPr="00E47BDC">
        <w:t>Complete the evaluation of the NP YAT to obtain a better understanding of the effectiveness of existing YAT interventions and how they interact and overlap (including the respective roles of the Australian Government and the States and Territories).</w:t>
      </w:r>
    </w:p>
    <w:p w14:paraId="6224838A" w14:textId="77777777" w:rsidR="00F935CF" w:rsidRPr="00E47BDC" w:rsidRDefault="00F935CF" w:rsidP="0061433F">
      <w:pPr>
        <w:pStyle w:val="ListBullet"/>
      </w:pPr>
      <w:r w:rsidRPr="00E47BDC">
        <w:t>Maintain an awareness of new contributions to the knowledge of factors that influence YAT outcomes, both in Australia and internationally</w:t>
      </w:r>
    </w:p>
    <w:p w14:paraId="2DD72F9B" w14:textId="77777777" w:rsidR="00F935CF" w:rsidRPr="00E47BDC" w:rsidRDefault="00F935CF" w:rsidP="0061433F">
      <w:pPr>
        <w:pStyle w:val="ListBullet"/>
      </w:pPr>
      <w:r w:rsidRPr="00E47BDC">
        <w:t>Analyse how other proposed initiatives (e.g., implementation of the ‘Gonski Review’ recommendations and the National School Improvement Framework) will impact on YAT outcomes and interact with YAT interventions</w:t>
      </w:r>
    </w:p>
    <w:p w14:paraId="334A2B6B" w14:textId="77777777" w:rsidR="00F935CF" w:rsidRPr="00E47BDC" w:rsidRDefault="00F935CF" w:rsidP="0061433F">
      <w:pPr>
        <w:pStyle w:val="ListBullet"/>
      </w:pPr>
      <w:r w:rsidRPr="00E47BDC">
        <w:t>Gain a better understanding of the inactive group (e.g., who they are, why they are disengaged, what is happening with them, and what actions are most likely to reduce disengagement and foster re</w:t>
      </w:r>
      <w:r w:rsidRPr="00E47BDC">
        <w:noBreakHyphen/>
        <w:t>engagement)</w:t>
      </w:r>
    </w:p>
    <w:p w14:paraId="3F70871B" w14:textId="77777777" w:rsidR="00F935CF" w:rsidRPr="00E47BDC" w:rsidRDefault="00F935CF" w:rsidP="0061433F">
      <w:pPr>
        <w:pStyle w:val="ListBullet"/>
      </w:pPr>
      <w:r w:rsidRPr="00E47BDC">
        <w:t>Determine where further reform is needed and the relative priorities</w:t>
      </w:r>
    </w:p>
    <w:p w14:paraId="5AFBEB7A" w14:textId="77777777" w:rsidR="00F935CF" w:rsidRPr="00E47BDC" w:rsidRDefault="00F935CF" w:rsidP="0061433F">
      <w:pPr>
        <w:pStyle w:val="ListBullet"/>
      </w:pPr>
      <w:r w:rsidRPr="00E47BDC">
        <w:t>Investigate options to address priority gap areas and barriers, including funding requirements for effective outcomes and the relative costs/benefits of feasible options.</w:t>
      </w:r>
    </w:p>
    <w:p w14:paraId="0D858AE7" w14:textId="77777777" w:rsidR="00F935CF" w:rsidRPr="00E47BDC" w:rsidRDefault="00F935CF" w:rsidP="0061433F">
      <w:pPr>
        <w:pStyle w:val="BodyText"/>
        <w:keepNext/>
        <w:spacing w:after="160"/>
        <w:ind w:left="992" w:hanging="992"/>
      </w:pPr>
      <w:r w:rsidRPr="00E47BDC">
        <w:t>Step 3:</w:t>
      </w:r>
      <w:r w:rsidRPr="00E47BDC">
        <w:tab/>
        <w:t>Develop a program proposal</w:t>
      </w:r>
    </w:p>
    <w:p w14:paraId="572E82C1" w14:textId="77777777" w:rsidR="00F935CF" w:rsidRPr="00E47BDC" w:rsidRDefault="00F935CF" w:rsidP="0061433F">
      <w:pPr>
        <w:pStyle w:val="ListBullet"/>
      </w:pPr>
      <w:r w:rsidRPr="00E47BDC">
        <w:t>Identify the preferred program options</w:t>
      </w:r>
    </w:p>
    <w:p w14:paraId="2E5B00DA" w14:textId="77777777" w:rsidR="00F935CF" w:rsidRPr="00E47BDC" w:rsidRDefault="00F935CF" w:rsidP="0061433F">
      <w:pPr>
        <w:pStyle w:val="ListBullet"/>
      </w:pPr>
      <w:r w:rsidRPr="00E47BDC">
        <w:t>Specify detailed program objectives</w:t>
      </w:r>
    </w:p>
    <w:p w14:paraId="743C83C2" w14:textId="77777777" w:rsidR="00F935CF" w:rsidRPr="00E47BDC" w:rsidRDefault="00F935CF" w:rsidP="0061433F">
      <w:pPr>
        <w:pStyle w:val="ListBullet"/>
      </w:pPr>
      <w:r w:rsidRPr="00E47BDC">
        <w:t>Specify resourcing requirements and funding options</w:t>
      </w:r>
    </w:p>
    <w:p w14:paraId="50979E24" w14:textId="77777777" w:rsidR="00F935CF" w:rsidRPr="00E47BDC" w:rsidRDefault="00F935CF" w:rsidP="0061433F">
      <w:pPr>
        <w:pStyle w:val="ListBullet"/>
      </w:pPr>
      <w:r w:rsidRPr="00E47BDC">
        <w:t>Specify partnership requirements</w:t>
      </w:r>
    </w:p>
    <w:p w14:paraId="639A9DDF" w14:textId="77777777" w:rsidR="00F935CF" w:rsidRPr="00E47BDC" w:rsidRDefault="00F935CF" w:rsidP="0061433F">
      <w:pPr>
        <w:pStyle w:val="ListBullet"/>
      </w:pPr>
      <w:r w:rsidRPr="00E47BDC">
        <w:t>Specify implementation requirements, including:</w:t>
      </w:r>
    </w:p>
    <w:p w14:paraId="3DA76933" w14:textId="77777777" w:rsidR="00F935CF" w:rsidRPr="00E47BDC" w:rsidRDefault="00F935CF" w:rsidP="0061433F">
      <w:pPr>
        <w:pStyle w:val="Listbullet2indented"/>
        <w:numPr>
          <w:ilvl w:val="0"/>
          <w:numId w:val="0"/>
        </w:numPr>
        <w:ind w:left="1440"/>
      </w:pPr>
      <w:r w:rsidRPr="00E47BDC">
        <w:t>respective responsibilities</w:t>
      </w:r>
    </w:p>
    <w:p w14:paraId="5A7BA6A9" w14:textId="77777777" w:rsidR="00F935CF" w:rsidRPr="00E47BDC" w:rsidRDefault="00F935CF" w:rsidP="0061433F">
      <w:pPr>
        <w:pStyle w:val="Listbullet2indented"/>
        <w:numPr>
          <w:ilvl w:val="0"/>
          <w:numId w:val="0"/>
        </w:numPr>
        <w:ind w:left="1440"/>
      </w:pPr>
      <w:r w:rsidRPr="00E47BDC">
        <w:t>performance measures</w:t>
      </w:r>
    </w:p>
    <w:p w14:paraId="54B59921" w14:textId="77777777" w:rsidR="00F935CF" w:rsidRPr="00E47BDC" w:rsidRDefault="00F935CF" w:rsidP="0061433F">
      <w:pPr>
        <w:pStyle w:val="Listbullet2indented"/>
        <w:numPr>
          <w:ilvl w:val="0"/>
          <w:numId w:val="0"/>
        </w:numPr>
        <w:ind w:left="1440"/>
      </w:pPr>
      <w:r w:rsidRPr="00E47BDC">
        <w:t>governance, dispute resolution and communication arrangements</w:t>
      </w:r>
    </w:p>
    <w:p w14:paraId="55C06ADE" w14:textId="77777777" w:rsidR="00F935CF" w:rsidRPr="00E47BDC" w:rsidRDefault="00F935CF" w:rsidP="0061433F">
      <w:pPr>
        <w:pStyle w:val="Listbullet2indented"/>
        <w:numPr>
          <w:ilvl w:val="0"/>
          <w:numId w:val="0"/>
        </w:numPr>
        <w:ind w:left="1440"/>
      </w:pPr>
      <w:r w:rsidRPr="00E47BDC">
        <w:t>performance monitoring and reporting arrangements</w:t>
      </w:r>
    </w:p>
    <w:p w14:paraId="51D0A55B" w14:textId="77777777" w:rsidR="00F935CF" w:rsidRPr="00E47BDC" w:rsidRDefault="00F935CF" w:rsidP="0061433F">
      <w:pPr>
        <w:pStyle w:val="Listbullet2indented"/>
        <w:numPr>
          <w:ilvl w:val="0"/>
          <w:numId w:val="0"/>
        </w:numPr>
        <w:ind w:left="1440"/>
      </w:pPr>
      <w:r w:rsidRPr="00E47BDC">
        <w:t>program review arrangements</w:t>
      </w:r>
    </w:p>
    <w:p w14:paraId="4C6484AD" w14:textId="77777777" w:rsidR="00F935CF" w:rsidRPr="00E47BDC" w:rsidRDefault="00F935CF" w:rsidP="0061433F">
      <w:pPr>
        <w:pStyle w:val="BodyText"/>
        <w:keepNext/>
        <w:spacing w:after="160"/>
      </w:pPr>
      <w:r w:rsidRPr="00E47BDC">
        <w:t>Step 4: Negotiate a new national YAT agreement between the Australian Government and the States and Territories, which covers:</w:t>
      </w:r>
    </w:p>
    <w:p w14:paraId="4742BAE9" w14:textId="77777777" w:rsidR="00F935CF" w:rsidRPr="00E47BDC" w:rsidRDefault="00F935CF" w:rsidP="0061433F">
      <w:pPr>
        <w:pStyle w:val="ListBullet"/>
      </w:pPr>
      <w:r>
        <w:t>O</w:t>
      </w:r>
      <w:r w:rsidRPr="00E47BDC">
        <w:t>utput and outcome targets</w:t>
      </w:r>
    </w:p>
    <w:p w14:paraId="66096338" w14:textId="77777777" w:rsidR="00F935CF" w:rsidRPr="00E47BDC" w:rsidRDefault="00F935CF" w:rsidP="0061433F">
      <w:pPr>
        <w:pStyle w:val="ListBullet"/>
      </w:pPr>
      <w:r>
        <w:t>R</w:t>
      </w:r>
      <w:r w:rsidRPr="00E47BDC">
        <w:t>esourcing/funding commitments and payment arrangements</w:t>
      </w:r>
    </w:p>
    <w:p w14:paraId="11304EBD" w14:textId="77777777" w:rsidR="00F935CF" w:rsidRPr="00E47BDC" w:rsidRDefault="00F935CF" w:rsidP="0061433F">
      <w:pPr>
        <w:pStyle w:val="ListBullet"/>
      </w:pPr>
      <w:r>
        <w:lastRenderedPageBreak/>
        <w:t>T</w:t>
      </w:r>
      <w:r w:rsidRPr="00E47BDC">
        <w:t>iming, milestones and the program time frame</w:t>
      </w:r>
    </w:p>
    <w:p w14:paraId="054951A6" w14:textId="77777777" w:rsidR="00F935CF" w:rsidRPr="00E47BDC" w:rsidRDefault="00F935CF" w:rsidP="0061433F">
      <w:pPr>
        <w:pStyle w:val="ListBullet"/>
      </w:pPr>
      <w:r>
        <w:t>O</w:t>
      </w:r>
      <w:r w:rsidRPr="00E47BDC">
        <w:t>versight arrangements and communication protocols</w:t>
      </w:r>
    </w:p>
    <w:p w14:paraId="68CE0E7D" w14:textId="77777777" w:rsidR="00F935CF" w:rsidRPr="00E47BDC" w:rsidRDefault="00F935CF" w:rsidP="0061433F">
      <w:pPr>
        <w:pStyle w:val="ListBullet"/>
      </w:pPr>
      <w:r>
        <w:t>P</w:t>
      </w:r>
      <w:r w:rsidRPr="00E47BDC">
        <w:t>erformance monitoring and reporting arrangements</w:t>
      </w:r>
    </w:p>
    <w:p w14:paraId="440ED2A9" w14:textId="77777777" w:rsidR="00F935CF" w:rsidRPr="00E47BDC" w:rsidRDefault="00F935CF" w:rsidP="0061433F">
      <w:pPr>
        <w:pStyle w:val="ListBullet"/>
      </w:pPr>
      <w:r>
        <w:t>P</w:t>
      </w:r>
      <w:r w:rsidRPr="00E47BDC">
        <w:t>rogram review arrangements</w:t>
      </w:r>
    </w:p>
    <w:p w14:paraId="07B483E6" w14:textId="77777777" w:rsidR="00F935CF" w:rsidRDefault="00F935CF" w:rsidP="0061433F">
      <w:pPr>
        <w:pStyle w:val="ListBullet"/>
      </w:pPr>
      <w:r w:rsidRPr="00E47BDC">
        <w:t>Dispute resolution procedures.</w:t>
      </w:r>
    </w:p>
    <w:p w14:paraId="3334D49D" w14:textId="77777777" w:rsidR="00E45705" w:rsidRDefault="00E45705" w:rsidP="00E45705">
      <w:pPr>
        <w:pStyle w:val="ListBullet"/>
        <w:numPr>
          <w:ilvl w:val="0"/>
          <w:numId w:val="0"/>
        </w:numPr>
        <w:ind w:left="720"/>
        <w:sectPr w:rsidR="00E45705" w:rsidSect="005F0B31">
          <w:headerReference w:type="even" r:id="rId83"/>
          <w:headerReference w:type="default" r:id="rId84"/>
          <w:footerReference w:type="default" r:id="rId85"/>
          <w:headerReference w:type="first" r:id="rId86"/>
          <w:pgSz w:w="11899" w:h="16838" w:code="9"/>
          <w:pgMar w:top="1077" w:right="1247" w:bottom="1361" w:left="1134" w:header="284" w:footer="1021" w:gutter="0"/>
          <w:cols w:space="708"/>
          <w:docGrid w:linePitch="272"/>
        </w:sectPr>
      </w:pPr>
    </w:p>
    <w:p w14:paraId="0CCD5E82" w14:textId="77777777" w:rsidR="002D1057" w:rsidRDefault="00AE3199" w:rsidP="0061433F">
      <w:pPr>
        <w:pStyle w:val="Heading1NoNumbering"/>
        <w:jc w:val="both"/>
      </w:pPr>
      <w:bookmarkStart w:id="128" w:name="_Toc219347263"/>
      <w:r>
        <w:lastRenderedPageBreak/>
        <w:t>Appendix 1: Evaluation Framework</w:t>
      </w:r>
      <w:bookmarkEnd w:id="128"/>
    </w:p>
    <w:p w14:paraId="3DAF620A" w14:textId="77777777" w:rsidR="00E45705" w:rsidRDefault="00E45705" w:rsidP="00E45705">
      <w:pPr>
        <w:pStyle w:val="BodyText"/>
        <w:spacing w:after="0"/>
      </w:pPr>
      <w:r w:rsidRPr="00F478F7">
        <w:t>The following diagram represents an overview of the evaluation framework</w:t>
      </w:r>
      <w:r>
        <w:t xml:space="preserve"> with the high-level questions to be answered across the three years of the evaluation</w:t>
      </w:r>
      <w:r w:rsidRPr="00F478F7">
        <w:t xml:space="preserve">. The </w:t>
      </w:r>
      <w:r>
        <w:t>following pages show the questions to be answered in year two of the evaluation and the data sources to be used to answer these questions.</w:t>
      </w:r>
    </w:p>
    <w:p w14:paraId="0C50F80C" w14:textId="77777777" w:rsidR="00E45705" w:rsidRDefault="00811E2B" w:rsidP="00E45705">
      <w:pPr>
        <w:pStyle w:val="BodyText"/>
      </w:pPr>
      <w:r>
        <w:rPr>
          <w:noProof/>
          <w:lang w:eastAsia="en-AU"/>
        </w:rPr>
        <mc:AlternateContent>
          <mc:Choice Requires="wps">
            <w:drawing>
              <wp:anchor distT="0" distB="0" distL="114300" distR="114300" simplePos="0" relativeHeight="251663360" behindDoc="0" locked="0" layoutInCell="1" allowOverlap="1" wp14:anchorId="66FBBF21" wp14:editId="62E049BA">
                <wp:simplePos x="0" y="0"/>
                <wp:positionH relativeFrom="column">
                  <wp:posOffset>-850265</wp:posOffset>
                </wp:positionH>
                <wp:positionV relativeFrom="paragraph">
                  <wp:posOffset>1944370</wp:posOffset>
                </wp:positionV>
                <wp:extent cx="0" cy="228600"/>
                <wp:effectExtent l="99695" t="97790" r="116205" b="143510"/>
                <wp:wrapNone/>
                <wp:docPr id="31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153.1pt" to="-66.9pt,17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64384" behindDoc="0" locked="0" layoutInCell="1" allowOverlap="1" wp14:anchorId="51793E42" wp14:editId="33565413">
                <wp:simplePos x="0" y="0"/>
                <wp:positionH relativeFrom="column">
                  <wp:posOffset>-7202170</wp:posOffset>
                </wp:positionH>
                <wp:positionV relativeFrom="paragraph">
                  <wp:posOffset>1944370</wp:posOffset>
                </wp:positionV>
                <wp:extent cx="0" cy="228600"/>
                <wp:effectExtent l="97790" t="97790" r="118110" b="143510"/>
                <wp:wrapNone/>
                <wp:docPr id="31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05pt,153.1pt" to="-567.05pt,17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62336" behindDoc="0" locked="0" layoutInCell="1" allowOverlap="1" wp14:anchorId="11E43E89" wp14:editId="7C3FDB3E">
                <wp:simplePos x="0" y="0"/>
                <wp:positionH relativeFrom="column">
                  <wp:posOffset>-2455545</wp:posOffset>
                </wp:positionH>
                <wp:positionV relativeFrom="paragraph">
                  <wp:posOffset>1944370</wp:posOffset>
                </wp:positionV>
                <wp:extent cx="0" cy="228600"/>
                <wp:effectExtent l="107315" t="97790" r="108585" b="143510"/>
                <wp:wrapNone/>
                <wp:docPr id="30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3pt,153.1pt" to="-193.3pt,17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79744" behindDoc="0" locked="0" layoutInCell="1" allowOverlap="1" wp14:anchorId="38CAD2AF" wp14:editId="58015279">
                <wp:simplePos x="0" y="0"/>
                <wp:positionH relativeFrom="column">
                  <wp:posOffset>-5630545</wp:posOffset>
                </wp:positionH>
                <wp:positionV relativeFrom="paragraph">
                  <wp:posOffset>1944370</wp:posOffset>
                </wp:positionV>
                <wp:extent cx="0" cy="267335"/>
                <wp:effectExtent l="107315" t="97790" r="108585" b="142875"/>
                <wp:wrapNone/>
                <wp:docPr id="30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3.3pt,153.1pt" to="-443.3pt,17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61312" behindDoc="0" locked="0" layoutInCell="1" allowOverlap="1" wp14:anchorId="45C5D010" wp14:editId="50CBC310">
                <wp:simplePos x="0" y="0"/>
                <wp:positionH relativeFrom="column">
                  <wp:posOffset>-4043045</wp:posOffset>
                </wp:positionH>
                <wp:positionV relativeFrom="paragraph">
                  <wp:posOffset>1944370</wp:posOffset>
                </wp:positionV>
                <wp:extent cx="0" cy="228600"/>
                <wp:effectExtent l="107315" t="97790" r="108585" b="143510"/>
                <wp:wrapNone/>
                <wp:docPr id="30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153.1pt" to="-318.3pt,17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83840" behindDoc="0" locked="0" layoutInCell="1" allowOverlap="1" wp14:anchorId="34072111" wp14:editId="108C645E">
                <wp:simplePos x="0" y="0"/>
                <wp:positionH relativeFrom="column">
                  <wp:posOffset>-45720</wp:posOffset>
                </wp:positionH>
                <wp:positionV relativeFrom="paragraph">
                  <wp:posOffset>887730</wp:posOffset>
                </wp:positionV>
                <wp:extent cx="883920" cy="941705"/>
                <wp:effectExtent l="0" t="0" r="5080" b="0"/>
                <wp:wrapThrough wrapText="bothSides">
                  <wp:wrapPolygon edited="0">
                    <wp:start x="0" y="0"/>
                    <wp:lineTo x="0" y="20974"/>
                    <wp:lineTo x="21103" y="20974"/>
                    <wp:lineTo x="21103" y="0"/>
                    <wp:lineTo x="0" y="0"/>
                  </wp:wrapPolygon>
                </wp:wrapThrough>
                <wp:docPr id="30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941705"/>
                        </a:xfrm>
                        <a:prstGeom prst="rect">
                          <a:avLst/>
                        </a:prstGeom>
                        <a:solidFill>
                          <a:schemeClr val="bg1">
                            <a:lumMod val="7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4DE131"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000000" w:themeColor="text1"/>
                                <w:kern w:val="24"/>
                                <w:sz w:val="18"/>
                                <w:szCs w:val="18"/>
                                <w:lang w:val="en-GB"/>
                              </w:rPr>
                              <w:t>Applied to the NP and its Elements…</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28" o:spid="_x0000_s1027" style="position:absolute;left:0;text-align:left;margin-left:-3.55pt;margin-top:69.9pt;width:69.6pt;height:7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" fillcolor="#bfbfbf [2412]" stroked="f" strokeweight="1pt">
                <v:textbox>
                  <w:txbxContent>
                    <w:p w14:paraId="4E4DE131"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000000" w:themeColor="text1"/>
                          <w:kern w:val="24"/>
                          <w:sz w:val="18"/>
                          <w:szCs w:val="18"/>
                          <w:lang w:val="en-GB"/>
                        </w:rPr>
                        <w:t>Applied to the NP and its Elements…</w:t>
                      </w:r>
                    </w:p>
                  </w:txbxContent>
                </v:textbox>
                <w10:wrap type="through"/>
              </v:rect>
            </w:pict>
          </mc:Fallback>
        </mc:AlternateContent>
      </w:r>
      <w:r>
        <w:rPr>
          <w:noProof/>
          <w:lang w:eastAsia="en-AU"/>
        </w:rPr>
        <mc:AlternateContent>
          <mc:Choice Requires="wps">
            <w:drawing>
              <wp:anchor distT="0" distB="0" distL="114300" distR="114300" simplePos="0" relativeHeight="251685888" behindDoc="0" locked="0" layoutInCell="1" allowOverlap="1" wp14:anchorId="74F31FCB" wp14:editId="2E17B10C">
                <wp:simplePos x="0" y="0"/>
                <wp:positionH relativeFrom="column">
                  <wp:posOffset>956945</wp:posOffset>
                </wp:positionH>
                <wp:positionV relativeFrom="paragraph">
                  <wp:posOffset>889000</wp:posOffset>
                </wp:positionV>
                <wp:extent cx="7806055" cy="941070"/>
                <wp:effectExtent l="5080" t="0" r="12065" b="16510"/>
                <wp:wrapThrough wrapText="bothSides">
                  <wp:wrapPolygon edited="0">
                    <wp:start x="-26" y="-219"/>
                    <wp:lineTo x="-26" y="21381"/>
                    <wp:lineTo x="21626" y="21381"/>
                    <wp:lineTo x="21626" y="-219"/>
                    <wp:lineTo x="-26" y="-219"/>
                  </wp:wrapPolygon>
                </wp:wrapThrough>
                <wp:docPr id="30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6055" cy="941070"/>
                        </a:xfrm>
                        <a:prstGeom prst="rect">
                          <a:avLst/>
                        </a:prstGeom>
                        <a:solidFill>
                          <a:srgbClr val="FFFFFF"/>
                        </a:solidFill>
                        <a:ln w="12700">
                          <a:solidFill>
                            <a:schemeClr val="tx1">
                              <a:lumMod val="100000"/>
                              <a:lumOff val="0"/>
                            </a:schemeClr>
                          </a:solidFill>
                          <a:miter lim="800000"/>
                          <a:headEnd/>
                          <a:tailEnd/>
                        </a:ln>
                      </wps:spPr>
                      <wps:txbx>
                        <w:txbxContent>
                          <w:p w14:paraId="4B992904" w14:textId="77777777" w:rsidR="00F45E64" w:rsidRPr="00870B93" w:rsidRDefault="00F45E64" w:rsidP="00E45705">
                            <w:pPr>
                              <w:pStyle w:val="NormalWeb"/>
                              <w:kinsoku w:val="0"/>
                              <w:overflowPunct w:val="0"/>
                              <w:spacing w:before="60" w:beforeAutospacing="0" w:after="60" w:afterAutospacing="0"/>
                              <w:textAlignment w:val="baseline"/>
                              <w:rPr>
                                <w:rFonts w:ascii="Arial Narrow" w:hAnsi="Arial Narrow"/>
                              </w:rPr>
                            </w:pPr>
                            <w:r w:rsidRPr="00870B93">
                              <w:rPr>
                                <w:rFonts w:ascii="Arial Narrow" w:eastAsia="MS PGothic" w:hAnsi="Arial Narrow" w:cs="Arial Narrow"/>
                                <w:color w:val="000000" w:themeColor="text1"/>
                                <w:kern w:val="24"/>
                                <w:sz w:val="18"/>
                                <w:szCs w:val="18"/>
                                <w:lang w:val="en-GB"/>
                              </w:rPr>
                              <w:t xml:space="preserve">National Partnership on Youth Attainment and </w:t>
                            </w:r>
                            <w:r w:rsidRPr="00870B93">
                              <w:rPr>
                                <w:rFonts w:ascii="Arial Narrow" w:eastAsia="Arial" w:hAnsi="Arial Narrow" w:cs="Arial Narrow"/>
                                <w:color w:val="000000" w:themeColor="text1"/>
                                <w:kern w:val="24"/>
                                <w:sz w:val="18"/>
                                <w:szCs w:val="18"/>
                                <w:lang w:val="en-GB"/>
                              </w:rPr>
                              <w:t>Transitions</w:t>
                            </w:r>
                          </w:p>
                          <w:p w14:paraId="4DC75239"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Maximising Youth Engagement, Attainment and Successful Transitions</w:t>
                            </w:r>
                          </w:p>
                          <w:p w14:paraId="72AA3164"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School Business Community Partnership Brokers</w:t>
                            </w:r>
                          </w:p>
                          <w:p w14:paraId="0635BD9F"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Youth Connections</w:t>
                            </w:r>
                          </w:p>
                          <w:p w14:paraId="56B82CA4"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National Career Development</w:t>
                            </w:r>
                          </w:p>
                          <w:p w14:paraId="72956C09"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 xml:space="preserve">Compact with Young Australians </w:t>
                            </w:r>
                          </w:p>
                        </w:txbxContent>
                      </wps:txbx>
                      <wps:bodyPr rot="0" vert="horz" wrap="square" lIns="137143" tIns="45716" rIns="137143" bIns="45716"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30" o:spid="_x0000_s1028" style="position:absolute;left:0;text-align:left;margin-left:75.35pt;margin-top:70pt;width:614.65pt;height:7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" strokecolor="black [3213]" strokeweight="1pt">
                <v:textbox inset="137143emu,45716emu,137143emu,45716emu">
                  <w:txbxContent>
                    <w:p w14:paraId="4B992904" w14:textId="77777777" w:rsidR="00F45E64" w:rsidRPr="00870B93" w:rsidRDefault="00F45E64" w:rsidP="00E45705">
                      <w:pPr>
                        <w:pStyle w:val="NormalWeb"/>
                        <w:kinsoku w:val="0"/>
                        <w:overflowPunct w:val="0"/>
                        <w:spacing w:before="60" w:beforeAutospacing="0" w:after="60" w:afterAutospacing="0"/>
                        <w:textAlignment w:val="baseline"/>
                        <w:rPr>
                          <w:rFonts w:ascii="Arial Narrow" w:hAnsi="Arial Narrow"/>
                        </w:rPr>
                      </w:pPr>
                      <w:r w:rsidRPr="00870B93">
                        <w:rPr>
                          <w:rFonts w:ascii="Arial Narrow" w:eastAsia="MS PGothic" w:hAnsi="Arial Narrow" w:cs="Arial Narrow"/>
                          <w:color w:val="000000" w:themeColor="text1"/>
                          <w:kern w:val="24"/>
                          <w:sz w:val="18"/>
                          <w:szCs w:val="18"/>
                          <w:lang w:val="en-GB"/>
                        </w:rPr>
                        <w:t xml:space="preserve">National Partnership on Youth Attainment and </w:t>
                      </w:r>
                      <w:r w:rsidRPr="00870B93">
                        <w:rPr>
                          <w:rFonts w:ascii="Arial Narrow" w:eastAsia="Arial" w:hAnsi="Arial Narrow" w:cs="Arial Narrow"/>
                          <w:color w:val="000000" w:themeColor="text1"/>
                          <w:kern w:val="24"/>
                          <w:sz w:val="18"/>
                          <w:szCs w:val="18"/>
                          <w:lang w:val="en-GB"/>
                        </w:rPr>
                        <w:t>Transitions</w:t>
                      </w:r>
                    </w:p>
                    <w:p w14:paraId="4DC75239"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Maximising Youth Engagement, Attainment and Successful Transitions</w:t>
                      </w:r>
                    </w:p>
                    <w:p w14:paraId="72AA3164"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School Business Community Partnership Brokers</w:t>
                      </w:r>
                    </w:p>
                    <w:p w14:paraId="0635BD9F"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Youth Connections</w:t>
                      </w:r>
                    </w:p>
                    <w:p w14:paraId="56B82CA4"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National Career Development</w:t>
                      </w:r>
                    </w:p>
                    <w:p w14:paraId="72956C09" w14:textId="77777777" w:rsidR="00F45E64" w:rsidRPr="00870B93" w:rsidRDefault="00F45E64" w:rsidP="00FC7F6A">
                      <w:pPr>
                        <w:pStyle w:val="ListParagraph"/>
                        <w:numPr>
                          <w:ilvl w:val="0"/>
                          <w:numId w:val="23"/>
                        </w:numPr>
                        <w:kinsoku w:val="0"/>
                        <w:overflowPunct w:val="0"/>
                        <w:textAlignment w:val="baseline"/>
                        <w:rPr>
                          <w:rFonts w:ascii="Arial Narrow" w:eastAsia="Times New Roman" w:hAnsi="Arial Narrow"/>
                          <w:sz w:val="18"/>
                        </w:rPr>
                      </w:pPr>
                      <w:r w:rsidRPr="00870B93">
                        <w:rPr>
                          <w:rFonts w:ascii="Arial Narrow" w:eastAsia="MS PGothic" w:hAnsi="Arial Narrow" w:cs="Arial Narrow"/>
                          <w:color w:val="000000" w:themeColor="text1"/>
                          <w:kern w:val="24"/>
                          <w:sz w:val="18"/>
                          <w:szCs w:val="18"/>
                          <w:lang w:val="en-GB"/>
                        </w:rPr>
                        <w:t xml:space="preserve">Compact with Young Australians </w:t>
                      </w:r>
                    </w:p>
                  </w:txbxContent>
                </v:textbox>
                <w10:wrap type="through"/>
              </v:rect>
            </w:pict>
          </mc:Fallback>
        </mc:AlternateContent>
      </w:r>
      <w:r>
        <w:rPr>
          <w:noProof/>
          <w:lang w:eastAsia="en-AU"/>
        </w:rPr>
        <mc:AlternateContent>
          <mc:Choice Requires="wps">
            <w:drawing>
              <wp:anchor distT="0" distB="0" distL="114300" distR="114300" simplePos="0" relativeHeight="251668480" behindDoc="0" locked="0" layoutInCell="1" allowOverlap="1" wp14:anchorId="5DEFEE67" wp14:editId="5899C57A">
                <wp:simplePos x="0" y="0"/>
                <wp:positionH relativeFrom="column">
                  <wp:posOffset>-7218045</wp:posOffset>
                </wp:positionH>
                <wp:positionV relativeFrom="paragraph">
                  <wp:posOffset>1944370</wp:posOffset>
                </wp:positionV>
                <wp:extent cx="6378575" cy="0"/>
                <wp:effectExtent l="107315" t="97790" r="118110" b="143510"/>
                <wp:wrapNone/>
                <wp:docPr id="30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8575" cy="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3pt,153.1pt" to="-66.05pt,15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84864" behindDoc="0" locked="0" layoutInCell="1" allowOverlap="1" wp14:anchorId="1E39ADEB" wp14:editId="25D1C69F">
                <wp:simplePos x="0" y="0"/>
                <wp:positionH relativeFrom="column">
                  <wp:posOffset>-41275</wp:posOffset>
                </wp:positionH>
                <wp:positionV relativeFrom="paragraph">
                  <wp:posOffset>2564130</wp:posOffset>
                </wp:positionV>
                <wp:extent cx="885825" cy="2352040"/>
                <wp:effectExtent l="0" t="0" r="3175" b="10160"/>
                <wp:wrapThrough wrapText="bothSides">
                  <wp:wrapPolygon edited="0">
                    <wp:start x="0" y="0"/>
                    <wp:lineTo x="0" y="21460"/>
                    <wp:lineTo x="21058" y="21460"/>
                    <wp:lineTo x="21058" y="0"/>
                    <wp:lineTo x="0" y="0"/>
                  </wp:wrapPolygon>
                </wp:wrapThrough>
                <wp:docPr id="29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52040"/>
                        </a:xfrm>
                        <a:prstGeom prst="rect">
                          <a:avLst/>
                        </a:prstGeom>
                        <a:solidFill>
                          <a:schemeClr val="bg1">
                            <a:lumMod val="7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6DCB22"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000000" w:themeColor="text1"/>
                                <w:kern w:val="24"/>
                                <w:sz w:val="18"/>
                                <w:szCs w:val="18"/>
                                <w:lang w:val="en-GB"/>
                              </w:rPr>
                              <w:t>Evaluation sub-questions</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29" o:spid="_x0000_s1029" style="position:absolute;left:0;text-align:left;margin-left:-3.2pt;margin-top:201.9pt;width:69.75pt;height:18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" fillcolor="#bfbfbf [2412]" stroked="f" strokeweight="1pt">
                <v:textbox>
                  <w:txbxContent>
                    <w:p w14:paraId="6D6DCB22"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000000" w:themeColor="text1"/>
                          <w:kern w:val="24"/>
                          <w:sz w:val="18"/>
                          <w:szCs w:val="18"/>
                          <w:lang w:val="en-GB"/>
                        </w:rPr>
                        <w:t>Evaluation sub-questions</w:t>
                      </w:r>
                    </w:p>
                  </w:txbxContent>
                </v:textbox>
                <w10:wrap type="through"/>
              </v:rect>
            </w:pict>
          </mc:Fallback>
        </mc:AlternateContent>
      </w:r>
      <w:r>
        <w:rPr>
          <w:noProof/>
          <w:lang w:eastAsia="en-AU"/>
        </w:rPr>
        <mc:AlternateContent>
          <mc:Choice Requires="wps">
            <w:drawing>
              <wp:anchor distT="0" distB="0" distL="114300" distR="114300" simplePos="0" relativeHeight="251678720" behindDoc="0" locked="0" layoutInCell="1" allowOverlap="1" wp14:anchorId="7BBD88B7" wp14:editId="3132D535">
                <wp:simplePos x="0" y="0"/>
                <wp:positionH relativeFrom="column">
                  <wp:posOffset>7329805</wp:posOffset>
                </wp:positionH>
                <wp:positionV relativeFrom="paragraph">
                  <wp:posOffset>2564130</wp:posOffset>
                </wp:positionV>
                <wp:extent cx="1433195" cy="2346960"/>
                <wp:effectExtent l="2540" t="6350" r="12065" b="8890"/>
                <wp:wrapSquare wrapText="bothSides"/>
                <wp:docPr id="2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346960"/>
                        </a:xfrm>
                        <a:prstGeom prst="rect">
                          <a:avLst/>
                        </a:prstGeom>
                        <a:solidFill>
                          <a:srgbClr val="FFFFFF"/>
                        </a:solidFill>
                        <a:ln w="12700">
                          <a:solidFill>
                            <a:schemeClr val="tx1">
                              <a:lumMod val="100000"/>
                              <a:lumOff val="0"/>
                            </a:schemeClr>
                          </a:solidFill>
                          <a:miter lim="800000"/>
                          <a:headEnd/>
                          <a:tailEnd/>
                        </a:ln>
                      </wps:spPr>
                      <wps:txbx>
                        <w:txbxContent>
                          <w:p w14:paraId="0ADD47DD" w14:textId="77777777" w:rsidR="00F45E64" w:rsidRPr="00870B93" w:rsidRDefault="00F45E64" w:rsidP="00FC7F6A">
                            <w:pPr>
                              <w:pStyle w:val="ListParagraph"/>
                              <w:numPr>
                                <w:ilvl w:val="0"/>
                                <w:numId w:val="28"/>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Short-term (before 2013) - What can be done to improve the NP and its elements?</w:t>
                            </w:r>
                          </w:p>
                          <w:p w14:paraId="661A96FD" w14:textId="77777777" w:rsidR="00F45E64" w:rsidRPr="00870B93" w:rsidRDefault="00F45E64" w:rsidP="00FC7F6A">
                            <w:pPr>
                              <w:pStyle w:val="ListParagraph"/>
                              <w:numPr>
                                <w:ilvl w:val="0"/>
                                <w:numId w:val="28"/>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Longer term  (after 2013) - What are the implications of evaluation findings for the NP and its elements?</w:t>
                            </w:r>
                          </w:p>
                        </w:txbxContent>
                      </wps:txbx>
                      <wps:bodyPr rot="0" vert="horz" wrap="square" lIns="137143" tIns="45716" rIns="137143" bIns="45716"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Rectangle 4" o:spid="_x0000_s1030" type="#_x0000_t202" style="position:absolute;left:0;text-align:left;margin-left:577.15pt;margin-top:201.9pt;width:112.85pt;height:18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" strokecolor="black [3213]" strokeweight="1pt">
                <v:textbox inset="137143emu,45716emu,137143emu,45716emu">
                  <w:txbxContent>
                    <w:p w14:paraId="0ADD47DD" w14:textId="77777777" w:rsidR="00F45E64" w:rsidRPr="00870B93" w:rsidRDefault="00F45E64" w:rsidP="00FC7F6A">
                      <w:pPr>
                        <w:pStyle w:val="ListParagraph"/>
                        <w:numPr>
                          <w:ilvl w:val="0"/>
                          <w:numId w:val="28"/>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Short-term (before 2013) - What can be done to improve the NP and its elements?</w:t>
                      </w:r>
                    </w:p>
                    <w:p w14:paraId="661A96FD" w14:textId="77777777" w:rsidR="00F45E64" w:rsidRPr="00870B93" w:rsidRDefault="00F45E64" w:rsidP="00FC7F6A">
                      <w:pPr>
                        <w:pStyle w:val="ListParagraph"/>
                        <w:numPr>
                          <w:ilvl w:val="0"/>
                          <w:numId w:val="28"/>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Longer term  (after 2013) - What are the implications of evaluation findings for the NP and its elements?</w:t>
                      </w:r>
                    </w:p>
                  </w:txbxContent>
                </v:textbox>
                <w10:wrap type="square"/>
              </v:shape>
            </w:pict>
          </mc:Fallback>
        </mc:AlternateContent>
      </w:r>
      <w:r>
        <w:rPr>
          <w:noProof/>
          <w:lang w:eastAsia="en-AU"/>
        </w:rPr>
        <mc:AlternateContent>
          <mc:Choice Requires="wps">
            <w:drawing>
              <wp:anchor distT="0" distB="0" distL="114300" distR="114300" simplePos="0" relativeHeight="251676672" behindDoc="0" locked="0" layoutInCell="1" allowOverlap="1" wp14:anchorId="062A2E7F" wp14:editId="1B466241">
                <wp:simplePos x="0" y="0"/>
                <wp:positionH relativeFrom="column">
                  <wp:posOffset>4140200</wp:posOffset>
                </wp:positionH>
                <wp:positionV relativeFrom="paragraph">
                  <wp:posOffset>2564130</wp:posOffset>
                </wp:positionV>
                <wp:extent cx="1433195" cy="2343150"/>
                <wp:effectExtent l="635" t="6350" r="13970" b="12700"/>
                <wp:wrapSquare wrapText="bothSides"/>
                <wp:docPr id="2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343150"/>
                        </a:xfrm>
                        <a:prstGeom prst="rect">
                          <a:avLst/>
                        </a:prstGeom>
                        <a:solidFill>
                          <a:srgbClr val="FFFFFF"/>
                        </a:solidFill>
                        <a:ln w="12700">
                          <a:solidFill>
                            <a:schemeClr val="tx1">
                              <a:lumMod val="100000"/>
                              <a:lumOff val="0"/>
                            </a:schemeClr>
                          </a:solidFill>
                          <a:miter lim="800000"/>
                          <a:headEnd/>
                          <a:tailEnd/>
                        </a:ln>
                      </wps:spPr>
                      <wps:txbx>
                        <w:txbxContent>
                          <w:p w14:paraId="3FC4BF66" w14:textId="77777777" w:rsidR="00F45E64" w:rsidRPr="00870B93" w:rsidRDefault="00F45E64" w:rsidP="00FC7F6A">
                            <w:pPr>
                              <w:pStyle w:val="ListParagraph"/>
                              <w:numPr>
                                <w:ilvl w:val="0"/>
                                <w:numId w:val="26"/>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Is the NP/element consistent with overarching policy objectives?</w:t>
                            </w:r>
                          </w:p>
                          <w:p w14:paraId="79EF83CB" w14:textId="77777777" w:rsidR="00F45E64" w:rsidRPr="00870B93" w:rsidRDefault="00F45E64" w:rsidP="00FC7F6A">
                            <w:pPr>
                              <w:pStyle w:val="ListParagraph"/>
                              <w:numPr>
                                <w:ilvl w:val="0"/>
                                <w:numId w:val="26"/>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Do the elements address areas of need?</w:t>
                            </w:r>
                          </w:p>
                          <w:p w14:paraId="749FF77B" w14:textId="77777777" w:rsidR="00F45E64" w:rsidRPr="00870B93" w:rsidRDefault="00F45E64" w:rsidP="00FC7F6A">
                            <w:pPr>
                              <w:pStyle w:val="ListParagraph"/>
                              <w:numPr>
                                <w:ilvl w:val="0"/>
                                <w:numId w:val="26"/>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 xml:space="preserve">Do the elements complement each other to support NP outcomes? </w:t>
                            </w:r>
                          </w:p>
                          <w:p w14:paraId="37E629E3" w14:textId="77777777" w:rsidR="00F45E64" w:rsidRPr="00870B93" w:rsidRDefault="00F45E64" w:rsidP="00FC7F6A">
                            <w:pPr>
                              <w:pStyle w:val="ListParagraph"/>
                              <w:numPr>
                                <w:ilvl w:val="0"/>
                                <w:numId w:val="26"/>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Do the NP elements complement other initiatives targeting similar outcomes?</w:t>
                            </w:r>
                          </w:p>
                        </w:txbxContent>
                      </wps:txbx>
                      <wps:bodyPr rot="0" vert="horz" wrap="square" lIns="137143" tIns="45716" rIns="137143" bIns="45716"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31" type="#_x0000_t202" style="position:absolute;left:0;text-align:left;margin-left:326pt;margin-top:201.9pt;width:112.85pt;height:1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" strokecolor="black [3213]" strokeweight="1pt">
                <v:textbox inset="137143emu,45716emu,137143emu,45716emu">
                  <w:txbxContent>
                    <w:p w14:paraId="3FC4BF66" w14:textId="77777777" w:rsidR="00F45E64" w:rsidRPr="00870B93" w:rsidRDefault="00F45E64" w:rsidP="00FC7F6A">
                      <w:pPr>
                        <w:pStyle w:val="ListParagraph"/>
                        <w:numPr>
                          <w:ilvl w:val="0"/>
                          <w:numId w:val="26"/>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Is the NP/element consistent with overarching policy objectives?</w:t>
                      </w:r>
                    </w:p>
                    <w:p w14:paraId="79EF83CB" w14:textId="77777777" w:rsidR="00F45E64" w:rsidRPr="00870B93" w:rsidRDefault="00F45E64" w:rsidP="00FC7F6A">
                      <w:pPr>
                        <w:pStyle w:val="ListParagraph"/>
                        <w:numPr>
                          <w:ilvl w:val="0"/>
                          <w:numId w:val="26"/>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Do the elements address areas of need?</w:t>
                      </w:r>
                    </w:p>
                    <w:p w14:paraId="749FF77B" w14:textId="77777777" w:rsidR="00F45E64" w:rsidRPr="00870B93" w:rsidRDefault="00F45E64" w:rsidP="00FC7F6A">
                      <w:pPr>
                        <w:pStyle w:val="ListParagraph"/>
                        <w:numPr>
                          <w:ilvl w:val="0"/>
                          <w:numId w:val="26"/>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 xml:space="preserve">Do the elements complement each other to support NP outcomes? </w:t>
                      </w:r>
                    </w:p>
                    <w:p w14:paraId="37E629E3" w14:textId="77777777" w:rsidR="00F45E64" w:rsidRPr="00870B93" w:rsidRDefault="00F45E64" w:rsidP="00FC7F6A">
                      <w:pPr>
                        <w:pStyle w:val="ListParagraph"/>
                        <w:numPr>
                          <w:ilvl w:val="0"/>
                          <w:numId w:val="26"/>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Do the NP elements complement other initiatives targeting similar outcomes?</w:t>
                      </w:r>
                    </w:p>
                  </w:txbxContent>
                </v:textbox>
                <w10:wrap type="square"/>
              </v:shape>
            </w:pict>
          </mc:Fallback>
        </mc:AlternateContent>
      </w:r>
      <w:r>
        <w:rPr>
          <w:noProof/>
          <w:lang w:eastAsia="en-AU"/>
        </w:rPr>
        <mc:AlternateContent>
          <mc:Choice Requires="wps">
            <w:drawing>
              <wp:anchor distT="0" distB="0" distL="114300" distR="114300" simplePos="0" relativeHeight="251674624" behindDoc="0" locked="0" layoutInCell="1" allowOverlap="1" wp14:anchorId="76342037" wp14:editId="48C4DE8F">
                <wp:simplePos x="0" y="0"/>
                <wp:positionH relativeFrom="column">
                  <wp:posOffset>5735955</wp:posOffset>
                </wp:positionH>
                <wp:positionV relativeFrom="paragraph">
                  <wp:posOffset>2564130</wp:posOffset>
                </wp:positionV>
                <wp:extent cx="1433195" cy="2346960"/>
                <wp:effectExtent l="0" t="6350" r="18415" b="8890"/>
                <wp:wrapSquare wrapText="bothSides"/>
                <wp:docPr id="2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346960"/>
                        </a:xfrm>
                        <a:prstGeom prst="rect">
                          <a:avLst/>
                        </a:prstGeom>
                        <a:solidFill>
                          <a:srgbClr val="FFFFFF"/>
                        </a:solidFill>
                        <a:ln w="12700">
                          <a:solidFill>
                            <a:schemeClr val="tx1">
                              <a:lumMod val="100000"/>
                              <a:lumOff val="0"/>
                            </a:schemeClr>
                          </a:solidFill>
                          <a:miter lim="800000"/>
                          <a:headEnd/>
                          <a:tailEnd/>
                        </a:ln>
                      </wps:spPr>
                      <wps:txbx>
                        <w:txbxContent>
                          <w:p w14:paraId="55D7E6F9" w14:textId="77777777" w:rsidR="00F45E64" w:rsidRPr="00870B93" w:rsidRDefault="00F45E64" w:rsidP="00FC7F6A">
                            <w:pPr>
                              <w:pStyle w:val="ListParagraph"/>
                              <w:numPr>
                                <w:ilvl w:val="0"/>
                                <w:numId w:val="27"/>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How well have stakeholders collaborated on design and delivery of the NP and its elements?</w:t>
                            </w:r>
                          </w:p>
                          <w:p w14:paraId="56C4CEEC" w14:textId="77777777" w:rsidR="00F45E64" w:rsidRPr="00870B93" w:rsidRDefault="00F45E64" w:rsidP="00FC7F6A">
                            <w:pPr>
                              <w:pStyle w:val="ListParagraph"/>
                              <w:numPr>
                                <w:ilvl w:val="0"/>
                                <w:numId w:val="27"/>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Is governance of working effectively?</w:t>
                            </w:r>
                          </w:p>
                          <w:p w14:paraId="57432639" w14:textId="77777777" w:rsidR="00F45E64" w:rsidRPr="00870B93" w:rsidRDefault="00F45E64" w:rsidP="00FC7F6A">
                            <w:pPr>
                              <w:pStyle w:val="ListParagraph"/>
                              <w:numPr>
                                <w:ilvl w:val="0"/>
                                <w:numId w:val="27"/>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How well is performance reporting working?</w:t>
                            </w:r>
                          </w:p>
                          <w:p w14:paraId="461E4787" w14:textId="77777777" w:rsidR="00F45E64" w:rsidRPr="00870B93" w:rsidRDefault="00F45E64" w:rsidP="00FC7F6A">
                            <w:pPr>
                              <w:pStyle w:val="ListParagraph"/>
                              <w:numPr>
                                <w:ilvl w:val="0"/>
                                <w:numId w:val="27"/>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How effective is communication?</w:t>
                            </w:r>
                            <w:r w:rsidRPr="00870B93">
                              <w:rPr>
                                <w:rFonts w:asciiTheme="minorHAnsi" w:eastAsia="MS PGothic" w:hAnsiTheme="minorHAnsi" w:cs="Arial Narrow"/>
                                <w:color w:val="000000" w:themeColor="text1"/>
                                <w:kern w:val="24"/>
                                <w:sz w:val="18"/>
                                <w:szCs w:val="18"/>
                              </w:rPr>
                              <w:t xml:space="preserve">  </w:t>
                            </w:r>
                          </w:p>
                        </w:txbxContent>
                      </wps:txbx>
                      <wps:bodyPr rot="0" vert="horz" wrap="square" lIns="137143" tIns="45716" rIns="137143" bIns="45716"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32" type="#_x0000_t202" style="position:absolute;left:0;text-align:left;margin-left:451.65pt;margin-top:201.9pt;width:112.85pt;height:18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" strokecolor="black [3213]" strokeweight="1pt">
                <v:textbox inset="137143emu,45716emu,137143emu,45716emu">
                  <w:txbxContent>
                    <w:p w14:paraId="55D7E6F9" w14:textId="77777777" w:rsidR="00F45E64" w:rsidRPr="00870B93" w:rsidRDefault="00F45E64" w:rsidP="00FC7F6A">
                      <w:pPr>
                        <w:pStyle w:val="ListParagraph"/>
                        <w:numPr>
                          <w:ilvl w:val="0"/>
                          <w:numId w:val="27"/>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How well have stakeholders collaborated on design and delivery of the NP and its elements?</w:t>
                      </w:r>
                    </w:p>
                    <w:p w14:paraId="56C4CEEC" w14:textId="77777777" w:rsidR="00F45E64" w:rsidRPr="00870B93" w:rsidRDefault="00F45E64" w:rsidP="00FC7F6A">
                      <w:pPr>
                        <w:pStyle w:val="ListParagraph"/>
                        <w:numPr>
                          <w:ilvl w:val="0"/>
                          <w:numId w:val="27"/>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Is governance of working effectively?</w:t>
                      </w:r>
                    </w:p>
                    <w:p w14:paraId="57432639" w14:textId="77777777" w:rsidR="00F45E64" w:rsidRPr="00870B93" w:rsidRDefault="00F45E64" w:rsidP="00FC7F6A">
                      <w:pPr>
                        <w:pStyle w:val="ListParagraph"/>
                        <w:numPr>
                          <w:ilvl w:val="0"/>
                          <w:numId w:val="27"/>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How well is performance reporting working?</w:t>
                      </w:r>
                    </w:p>
                    <w:p w14:paraId="461E4787" w14:textId="77777777" w:rsidR="00F45E64" w:rsidRPr="00870B93" w:rsidRDefault="00F45E64" w:rsidP="00FC7F6A">
                      <w:pPr>
                        <w:pStyle w:val="ListParagraph"/>
                        <w:numPr>
                          <w:ilvl w:val="0"/>
                          <w:numId w:val="27"/>
                        </w:numPr>
                        <w:textAlignment w:val="baseline"/>
                        <w:rPr>
                          <w:rFonts w:asciiTheme="minorHAnsi" w:eastAsia="Times New Roman" w:hAnsiTheme="minorHAnsi"/>
                          <w:sz w:val="18"/>
                        </w:rPr>
                      </w:pPr>
                      <w:r w:rsidRPr="00870B93">
                        <w:rPr>
                          <w:rFonts w:asciiTheme="minorHAnsi" w:eastAsia="MS PGothic" w:hAnsiTheme="minorHAnsi" w:cs="Arial Narrow"/>
                          <w:color w:val="000000" w:themeColor="text1"/>
                          <w:kern w:val="24"/>
                          <w:sz w:val="18"/>
                          <w:szCs w:val="18"/>
                          <w:lang w:val="en-US"/>
                        </w:rPr>
                        <w:t>How effective is communication?</w:t>
                      </w:r>
                      <w:r w:rsidRPr="00870B93">
                        <w:rPr>
                          <w:rFonts w:asciiTheme="minorHAnsi" w:eastAsia="MS PGothic" w:hAnsiTheme="minorHAnsi" w:cs="Arial Narrow"/>
                          <w:color w:val="000000" w:themeColor="text1"/>
                          <w:kern w:val="24"/>
                          <w:sz w:val="18"/>
                          <w:szCs w:val="18"/>
                        </w:rPr>
                        <w:t xml:space="preserve">  </w:t>
                      </w:r>
                    </w:p>
                  </w:txbxContent>
                </v:textbox>
                <w10:wrap type="square"/>
              </v:shape>
            </w:pict>
          </mc:Fallback>
        </mc:AlternateContent>
      </w:r>
      <w:r>
        <w:rPr>
          <w:noProof/>
          <w:lang w:eastAsia="en-AU"/>
        </w:rPr>
        <mc:AlternateContent>
          <mc:Choice Requires="wps">
            <w:drawing>
              <wp:anchor distT="0" distB="0" distL="114300" distR="114300" simplePos="0" relativeHeight="251672576" behindDoc="0" locked="0" layoutInCell="1" allowOverlap="1" wp14:anchorId="439AE219" wp14:editId="27E0C43B">
                <wp:simplePos x="0" y="0"/>
                <wp:positionH relativeFrom="column">
                  <wp:posOffset>2548255</wp:posOffset>
                </wp:positionH>
                <wp:positionV relativeFrom="paragraph">
                  <wp:posOffset>2564130</wp:posOffset>
                </wp:positionV>
                <wp:extent cx="1433195" cy="2342515"/>
                <wp:effectExtent l="0" t="6350" r="18415" b="13335"/>
                <wp:wrapSquare wrapText="bothSides"/>
                <wp:docPr id="2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342515"/>
                        </a:xfrm>
                        <a:prstGeom prst="rect">
                          <a:avLst/>
                        </a:prstGeom>
                        <a:solidFill>
                          <a:srgbClr val="FFFFFF"/>
                        </a:solidFill>
                        <a:ln w="12700">
                          <a:solidFill>
                            <a:schemeClr val="tx1">
                              <a:lumMod val="100000"/>
                              <a:lumOff val="0"/>
                            </a:schemeClr>
                          </a:solidFill>
                          <a:miter lim="800000"/>
                          <a:headEnd/>
                          <a:tailEnd/>
                        </a:ln>
                      </wps:spPr>
                      <wps:txbx>
                        <w:txbxContent>
                          <w:p w14:paraId="3E536A2F" w14:textId="77777777" w:rsidR="00F45E64" w:rsidRPr="00FC7F6A" w:rsidRDefault="00F45E64" w:rsidP="00FC7F6A">
                            <w:pPr>
                              <w:pStyle w:val="ListParagraph"/>
                              <w:numPr>
                                <w:ilvl w:val="0"/>
                                <w:numId w:val="25"/>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Have participation, engagement, attainment and transition outcomes improved under the NP?</w:t>
                            </w:r>
                          </w:p>
                          <w:p w14:paraId="211D511C" w14:textId="77777777" w:rsidR="00F45E64" w:rsidRPr="00FC7F6A" w:rsidRDefault="00F45E64" w:rsidP="00FC7F6A">
                            <w:pPr>
                              <w:pStyle w:val="ListParagraph"/>
                              <w:numPr>
                                <w:ilvl w:val="0"/>
                                <w:numId w:val="25"/>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How are the NP elements contributing to NP objectives and participation, engagement, attainment and transition outcomes?</w:t>
                            </w:r>
                          </w:p>
                          <w:p w14:paraId="7CBD764F" w14:textId="77777777" w:rsidR="00F45E64" w:rsidRPr="00FC7F6A" w:rsidRDefault="00F45E64" w:rsidP="00FC7F6A">
                            <w:pPr>
                              <w:pStyle w:val="ListParagraph"/>
                              <w:numPr>
                                <w:ilvl w:val="0"/>
                                <w:numId w:val="25"/>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What is working well? Why?</w:t>
                            </w:r>
                          </w:p>
                          <w:p w14:paraId="0B70BE6C" w14:textId="77777777" w:rsidR="00F45E64" w:rsidRPr="00FC7F6A" w:rsidRDefault="00F45E64" w:rsidP="00FC7F6A">
                            <w:pPr>
                              <w:pStyle w:val="ListParagraph"/>
                              <w:numPr>
                                <w:ilvl w:val="0"/>
                                <w:numId w:val="25"/>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What could be improved? How?</w:t>
                            </w:r>
                          </w:p>
                        </w:txbxContent>
                      </wps:txbx>
                      <wps:bodyPr rot="0" vert="horz" wrap="square" lIns="137143" tIns="45716" rIns="137143" bIns="45716"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33" type="#_x0000_t202" style="position:absolute;left:0;text-align:left;margin-left:200.65pt;margin-top:201.9pt;width:112.85pt;height:18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" strokecolor="black [3213]" strokeweight="1pt">
                <v:textbox inset="137143emu,45716emu,137143emu,45716emu">
                  <w:txbxContent>
                    <w:p w14:paraId="3E536A2F" w14:textId="77777777" w:rsidR="00F45E64" w:rsidRPr="00FC7F6A" w:rsidRDefault="00F45E64" w:rsidP="00FC7F6A">
                      <w:pPr>
                        <w:pStyle w:val="ListParagraph"/>
                        <w:numPr>
                          <w:ilvl w:val="0"/>
                          <w:numId w:val="25"/>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Have participation, engagement, attainment and transition outcomes improved under the NP?</w:t>
                      </w:r>
                    </w:p>
                    <w:p w14:paraId="211D511C" w14:textId="77777777" w:rsidR="00F45E64" w:rsidRPr="00FC7F6A" w:rsidRDefault="00F45E64" w:rsidP="00FC7F6A">
                      <w:pPr>
                        <w:pStyle w:val="ListParagraph"/>
                        <w:numPr>
                          <w:ilvl w:val="0"/>
                          <w:numId w:val="25"/>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How are the NP elements contributing to NP objectives and participation, engagement, attainment and transition outcomes?</w:t>
                      </w:r>
                    </w:p>
                    <w:p w14:paraId="7CBD764F" w14:textId="77777777" w:rsidR="00F45E64" w:rsidRPr="00FC7F6A" w:rsidRDefault="00F45E64" w:rsidP="00FC7F6A">
                      <w:pPr>
                        <w:pStyle w:val="ListParagraph"/>
                        <w:numPr>
                          <w:ilvl w:val="0"/>
                          <w:numId w:val="25"/>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What is working well? Why?</w:t>
                      </w:r>
                    </w:p>
                    <w:p w14:paraId="0B70BE6C" w14:textId="77777777" w:rsidR="00F45E64" w:rsidRPr="00FC7F6A" w:rsidRDefault="00F45E64" w:rsidP="00FC7F6A">
                      <w:pPr>
                        <w:pStyle w:val="ListParagraph"/>
                        <w:numPr>
                          <w:ilvl w:val="0"/>
                          <w:numId w:val="25"/>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What could be improved? How?</w:t>
                      </w:r>
                    </w:p>
                  </w:txbxContent>
                </v:textbox>
                <w10:wrap type="square"/>
              </v:shape>
            </w:pict>
          </mc:Fallback>
        </mc:AlternateContent>
      </w:r>
      <w:r>
        <w:rPr>
          <w:noProof/>
          <w:lang w:eastAsia="en-AU"/>
        </w:rPr>
        <mc:AlternateContent>
          <mc:Choice Requires="wps">
            <w:drawing>
              <wp:anchor distT="0" distB="0" distL="114300" distR="114300" simplePos="0" relativeHeight="251666432" behindDoc="0" locked="0" layoutInCell="1" allowOverlap="1" wp14:anchorId="74D4DB87" wp14:editId="121BD9A0">
                <wp:simplePos x="0" y="0"/>
                <wp:positionH relativeFrom="column">
                  <wp:posOffset>957580</wp:posOffset>
                </wp:positionH>
                <wp:positionV relativeFrom="paragraph">
                  <wp:posOffset>2538730</wp:posOffset>
                </wp:positionV>
                <wp:extent cx="1422400" cy="2352040"/>
                <wp:effectExtent l="5715" t="6350" r="6985" b="16510"/>
                <wp:wrapSquare wrapText="bothSides"/>
                <wp:docPr id="289" name="Text Box 10" descr="Evaluation framework overview" title="Evaluation framework overvie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352040"/>
                        </a:xfrm>
                        <a:prstGeom prst="rect">
                          <a:avLst/>
                        </a:prstGeom>
                        <a:solidFill>
                          <a:srgbClr val="FFFFFF"/>
                        </a:solidFill>
                        <a:ln w="12700">
                          <a:solidFill>
                            <a:schemeClr val="tx1">
                              <a:lumMod val="100000"/>
                              <a:lumOff val="0"/>
                            </a:schemeClr>
                          </a:solidFill>
                          <a:miter lim="800000"/>
                          <a:headEnd/>
                          <a:tailEnd/>
                        </a:ln>
                      </wps:spPr>
                      <wps:txbx>
                        <w:txbxContent>
                          <w:p w14:paraId="372E691A" w14:textId="77777777" w:rsidR="00F45E64" w:rsidRPr="00FC7F6A" w:rsidRDefault="00F45E64" w:rsidP="00FC7F6A">
                            <w:pPr>
                              <w:pStyle w:val="ListParagraph"/>
                              <w:numPr>
                                <w:ilvl w:val="0"/>
                                <w:numId w:val="24"/>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What is being delivered as a result of NP funding?</w:t>
                            </w:r>
                          </w:p>
                          <w:p w14:paraId="0A82D9CC" w14:textId="77777777" w:rsidR="00F45E64" w:rsidRPr="00FC7F6A" w:rsidRDefault="00F45E64" w:rsidP="00FC7F6A">
                            <w:pPr>
                              <w:pStyle w:val="ListParagraph"/>
                              <w:numPr>
                                <w:ilvl w:val="0"/>
                                <w:numId w:val="24"/>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 xml:space="preserve">What’s changed? How has the NP </w:t>
                            </w:r>
                            <w:r w:rsidRPr="00FC7F6A">
                              <w:rPr>
                                <w:rFonts w:asciiTheme="minorHAnsi" w:eastAsia="MS PGothic" w:hAnsiTheme="minorHAnsi" w:cs="Arial Narrow"/>
                                <w:color w:val="000000" w:themeColor="text1"/>
                                <w:kern w:val="24"/>
                                <w:sz w:val="18"/>
                                <w:szCs w:val="18"/>
                              </w:rPr>
                              <w:t>changed activities targeting YAT outcomes? (what’s new, what’s stopped, what’s increased?)</w:t>
                            </w:r>
                          </w:p>
                          <w:p w14:paraId="58EA284C" w14:textId="77777777" w:rsidR="00F45E64" w:rsidRPr="00FC7F6A" w:rsidRDefault="00F45E64" w:rsidP="00FC7F6A">
                            <w:pPr>
                              <w:pStyle w:val="ListParagraph"/>
                              <w:numPr>
                                <w:ilvl w:val="0"/>
                                <w:numId w:val="24"/>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How has the NP helped to improve the focus and reach of activity directed toward increasing YAT outcomes?</w:t>
                            </w:r>
                          </w:p>
                        </w:txbxContent>
                      </wps:txbx>
                      <wps:bodyPr rot="0" vert="horz" wrap="square" lIns="137143" tIns="45716" rIns="137143" bIns="45716"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34" type="#_x0000_t202" alt="Title: Evaluation framework overview - Description: Evaluation framework overview" style="position:absolute;left:0;text-align:left;margin-left:75.4pt;margin-top:199.9pt;width:112pt;height:18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" strokecolor="black [3213]" strokeweight="1pt">
                <v:textbox inset="137143emu,45716emu,137143emu,45716emu">
                  <w:txbxContent>
                    <w:p w14:paraId="372E691A" w14:textId="77777777" w:rsidR="00F45E64" w:rsidRPr="00FC7F6A" w:rsidRDefault="00F45E64" w:rsidP="00FC7F6A">
                      <w:pPr>
                        <w:pStyle w:val="ListParagraph"/>
                        <w:numPr>
                          <w:ilvl w:val="0"/>
                          <w:numId w:val="24"/>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What is being delivered as a result of NP funding?</w:t>
                      </w:r>
                    </w:p>
                    <w:p w14:paraId="0A82D9CC" w14:textId="77777777" w:rsidR="00F45E64" w:rsidRPr="00FC7F6A" w:rsidRDefault="00F45E64" w:rsidP="00FC7F6A">
                      <w:pPr>
                        <w:pStyle w:val="ListParagraph"/>
                        <w:numPr>
                          <w:ilvl w:val="0"/>
                          <w:numId w:val="24"/>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 xml:space="preserve">What’s changed? How has the NP </w:t>
                      </w:r>
                      <w:r w:rsidRPr="00FC7F6A">
                        <w:rPr>
                          <w:rFonts w:asciiTheme="minorHAnsi" w:eastAsia="MS PGothic" w:hAnsiTheme="minorHAnsi" w:cs="Arial Narrow"/>
                          <w:color w:val="000000" w:themeColor="text1"/>
                          <w:kern w:val="24"/>
                          <w:sz w:val="18"/>
                          <w:szCs w:val="18"/>
                        </w:rPr>
                        <w:t>changed activities targeting YAT outcomes? (what’s new, what’s stopped, what’s increased?)</w:t>
                      </w:r>
                    </w:p>
                    <w:p w14:paraId="58EA284C" w14:textId="77777777" w:rsidR="00F45E64" w:rsidRPr="00FC7F6A" w:rsidRDefault="00F45E64" w:rsidP="00FC7F6A">
                      <w:pPr>
                        <w:pStyle w:val="ListParagraph"/>
                        <w:numPr>
                          <w:ilvl w:val="0"/>
                          <w:numId w:val="24"/>
                        </w:numPr>
                        <w:textAlignment w:val="baseline"/>
                        <w:rPr>
                          <w:rFonts w:asciiTheme="minorHAnsi" w:eastAsia="Times New Roman" w:hAnsiTheme="minorHAnsi"/>
                          <w:sz w:val="18"/>
                        </w:rPr>
                      </w:pPr>
                      <w:r w:rsidRPr="00FC7F6A">
                        <w:rPr>
                          <w:rFonts w:asciiTheme="minorHAnsi" w:eastAsia="MS PGothic" w:hAnsiTheme="minorHAnsi" w:cs="Arial Narrow"/>
                          <w:color w:val="000000" w:themeColor="text1"/>
                          <w:kern w:val="24"/>
                          <w:sz w:val="18"/>
                          <w:szCs w:val="18"/>
                          <w:lang w:val="en-US"/>
                        </w:rPr>
                        <w:t>How has the NP helped to improve the focus and reach of activity directed toward increasing YAT outcomes?</w:t>
                      </w:r>
                    </w:p>
                  </w:txbxContent>
                </v:textbox>
                <w10:wrap type="square"/>
              </v:shape>
            </w:pict>
          </mc:Fallback>
        </mc:AlternateContent>
      </w:r>
      <w:r>
        <w:rPr>
          <w:noProof/>
          <w:lang w:eastAsia="en-AU"/>
        </w:rPr>
        <mc:AlternateContent>
          <mc:Choice Requires="wps">
            <w:drawing>
              <wp:anchor distT="0" distB="0" distL="114300" distR="114300" simplePos="0" relativeHeight="251665408" behindDoc="0" locked="0" layoutInCell="1" allowOverlap="1" wp14:anchorId="2BB9790D" wp14:editId="0565AB9D">
                <wp:simplePos x="0" y="0"/>
                <wp:positionH relativeFrom="column">
                  <wp:posOffset>957580</wp:posOffset>
                </wp:positionH>
                <wp:positionV relativeFrom="paragraph">
                  <wp:posOffset>2176145</wp:posOffset>
                </wp:positionV>
                <wp:extent cx="1422400" cy="358775"/>
                <wp:effectExtent l="0" t="0" r="25400" b="22225"/>
                <wp:wrapThrough wrapText="bothSides">
                  <wp:wrapPolygon edited="0">
                    <wp:start x="0" y="0"/>
                    <wp:lineTo x="0" y="21409"/>
                    <wp:lineTo x="21600" y="21409"/>
                    <wp:lineTo x="21600" y="0"/>
                    <wp:lineTo x="0" y="0"/>
                  </wp:wrapPolygon>
                </wp:wrapThrough>
                <wp:docPr id="29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358775"/>
                        </a:xfrm>
                        <a:prstGeom prst="rect">
                          <a:avLst/>
                        </a:prstGeom>
                        <a:solidFill>
                          <a:srgbClr val="600000"/>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83DCA4"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FFFFFF"/>
                                <w:kern w:val="24"/>
                                <w:lang w:val="en-GB"/>
                              </w:rPr>
                              <w:t>What is happening?</w:t>
                            </w:r>
                          </w:p>
                        </w:txbxContent>
                      </wps:txbx>
                      <wps:bodyPr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35" style="position:absolute;left:0;text-align:left;margin-left:75.4pt;margin-top:171.35pt;width:112pt;height: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" fillcolor="#600000" strokecolor="black [3213]" strokeweight="1pt">
                <v:textbox>
                  <w:txbxContent>
                    <w:p w14:paraId="1383DCA4"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FFFFFF"/>
                          <w:kern w:val="24"/>
                          <w:lang w:val="en-GB"/>
                        </w:rPr>
                        <w:t>What is happening?</w:t>
                      </w:r>
                    </w:p>
                  </w:txbxContent>
                </v:textbox>
                <w10:wrap type="through"/>
              </v:rect>
            </w:pict>
          </mc:Fallback>
        </mc:AlternateContent>
      </w:r>
      <w:r>
        <w:rPr>
          <w:noProof/>
          <w:lang w:eastAsia="en-AU"/>
        </w:rPr>
        <mc:AlternateContent>
          <mc:Choice Requires="wps">
            <w:drawing>
              <wp:anchor distT="0" distB="0" distL="114300" distR="114300" simplePos="0" relativeHeight="251673600" behindDoc="0" locked="0" layoutInCell="1" allowOverlap="1" wp14:anchorId="287548E1" wp14:editId="3679A4F9">
                <wp:simplePos x="0" y="0"/>
                <wp:positionH relativeFrom="column">
                  <wp:posOffset>5735955</wp:posOffset>
                </wp:positionH>
                <wp:positionV relativeFrom="paragraph">
                  <wp:posOffset>2172970</wp:posOffset>
                </wp:positionV>
                <wp:extent cx="1433195" cy="358775"/>
                <wp:effectExtent l="0" t="0" r="14605" b="22225"/>
                <wp:wrapThrough wrapText="bothSides">
                  <wp:wrapPolygon edited="0">
                    <wp:start x="0" y="0"/>
                    <wp:lineTo x="0" y="21409"/>
                    <wp:lineTo x="21437" y="21409"/>
                    <wp:lineTo x="21437" y="0"/>
                    <wp:lineTo x="0" y="0"/>
                  </wp:wrapPolygon>
                </wp:wrapThrough>
                <wp:docPr id="29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358775"/>
                        </a:xfrm>
                        <a:prstGeom prst="rect">
                          <a:avLst/>
                        </a:prstGeom>
                        <a:solidFill>
                          <a:srgbClr val="600000"/>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E051AF" w14:textId="77777777" w:rsidR="00F45E64" w:rsidRPr="00870B93" w:rsidRDefault="00F45E64" w:rsidP="00E45705">
                            <w:pPr>
                              <w:pStyle w:val="NormalWeb"/>
                              <w:spacing w:before="0" w:beforeAutospacing="0" w:after="0" w:afterAutospacing="0"/>
                              <w:jc w:val="center"/>
                              <w:textAlignment w:val="baseline"/>
                              <w:rPr>
                                <w:sz w:val="20"/>
                                <w:szCs w:val="20"/>
                              </w:rPr>
                            </w:pPr>
                            <w:r w:rsidRPr="00870B93">
                              <w:rPr>
                                <w:rFonts w:ascii="Arial Narrow" w:eastAsia="MS PGothic" w:hAnsi="Arial Narrow" w:cs="Arial Narrow"/>
                                <w:b/>
                                <w:bCs/>
                                <w:color w:val="FFFFFF"/>
                                <w:kern w:val="24"/>
                                <w:sz w:val="20"/>
                                <w:szCs w:val="20"/>
                                <w:lang w:val="en-US"/>
                              </w:rPr>
                              <w:t>Is it well governed and implemented?</w:t>
                            </w:r>
                          </w:p>
                        </w:txbxContent>
                      </wps:txbx>
                      <wps:bodyPr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36" style="position:absolute;left:0;text-align:left;margin-left:451.65pt;margin-top:171.1pt;width:112.85pt;height: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" fillcolor="#600000" strokecolor="black [3213]" strokeweight="1pt">
                <v:textbox>
                  <w:txbxContent>
                    <w:p w14:paraId="52E051AF" w14:textId="77777777" w:rsidR="00F45E64" w:rsidRPr="00870B93" w:rsidRDefault="00F45E64" w:rsidP="00E45705">
                      <w:pPr>
                        <w:pStyle w:val="NormalWeb"/>
                        <w:spacing w:before="0" w:beforeAutospacing="0" w:after="0" w:afterAutospacing="0"/>
                        <w:jc w:val="center"/>
                        <w:textAlignment w:val="baseline"/>
                        <w:rPr>
                          <w:sz w:val="20"/>
                          <w:szCs w:val="20"/>
                        </w:rPr>
                      </w:pPr>
                      <w:r w:rsidRPr="00870B93">
                        <w:rPr>
                          <w:rFonts w:ascii="Arial Narrow" w:eastAsia="MS PGothic" w:hAnsi="Arial Narrow" w:cs="Arial Narrow"/>
                          <w:b/>
                          <w:bCs/>
                          <w:color w:val="FFFFFF"/>
                          <w:kern w:val="24"/>
                          <w:sz w:val="20"/>
                          <w:szCs w:val="20"/>
                          <w:lang w:val="en-US"/>
                        </w:rPr>
                        <w:t>Is it well governed and implemented?</w:t>
                      </w:r>
                    </w:p>
                  </w:txbxContent>
                </v:textbox>
                <w10:wrap type="through"/>
              </v:rect>
            </w:pict>
          </mc:Fallback>
        </mc:AlternateContent>
      </w:r>
      <w:r>
        <w:rPr>
          <w:noProof/>
          <w:lang w:eastAsia="en-AU"/>
        </w:rPr>
        <mc:AlternateContent>
          <mc:Choice Requires="wps">
            <w:drawing>
              <wp:anchor distT="0" distB="0" distL="114300" distR="114300" simplePos="0" relativeHeight="251675648" behindDoc="0" locked="0" layoutInCell="1" allowOverlap="1" wp14:anchorId="73BAB800" wp14:editId="5D31C625">
                <wp:simplePos x="0" y="0"/>
                <wp:positionH relativeFrom="column">
                  <wp:posOffset>4140200</wp:posOffset>
                </wp:positionH>
                <wp:positionV relativeFrom="paragraph">
                  <wp:posOffset>2181225</wp:posOffset>
                </wp:positionV>
                <wp:extent cx="1433195" cy="360045"/>
                <wp:effectExtent l="0" t="0" r="14605" b="20955"/>
                <wp:wrapThrough wrapText="bothSides">
                  <wp:wrapPolygon edited="0">
                    <wp:start x="0" y="0"/>
                    <wp:lineTo x="0" y="21333"/>
                    <wp:lineTo x="21437" y="21333"/>
                    <wp:lineTo x="21437" y="0"/>
                    <wp:lineTo x="0" y="0"/>
                  </wp:wrapPolygon>
                </wp:wrapThrough>
                <wp:docPr id="29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360045"/>
                        </a:xfrm>
                        <a:prstGeom prst="rect">
                          <a:avLst/>
                        </a:prstGeom>
                        <a:solidFill>
                          <a:srgbClr val="600000"/>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0CDD28"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FFFFFF"/>
                                <w:kern w:val="24"/>
                                <w:lang w:val="en-GB"/>
                              </w:rPr>
                              <w:t>Is it appropriate?</w:t>
                            </w:r>
                          </w:p>
                        </w:txbxContent>
                      </wps:txbx>
                      <wps:bodyPr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37" style="position:absolute;left:0;text-align:left;margin-left:326pt;margin-top:171.75pt;width:112.85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" fillcolor="#600000" strokecolor="black [3213]" strokeweight="1pt">
                <v:textbox>
                  <w:txbxContent>
                    <w:p w14:paraId="640CDD28"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FFFFFF"/>
                          <w:kern w:val="24"/>
                          <w:lang w:val="en-GB"/>
                        </w:rPr>
                        <w:t>Is it appropriate?</w:t>
                      </w:r>
                    </w:p>
                  </w:txbxContent>
                </v:textbox>
                <w10:wrap type="through"/>
              </v:rect>
            </w:pict>
          </mc:Fallback>
        </mc:AlternateContent>
      </w:r>
      <w:r>
        <w:rPr>
          <w:noProof/>
          <w:lang w:eastAsia="en-AU"/>
        </w:rPr>
        <mc:AlternateContent>
          <mc:Choice Requires="wps">
            <w:drawing>
              <wp:anchor distT="0" distB="0" distL="114300" distR="114300" simplePos="0" relativeHeight="251677696" behindDoc="0" locked="0" layoutInCell="1" allowOverlap="1" wp14:anchorId="598B53E1" wp14:editId="511DC1CB">
                <wp:simplePos x="0" y="0"/>
                <wp:positionH relativeFrom="column">
                  <wp:posOffset>7329805</wp:posOffset>
                </wp:positionH>
                <wp:positionV relativeFrom="paragraph">
                  <wp:posOffset>2176145</wp:posOffset>
                </wp:positionV>
                <wp:extent cx="1433195" cy="358775"/>
                <wp:effectExtent l="0" t="0" r="14605" b="22225"/>
                <wp:wrapThrough wrapText="bothSides">
                  <wp:wrapPolygon edited="0">
                    <wp:start x="0" y="0"/>
                    <wp:lineTo x="0" y="21409"/>
                    <wp:lineTo x="21437" y="21409"/>
                    <wp:lineTo x="21437" y="0"/>
                    <wp:lineTo x="0" y="0"/>
                  </wp:wrapPolygon>
                </wp:wrapThrough>
                <wp:docPr id="29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358775"/>
                        </a:xfrm>
                        <a:prstGeom prst="rect">
                          <a:avLst/>
                        </a:prstGeom>
                        <a:solidFill>
                          <a:srgbClr val="600000"/>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4268C4"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FFFFFF"/>
                                <w:kern w:val="24"/>
                                <w:lang w:val="en-GB"/>
                              </w:rPr>
                              <w:t>Looking ahead …</w:t>
                            </w:r>
                          </w:p>
                        </w:txbxContent>
                      </wps:txbx>
                      <wps:bodyPr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38" style="position:absolute;left:0;text-align:left;margin-left:577.15pt;margin-top:171.35pt;width:112.85pt;height:2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" fillcolor="#600000" strokecolor="black [3213]" strokeweight="1pt">
                <v:textbox>
                  <w:txbxContent>
                    <w:p w14:paraId="324268C4"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FFFFFF"/>
                          <w:kern w:val="24"/>
                          <w:lang w:val="en-GB"/>
                        </w:rPr>
                        <w:t>Looking ahead …</w:t>
                      </w:r>
                    </w:p>
                  </w:txbxContent>
                </v:textbox>
                <w10:wrap type="through"/>
              </v:rect>
            </w:pict>
          </mc:Fallback>
        </mc:AlternateContent>
      </w:r>
      <w:r>
        <w:rPr>
          <w:noProof/>
          <w:lang w:eastAsia="en-AU"/>
        </w:rPr>
        <mc:AlternateContent>
          <mc:Choice Requires="wps">
            <w:drawing>
              <wp:anchor distT="0" distB="0" distL="114300" distR="114300" simplePos="0" relativeHeight="251682816" behindDoc="0" locked="0" layoutInCell="1" allowOverlap="1" wp14:anchorId="7DA06787" wp14:editId="0DB09DA2">
                <wp:simplePos x="0" y="0"/>
                <wp:positionH relativeFrom="column">
                  <wp:posOffset>-45720</wp:posOffset>
                </wp:positionH>
                <wp:positionV relativeFrom="paragraph">
                  <wp:posOffset>2166620</wp:posOffset>
                </wp:positionV>
                <wp:extent cx="883920" cy="360045"/>
                <wp:effectExtent l="0" t="0" r="5080" b="0"/>
                <wp:wrapThrough wrapText="bothSides">
                  <wp:wrapPolygon edited="0">
                    <wp:start x="0" y="0"/>
                    <wp:lineTo x="0" y="19810"/>
                    <wp:lineTo x="21103" y="19810"/>
                    <wp:lineTo x="21103" y="0"/>
                    <wp:lineTo x="0" y="0"/>
                  </wp:wrapPolygon>
                </wp:wrapThrough>
                <wp:docPr id="30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60045"/>
                        </a:xfrm>
                        <a:prstGeom prst="rect">
                          <a:avLst/>
                        </a:prstGeom>
                        <a:solidFill>
                          <a:schemeClr val="bg1">
                            <a:lumMod val="7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1A30EB"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000000" w:themeColor="text1"/>
                                <w:kern w:val="24"/>
                                <w:sz w:val="18"/>
                                <w:szCs w:val="18"/>
                                <w:lang w:val="en-GB"/>
                              </w:rPr>
                              <w:t>Evaluation Questions</w:t>
                            </w:r>
                          </w:p>
                        </w:txbxContent>
                      </wps:txbx>
                      <wps:bodyPr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7" o:spid="_x0000_s1039" style="position:absolute;left:0;text-align:left;margin-left:-3.55pt;margin-top:170.6pt;width:69.6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" fillcolor="#bfbfbf [2412]" stroked="f" strokeweight="1pt">
                <v:textbox>
                  <w:txbxContent>
                    <w:p w14:paraId="531A30EB"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000000" w:themeColor="text1"/>
                          <w:kern w:val="24"/>
                          <w:sz w:val="18"/>
                          <w:szCs w:val="18"/>
                          <w:lang w:val="en-GB"/>
                        </w:rPr>
                        <w:t>Evaluation Questions</w:t>
                      </w:r>
                    </w:p>
                  </w:txbxContent>
                </v:textbox>
                <w10:wrap type="through"/>
              </v:rect>
            </w:pict>
          </mc:Fallback>
        </mc:AlternateContent>
      </w:r>
      <w:r>
        <w:rPr>
          <w:noProof/>
          <w:lang w:eastAsia="en-AU"/>
        </w:rPr>
        <mc:AlternateContent>
          <mc:Choice Requires="wps">
            <w:drawing>
              <wp:anchor distT="0" distB="0" distL="114300" distR="114300" simplePos="0" relativeHeight="251686912" behindDoc="0" locked="0" layoutInCell="1" allowOverlap="1" wp14:anchorId="4B9BFF6E" wp14:editId="3AA305EA">
                <wp:simplePos x="0" y="0"/>
                <wp:positionH relativeFrom="column">
                  <wp:posOffset>2548255</wp:posOffset>
                </wp:positionH>
                <wp:positionV relativeFrom="paragraph">
                  <wp:posOffset>2181225</wp:posOffset>
                </wp:positionV>
                <wp:extent cx="1433195" cy="360045"/>
                <wp:effectExtent l="0" t="0" r="14605" b="20955"/>
                <wp:wrapThrough wrapText="bothSides">
                  <wp:wrapPolygon edited="0">
                    <wp:start x="0" y="0"/>
                    <wp:lineTo x="0" y="21333"/>
                    <wp:lineTo x="21437" y="21333"/>
                    <wp:lineTo x="21437" y="0"/>
                    <wp:lineTo x="0" y="0"/>
                  </wp:wrapPolygon>
                </wp:wrapThrough>
                <wp:docPr id="30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360045"/>
                        </a:xfrm>
                        <a:prstGeom prst="rect">
                          <a:avLst/>
                        </a:prstGeom>
                        <a:solidFill>
                          <a:srgbClr val="600000"/>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55EEB3"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FFFFFF"/>
                                <w:kern w:val="24"/>
                                <w:lang w:val="en-GB"/>
                              </w:rPr>
                              <w:t>Is it working?</w:t>
                            </w:r>
                          </w:p>
                        </w:txbxContent>
                      </wps:txbx>
                      <wps:bodyPr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6" o:spid="_x0000_s1040" style="position:absolute;left:0;text-align:left;margin-left:200.65pt;margin-top:171.75pt;width:112.85pt;height:2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" fillcolor="#600000" strokecolor="black [3213]" strokeweight="1pt">
                <v:textbox>
                  <w:txbxContent>
                    <w:p w14:paraId="0255EEB3"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FFFFFF"/>
                          <w:kern w:val="24"/>
                          <w:lang w:val="en-GB"/>
                        </w:rPr>
                        <w:t>Is it working?</w:t>
                      </w:r>
                    </w:p>
                  </w:txbxContent>
                </v:textbox>
                <w10:wrap type="through"/>
              </v:rect>
            </w:pict>
          </mc:Fallback>
        </mc:AlternateContent>
      </w:r>
      <w:r>
        <w:rPr>
          <w:noProof/>
          <w:lang w:eastAsia="en-AU"/>
        </w:rPr>
        <mc:AlternateContent>
          <mc:Choice Requires="wps">
            <w:drawing>
              <wp:anchor distT="0" distB="0" distL="114300" distR="114300" simplePos="0" relativeHeight="251667456" behindDoc="0" locked="0" layoutInCell="1" allowOverlap="1" wp14:anchorId="1B26AB84" wp14:editId="358EA1B3">
                <wp:simplePos x="0" y="0"/>
                <wp:positionH relativeFrom="column">
                  <wp:posOffset>957580</wp:posOffset>
                </wp:positionH>
                <wp:positionV relativeFrom="paragraph">
                  <wp:posOffset>115570</wp:posOffset>
                </wp:positionV>
                <wp:extent cx="7805420" cy="523875"/>
                <wp:effectExtent l="0" t="0" r="17780" b="34925"/>
                <wp:wrapThrough wrapText="bothSides">
                  <wp:wrapPolygon edited="0">
                    <wp:start x="0" y="0"/>
                    <wp:lineTo x="0" y="21993"/>
                    <wp:lineTo x="21579" y="21993"/>
                    <wp:lineTo x="21579" y="0"/>
                    <wp:lineTo x="0" y="0"/>
                  </wp:wrapPolygon>
                </wp:wrapThrough>
                <wp:docPr id="30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5420" cy="523875"/>
                        </a:xfrm>
                        <a:prstGeom prst="rect">
                          <a:avLst/>
                        </a:prstGeom>
                        <a:solidFill>
                          <a:srgbClr val="600000"/>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62947B" w14:textId="77777777" w:rsidR="00F45E64" w:rsidRDefault="00F45E64" w:rsidP="00E45705">
                            <w:pPr>
                              <w:pStyle w:val="NormalWeb"/>
                              <w:spacing w:before="0" w:beforeAutospacing="0" w:after="0" w:afterAutospacing="0"/>
                              <w:jc w:val="center"/>
                              <w:textAlignment w:val="baseline"/>
                            </w:pPr>
                            <w:r>
                              <w:rPr>
                                <w:rFonts w:ascii="Arial Narrow" w:hAnsi="Arial Narrow" w:cs="Arial Narrow"/>
                                <w:b/>
                                <w:bCs/>
                                <w:i/>
                                <w:iCs/>
                                <w:color w:val="FFFFFF" w:themeColor="light1"/>
                                <w:kern w:val="24"/>
                                <w:lang w:val="en-US"/>
                              </w:rPr>
                              <w:t>Have the National Partnership elements, as a package, contributed to improved participation, engagement, attainment and transition outcomes for young Australians, including young Indigenous Australians?</w:t>
                            </w:r>
                            <w:r>
                              <w:rPr>
                                <w:rFonts w:ascii="Arial Narrow" w:hAnsi="Arial Narrow" w:cs="Arial Narrow"/>
                                <w:color w:val="FFFFFF" w:themeColor="light1"/>
                                <w:kern w:val="24"/>
                              </w:rPr>
                              <w:t xml:space="preserve"> </w:t>
                            </w:r>
                          </w:p>
                        </w:txbxContent>
                      </wps:txbx>
                      <wps:bodyPr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41" style="position:absolute;left:0;text-align:left;margin-left:75.4pt;margin-top:9.1pt;width:614.6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" fillcolor="#600000" strokecolor="black [3213]" strokeweight="1pt">
                <v:textbox>
                  <w:txbxContent>
                    <w:p w14:paraId="2E62947B" w14:textId="77777777" w:rsidR="00F45E64" w:rsidRDefault="00F45E64" w:rsidP="00E45705">
                      <w:pPr>
                        <w:pStyle w:val="NormalWeb"/>
                        <w:spacing w:before="0" w:beforeAutospacing="0" w:after="0" w:afterAutospacing="0"/>
                        <w:jc w:val="center"/>
                        <w:textAlignment w:val="baseline"/>
                      </w:pPr>
                      <w:r>
                        <w:rPr>
                          <w:rFonts w:ascii="Arial Narrow" w:hAnsi="Arial Narrow" w:cs="Arial Narrow"/>
                          <w:b/>
                          <w:bCs/>
                          <w:i/>
                          <w:iCs/>
                          <w:color w:val="FFFFFF" w:themeColor="light1"/>
                          <w:kern w:val="24"/>
                          <w:lang w:val="en-US"/>
                        </w:rPr>
                        <w:t>Have the National Partnership elements, as a package, contributed to improved participation, engagement, attainment and transition outcomes for young Australians, including young Indigenous Australians?</w:t>
                      </w:r>
                      <w:r>
                        <w:rPr>
                          <w:rFonts w:ascii="Arial Narrow" w:hAnsi="Arial Narrow" w:cs="Arial Narrow"/>
                          <w:color w:val="FFFFFF" w:themeColor="light1"/>
                          <w:kern w:val="24"/>
                        </w:rPr>
                        <w:t xml:space="preserve"> </w:t>
                      </w:r>
                    </w:p>
                  </w:txbxContent>
                </v:textbox>
                <w10:wrap type="through"/>
              </v:rect>
            </w:pict>
          </mc:Fallback>
        </mc:AlternateContent>
      </w:r>
      <w:r>
        <w:rPr>
          <w:noProof/>
          <w:lang w:eastAsia="en-AU"/>
        </w:rPr>
        <mc:AlternateContent>
          <mc:Choice Requires="wps">
            <w:drawing>
              <wp:anchor distT="0" distB="0" distL="114300" distR="114300" simplePos="0" relativeHeight="251669504" behindDoc="0" locked="0" layoutInCell="1" allowOverlap="1" wp14:anchorId="3BDE1317" wp14:editId="518F22A2">
                <wp:simplePos x="0" y="0"/>
                <wp:positionH relativeFrom="column">
                  <wp:posOffset>-4011930</wp:posOffset>
                </wp:positionH>
                <wp:positionV relativeFrom="paragraph">
                  <wp:posOffset>639445</wp:posOffset>
                </wp:positionV>
                <wp:extent cx="3175" cy="1094105"/>
                <wp:effectExtent l="100330" t="100965" r="112395" b="138430"/>
                <wp:wrapNone/>
                <wp:docPr id="28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094105"/>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85pt,50.35pt" to="-315.6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70528" behindDoc="0" locked="0" layoutInCell="1" allowOverlap="1" wp14:anchorId="7B30936A" wp14:editId="11943F4C">
                <wp:simplePos x="0" y="0"/>
                <wp:positionH relativeFrom="column">
                  <wp:posOffset>-822960</wp:posOffset>
                </wp:positionH>
                <wp:positionV relativeFrom="paragraph">
                  <wp:posOffset>1287145</wp:posOffset>
                </wp:positionV>
                <wp:extent cx="0" cy="441325"/>
                <wp:effectExtent l="101600" t="100965" r="114300" b="143510"/>
                <wp:wrapNone/>
                <wp:docPr id="6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5pt,101.35pt" to="-64.75pt,1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71552" behindDoc="0" locked="0" layoutInCell="1" allowOverlap="1" wp14:anchorId="7F4D0EC3" wp14:editId="4A3C4BF8">
                <wp:simplePos x="0" y="0"/>
                <wp:positionH relativeFrom="column">
                  <wp:posOffset>-7200265</wp:posOffset>
                </wp:positionH>
                <wp:positionV relativeFrom="paragraph">
                  <wp:posOffset>1503045</wp:posOffset>
                </wp:positionV>
                <wp:extent cx="0" cy="225425"/>
                <wp:effectExtent l="99695" t="100965" r="116205" b="143510"/>
                <wp:wrapNone/>
                <wp:docPr id="6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9pt,118.35pt" to="-566.9pt,1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80768" behindDoc="0" locked="0" layoutInCell="1" allowOverlap="1" wp14:anchorId="063B5020" wp14:editId="2C7D85BC">
                <wp:simplePos x="0" y="0"/>
                <wp:positionH relativeFrom="column">
                  <wp:posOffset>-2416810</wp:posOffset>
                </wp:positionH>
                <wp:positionV relativeFrom="paragraph">
                  <wp:posOffset>998855</wp:posOffset>
                </wp:positionV>
                <wp:extent cx="0" cy="725805"/>
                <wp:effectExtent l="107950" t="104775" r="107950" b="134620"/>
                <wp:wrapNone/>
                <wp:docPr id="5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5pt,78.65pt" to="-190.25pt,13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" strokeweight="2pt">
                <v:shadow on="t" opacity="24903f" origin=",.5" offset="0,20000emu"/>
              </v:line>
            </w:pict>
          </mc:Fallback>
        </mc:AlternateContent>
      </w:r>
      <w:r>
        <w:rPr>
          <w:noProof/>
          <w:lang w:eastAsia="en-AU"/>
        </w:rPr>
        <mc:AlternateContent>
          <mc:Choice Requires="wps">
            <w:drawing>
              <wp:anchor distT="0" distB="0" distL="114300" distR="114300" simplePos="0" relativeHeight="251681792" behindDoc="0" locked="0" layoutInCell="1" allowOverlap="1" wp14:anchorId="66805A48" wp14:editId="651465F4">
                <wp:simplePos x="0" y="0"/>
                <wp:positionH relativeFrom="column">
                  <wp:posOffset>-45720</wp:posOffset>
                </wp:positionH>
                <wp:positionV relativeFrom="paragraph">
                  <wp:posOffset>115570</wp:posOffset>
                </wp:positionV>
                <wp:extent cx="883920" cy="523875"/>
                <wp:effectExtent l="0" t="0" r="5080" b="9525"/>
                <wp:wrapThrough wrapText="bothSides">
                  <wp:wrapPolygon edited="0">
                    <wp:start x="0" y="0"/>
                    <wp:lineTo x="0" y="20945"/>
                    <wp:lineTo x="21103" y="20945"/>
                    <wp:lineTo x="21103" y="0"/>
                    <wp:lineTo x="0" y="0"/>
                  </wp:wrapPolygon>
                </wp:wrapThrough>
                <wp:docPr id="30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23875"/>
                        </a:xfrm>
                        <a:prstGeom prst="rect">
                          <a:avLst/>
                        </a:prstGeom>
                        <a:solidFill>
                          <a:schemeClr val="bg1">
                            <a:lumMod val="7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3DB760"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000000" w:themeColor="text1"/>
                                <w:kern w:val="24"/>
                                <w:sz w:val="18"/>
                                <w:szCs w:val="18"/>
                                <w:lang w:val="en-GB"/>
                              </w:rPr>
                              <w:t>Evaluation focus</w:t>
                            </w:r>
                          </w:p>
                        </w:txbxContent>
                      </wps:txbx>
                      <wps:bodyPr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6" o:spid="_x0000_s1042" style="position:absolute;left:0;text-align:left;margin-left:-3.55pt;margin-top:9.1pt;width:69.6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" fillcolor="#bfbfbf [2412]" stroked="f" strokeweight="1pt">
                <v:textbox>
                  <w:txbxContent>
                    <w:p w14:paraId="343DB760" w14:textId="77777777" w:rsidR="00F45E64" w:rsidRDefault="00F45E64" w:rsidP="00E45705">
                      <w:pPr>
                        <w:pStyle w:val="NormalWeb"/>
                        <w:spacing w:before="0" w:beforeAutospacing="0" w:after="0" w:afterAutospacing="0"/>
                        <w:jc w:val="center"/>
                        <w:textAlignment w:val="baseline"/>
                      </w:pPr>
                      <w:r>
                        <w:rPr>
                          <w:rFonts w:ascii="Arial Narrow" w:eastAsia="MS PGothic" w:hAnsi="Arial Narrow" w:cs="Arial Narrow"/>
                          <w:b/>
                          <w:bCs/>
                          <w:color w:val="000000" w:themeColor="text1"/>
                          <w:kern w:val="24"/>
                          <w:sz w:val="18"/>
                          <w:szCs w:val="18"/>
                          <w:lang w:val="en-GB"/>
                        </w:rPr>
                        <w:t>Evaluation focus</w:t>
                      </w:r>
                    </w:p>
                  </w:txbxContent>
                </v:textbox>
                <w10:wrap type="through"/>
              </v:rect>
            </w:pict>
          </mc:Fallback>
        </mc:AlternateContent>
      </w:r>
    </w:p>
    <w:p w14:paraId="194892BE" w14:textId="77777777" w:rsidR="00E45705" w:rsidRDefault="00E45705" w:rsidP="00E45705">
      <w:pPr>
        <w:pStyle w:val="Heading2NoNumbering"/>
      </w:pPr>
      <w:bookmarkStart w:id="129" w:name="_Toc197425110"/>
      <w:bookmarkStart w:id="130" w:name="_Toc219347264"/>
      <w:r>
        <w:lastRenderedPageBreak/>
        <w:t>Year two evaluation framework</w:t>
      </w:r>
      <w:bookmarkEnd w:id="129"/>
      <w:bookmarkEnd w:id="130"/>
    </w:p>
    <w:p w14:paraId="10324736" w14:textId="77777777" w:rsidR="00E45705" w:rsidRPr="002D623C" w:rsidRDefault="00E45705" w:rsidP="00E45705">
      <w:pPr>
        <w:pStyle w:val="Heading3"/>
        <w:numPr>
          <w:ilvl w:val="0"/>
          <w:numId w:val="0"/>
        </w:numPr>
        <w:ind w:left="851" w:hanging="851"/>
      </w:pPr>
      <w:r>
        <w:t>1. National Partnership</w:t>
      </w:r>
    </w:p>
    <w:tbl>
      <w:tblPr>
        <w:tblStyle w:val="DandoloTableCentred"/>
        <w:tblW w:w="14034" w:type="dxa"/>
        <w:tblLook w:val="00A0" w:firstRow="1" w:lastRow="0" w:firstColumn="1" w:lastColumn="0" w:noHBand="0" w:noVBand="0"/>
        <w:tblCaption w:val="Year two evaluation framework "/>
        <w:tblDescription w:val="Year two evaluation framework - NP research method&#10;"/>
      </w:tblPr>
      <w:tblGrid>
        <w:gridCol w:w="2440"/>
        <w:gridCol w:w="4536"/>
        <w:gridCol w:w="3372"/>
        <w:gridCol w:w="3686"/>
      </w:tblGrid>
      <w:tr w:rsidR="00E45705" w:rsidRPr="00FC7F6A" w14:paraId="57F2B1A4" w14:textId="77777777" w:rsidTr="00FC7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14:paraId="73E2A154" w14:textId="77777777" w:rsidR="00E45705" w:rsidRPr="00FC7F6A" w:rsidRDefault="00E45705" w:rsidP="00E45705">
            <w:pPr>
              <w:spacing w:before="60" w:after="60"/>
              <w:ind w:left="142" w:right="142"/>
              <w:rPr>
                <w:rFonts w:asciiTheme="majorHAnsi" w:hAnsiTheme="majorHAnsi" w:cs="Arial"/>
                <w:b w:val="0"/>
                <w:color w:val="auto"/>
                <w:szCs w:val="18"/>
              </w:rPr>
            </w:pPr>
            <w:r w:rsidRPr="00FC7F6A">
              <w:rPr>
                <w:rFonts w:asciiTheme="majorHAnsi" w:hAnsiTheme="majorHAnsi" w:cs="Arial"/>
                <w:color w:val="auto"/>
                <w:szCs w:val="18"/>
              </w:rPr>
              <w:t>Research method:</w:t>
            </w:r>
          </w:p>
        </w:tc>
        <w:tc>
          <w:tcPr>
            <w:tcW w:w="4536" w:type="dxa"/>
          </w:tcPr>
          <w:p w14:paraId="585414FE"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rial"/>
                <w:b/>
                <w:color w:val="auto"/>
                <w:szCs w:val="18"/>
              </w:rPr>
            </w:pPr>
            <w:r w:rsidRPr="00FC7F6A">
              <w:rPr>
                <w:rFonts w:asciiTheme="majorHAnsi" w:hAnsiTheme="majorHAnsi" w:cs="Arial"/>
                <w:b/>
                <w:color w:val="auto"/>
                <w:szCs w:val="18"/>
              </w:rPr>
              <w:t>Stakeholder engagement</w:t>
            </w:r>
          </w:p>
        </w:tc>
        <w:tc>
          <w:tcPr>
            <w:tcW w:w="3372" w:type="dxa"/>
          </w:tcPr>
          <w:p w14:paraId="2CB62952"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rial"/>
                <w:b/>
                <w:color w:val="auto"/>
                <w:szCs w:val="18"/>
              </w:rPr>
            </w:pPr>
            <w:r w:rsidRPr="00FC7F6A">
              <w:rPr>
                <w:rFonts w:asciiTheme="majorHAnsi" w:hAnsiTheme="majorHAnsi" w:cs="Arial"/>
                <w:b/>
                <w:color w:val="auto"/>
                <w:szCs w:val="18"/>
              </w:rPr>
              <w:t xml:space="preserve">Data analysis </w:t>
            </w:r>
          </w:p>
        </w:tc>
        <w:tc>
          <w:tcPr>
            <w:tcW w:w="3686" w:type="dxa"/>
          </w:tcPr>
          <w:p w14:paraId="635BE87B"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rial"/>
                <w:b/>
                <w:color w:val="auto"/>
                <w:szCs w:val="18"/>
              </w:rPr>
            </w:pPr>
            <w:r w:rsidRPr="00FC7F6A">
              <w:rPr>
                <w:rFonts w:asciiTheme="majorHAnsi" w:hAnsiTheme="majorHAnsi" w:cs="Arial"/>
                <w:b/>
                <w:color w:val="auto"/>
                <w:szCs w:val="18"/>
              </w:rPr>
              <w:t xml:space="preserve">Literature review </w:t>
            </w:r>
          </w:p>
        </w:tc>
      </w:tr>
      <w:tr w:rsidR="00E45705" w:rsidRPr="00FC7F6A" w14:paraId="53DD8E04" w14:textId="77777777" w:rsidTr="00FC7F6A">
        <w:trPr>
          <w:trHeight w:val="2218"/>
        </w:trPr>
        <w:tc>
          <w:tcPr>
            <w:cnfStyle w:val="001000000000" w:firstRow="0" w:lastRow="0" w:firstColumn="1" w:lastColumn="0" w:oddVBand="0" w:evenVBand="0" w:oddHBand="0" w:evenHBand="0" w:firstRowFirstColumn="0" w:firstRowLastColumn="0" w:lastRowFirstColumn="0" w:lastRowLastColumn="0"/>
            <w:tcW w:w="2440" w:type="dxa"/>
            <w:vAlign w:val="top"/>
          </w:tcPr>
          <w:p w14:paraId="1495BD31" w14:textId="77777777" w:rsidR="00E45705" w:rsidRPr="00FC7F6A" w:rsidRDefault="00E45705" w:rsidP="00E45705">
            <w:pPr>
              <w:spacing w:before="60" w:after="60"/>
              <w:ind w:left="142" w:right="142"/>
              <w:rPr>
                <w:rFonts w:asciiTheme="majorHAnsi" w:hAnsiTheme="majorHAnsi" w:cs="Arial"/>
                <w:b w:val="0"/>
                <w:bCs/>
                <w:color w:val="auto"/>
                <w:szCs w:val="18"/>
              </w:rPr>
            </w:pPr>
            <w:r w:rsidRPr="00FC7F6A">
              <w:rPr>
                <w:rFonts w:asciiTheme="majorHAnsi" w:hAnsiTheme="majorHAnsi" w:cs="Arial"/>
                <w:bCs/>
                <w:color w:val="auto"/>
                <w:szCs w:val="18"/>
              </w:rPr>
              <w:t>Sources of data:</w:t>
            </w:r>
          </w:p>
          <w:p w14:paraId="4F87C7C2" w14:textId="77777777" w:rsidR="00E45705" w:rsidRPr="00FC7F6A" w:rsidRDefault="00E45705" w:rsidP="00E45705">
            <w:pPr>
              <w:spacing w:before="60" w:after="60"/>
              <w:ind w:left="142" w:right="142"/>
              <w:rPr>
                <w:rFonts w:asciiTheme="majorHAnsi" w:hAnsiTheme="majorHAnsi" w:cs="Arial"/>
                <w:b w:val="0"/>
                <w:szCs w:val="18"/>
              </w:rPr>
            </w:pPr>
          </w:p>
        </w:tc>
        <w:tc>
          <w:tcPr>
            <w:tcW w:w="4536" w:type="dxa"/>
            <w:vAlign w:val="top"/>
          </w:tcPr>
          <w:p w14:paraId="270737D8" w14:textId="77777777" w:rsidR="00E45705" w:rsidRPr="00FC7F6A" w:rsidRDefault="00E45705" w:rsidP="00E45705">
            <w:pPr>
              <w:tabs>
                <w:tab w:val="right" w:pos="8930"/>
              </w:tabs>
              <w:spacing w:before="60" w:after="60"/>
              <w:ind w:left="19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Aggregation of input from:</w:t>
            </w:r>
          </w:p>
          <w:p w14:paraId="5AF60F31"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FC7F6A">
              <w:rPr>
                <w:rFonts w:asciiTheme="majorHAnsi" w:hAnsiTheme="majorHAnsi" w:cs="Arial"/>
                <w:bCs/>
                <w:sz w:val="18"/>
                <w:szCs w:val="18"/>
              </w:rPr>
              <w:t>DEEWR – national and regional managers and staff</w:t>
            </w:r>
          </w:p>
          <w:p w14:paraId="2CB1ADB5"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FC7F6A">
              <w:rPr>
                <w:rFonts w:asciiTheme="majorHAnsi" w:hAnsiTheme="majorHAnsi" w:cs="Arial"/>
                <w:bCs/>
                <w:sz w:val="18"/>
                <w:szCs w:val="18"/>
              </w:rPr>
              <w:t>States and territory education and training departments</w:t>
            </w:r>
          </w:p>
          <w:p w14:paraId="3761C99A"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FC7F6A">
              <w:rPr>
                <w:rFonts w:asciiTheme="majorHAnsi" w:hAnsiTheme="majorHAnsi" w:cs="Arial"/>
                <w:bCs/>
                <w:sz w:val="18"/>
                <w:szCs w:val="18"/>
              </w:rPr>
              <w:t>Catholic and Independent school sectors</w:t>
            </w:r>
          </w:p>
          <w:p w14:paraId="3D7FF269"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FC7F6A">
              <w:rPr>
                <w:rFonts w:asciiTheme="majorHAnsi" w:hAnsiTheme="majorHAnsi" w:cs="Arial"/>
                <w:bCs/>
                <w:sz w:val="18"/>
                <w:szCs w:val="18"/>
              </w:rPr>
              <w:t>Business and industry sector representative bodies</w:t>
            </w:r>
          </w:p>
          <w:p w14:paraId="70837B56"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FC7F6A">
              <w:rPr>
                <w:rFonts w:asciiTheme="majorHAnsi" w:hAnsiTheme="majorHAnsi" w:cs="Arial"/>
                <w:bCs/>
                <w:sz w:val="18"/>
                <w:szCs w:val="18"/>
              </w:rPr>
              <w:t>Community and youth sector representative bodies</w:t>
            </w:r>
          </w:p>
          <w:p w14:paraId="7F1F803C"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FC7F6A">
              <w:rPr>
                <w:rFonts w:asciiTheme="majorHAnsi" w:hAnsiTheme="majorHAnsi" w:cs="Arial"/>
                <w:bCs/>
                <w:sz w:val="18"/>
                <w:szCs w:val="18"/>
              </w:rPr>
              <w:t>Expert panel</w:t>
            </w:r>
          </w:p>
          <w:p w14:paraId="76877082" w14:textId="77777777" w:rsidR="00E45705" w:rsidRPr="00FC7F6A" w:rsidRDefault="00E45705" w:rsidP="00E45705">
            <w:pPr>
              <w:pStyle w:val="ListParagraph"/>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highlight w:val="yellow"/>
              </w:rPr>
            </w:pPr>
          </w:p>
        </w:tc>
        <w:tc>
          <w:tcPr>
            <w:tcW w:w="3372" w:type="dxa"/>
            <w:vAlign w:val="top"/>
          </w:tcPr>
          <w:p w14:paraId="44F42F07"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Labour Force Survey</w:t>
            </w:r>
          </w:p>
          <w:p w14:paraId="66BCE67F"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National School Statistics Collection</w:t>
            </w:r>
          </w:p>
          <w:p w14:paraId="77E396DC"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Survey of Education and Work</w:t>
            </w:r>
          </w:p>
          <w:p w14:paraId="711F785F"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Regional Population Growth</w:t>
            </w:r>
          </w:p>
          <w:p w14:paraId="5F59B77E"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Australian Demographic Statistics</w:t>
            </w:r>
          </w:p>
          <w:p w14:paraId="0FE134AB"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National VET in Schools Collection</w:t>
            </w:r>
          </w:p>
          <w:p w14:paraId="4DAE3A12"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National VET Provider Collection</w:t>
            </w:r>
          </w:p>
          <w:p w14:paraId="2FF695FD"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DEEWR Higher Education Statistics Collection</w:t>
            </w:r>
          </w:p>
          <w:p w14:paraId="21E4CF66"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AG Reform Council</w:t>
            </w:r>
          </w:p>
          <w:p w14:paraId="61F53047"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COAG Reform Council</w:t>
            </w:r>
          </w:p>
        </w:tc>
        <w:tc>
          <w:tcPr>
            <w:tcW w:w="3686" w:type="dxa"/>
            <w:vAlign w:val="top"/>
          </w:tcPr>
          <w:p w14:paraId="164A04CA"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Information request from DEEWR, MWG and non-government education authorities</w:t>
            </w:r>
          </w:p>
          <w:p w14:paraId="30A66990"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Research reports regarding YAT outcomes, measurement and influencing factors</w:t>
            </w:r>
          </w:p>
          <w:p w14:paraId="7B2C8B48"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Evaluations of NP-funded initiatives</w:t>
            </w:r>
          </w:p>
          <w:p w14:paraId="76E83E6A" w14:textId="77777777" w:rsidR="00E45705" w:rsidRPr="00FC7F6A" w:rsidRDefault="00E45705" w:rsidP="00FC7F6A">
            <w:pPr>
              <w:pStyle w:val="ListParagraph"/>
              <w:numPr>
                <w:ilvl w:val="0"/>
                <w:numId w:val="32"/>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 xml:space="preserve">NP implementation plans and annual reports </w:t>
            </w:r>
          </w:p>
          <w:p w14:paraId="46AF730D" w14:textId="77777777" w:rsidR="00E45705" w:rsidRPr="00FC7F6A" w:rsidRDefault="00E45705" w:rsidP="00E45705">
            <w:pPr>
              <w:autoSpaceDE w:val="0"/>
              <w:autoSpaceDN w:val="0"/>
              <w:adjustRightInd w:val="0"/>
              <w:spacing w:before="60" w:after="60"/>
              <w:ind w:left="193"/>
              <w:cnfStyle w:val="000000000000" w:firstRow="0" w:lastRow="0" w:firstColumn="0" w:lastColumn="0" w:oddVBand="0" w:evenVBand="0" w:oddHBand="0" w:evenHBand="0" w:firstRowFirstColumn="0" w:firstRowLastColumn="0" w:lastRowFirstColumn="0" w:lastRowLastColumn="0"/>
              <w:rPr>
                <w:rFonts w:asciiTheme="majorHAnsi" w:hAnsiTheme="majorHAnsi" w:cs="Arial"/>
                <w:i/>
                <w:szCs w:val="18"/>
              </w:rPr>
            </w:pPr>
          </w:p>
        </w:tc>
      </w:tr>
    </w:tbl>
    <w:p w14:paraId="759E168D" w14:textId="77777777" w:rsidR="00E45705" w:rsidRPr="00FC7F6A" w:rsidRDefault="00E45705" w:rsidP="00E45705">
      <w:pPr>
        <w:rPr>
          <w:rFonts w:asciiTheme="majorHAnsi" w:hAnsiTheme="majorHAnsi" w:cs="Arial"/>
          <w:sz w:val="18"/>
          <w:szCs w:val="18"/>
        </w:rPr>
      </w:pPr>
    </w:p>
    <w:tbl>
      <w:tblPr>
        <w:tblStyle w:val="DandoloTableCentred"/>
        <w:tblpPr w:leftFromText="180" w:rightFromText="180" w:vertAnchor="text" w:tblpY="1"/>
        <w:tblW w:w="13996" w:type="dxa"/>
        <w:tblLayout w:type="fixed"/>
        <w:tblLook w:val="00A0" w:firstRow="1" w:lastRow="0" w:firstColumn="1" w:lastColumn="0" w:noHBand="0" w:noVBand="0"/>
        <w:tblCaption w:val="Year two evaluation framework - NP level questions"/>
        <w:tblDescription w:val="Year two evaluation framework - NP level questions"/>
      </w:tblPr>
      <w:tblGrid>
        <w:gridCol w:w="751"/>
        <w:gridCol w:w="1785"/>
        <w:gridCol w:w="5402"/>
        <w:gridCol w:w="6058"/>
      </w:tblGrid>
      <w:tr w:rsidR="00E45705" w:rsidRPr="00FC7F6A" w14:paraId="16726423"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gridSpan w:val="2"/>
            <w:vAlign w:val="top"/>
          </w:tcPr>
          <w:p w14:paraId="4CD41D07" w14:textId="77777777" w:rsidR="00E45705" w:rsidRPr="00FC7F6A" w:rsidRDefault="00E45705" w:rsidP="00E45705">
            <w:pPr>
              <w:spacing w:before="60" w:after="60"/>
              <w:ind w:left="142" w:right="142"/>
              <w:rPr>
                <w:rFonts w:asciiTheme="majorHAnsi" w:hAnsiTheme="majorHAnsi" w:cs="Arial"/>
                <w:b w:val="0"/>
                <w:color w:val="auto"/>
                <w:szCs w:val="18"/>
              </w:rPr>
            </w:pPr>
            <w:r w:rsidRPr="00FC7F6A">
              <w:rPr>
                <w:rFonts w:asciiTheme="majorHAnsi" w:hAnsiTheme="majorHAnsi" w:cs="Arial"/>
                <w:color w:val="auto"/>
                <w:szCs w:val="18"/>
              </w:rPr>
              <w:t>Question</w:t>
            </w:r>
          </w:p>
        </w:tc>
        <w:tc>
          <w:tcPr>
            <w:tcW w:w="5402" w:type="dxa"/>
            <w:vAlign w:val="top"/>
          </w:tcPr>
          <w:p w14:paraId="006A6E7D"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rial"/>
                <w:b/>
                <w:color w:val="auto"/>
                <w:szCs w:val="18"/>
              </w:rPr>
            </w:pPr>
            <w:r w:rsidRPr="00FC7F6A">
              <w:rPr>
                <w:rFonts w:asciiTheme="majorHAnsi" w:hAnsiTheme="majorHAnsi" w:cs="Arial"/>
                <w:b/>
                <w:color w:val="auto"/>
                <w:szCs w:val="18"/>
              </w:rPr>
              <w:t>Sub-questions</w:t>
            </w:r>
          </w:p>
        </w:tc>
        <w:tc>
          <w:tcPr>
            <w:tcW w:w="6058" w:type="dxa"/>
            <w:vAlign w:val="top"/>
          </w:tcPr>
          <w:p w14:paraId="0E1D55D4"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rial"/>
                <w:b/>
                <w:color w:val="auto"/>
                <w:szCs w:val="18"/>
              </w:rPr>
            </w:pPr>
            <w:r w:rsidRPr="00FC7F6A">
              <w:rPr>
                <w:rFonts w:asciiTheme="majorHAnsi" w:hAnsiTheme="majorHAnsi" w:cs="Arial"/>
                <w:b/>
                <w:color w:val="auto"/>
                <w:szCs w:val="18"/>
              </w:rPr>
              <w:t xml:space="preserve">Data sources </w:t>
            </w:r>
          </w:p>
        </w:tc>
      </w:tr>
      <w:tr w:rsidR="00E45705" w:rsidRPr="00FC7F6A" w14:paraId="4978CF6D" w14:textId="77777777" w:rsidTr="00E45705">
        <w:tc>
          <w:tcPr>
            <w:cnfStyle w:val="001000000000" w:firstRow="0" w:lastRow="0" w:firstColumn="1" w:lastColumn="0" w:oddVBand="0" w:evenVBand="0" w:oddHBand="0" w:evenHBand="0" w:firstRowFirstColumn="0" w:firstRowLastColumn="0" w:lastRowFirstColumn="0" w:lastRowLastColumn="0"/>
            <w:tcW w:w="13996" w:type="dxa"/>
            <w:gridSpan w:val="4"/>
            <w:vAlign w:val="top"/>
          </w:tcPr>
          <w:p w14:paraId="3D784195" w14:textId="77777777" w:rsidR="00E45705" w:rsidRPr="00FC7F6A" w:rsidRDefault="00E45705" w:rsidP="00E45705">
            <w:pPr>
              <w:tabs>
                <w:tab w:val="right" w:pos="8930"/>
              </w:tabs>
              <w:spacing w:before="60" w:after="60"/>
              <w:ind w:left="142"/>
              <w:rPr>
                <w:rFonts w:asciiTheme="majorHAnsi" w:hAnsiTheme="majorHAnsi" w:cs="Arial"/>
                <w:color w:val="auto"/>
                <w:szCs w:val="18"/>
              </w:rPr>
            </w:pPr>
            <w:r w:rsidRPr="00FC7F6A">
              <w:rPr>
                <w:rFonts w:asciiTheme="majorHAnsi" w:hAnsiTheme="majorHAnsi" w:cs="Arial"/>
                <w:bCs/>
                <w:color w:val="auto"/>
                <w:szCs w:val="18"/>
              </w:rPr>
              <w:t>What is happening?</w:t>
            </w:r>
          </w:p>
        </w:tc>
      </w:tr>
      <w:tr w:rsidR="00E45705" w:rsidRPr="00FC7F6A" w14:paraId="0A83CC06" w14:textId="77777777" w:rsidTr="00E45705">
        <w:trPr>
          <w:trHeight w:val="559"/>
        </w:trPr>
        <w:tc>
          <w:tcPr>
            <w:cnfStyle w:val="001000000000" w:firstRow="0" w:lastRow="0" w:firstColumn="1" w:lastColumn="0" w:oddVBand="0" w:evenVBand="0" w:oddHBand="0" w:evenHBand="0" w:firstRowFirstColumn="0" w:firstRowLastColumn="0" w:lastRowFirstColumn="0" w:lastRowLastColumn="0"/>
            <w:tcW w:w="751" w:type="dxa"/>
            <w:vAlign w:val="top"/>
          </w:tcPr>
          <w:p w14:paraId="3ABA661C"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1.1</w:t>
            </w:r>
          </w:p>
        </w:tc>
        <w:tc>
          <w:tcPr>
            <w:tcW w:w="1785" w:type="dxa"/>
            <w:vAlign w:val="top"/>
          </w:tcPr>
          <w:p w14:paraId="1BEC0E06"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Has the NP led to changes in activities directed toward participation, engagement, attainment and transition outcomes?</w:t>
            </w:r>
          </w:p>
          <w:p w14:paraId="49E2CB74" w14:textId="77777777" w:rsidR="00E45705" w:rsidRPr="00FC7F6A" w:rsidRDefault="00E45705" w:rsidP="00E45705">
            <w:pPr>
              <w:spacing w:before="60" w:after="60"/>
              <w:ind w:left="0"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szCs w:val="18"/>
              </w:rPr>
            </w:pPr>
          </w:p>
        </w:tc>
        <w:tc>
          <w:tcPr>
            <w:tcW w:w="5402" w:type="dxa"/>
            <w:vAlign w:val="top"/>
          </w:tcPr>
          <w:p w14:paraId="1CA401B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How have activities changed since the first year of the evaluation:</w:t>
            </w:r>
          </w:p>
          <w:p w14:paraId="5AE2F537"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At Commonwealth level?</w:t>
            </w:r>
          </w:p>
          <w:p w14:paraId="4FE6251B"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At State/Territory level?</w:t>
            </w:r>
          </w:p>
          <w:p w14:paraId="4B2A6CC0"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In non-government sector?</w:t>
            </w:r>
          </w:p>
          <w:p w14:paraId="359AE9D4"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For Indigenous young people?</w:t>
            </w:r>
          </w:p>
          <w:p w14:paraId="130928F5"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For young people at risk of not attaining a Year 12 qualification?</w:t>
            </w:r>
          </w:p>
        </w:tc>
        <w:tc>
          <w:tcPr>
            <w:tcW w:w="6058" w:type="dxa"/>
            <w:vAlign w:val="top"/>
          </w:tcPr>
          <w:p w14:paraId="617508A8"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Information request from DEEWR, MWG and non-government education authorities</w:t>
            </w:r>
          </w:p>
          <w:p w14:paraId="61DA0413"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Interviews with DEEWR, MWG, non-government representatives</w:t>
            </w:r>
          </w:p>
          <w:p w14:paraId="03DB2E17" w14:textId="77777777" w:rsidR="00E45705" w:rsidRPr="00FC7F6A" w:rsidRDefault="00E45705" w:rsidP="00E45705">
            <w:pPr>
              <w:tabs>
                <w:tab w:val="right" w:pos="8930"/>
              </w:tabs>
              <w:spacing w:before="60" w:after="60"/>
              <w:ind w:left="0"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p>
        </w:tc>
      </w:tr>
      <w:tr w:rsidR="00E45705" w:rsidRPr="00FC7F6A" w14:paraId="398A212F" w14:textId="77777777" w:rsidTr="00E45705">
        <w:tc>
          <w:tcPr>
            <w:cnfStyle w:val="001000000000" w:firstRow="0" w:lastRow="0" w:firstColumn="1" w:lastColumn="0" w:oddVBand="0" w:evenVBand="0" w:oddHBand="0" w:evenHBand="0" w:firstRowFirstColumn="0" w:firstRowLastColumn="0" w:lastRowFirstColumn="0" w:lastRowLastColumn="0"/>
            <w:tcW w:w="13996" w:type="dxa"/>
            <w:gridSpan w:val="4"/>
            <w:vAlign w:val="top"/>
          </w:tcPr>
          <w:p w14:paraId="7D36C756" w14:textId="77777777" w:rsidR="00E45705" w:rsidRPr="00FC7F6A" w:rsidRDefault="00E45705" w:rsidP="00E45705">
            <w:pPr>
              <w:tabs>
                <w:tab w:val="right" w:pos="8930"/>
              </w:tabs>
              <w:spacing w:before="60" w:after="60"/>
              <w:ind w:left="142"/>
              <w:rPr>
                <w:rFonts w:asciiTheme="majorHAnsi" w:hAnsiTheme="majorHAnsi" w:cs="Arial"/>
                <w:color w:val="FFFFFF" w:themeColor="background1"/>
                <w:szCs w:val="18"/>
              </w:rPr>
            </w:pPr>
            <w:r w:rsidRPr="00FC7F6A">
              <w:rPr>
                <w:rFonts w:asciiTheme="majorHAnsi" w:hAnsiTheme="majorHAnsi" w:cs="Arial"/>
                <w:bCs/>
                <w:color w:val="auto"/>
                <w:szCs w:val="18"/>
              </w:rPr>
              <w:t>Is it working?</w:t>
            </w:r>
          </w:p>
        </w:tc>
      </w:tr>
      <w:tr w:rsidR="00E45705" w:rsidRPr="00FC7F6A" w14:paraId="485FF431" w14:textId="77777777" w:rsidTr="00E45705">
        <w:trPr>
          <w:trHeight w:val="367"/>
        </w:trPr>
        <w:tc>
          <w:tcPr>
            <w:cnfStyle w:val="001000000000" w:firstRow="0" w:lastRow="0" w:firstColumn="1" w:lastColumn="0" w:oddVBand="0" w:evenVBand="0" w:oddHBand="0" w:evenHBand="0" w:firstRowFirstColumn="0" w:firstRowLastColumn="0" w:lastRowFirstColumn="0" w:lastRowLastColumn="0"/>
            <w:tcW w:w="751" w:type="dxa"/>
            <w:vMerge w:val="restart"/>
            <w:vAlign w:val="top"/>
          </w:tcPr>
          <w:p w14:paraId="0327D421"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1.2</w:t>
            </w:r>
          </w:p>
        </w:tc>
        <w:tc>
          <w:tcPr>
            <w:tcW w:w="1785" w:type="dxa"/>
            <w:vMerge w:val="restart"/>
            <w:vAlign w:val="top"/>
          </w:tcPr>
          <w:p w14:paraId="2A01B77A"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 xml:space="preserve">Has young people’s participation in education and training increased? </w:t>
            </w:r>
          </w:p>
          <w:p w14:paraId="1EE893B9"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p>
        </w:tc>
        <w:tc>
          <w:tcPr>
            <w:tcW w:w="5402" w:type="dxa"/>
            <w:vAlign w:val="top"/>
          </w:tcPr>
          <w:p w14:paraId="5B77E6DD"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there been measurable changes in the proportion of 15-24 year olds participating in secondary school including VET in Schools, VET sector and higher education increased?</w:t>
            </w:r>
          </w:p>
          <w:p w14:paraId="21E09124"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Explore changes across years by:</w:t>
            </w:r>
          </w:p>
          <w:p w14:paraId="3F2CD849"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Indigenous young people</w:t>
            </w:r>
          </w:p>
          <w:p w14:paraId="367249ED"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Age</w:t>
            </w:r>
          </w:p>
          <w:p w14:paraId="598AE808"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Gender</w:t>
            </w:r>
          </w:p>
          <w:p w14:paraId="40F45A11"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Qualification level</w:t>
            </w:r>
          </w:p>
        </w:tc>
        <w:tc>
          <w:tcPr>
            <w:tcW w:w="6058" w:type="dxa"/>
            <w:vAlign w:val="top"/>
          </w:tcPr>
          <w:p w14:paraId="79300BE0" w14:textId="77777777" w:rsidR="00E45705" w:rsidRPr="00FC7F6A" w:rsidRDefault="00E45705" w:rsidP="00E45705">
            <w:pPr>
              <w:tabs>
                <w:tab w:val="right" w:pos="8930"/>
              </w:tabs>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Data analysis</w:t>
            </w:r>
          </w:p>
          <w:p w14:paraId="43447813"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Labour Force Survey</w:t>
            </w:r>
          </w:p>
          <w:p w14:paraId="34BF59BA"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National School Statistics Collection</w:t>
            </w:r>
          </w:p>
          <w:p w14:paraId="2BE212D5"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National VET in Schools Collection</w:t>
            </w:r>
          </w:p>
          <w:p w14:paraId="1AF93C30"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National VET Provider Collection</w:t>
            </w:r>
          </w:p>
          <w:p w14:paraId="6686C9DD"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DEEWR Higher Education Statistics Collection</w:t>
            </w:r>
          </w:p>
          <w:p w14:paraId="5BFB079D" w14:textId="77777777" w:rsidR="00E45705" w:rsidRPr="00FC7F6A" w:rsidRDefault="00E45705" w:rsidP="00E45705">
            <w:pPr>
              <w:keepNext/>
              <w:spacing w:before="120"/>
              <w:ind w:left="0" w:right="142"/>
              <w:jc w:val="left"/>
              <w:outlineLvl w:val="3"/>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p>
        </w:tc>
      </w:tr>
      <w:tr w:rsidR="00E45705" w:rsidRPr="00FC7F6A" w14:paraId="128ABFDD" w14:textId="77777777" w:rsidTr="00E45705">
        <w:trPr>
          <w:trHeight w:val="350"/>
        </w:trPr>
        <w:tc>
          <w:tcPr>
            <w:cnfStyle w:val="001000000000" w:firstRow="0" w:lastRow="0" w:firstColumn="1" w:lastColumn="0" w:oddVBand="0" w:evenVBand="0" w:oddHBand="0" w:evenHBand="0" w:firstRowFirstColumn="0" w:firstRowLastColumn="0" w:lastRowFirstColumn="0" w:lastRowLastColumn="0"/>
            <w:tcW w:w="751" w:type="dxa"/>
            <w:vMerge/>
            <w:vAlign w:val="top"/>
          </w:tcPr>
          <w:p w14:paraId="2427D3B2" w14:textId="77777777" w:rsidR="00E45705" w:rsidRPr="00FC7F6A" w:rsidRDefault="00E45705" w:rsidP="00E45705">
            <w:pPr>
              <w:spacing w:before="60" w:after="60"/>
              <w:ind w:left="142" w:right="142"/>
              <w:rPr>
                <w:rFonts w:asciiTheme="majorHAnsi" w:hAnsiTheme="majorHAnsi" w:cs="Arial"/>
                <w:b w:val="0"/>
                <w:bCs/>
                <w:szCs w:val="18"/>
              </w:rPr>
            </w:pPr>
          </w:p>
        </w:tc>
        <w:tc>
          <w:tcPr>
            <w:tcW w:w="1785" w:type="dxa"/>
            <w:vMerge/>
            <w:vAlign w:val="top"/>
          </w:tcPr>
          <w:p w14:paraId="26F1099D"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p>
        </w:tc>
        <w:tc>
          <w:tcPr>
            <w:tcW w:w="5402" w:type="dxa"/>
            <w:vAlign w:val="top"/>
          </w:tcPr>
          <w:p w14:paraId="080A9D7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there been measurable changes in the proportion of young people aged 15-24 not engaged in employment, education or training?</w:t>
            </w:r>
          </w:p>
          <w:p w14:paraId="1A486289" w14:textId="77777777" w:rsidR="00E45705" w:rsidRPr="00FC7F6A" w:rsidRDefault="00E45705" w:rsidP="00E45705">
            <w:pPr>
              <w:spacing w:before="60" w:after="60"/>
              <w:ind w:left="0"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p>
        </w:tc>
        <w:tc>
          <w:tcPr>
            <w:tcW w:w="6058" w:type="dxa"/>
            <w:vAlign w:val="top"/>
          </w:tcPr>
          <w:p w14:paraId="65F8D5FE" w14:textId="77777777" w:rsidR="00E45705" w:rsidRPr="00FC7F6A" w:rsidRDefault="00E45705" w:rsidP="00E45705">
            <w:pPr>
              <w:tabs>
                <w:tab w:val="right" w:pos="8930"/>
              </w:tabs>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Data analysis</w:t>
            </w:r>
          </w:p>
          <w:p w14:paraId="16366245"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Labour Force Survey</w:t>
            </w:r>
          </w:p>
          <w:p w14:paraId="3F64A13F"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Survey of Education and Work</w:t>
            </w:r>
          </w:p>
        </w:tc>
      </w:tr>
      <w:tr w:rsidR="00E45705" w:rsidRPr="00FC7F6A" w14:paraId="3DC6D931" w14:textId="77777777" w:rsidTr="00E45705">
        <w:trPr>
          <w:trHeight w:val="350"/>
        </w:trPr>
        <w:tc>
          <w:tcPr>
            <w:cnfStyle w:val="001000000000" w:firstRow="0" w:lastRow="0" w:firstColumn="1" w:lastColumn="0" w:oddVBand="0" w:evenVBand="0" w:oddHBand="0" w:evenHBand="0" w:firstRowFirstColumn="0" w:firstRowLastColumn="0" w:lastRowFirstColumn="0" w:lastRowLastColumn="0"/>
            <w:tcW w:w="751" w:type="dxa"/>
            <w:vMerge/>
            <w:vAlign w:val="top"/>
          </w:tcPr>
          <w:p w14:paraId="6FEF29D2" w14:textId="77777777" w:rsidR="00E45705" w:rsidRPr="00FC7F6A" w:rsidRDefault="00E45705" w:rsidP="00E45705">
            <w:pPr>
              <w:spacing w:before="60" w:after="60"/>
              <w:ind w:left="142" w:right="142"/>
              <w:rPr>
                <w:rFonts w:asciiTheme="majorHAnsi" w:hAnsiTheme="majorHAnsi" w:cs="Arial"/>
                <w:b w:val="0"/>
                <w:bCs/>
                <w:szCs w:val="18"/>
              </w:rPr>
            </w:pPr>
          </w:p>
        </w:tc>
        <w:tc>
          <w:tcPr>
            <w:tcW w:w="1785" w:type="dxa"/>
            <w:vMerge/>
            <w:vAlign w:val="top"/>
          </w:tcPr>
          <w:p w14:paraId="45244165"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p>
        </w:tc>
        <w:tc>
          <w:tcPr>
            <w:tcW w:w="5402" w:type="dxa"/>
            <w:vAlign w:val="top"/>
          </w:tcPr>
          <w:p w14:paraId="1AED8CF2"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What other factors may have influenced participation outcomes?</w:t>
            </w:r>
          </w:p>
        </w:tc>
        <w:tc>
          <w:tcPr>
            <w:tcW w:w="6058" w:type="dxa"/>
            <w:vAlign w:val="top"/>
          </w:tcPr>
          <w:p w14:paraId="2644DDCF"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Research reports regarding YAT outcomes, measurement and influencing factors</w:t>
            </w:r>
          </w:p>
          <w:p w14:paraId="3AFE0306"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Interviews with DEEWR, MWG, non-government representatives and other sector representatives</w:t>
            </w:r>
          </w:p>
        </w:tc>
      </w:tr>
      <w:tr w:rsidR="00E45705" w:rsidRPr="00FC7F6A" w14:paraId="165699F1" w14:textId="77777777" w:rsidTr="00E45705">
        <w:tc>
          <w:tcPr>
            <w:cnfStyle w:val="001000000000" w:firstRow="0" w:lastRow="0" w:firstColumn="1" w:lastColumn="0" w:oddVBand="0" w:evenVBand="0" w:oddHBand="0" w:evenHBand="0" w:firstRowFirstColumn="0" w:firstRowLastColumn="0" w:lastRowFirstColumn="0" w:lastRowLastColumn="0"/>
            <w:tcW w:w="751" w:type="dxa"/>
            <w:vMerge w:val="restart"/>
            <w:vAlign w:val="top"/>
          </w:tcPr>
          <w:p w14:paraId="108708BE"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1.3</w:t>
            </w:r>
          </w:p>
        </w:tc>
        <w:tc>
          <w:tcPr>
            <w:tcW w:w="1785" w:type="dxa"/>
            <w:vMerge w:val="restart"/>
            <w:vAlign w:val="top"/>
          </w:tcPr>
          <w:p w14:paraId="27670FA1"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Has young people’s attainment of Year 12 or equivalent qualifications increased?</w:t>
            </w:r>
          </w:p>
        </w:tc>
        <w:tc>
          <w:tcPr>
            <w:tcW w:w="5402" w:type="dxa"/>
            <w:vAlign w:val="top"/>
          </w:tcPr>
          <w:p w14:paraId="37CF6C94" w14:textId="77777777" w:rsidR="00E45705" w:rsidRPr="00FC7F6A" w:rsidRDefault="00E45705" w:rsidP="00FC7F6A">
            <w:pPr>
              <w:numPr>
                <w:ilvl w:val="0"/>
                <w:numId w:val="29"/>
              </w:numPr>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FC7F6A">
              <w:rPr>
                <w:rFonts w:asciiTheme="majorHAnsi" w:hAnsiTheme="majorHAnsi" w:cs="Arial"/>
                <w:bCs/>
                <w:szCs w:val="18"/>
              </w:rPr>
              <w:t>Have there been measurable changes in the number of young people attaining Year 12 or equivalent qualifications?</w:t>
            </w:r>
          </w:p>
          <w:p w14:paraId="2B85427B" w14:textId="77777777" w:rsidR="00E45705" w:rsidRPr="00FC7F6A" w:rsidRDefault="00E45705" w:rsidP="00FC7F6A">
            <w:pPr>
              <w:numPr>
                <w:ilvl w:val="0"/>
                <w:numId w:val="29"/>
              </w:numPr>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FC7F6A">
              <w:rPr>
                <w:rFonts w:asciiTheme="majorHAnsi" w:hAnsiTheme="majorHAnsi" w:cs="Arial"/>
                <w:bCs/>
                <w:szCs w:val="18"/>
              </w:rPr>
              <w:t>Explore across years by:</w:t>
            </w:r>
          </w:p>
          <w:p w14:paraId="325444EC" w14:textId="77777777" w:rsidR="00E45705" w:rsidRPr="00FC7F6A" w:rsidRDefault="00E45705" w:rsidP="00FC7F6A">
            <w:pPr>
              <w:numPr>
                <w:ilvl w:val="1"/>
                <w:numId w:val="29"/>
              </w:numPr>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FC7F6A">
              <w:rPr>
                <w:rFonts w:asciiTheme="majorHAnsi" w:hAnsiTheme="majorHAnsi" w:cs="Arial"/>
                <w:bCs/>
                <w:szCs w:val="18"/>
              </w:rPr>
              <w:t>Age</w:t>
            </w:r>
          </w:p>
          <w:p w14:paraId="65E4DC36" w14:textId="77777777" w:rsidR="00E45705" w:rsidRPr="00FC7F6A" w:rsidRDefault="00E45705" w:rsidP="00FC7F6A">
            <w:pPr>
              <w:numPr>
                <w:ilvl w:val="1"/>
                <w:numId w:val="29"/>
              </w:numPr>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FC7F6A">
              <w:rPr>
                <w:rFonts w:asciiTheme="majorHAnsi" w:hAnsiTheme="majorHAnsi" w:cs="Arial"/>
                <w:bCs/>
                <w:szCs w:val="18"/>
              </w:rPr>
              <w:t>Indigenous status</w:t>
            </w:r>
          </w:p>
          <w:p w14:paraId="17E0F297" w14:textId="77777777" w:rsidR="00E45705" w:rsidRPr="00FC7F6A" w:rsidRDefault="00E45705" w:rsidP="00FC7F6A">
            <w:pPr>
              <w:numPr>
                <w:ilvl w:val="1"/>
                <w:numId w:val="29"/>
              </w:numPr>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FC7F6A">
              <w:rPr>
                <w:rFonts w:asciiTheme="majorHAnsi" w:hAnsiTheme="majorHAnsi" w:cs="Arial"/>
                <w:bCs/>
                <w:szCs w:val="18"/>
              </w:rPr>
              <w:t>Disability</w:t>
            </w:r>
            <w:r w:rsidRPr="00FC7F6A">
              <w:rPr>
                <w:rFonts w:asciiTheme="majorHAnsi" w:hAnsiTheme="majorHAnsi" w:cs="Arial"/>
                <w:bCs/>
                <w:szCs w:val="18"/>
                <w:u w:val="single"/>
              </w:rPr>
              <w:t xml:space="preserve"> </w:t>
            </w:r>
          </w:p>
        </w:tc>
        <w:tc>
          <w:tcPr>
            <w:tcW w:w="6058" w:type="dxa"/>
            <w:vAlign w:val="top"/>
          </w:tcPr>
          <w:p w14:paraId="2BC73EB5" w14:textId="77777777" w:rsidR="00E45705" w:rsidRPr="00FC7F6A" w:rsidRDefault="00E45705" w:rsidP="00E45705">
            <w:pPr>
              <w:tabs>
                <w:tab w:val="right" w:pos="8930"/>
              </w:tabs>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Data analysis</w:t>
            </w:r>
          </w:p>
          <w:p w14:paraId="15BD73E8"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Survey of Education and Work</w:t>
            </w:r>
          </w:p>
          <w:p w14:paraId="20145011"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National School Statistics Collection</w:t>
            </w:r>
          </w:p>
          <w:p w14:paraId="46506C46" w14:textId="77777777" w:rsidR="00E45705" w:rsidRPr="00FC7F6A" w:rsidRDefault="00E45705" w:rsidP="00E45705">
            <w:pPr>
              <w:spacing w:before="60" w:after="60"/>
              <w:ind w:left="0"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p>
        </w:tc>
      </w:tr>
      <w:tr w:rsidR="00E45705" w:rsidRPr="00FC7F6A" w14:paraId="7AFF47BB" w14:textId="77777777" w:rsidTr="00E45705">
        <w:tc>
          <w:tcPr>
            <w:cnfStyle w:val="001000000000" w:firstRow="0" w:lastRow="0" w:firstColumn="1" w:lastColumn="0" w:oddVBand="0" w:evenVBand="0" w:oddHBand="0" w:evenHBand="0" w:firstRowFirstColumn="0" w:firstRowLastColumn="0" w:lastRowFirstColumn="0" w:lastRowLastColumn="0"/>
            <w:tcW w:w="751" w:type="dxa"/>
            <w:vMerge/>
            <w:vAlign w:val="top"/>
          </w:tcPr>
          <w:p w14:paraId="135C643B" w14:textId="77777777" w:rsidR="00E45705" w:rsidRPr="00FC7F6A" w:rsidRDefault="00E45705" w:rsidP="00E45705">
            <w:pPr>
              <w:spacing w:before="60" w:after="60"/>
              <w:ind w:left="142" w:right="142"/>
              <w:rPr>
                <w:rFonts w:asciiTheme="majorHAnsi" w:hAnsiTheme="majorHAnsi" w:cs="Arial"/>
                <w:b w:val="0"/>
                <w:bCs/>
                <w:szCs w:val="18"/>
              </w:rPr>
            </w:pPr>
          </w:p>
        </w:tc>
        <w:tc>
          <w:tcPr>
            <w:tcW w:w="1785" w:type="dxa"/>
            <w:vMerge/>
            <w:vAlign w:val="top"/>
          </w:tcPr>
          <w:p w14:paraId="5A7DEF51"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p>
        </w:tc>
        <w:tc>
          <w:tcPr>
            <w:tcW w:w="5402" w:type="dxa"/>
            <w:vAlign w:val="top"/>
          </w:tcPr>
          <w:p w14:paraId="2C52E5FF"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What other factors may have influenced attainment outcomes?</w:t>
            </w:r>
          </w:p>
        </w:tc>
        <w:tc>
          <w:tcPr>
            <w:tcW w:w="6058" w:type="dxa"/>
            <w:vAlign w:val="top"/>
          </w:tcPr>
          <w:p w14:paraId="034E2CE0"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Research reports regarding YAT outcomes, measurement and influencing factors</w:t>
            </w:r>
          </w:p>
          <w:p w14:paraId="691C3A8E"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18"/>
                <w:szCs w:val="18"/>
              </w:rPr>
            </w:pPr>
            <w:r w:rsidRPr="00FC7F6A">
              <w:rPr>
                <w:rFonts w:asciiTheme="majorHAnsi" w:hAnsiTheme="majorHAnsi" w:cs="Arial"/>
                <w:sz w:val="18"/>
                <w:szCs w:val="18"/>
              </w:rPr>
              <w:t>Interviews with DEEWR, MWG, non-government representatives and other sector representatives</w:t>
            </w:r>
          </w:p>
        </w:tc>
      </w:tr>
      <w:tr w:rsidR="00E45705" w:rsidRPr="00FC7F6A" w14:paraId="00CC281C" w14:textId="77777777" w:rsidTr="00E45705">
        <w:tc>
          <w:tcPr>
            <w:cnfStyle w:val="001000000000" w:firstRow="0" w:lastRow="0" w:firstColumn="1" w:lastColumn="0" w:oddVBand="0" w:evenVBand="0" w:oddHBand="0" w:evenHBand="0" w:firstRowFirstColumn="0" w:firstRowLastColumn="0" w:lastRowFirstColumn="0" w:lastRowLastColumn="0"/>
            <w:tcW w:w="751" w:type="dxa"/>
            <w:vMerge w:val="restart"/>
            <w:vAlign w:val="top"/>
          </w:tcPr>
          <w:p w14:paraId="2E6FC23A"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1.4</w:t>
            </w:r>
          </w:p>
        </w:tc>
        <w:tc>
          <w:tcPr>
            <w:tcW w:w="1785" w:type="dxa"/>
            <w:vMerge w:val="restart"/>
            <w:vAlign w:val="top"/>
          </w:tcPr>
          <w:p w14:paraId="107AF720"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Are more young people making successful transitions from school?</w:t>
            </w:r>
          </w:p>
        </w:tc>
        <w:tc>
          <w:tcPr>
            <w:tcW w:w="5402" w:type="dxa"/>
            <w:vAlign w:val="top"/>
          </w:tcPr>
          <w:p w14:paraId="5867481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 xml:space="preserve">Have there been measurable changes in </w:t>
            </w:r>
            <w:r w:rsidRPr="00FC7F6A">
              <w:rPr>
                <w:rFonts w:asciiTheme="majorHAnsi" w:hAnsiTheme="majorHAnsi" w:cs="Arial"/>
                <w:szCs w:val="18"/>
              </w:rPr>
              <w:t>the number of young people aged 15</w:t>
            </w:r>
            <w:r w:rsidRPr="00FC7F6A">
              <w:rPr>
                <w:rFonts w:ascii="Menlo Regular" w:hAnsi="Menlo Regular" w:cs="Menlo Regular"/>
                <w:szCs w:val="18"/>
              </w:rPr>
              <w:t>‐</w:t>
            </w:r>
            <w:r w:rsidRPr="00FC7F6A">
              <w:rPr>
                <w:rFonts w:asciiTheme="majorHAnsi" w:hAnsiTheme="majorHAnsi" w:cs="Arial"/>
                <w:szCs w:val="18"/>
              </w:rPr>
              <w:t>24 participating in post-school education, training or employment after leaving school?  Areas to explore could include:</w:t>
            </w:r>
          </w:p>
          <w:p w14:paraId="0D4650F0"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 xml:space="preserve">How does the immediate school leaver group compare with the entire age cohort? </w:t>
            </w:r>
          </w:p>
        </w:tc>
        <w:tc>
          <w:tcPr>
            <w:tcW w:w="6058" w:type="dxa"/>
            <w:vAlign w:val="top"/>
          </w:tcPr>
          <w:p w14:paraId="5D9BB6D7" w14:textId="77777777" w:rsidR="00E45705" w:rsidRPr="00FC7F6A" w:rsidRDefault="00E45705" w:rsidP="00E45705">
            <w:pPr>
              <w:tabs>
                <w:tab w:val="right" w:pos="8930"/>
              </w:tabs>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Data analysis</w:t>
            </w:r>
          </w:p>
          <w:p w14:paraId="39C24407" w14:textId="77777777" w:rsidR="00E45705" w:rsidRPr="00FC7F6A" w:rsidRDefault="00E45705" w:rsidP="00FC7F6A">
            <w:pPr>
              <w:pStyle w:val="ListParagraph"/>
              <w:numPr>
                <w:ilvl w:val="0"/>
                <w:numId w:val="34"/>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Survey of Education and Work</w:t>
            </w:r>
          </w:p>
          <w:p w14:paraId="6CB885ED" w14:textId="77777777" w:rsidR="00E45705" w:rsidRPr="00FC7F6A" w:rsidRDefault="00E45705" w:rsidP="00FC7F6A">
            <w:pPr>
              <w:pStyle w:val="ListParagraph"/>
              <w:numPr>
                <w:ilvl w:val="0"/>
                <w:numId w:val="34"/>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Labour Force Survey</w:t>
            </w:r>
          </w:p>
          <w:p w14:paraId="7DF6B693" w14:textId="77777777" w:rsidR="00E45705" w:rsidRPr="00FC7F6A" w:rsidRDefault="00E45705" w:rsidP="00FC7F6A">
            <w:pPr>
              <w:pStyle w:val="ListParagraph"/>
              <w:numPr>
                <w:ilvl w:val="0"/>
                <w:numId w:val="34"/>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AG Reform Council, COAG Reform Council</w:t>
            </w:r>
          </w:p>
          <w:p w14:paraId="7CC731BD" w14:textId="77777777" w:rsidR="00E45705" w:rsidRPr="00FC7F6A" w:rsidRDefault="00E45705" w:rsidP="00E45705">
            <w:pPr>
              <w:tabs>
                <w:tab w:val="right" w:pos="8930"/>
              </w:tabs>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p>
        </w:tc>
      </w:tr>
      <w:tr w:rsidR="00E45705" w:rsidRPr="00FC7F6A" w14:paraId="31A5BB5A" w14:textId="77777777" w:rsidTr="00E45705">
        <w:tc>
          <w:tcPr>
            <w:cnfStyle w:val="001000000000" w:firstRow="0" w:lastRow="0" w:firstColumn="1" w:lastColumn="0" w:oddVBand="0" w:evenVBand="0" w:oddHBand="0" w:evenHBand="0" w:firstRowFirstColumn="0" w:firstRowLastColumn="0" w:lastRowFirstColumn="0" w:lastRowLastColumn="0"/>
            <w:tcW w:w="751" w:type="dxa"/>
            <w:vMerge/>
            <w:vAlign w:val="top"/>
          </w:tcPr>
          <w:p w14:paraId="332B64CF" w14:textId="77777777" w:rsidR="00E45705" w:rsidRPr="00FC7F6A" w:rsidRDefault="00E45705" w:rsidP="00E45705">
            <w:pPr>
              <w:spacing w:before="60" w:after="60"/>
              <w:ind w:left="142" w:right="142"/>
              <w:rPr>
                <w:rFonts w:asciiTheme="majorHAnsi" w:hAnsiTheme="majorHAnsi" w:cs="Arial"/>
                <w:bCs/>
                <w:szCs w:val="18"/>
              </w:rPr>
            </w:pPr>
          </w:p>
        </w:tc>
        <w:tc>
          <w:tcPr>
            <w:tcW w:w="1785" w:type="dxa"/>
            <w:vMerge/>
            <w:vAlign w:val="top"/>
          </w:tcPr>
          <w:p w14:paraId="22C71A3E"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p>
        </w:tc>
        <w:tc>
          <w:tcPr>
            <w:tcW w:w="5402" w:type="dxa"/>
            <w:vAlign w:val="top"/>
          </w:tcPr>
          <w:p w14:paraId="4B466E9D"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szCs w:val="18"/>
              </w:rPr>
              <w:t>Have</w:t>
            </w:r>
            <w:r w:rsidRPr="00FC7F6A">
              <w:rPr>
                <w:rFonts w:asciiTheme="majorHAnsi" w:hAnsiTheme="majorHAnsi" w:cs="Arial"/>
                <w:bCs/>
                <w:szCs w:val="18"/>
              </w:rPr>
              <w:t xml:space="preserve"> patterns of labour force participation changed since the introduction of the NP among 15-24 year olds?</w:t>
            </w:r>
          </w:p>
          <w:p w14:paraId="680E5410"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there been changes to the number and proportion of young people not in employment, education or training?</w:t>
            </w:r>
          </w:p>
          <w:p w14:paraId="08BBD5DD"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What are the characteristics of disengaged young people?</w:t>
            </w:r>
          </w:p>
          <w:p w14:paraId="29082FEA"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What are young people doing if they are not engaged in employment, education or training?</w:t>
            </w:r>
          </w:p>
          <w:p w14:paraId="3A22F96D"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patterns of post-school employment changed?</w:t>
            </w:r>
          </w:p>
        </w:tc>
        <w:tc>
          <w:tcPr>
            <w:tcW w:w="6058" w:type="dxa"/>
            <w:vAlign w:val="top"/>
          </w:tcPr>
          <w:p w14:paraId="6AC7A722" w14:textId="77777777" w:rsidR="00E45705" w:rsidRPr="00FC7F6A" w:rsidRDefault="00E45705" w:rsidP="00E45705">
            <w:pPr>
              <w:tabs>
                <w:tab w:val="right" w:pos="8930"/>
              </w:tabs>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Data analysis</w:t>
            </w:r>
          </w:p>
          <w:p w14:paraId="0863A9B5" w14:textId="77777777" w:rsidR="00E45705" w:rsidRPr="00FC7F6A" w:rsidRDefault="00E45705" w:rsidP="00FC7F6A">
            <w:pPr>
              <w:pStyle w:val="ListParagraph"/>
              <w:numPr>
                <w:ilvl w:val="0"/>
                <w:numId w:val="34"/>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Survey of Education and Work</w:t>
            </w:r>
          </w:p>
          <w:p w14:paraId="72723D06" w14:textId="77777777" w:rsidR="00E45705" w:rsidRPr="00FC7F6A" w:rsidRDefault="00E45705" w:rsidP="00FC7F6A">
            <w:pPr>
              <w:pStyle w:val="ListParagraph"/>
              <w:numPr>
                <w:ilvl w:val="0"/>
                <w:numId w:val="34"/>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Labour Force Survey</w:t>
            </w:r>
          </w:p>
          <w:p w14:paraId="239BF8D5" w14:textId="77777777" w:rsidR="00E45705" w:rsidRPr="00FC7F6A" w:rsidRDefault="00E45705" w:rsidP="00E45705">
            <w:pPr>
              <w:tabs>
                <w:tab w:val="right" w:pos="8930"/>
              </w:tabs>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i/>
                <w:szCs w:val="18"/>
              </w:rPr>
            </w:pPr>
          </w:p>
        </w:tc>
      </w:tr>
      <w:tr w:rsidR="00E45705" w:rsidRPr="00FC7F6A" w14:paraId="0637DCE7" w14:textId="77777777" w:rsidTr="00E45705">
        <w:tc>
          <w:tcPr>
            <w:cnfStyle w:val="001000000000" w:firstRow="0" w:lastRow="0" w:firstColumn="1" w:lastColumn="0" w:oddVBand="0" w:evenVBand="0" w:oddHBand="0" w:evenHBand="0" w:firstRowFirstColumn="0" w:firstRowLastColumn="0" w:lastRowFirstColumn="0" w:lastRowLastColumn="0"/>
            <w:tcW w:w="751" w:type="dxa"/>
            <w:vMerge/>
            <w:vAlign w:val="top"/>
          </w:tcPr>
          <w:p w14:paraId="3E113979" w14:textId="77777777" w:rsidR="00E45705" w:rsidRPr="00FC7F6A" w:rsidRDefault="00E45705" w:rsidP="00E45705">
            <w:pPr>
              <w:spacing w:before="60" w:after="60"/>
              <w:ind w:left="142" w:right="142"/>
              <w:rPr>
                <w:rFonts w:asciiTheme="majorHAnsi" w:hAnsiTheme="majorHAnsi" w:cs="Arial"/>
                <w:bCs/>
                <w:szCs w:val="18"/>
              </w:rPr>
            </w:pPr>
          </w:p>
        </w:tc>
        <w:tc>
          <w:tcPr>
            <w:tcW w:w="1785" w:type="dxa"/>
            <w:vMerge/>
            <w:vAlign w:val="top"/>
          </w:tcPr>
          <w:p w14:paraId="35D69F44"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p>
        </w:tc>
        <w:tc>
          <w:tcPr>
            <w:tcW w:w="5402" w:type="dxa"/>
            <w:vAlign w:val="top"/>
          </w:tcPr>
          <w:p w14:paraId="05A8B20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What other factors may have influenced transition outcomes?</w:t>
            </w:r>
          </w:p>
        </w:tc>
        <w:tc>
          <w:tcPr>
            <w:tcW w:w="6058" w:type="dxa"/>
            <w:vAlign w:val="top"/>
          </w:tcPr>
          <w:p w14:paraId="33C32EA2"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Research reports regarding YAT outcomes, measurement and influencing factors</w:t>
            </w:r>
          </w:p>
          <w:p w14:paraId="61E0C023"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Interviews with DEEWR, MWG, non-government representatives and other sector representatives</w:t>
            </w:r>
          </w:p>
        </w:tc>
      </w:tr>
      <w:tr w:rsidR="00E45705" w:rsidRPr="00FC7F6A" w14:paraId="3CF38E32" w14:textId="77777777" w:rsidTr="00E45705">
        <w:tc>
          <w:tcPr>
            <w:cnfStyle w:val="001000000000" w:firstRow="0" w:lastRow="0" w:firstColumn="1" w:lastColumn="0" w:oddVBand="0" w:evenVBand="0" w:oddHBand="0" w:evenHBand="0" w:firstRowFirstColumn="0" w:firstRowLastColumn="0" w:lastRowFirstColumn="0" w:lastRowLastColumn="0"/>
            <w:tcW w:w="751" w:type="dxa"/>
            <w:vAlign w:val="top"/>
          </w:tcPr>
          <w:p w14:paraId="282249C2"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1.5</w:t>
            </w:r>
          </w:p>
        </w:tc>
        <w:tc>
          <w:tcPr>
            <w:tcW w:w="1785" w:type="dxa"/>
            <w:vAlign w:val="top"/>
          </w:tcPr>
          <w:p w14:paraId="46746806"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What’s working well? Why?</w:t>
            </w:r>
          </w:p>
          <w:p w14:paraId="7AC79221"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What could work better? How?</w:t>
            </w:r>
          </w:p>
        </w:tc>
        <w:tc>
          <w:tcPr>
            <w:tcW w:w="5402" w:type="dxa"/>
            <w:vAlign w:val="top"/>
          </w:tcPr>
          <w:p w14:paraId="553E0807"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there been any changes since the year one evaluation in terms of:</w:t>
            </w:r>
          </w:p>
          <w:p w14:paraId="47C6E11D"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the most beneficial aspects of the NP?</w:t>
            </w:r>
          </w:p>
          <w:p w14:paraId="33B6F6F1"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 xml:space="preserve">unintended outcomes or other benefits? </w:t>
            </w:r>
          </w:p>
          <w:p w14:paraId="0D2C5A7D"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bCs/>
                <w:szCs w:val="18"/>
              </w:rPr>
              <w:t>critical success factors?</w:t>
            </w:r>
          </w:p>
          <w:p w14:paraId="79982634"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bCs/>
                <w:szCs w:val="18"/>
              </w:rPr>
              <w:lastRenderedPageBreak/>
              <w:t>major barriers to achieving desired outcomes?</w:t>
            </w:r>
          </w:p>
          <w:p w14:paraId="5CFE8CF4"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bCs/>
                <w:szCs w:val="18"/>
              </w:rPr>
              <w:t>what can be done to address the barriers?</w:t>
            </w:r>
          </w:p>
          <w:p w14:paraId="2C72546B"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bCs/>
                <w:szCs w:val="18"/>
              </w:rPr>
              <w:t>Has the impact of the NP been greater than the sum of its parts?</w:t>
            </w:r>
          </w:p>
          <w:p w14:paraId="391D564D"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How well have the elements of the NP worked together?</w:t>
            </w:r>
          </w:p>
          <w:p w14:paraId="3584A21D"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Has the NP been a catalyst for beneficial changes beyond the elements?</w:t>
            </w:r>
          </w:p>
          <w:p w14:paraId="3C4BF9B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szCs w:val="18"/>
              </w:rPr>
              <w:t>What would be lost if the elements were still undertaken but not within the framework of a NP?</w:t>
            </w:r>
          </w:p>
          <w:p w14:paraId="49B7D0C0"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szCs w:val="18"/>
              </w:rPr>
              <w:t>Has the NP and its elements been implemented according to plan and achieved planned outcomes?</w:t>
            </w:r>
          </w:p>
        </w:tc>
        <w:tc>
          <w:tcPr>
            <w:tcW w:w="6058" w:type="dxa"/>
            <w:vAlign w:val="top"/>
          </w:tcPr>
          <w:p w14:paraId="2BD0257A"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lastRenderedPageBreak/>
              <w:t>Information request from DEEWR, MWG and non-government education authorities</w:t>
            </w:r>
          </w:p>
          <w:p w14:paraId="6B3A76FC"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 xml:space="preserve">Interviews with DEEWR, MWG, non-government representatives and other sector representatives </w:t>
            </w:r>
          </w:p>
        </w:tc>
      </w:tr>
      <w:tr w:rsidR="00E45705" w:rsidRPr="00FC7F6A" w14:paraId="100516E8" w14:textId="77777777" w:rsidTr="00E45705">
        <w:tc>
          <w:tcPr>
            <w:cnfStyle w:val="001000000000" w:firstRow="0" w:lastRow="0" w:firstColumn="1" w:lastColumn="0" w:oddVBand="0" w:evenVBand="0" w:oddHBand="0" w:evenHBand="0" w:firstRowFirstColumn="0" w:firstRowLastColumn="0" w:lastRowFirstColumn="0" w:lastRowLastColumn="0"/>
            <w:tcW w:w="13996" w:type="dxa"/>
            <w:gridSpan w:val="4"/>
            <w:vAlign w:val="top"/>
          </w:tcPr>
          <w:p w14:paraId="66A2D653" w14:textId="77777777" w:rsidR="00E45705" w:rsidRPr="00FC7F6A" w:rsidRDefault="00E45705" w:rsidP="00E45705">
            <w:pPr>
              <w:tabs>
                <w:tab w:val="right" w:pos="8930"/>
              </w:tabs>
              <w:spacing w:before="60" w:after="60"/>
              <w:ind w:left="142"/>
              <w:rPr>
                <w:rFonts w:asciiTheme="majorHAnsi" w:hAnsiTheme="majorHAnsi" w:cs="Arial"/>
                <w:color w:val="auto"/>
                <w:szCs w:val="18"/>
              </w:rPr>
            </w:pPr>
            <w:r w:rsidRPr="00FC7F6A">
              <w:rPr>
                <w:rFonts w:asciiTheme="majorHAnsi" w:hAnsiTheme="majorHAnsi" w:cs="Arial"/>
                <w:bCs/>
                <w:color w:val="auto"/>
                <w:szCs w:val="18"/>
              </w:rPr>
              <w:lastRenderedPageBreak/>
              <w:t>Is it appropriate?</w:t>
            </w:r>
          </w:p>
        </w:tc>
      </w:tr>
      <w:tr w:rsidR="00E45705" w:rsidRPr="00FC7F6A" w14:paraId="3977BCEF" w14:textId="77777777" w:rsidTr="00E45705">
        <w:tc>
          <w:tcPr>
            <w:cnfStyle w:val="001000000000" w:firstRow="0" w:lastRow="0" w:firstColumn="1" w:lastColumn="0" w:oddVBand="0" w:evenVBand="0" w:oddHBand="0" w:evenHBand="0" w:firstRowFirstColumn="0" w:firstRowLastColumn="0" w:lastRowFirstColumn="0" w:lastRowLastColumn="0"/>
            <w:tcW w:w="751" w:type="dxa"/>
            <w:vAlign w:val="top"/>
          </w:tcPr>
          <w:p w14:paraId="2E4C7336"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1.6</w:t>
            </w:r>
          </w:p>
        </w:tc>
        <w:tc>
          <w:tcPr>
            <w:tcW w:w="1785" w:type="dxa"/>
            <w:vAlign w:val="top"/>
          </w:tcPr>
          <w:p w14:paraId="45ECA98C"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Is the NP consistent with overarching policy objectives?</w:t>
            </w:r>
          </w:p>
        </w:tc>
        <w:tc>
          <w:tcPr>
            <w:tcW w:w="5402" w:type="dxa"/>
            <w:vAlign w:val="top"/>
          </w:tcPr>
          <w:p w14:paraId="23312BEA" w14:textId="77777777" w:rsidR="00E45705" w:rsidRPr="00FC7F6A" w:rsidRDefault="00E45705" w:rsidP="00FC7F6A">
            <w:pPr>
              <w:numPr>
                <w:ilvl w:val="0"/>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there been any changes since the year one evaluation in terms of:</w:t>
            </w:r>
          </w:p>
          <w:p w14:paraId="306E717F" w14:textId="77777777" w:rsidR="00E45705" w:rsidRPr="00FC7F6A" w:rsidRDefault="00E45705" w:rsidP="00FC7F6A">
            <w:pPr>
              <w:pStyle w:val="ListParagraph"/>
              <w:numPr>
                <w:ilvl w:val="1"/>
                <w:numId w:val="30"/>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Translation of Commonwealth and state/territory policy objectives into NP objectives and priorities?</w:t>
            </w:r>
          </w:p>
          <w:p w14:paraId="1804E58A" w14:textId="77777777" w:rsidR="00E45705" w:rsidRPr="00FC7F6A" w:rsidRDefault="00E45705" w:rsidP="00FC7F6A">
            <w:pPr>
              <w:pStyle w:val="ListParagraph"/>
              <w:numPr>
                <w:ilvl w:val="1"/>
                <w:numId w:val="30"/>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Inconsistencies or gaps?</w:t>
            </w:r>
          </w:p>
        </w:tc>
        <w:tc>
          <w:tcPr>
            <w:tcW w:w="6058" w:type="dxa"/>
            <w:vAlign w:val="top"/>
          </w:tcPr>
          <w:p w14:paraId="0EE68ECA"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Information request from DEEWR, MWG and non-government education authorities</w:t>
            </w:r>
          </w:p>
          <w:p w14:paraId="3E00A2F1" w14:textId="77777777" w:rsidR="00E45705" w:rsidRPr="00FC7F6A" w:rsidRDefault="00E45705" w:rsidP="00E45705">
            <w:pPr>
              <w:tabs>
                <w:tab w:val="right" w:pos="8930"/>
              </w:tabs>
              <w:spacing w:before="60" w:after="60"/>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p>
        </w:tc>
      </w:tr>
      <w:tr w:rsidR="00E45705" w:rsidRPr="00FC7F6A" w14:paraId="0FFBC500" w14:textId="77777777" w:rsidTr="00E45705">
        <w:tc>
          <w:tcPr>
            <w:cnfStyle w:val="001000000000" w:firstRow="0" w:lastRow="0" w:firstColumn="1" w:lastColumn="0" w:oddVBand="0" w:evenVBand="0" w:oddHBand="0" w:evenHBand="0" w:firstRowFirstColumn="0" w:firstRowLastColumn="0" w:lastRowFirstColumn="0" w:lastRowLastColumn="0"/>
            <w:tcW w:w="751" w:type="dxa"/>
            <w:vAlign w:val="top"/>
          </w:tcPr>
          <w:p w14:paraId="4197FE4E"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1.7</w:t>
            </w:r>
          </w:p>
        </w:tc>
        <w:tc>
          <w:tcPr>
            <w:tcW w:w="1785" w:type="dxa"/>
            <w:vAlign w:val="top"/>
          </w:tcPr>
          <w:p w14:paraId="7F03DC3C"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highlight w:val="yellow"/>
              </w:rPr>
            </w:pPr>
            <w:r w:rsidRPr="00FC7F6A">
              <w:rPr>
                <w:rFonts w:asciiTheme="majorHAnsi" w:hAnsiTheme="majorHAnsi" w:cs="Arial"/>
                <w:b/>
                <w:bCs/>
                <w:szCs w:val="18"/>
              </w:rPr>
              <w:t>Does the NP address areas of need?</w:t>
            </w:r>
          </w:p>
        </w:tc>
        <w:tc>
          <w:tcPr>
            <w:tcW w:w="5402" w:type="dxa"/>
            <w:vAlign w:val="top"/>
          </w:tcPr>
          <w:p w14:paraId="5224EB32"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i/>
                <w:szCs w:val="18"/>
              </w:rPr>
            </w:pPr>
            <w:r w:rsidRPr="00FC7F6A">
              <w:rPr>
                <w:rFonts w:asciiTheme="majorHAnsi" w:hAnsiTheme="majorHAnsi" w:cs="Arial"/>
                <w:bCs/>
                <w:szCs w:val="18"/>
              </w:rPr>
              <w:t>Are there any unmet needs that should be considered?</w:t>
            </w:r>
          </w:p>
        </w:tc>
        <w:tc>
          <w:tcPr>
            <w:tcW w:w="6058" w:type="dxa"/>
            <w:vAlign w:val="top"/>
          </w:tcPr>
          <w:p w14:paraId="6D5FD1AD"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Interviews with DEEWR, MWG, non-government representatives and other sector representatives</w:t>
            </w:r>
          </w:p>
        </w:tc>
      </w:tr>
      <w:tr w:rsidR="00E45705" w:rsidRPr="00FC7F6A" w14:paraId="3515FB55" w14:textId="77777777" w:rsidTr="00E45705">
        <w:tc>
          <w:tcPr>
            <w:cnfStyle w:val="001000000000" w:firstRow="0" w:lastRow="0" w:firstColumn="1" w:lastColumn="0" w:oddVBand="0" w:evenVBand="0" w:oddHBand="0" w:evenHBand="0" w:firstRowFirstColumn="0" w:firstRowLastColumn="0" w:lastRowFirstColumn="0" w:lastRowLastColumn="0"/>
            <w:tcW w:w="751" w:type="dxa"/>
            <w:vAlign w:val="top"/>
          </w:tcPr>
          <w:p w14:paraId="48C13AE2"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1.8</w:t>
            </w:r>
          </w:p>
        </w:tc>
        <w:tc>
          <w:tcPr>
            <w:tcW w:w="1785" w:type="dxa"/>
            <w:vAlign w:val="top"/>
          </w:tcPr>
          <w:p w14:paraId="37FCDE8C"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szCs w:val="18"/>
                <w:highlight w:val="yellow"/>
              </w:rPr>
            </w:pPr>
            <w:r w:rsidRPr="00FC7F6A">
              <w:rPr>
                <w:rFonts w:asciiTheme="majorHAnsi" w:hAnsiTheme="majorHAnsi" w:cs="Arial"/>
                <w:b/>
                <w:bCs/>
                <w:szCs w:val="18"/>
              </w:rPr>
              <w:t>How do the NP and its elements complement other programs and initiatives targeting similar outcomes?</w:t>
            </w:r>
          </w:p>
        </w:tc>
        <w:tc>
          <w:tcPr>
            <w:tcW w:w="5402" w:type="dxa"/>
            <w:vAlign w:val="top"/>
          </w:tcPr>
          <w:p w14:paraId="7AF270A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there been any changes since the year one evaluation in terms of:</w:t>
            </w:r>
          </w:p>
          <w:p w14:paraId="41D8C807"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 xml:space="preserve">Alignment of the YAT NP with other NPs and state/territory/sector reforms and initiatives? </w:t>
            </w:r>
          </w:p>
          <w:p w14:paraId="347E9D12"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Inconsistencies or gaps?</w:t>
            </w:r>
          </w:p>
        </w:tc>
        <w:tc>
          <w:tcPr>
            <w:tcW w:w="6058" w:type="dxa"/>
            <w:vAlign w:val="top"/>
          </w:tcPr>
          <w:p w14:paraId="785C7DEC"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Information request from DEEWR, MWG and non-government education authorities</w:t>
            </w:r>
          </w:p>
          <w:p w14:paraId="0F57C464" w14:textId="77777777" w:rsidR="00E45705" w:rsidRPr="00FC7F6A" w:rsidRDefault="00E45705" w:rsidP="00E45705">
            <w:pPr>
              <w:pStyle w:val="ListParagraph"/>
              <w:tabs>
                <w:tab w:val="right" w:pos="8930"/>
              </w:tabs>
              <w:autoSpaceDE w:val="0"/>
              <w:autoSpaceDN w:val="0"/>
              <w:adjustRightInd w:val="0"/>
              <w:spacing w:before="60" w:after="60"/>
              <w:ind w:left="50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18"/>
                <w:szCs w:val="18"/>
              </w:rPr>
            </w:pPr>
          </w:p>
        </w:tc>
      </w:tr>
      <w:tr w:rsidR="00E45705" w:rsidRPr="00FC7F6A" w14:paraId="6C436148" w14:textId="77777777" w:rsidTr="00E45705">
        <w:tc>
          <w:tcPr>
            <w:cnfStyle w:val="001000000000" w:firstRow="0" w:lastRow="0" w:firstColumn="1" w:lastColumn="0" w:oddVBand="0" w:evenVBand="0" w:oddHBand="0" w:evenHBand="0" w:firstRowFirstColumn="0" w:firstRowLastColumn="0" w:lastRowFirstColumn="0" w:lastRowLastColumn="0"/>
            <w:tcW w:w="13996" w:type="dxa"/>
            <w:gridSpan w:val="4"/>
            <w:vAlign w:val="top"/>
          </w:tcPr>
          <w:p w14:paraId="2757BEE7" w14:textId="77777777" w:rsidR="00E45705" w:rsidRPr="00FC7F6A" w:rsidRDefault="00E45705" w:rsidP="00E45705">
            <w:pPr>
              <w:tabs>
                <w:tab w:val="right" w:pos="8930"/>
              </w:tabs>
              <w:spacing w:before="60" w:after="60"/>
              <w:ind w:left="142"/>
              <w:rPr>
                <w:rFonts w:asciiTheme="majorHAnsi" w:hAnsiTheme="majorHAnsi" w:cs="Arial"/>
                <w:i/>
                <w:color w:val="auto"/>
                <w:szCs w:val="18"/>
              </w:rPr>
            </w:pPr>
            <w:r w:rsidRPr="00FC7F6A">
              <w:rPr>
                <w:rFonts w:asciiTheme="majorHAnsi" w:hAnsiTheme="majorHAnsi" w:cs="Arial"/>
                <w:bCs/>
                <w:color w:val="auto"/>
                <w:szCs w:val="18"/>
              </w:rPr>
              <w:t>Is it well governed and implemented?</w:t>
            </w:r>
          </w:p>
        </w:tc>
      </w:tr>
      <w:tr w:rsidR="00E45705" w:rsidRPr="00FC7F6A" w14:paraId="001336F7" w14:textId="77777777" w:rsidTr="00E45705">
        <w:tc>
          <w:tcPr>
            <w:cnfStyle w:val="001000000000" w:firstRow="0" w:lastRow="0" w:firstColumn="1" w:lastColumn="0" w:oddVBand="0" w:evenVBand="0" w:oddHBand="0" w:evenHBand="0" w:firstRowFirstColumn="0" w:firstRowLastColumn="0" w:lastRowFirstColumn="0" w:lastRowLastColumn="0"/>
            <w:tcW w:w="751" w:type="dxa"/>
            <w:vAlign w:val="top"/>
          </w:tcPr>
          <w:p w14:paraId="6FF7FE4A"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1.9</w:t>
            </w:r>
          </w:p>
        </w:tc>
        <w:tc>
          <w:tcPr>
            <w:tcW w:w="1785" w:type="dxa"/>
            <w:vAlign w:val="top"/>
          </w:tcPr>
          <w:p w14:paraId="17E355E5"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How well have stakeholders collaborated on design and delivery of the NP and its elements?</w:t>
            </w:r>
          </w:p>
        </w:tc>
        <w:tc>
          <w:tcPr>
            <w:tcW w:w="5402" w:type="dxa"/>
            <w:vAlign w:val="top"/>
          </w:tcPr>
          <w:p w14:paraId="0762F32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there been any changes since the year one evaluation in terms of:</w:t>
            </w:r>
          </w:p>
          <w:p w14:paraId="7A170B83"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Collaboration between governments and between service providers to support program delivery/implementation?</w:t>
            </w:r>
          </w:p>
          <w:p w14:paraId="61219374"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Knowledge sharing across elements and stakeholders?</w:t>
            </w:r>
          </w:p>
          <w:p w14:paraId="6022B483" w14:textId="77777777" w:rsidR="00E45705" w:rsidRPr="00FC7F6A" w:rsidRDefault="00E45705" w:rsidP="00E45705">
            <w:pPr>
              <w:spacing w:before="60" w:after="60"/>
              <w:ind w:left="50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p>
          <w:p w14:paraId="2E73EA98" w14:textId="77777777" w:rsidR="00E45705" w:rsidRPr="00FC7F6A" w:rsidRDefault="00E45705" w:rsidP="00E45705">
            <w:pPr>
              <w:spacing w:before="60" w:after="60"/>
              <w:ind w:left="0"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p>
        </w:tc>
        <w:tc>
          <w:tcPr>
            <w:tcW w:w="6058" w:type="dxa"/>
            <w:vAlign w:val="top"/>
          </w:tcPr>
          <w:p w14:paraId="2FFB9D5D"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Information request from DEEWR, MWG and non-government education authorities</w:t>
            </w:r>
          </w:p>
          <w:p w14:paraId="62D0D1F3" w14:textId="77777777" w:rsidR="00E45705" w:rsidRPr="00FC7F6A" w:rsidRDefault="00E45705" w:rsidP="00E45705">
            <w:pPr>
              <w:tabs>
                <w:tab w:val="right" w:pos="8930"/>
              </w:tabs>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p>
        </w:tc>
      </w:tr>
      <w:tr w:rsidR="00E45705" w:rsidRPr="00FC7F6A" w14:paraId="0E111568" w14:textId="77777777" w:rsidTr="00E45705">
        <w:tc>
          <w:tcPr>
            <w:cnfStyle w:val="001000000000" w:firstRow="0" w:lastRow="0" w:firstColumn="1" w:lastColumn="0" w:oddVBand="0" w:evenVBand="0" w:oddHBand="0" w:evenHBand="0" w:firstRowFirstColumn="0" w:firstRowLastColumn="0" w:lastRowFirstColumn="0" w:lastRowLastColumn="0"/>
            <w:tcW w:w="751" w:type="dxa"/>
            <w:vAlign w:val="top"/>
          </w:tcPr>
          <w:p w14:paraId="7C30537B"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1.10</w:t>
            </w:r>
          </w:p>
        </w:tc>
        <w:tc>
          <w:tcPr>
            <w:tcW w:w="1785" w:type="dxa"/>
            <w:vAlign w:val="top"/>
          </w:tcPr>
          <w:p w14:paraId="64FF86E6"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Is NP governance working effectively?</w:t>
            </w:r>
          </w:p>
        </w:tc>
        <w:tc>
          <w:tcPr>
            <w:tcW w:w="5402" w:type="dxa"/>
            <w:vAlign w:val="top"/>
          </w:tcPr>
          <w:p w14:paraId="39E71EB7"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there been any changes since the year one evaluation in terms of the aspects of the governance arrangements that are working well or could be improved?</w:t>
            </w:r>
          </w:p>
        </w:tc>
        <w:tc>
          <w:tcPr>
            <w:tcW w:w="6058" w:type="dxa"/>
            <w:vAlign w:val="top"/>
          </w:tcPr>
          <w:p w14:paraId="7292214D" w14:textId="77777777" w:rsidR="00E45705" w:rsidRPr="00FC7F6A" w:rsidRDefault="00E45705" w:rsidP="00E45705">
            <w:pPr>
              <w:autoSpaceDE w:val="0"/>
              <w:autoSpaceDN w:val="0"/>
              <w:adjustRightInd w:val="0"/>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As above</w:t>
            </w:r>
          </w:p>
          <w:p w14:paraId="6B148A78" w14:textId="77777777" w:rsidR="00E45705" w:rsidRPr="00FC7F6A" w:rsidRDefault="00E45705" w:rsidP="00E45705">
            <w:pPr>
              <w:tabs>
                <w:tab w:val="right" w:pos="8930"/>
              </w:tabs>
              <w:spacing w:before="60" w:after="60"/>
              <w:ind w:left="128"/>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p>
        </w:tc>
      </w:tr>
      <w:tr w:rsidR="00E45705" w:rsidRPr="00FC7F6A" w14:paraId="030EFC1D" w14:textId="77777777" w:rsidTr="00E45705">
        <w:tc>
          <w:tcPr>
            <w:cnfStyle w:val="001000000000" w:firstRow="0" w:lastRow="0" w:firstColumn="1" w:lastColumn="0" w:oddVBand="0" w:evenVBand="0" w:oddHBand="0" w:evenHBand="0" w:firstRowFirstColumn="0" w:firstRowLastColumn="0" w:lastRowFirstColumn="0" w:lastRowLastColumn="0"/>
            <w:tcW w:w="751" w:type="dxa"/>
            <w:vAlign w:val="top"/>
          </w:tcPr>
          <w:p w14:paraId="406EFB57"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1.11</w:t>
            </w:r>
          </w:p>
        </w:tc>
        <w:tc>
          <w:tcPr>
            <w:tcW w:w="1785" w:type="dxa"/>
            <w:vAlign w:val="top"/>
          </w:tcPr>
          <w:p w14:paraId="7CAD1A29"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How well is performance reporting working?</w:t>
            </w:r>
          </w:p>
        </w:tc>
        <w:tc>
          <w:tcPr>
            <w:tcW w:w="5402" w:type="dxa"/>
            <w:vAlign w:val="top"/>
          </w:tcPr>
          <w:p w14:paraId="17D183C5"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the performance reporting issues identified in year one of the evaluation been addressed?</w:t>
            </w:r>
          </w:p>
          <w:p w14:paraId="5BB8CD32"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Have any new issues arisen?</w:t>
            </w:r>
          </w:p>
        </w:tc>
        <w:tc>
          <w:tcPr>
            <w:tcW w:w="6058" w:type="dxa"/>
            <w:vAlign w:val="top"/>
          </w:tcPr>
          <w:p w14:paraId="5BA4CC95" w14:textId="77777777" w:rsidR="00E45705" w:rsidRPr="00FC7F6A" w:rsidRDefault="00E45705" w:rsidP="00E45705">
            <w:pPr>
              <w:autoSpaceDE w:val="0"/>
              <w:autoSpaceDN w:val="0"/>
              <w:adjustRightInd w:val="0"/>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szCs w:val="18"/>
              </w:rPr>
              <w:t>As above</w:t>
            </w:r>
          </w:p>
          <w:p w14:paraId="5C494CAA" w14:textId="77777777" w:rsidR="00E45705" w:rsidRPr="00FC7F6A" w:rsidRDefault="00E45705" w:rsidP="00E45705">
            <w:pPr>
              <w:autoSpaceDE w:val="0"/>
              <w:autoSpaceDN w:val="0"/>
              <w:adjustRightInd w:val="0"/>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i/>
                <w:szCs w:val="18"/>
              </w:rPr>
            </w:pPr>
          </w:p>
        </w:tc>
      </w:tr>
      <w:tr w:rsidR="00E45705" w:rsidRPr="00FC7F6A" w14:paraId="7388B4BE" w14:textId="77777777" w:rsidTr="00E45705">
        <w:tc>
          <w:tcPr>
            <w:cnfStyle w:val="001000000000" w:firstRow="0" w:lastRow="0" w:firstColumn="1" w:lastColumn="0" w:oddVBand="0" w:evenVBand="0" w:oddHBand="0" w:evenHBand="0" w:firstRowFirstColumn="0" w:firstRowLastColumn="0" w:lastRowFirstColumn="0" w:lastRowLastColumn="0"/>
            <w:tcW w:w="13996" w:type="dxa"/>
            <w:gridSpan w:val="4"/>
            <w:vAlign w:val="top"/>
          </w:tcPr>
          <w:p w14:paraId="70EA9CA7" w14:textId="77777777" w:rsidR="00E45705" w:rsidRPr="00FC7F6A" w:rsidRDefault="00E45705" w:rsidP="00E45705">
            <w:pPr>
              <w:tabs>
                <w:tab w:val="right" w:pos="8930"/>
              </w:tabs>
              <w:spacing w:before="60" w:after="60"/>
              <w:ind w:left="142"/>
              <w:rPr>
                <w:rFonts w:asciiTheme="majorHAnsi" w:hAnsiTheme="majorHAnsi" w:cs="Arial"/>
                <w:color w:val="auto"/>
                <w:szCs w:val="18"/>
              </w:rPr>
            </w:pPr>
            <w:r w:rsidRPr="00FC7F6A">
              <w:rPr>
                <w:rFonts w:asciiTheme="majorHAnsi" w:hAnsiTheme="majorHAnsi" w:cs="Arial"/>
                <w:bCs/>
                <w:color w:val="auto"/>
                <w:szCs w:val="18"/>
              </w:rPr>
              <w:lastRenderedPageBreak/>
              <w:t>Looking ahead…</w:t>
            </w:r>
          </w:p>
        </w:tc>
      </w:tr>
      <w:tr w:rsidR="00E45705" w:rsidRPr="00FC7F6A" w14:paraId="497C87F5" w14:textId="77777777" w:rsidTr="00E45705">
        <w:tc>
          <w:tcPr>
            <w:cnfStyle w:val="001000000000" w:firstRow="0" w:lastRow="0" w:firstColumn="1" w:lastColumn="0" w:oddVBand="0" w:evenVBand="0" w:oddHBand="0" w:evenHBand="0" w:firstRowFirstColumn="0" w:firstRowLastColumn="0" w:lastRowFirstColumn="0" w:lastRowLastColumn="0"/>
            <w:tcW w:w="751" w:type="dxa"/>
            <w:vAlign w:val="top"/>
          </w:tcPr>
          <w:p w14:paraId="5E8ADA87"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1.12</w:t>
            </w:r>
          </w:p>
        </w:tc>
        <w:tc>
          <w:tcPr>
            <w:tcW w:w="1785" w:type="dxa"/>
            <w:vAlign w:val="top"/>
          </w:tcPr>
          <w:p w14:paraId="0FEE507A"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What are the implications of evaluation findings for the NP?</w:t>
            </w:r>
          </w:p>
        </w:tc>
        <w:tc>
          <w:tcPr>
            <w:tcW w:w="5402" w:type="dxa"/>
            <w:vAlign w:val="top"/>
          </w:tcPr>
          <w:p w14:paraId="44920D3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What refinements need to be made in the last year of the NP?</w:t>
            </w:r>
          </w:p>
          <w:p w14:paraId="32120053"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p>
        </w:tc>
        <w:tc>
          <w:tcPr>
            <w:tcW w:w="6058" w:type="dxa"/>
            <w:vAlign w:val="top"/>
          </w:tcPr>
          <w:p w14:paraId="77A347F7"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Information request from DEEWR, MWG and non-government education authorities</w:t>
            </w:r>
          </w:p>
          <w:p w14:paraId="4E0CCA70"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Interviews with DEEWR, MWG, non-government education authorities and service providers</w:t>
            </w:r>
          </w:p>
          <w:p w14:paraId="5BBF0054" w14:textId="77777777" w:rsidR="00E45705" w:rsidRPr="00FC7F6A" w:rsidRDefault="00E45705" w:rsidP="00E45705">
            <w:pPr>
              <w:tabs>
                <w:tab w:val="right" w:pos="8930"/>
              </w:tabs>
              <w:spacing w:before="60" w:after="60"/>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p>
        </w:tc>
      </w:tr>
      <w:tr w:rsidR="00E45705" w:rsidRPr="00FC7F6A" w14:paraId="4128146E" w14:textId="77777777" w:rsidTr="00E45705">
        <w:tc>
          <w:tcPr>
            <w:cnfStyle w:val="001000000000" w:firstRow="0" w:lastRow="0" w:firstColumn="1" w:lastColumn="0" w:oddVBand="0" w:evenVBand="0" w:oddHBand="0" w:evenHBand="0" w:firstRowFirstColumn="0" w:firstRowLastColumn="0" w:lastRowFirstColumn="0" w:lastRowLastColumn="0"/>
            <w:tcW w:w="751" w:type="dxa"/>
            <w:vAlign w:val="top"/>
          </w:tcPr>
          <w:p w14:paraId="49789BFE" w14:textId="77777777" w:rsidR="00E45705" w:rsidRPr="00FC7F6A" w:rsidRDefault="00E45705" w:rsidP="00E45705">
            <w:pPr>
              <w:spacing w:before="60" w:after="60"/>
              <w:ind w:left="142" w:right="142"/>
              <w:rPr>
                <w:rFonts w:asciiTheme="majorHAnsi" w:hAnsiTheme="majorHAnsi" w:cs="Arial"/>
                <w:b w:val="0"/>
                <w:bCs/>
                <w:szCs w:val="18"/>
              </w:rPr>
            </w:pPr>
            <w:r w:rsidRPr="00FC7F6A">
              <w:rPr>
                <w:rFonts w:asciiTheme="majorHAnsi" w:hAnsiTheme="majorHAnsi" w:cs="Arial"/>
                <w:bCs/>
                <w:szCs w:val="18"/>
              </w:rPr>
              <w:t>1.13</w:t>
            </w:r>
          </w:p>
        </w:tc>
        <w:tc>
          <w:tcPr>
            <w:tcW w:w="1785" w:type="dxa"/>
            <w:vAlign w:val="top"/>
          </w:tcPr>
          <w:p w14:paraId="33053EE2"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Cs w:val="18"/>
              </w:rPr>
            </w:pPr>
            <w:r w:rsidRPr="00FC7F6A">
              <w:rPr>
                <w:rFonts w:asciiTheme="majorHAnsi" w:hAnsiTheme="majorHAnsi" w:cs="Arial"/>
                <w:b/>
                <w:bCs/>
                <w:szCs w:val="18"/>
              </w:rPr>
              <w:t>What are the implications of evaluation findings beyond the NP?</w:t>
            </w:r>
          </w:p>
        </w:tc>
        <w:tc>
          <w:tcPr>
            <w:tcW w:w="5402" w:type="dxa"/>
            <w:vAlign w:val="top"/>
          </w:tcPr>
          <w:p w14:paraId="6B4A353F"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r w:rsidRPr="00FC7F6A">
              <w:rPr>
                <w:rFonts w:asciiTheme="majorHAnsi" w:hAnsiTheme="majorHAnsi" w:cs="Arial"/>
                <w:bCs/>
                <w:szCs w:val="18"/>
              </w:rPr>
              <w:t>Are there factors that influence youth attainment and transition outcomes that are not addressed by the NP?</w:t>
            </w:r>
          </w:p>
          <w:p w14:paraId="18E9A73A"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18"/>
              </w:rPr>
            </w:pPr>
            <w:r w:rsidRPr="00FC7F6A">
              <w:rPr>
                <w:rFonts w:asciiTheme="majorHAnsi" w:hAnsiTheme="majorHAnsi" w:cs="Arial"/>
                <w:bCs/>
                <w:szCs w:val="18"/>
              </w:rPr>
              <w:t>What options are there to improve youth attainment and transition outcomes following the conclusion of the NP?</w:t>
            </w:r>
          </w:p>
        </w:tc>
        <w:tc>
          <w:tcPr>
            <w:tcW w:w="6058" w:type="dxa"/>
            <w:vAlign w:val="top"/>
          </w:tcPr>
          <w:p w14:paraId="56C120EE"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FC7F6A">
              <w:rPr>
                <w:rFonts w:asciiTheme="majorHAnsi" w:hAnsiTheme="majorHAnsi" w:cs="Arial"/>
                <w:sz w:val="18"/>
                <w:szCs w:val="18"/>
              </w:rPr>
              <w:t>Interviews with DEEWR, MWG, non-government education authorities, service providers and sector representatives</w:t>
            </w:r>
          </w:p>
          <w:p w14:paraId="4A192187" w14:textId="77777777" w:rsidR="00E45705" w:rsidRPr="00FC7F6A" w:rsidRDefault="00E45705" w:rsidP="00E45705">
            <w:pPr>
              <w:tabs>
                <w:tab w:val="right" w:pos="8930"/>
              </w:tabs>
              <w:spacing w:before="60" w:after="60"/>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8"/>
              </w:rPr>
            </w:pPr>
          </w:p>
        </w:tc>
      </w:tr>
    </w:tbl>
    <w:p w14:paraId="39A49861" w14:textId="77777777" w:rsidR="00E45705" w:rsidRDefault="00E45705" w:rsidP="00E45705">
      <w:pPr>
        <w:spacing w:line="380" w:lineRule="atLeast"/>
        <w:rPr>
          <w:rFonts w:eastAsiaTheme="majorEastAsia" w:cstheme="majorBidi"/>
          <w:b/>
          <w:bCs/>
          <w:color w:val="808080"/>
          <w:sz w:val="24"/>
        </w:rPr>
      </w:pPr>
      <w:r>
        <w:br w:type="page"/>
      </w:r>
    </w:p>
    <w:p w14:paraId="7A768199" w14:textId="77777777" w:rsidR="00E45705" w:rsidRDefault="00E45705" w:rsidP="00E45705">
      <w:pPr>
        <w:pStyle w:val="Heading3"/>
        <w:numPr>
          <w:ilvl w:val="0"/>
          <w:numId w:val="0"/>
        </w:numPr>
        <w:ind w:left="851" w:hanging="851"/>
      </w:pPr>
      <w:r>
        <w:lastRenderedPageBreak/>
        <w:t>2. Maximising Youth Engagement, Attainment and Successful Transitions</w:t>
      </w:r>
    </w:p>
    <w:tbl>
      <w:tblPr>
        <w:tblStyle w:val="DandoloTableCentred"/>
        <w:tblW w:w="14064" w:type="dxa"/>
        <w:tblLook w:val="00A0" w:firstRow="1" w:lastRow="0" w:firstColumn="1" w:lastColumn="0" w:noHBand="0" w:noVBand="0"/>
        <w:tblCaption w:val="Year 2 Evaluation Framework - MEAST research method"/>
        <w:tblDescription w:val="Year 2 Evaluation Framework - MEAST research method"/>
      </w:tblPr>
      <w:tblGrid>
        <w:gridCol w:w="2440"/>
        <w:gridCol w:w="4961"/>
        <w:gridCol w:w="2552"/>
        <w:gridCol w:w="4111"/>
      </w:tblGrid>
      <w:tr w:rsidR="00E45705" w:rsidRPr="00FC7F6A" w14:paraId="316BFABD"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vAlign w:val="top"/>
          </w:tcPr>
          <w:p w14:paraId="2F56CBE9"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color w:val="auto"/>
                <w:szCs w:val="18"/>
              </w:rPr>
              <w:t>Research method:</w:t>
            </w:r>
          </w:p>
        </w:tc>
        <w:tc>
          <w:tcPr>
            <w:tcW w:w="4961" w:type="dxa"/>
            <w:vAlign w:val="top"/>
          </w:tcPr>
          <w:p w14:paraId="2FD970E7"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Stakeholder engagement</w:t>
            </w:r>
          </w:p>
        </w:tc>
        <w:tc>
          <w:tcPr>
            <w:tcW w:w="2552" w:type="dxa"/>
            <w:vAlign w:val="top"/>
          </w:tcPr>
          <w:p w14:paraId="43CD1DCB"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Data analysis </w:t>
            </w:r>
          </w:p>
        </w:tc>
        <w:tc>
          <w:tcPr>
            <w:tcW w:w="4111" w:type="dxa"/>
            <w:vAlign w:val="top"/>
          </w:tcPr>
          <w:p w14:paraId="2EFCC05A"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Literature review </w:t>
            </w:r>
          </w:p>
        </w:tc>
      </w:tr>
      <w:tr w:rsidR="00E45705" w:rsidRPr="00FC7F6A" w14:paraId="308AB32D" w14:textId="77777777" w:rsidTr="00E45705">
        <w:trPr>
          <w:trHeight w:val="207"/>
        </w:trPr>
        <w:tc>
          <w:tcPr>
            <w:cnfStyle w:val="001000000000" w:firstRow="0" w:lastRow="0" w:firstColumn="1" w:lastColumn="0" w:oddVBand="0" w:evenVBand="0" w:oddHBand="0" w:evenHBand="0" w:firstRowFirstColumn="0" w:firstRowLastColumn="0" w:lastRowFirstColumn="0" w:lastRowLastColumn="0"/>
            <w:tcW w:w="2440" w:type="dxa"/>
            <w:vAlign w:val="top"/>
          </w:tcPr>
          <w:p w14:paraId="167EE76D"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bCs/>
                <w:color w:val="auto"/>
                <w:szCs w:val="18"/>
              </w:rPr>
              <w:t>Sources of data:</w:t>
            </w:r>
            <w:r w:rsidRPr="00FC7F6A">
              <w:rPr>
                <w:rFonts w:asciiTheme="minorHAnsi" w:hAnsiTheme="minorHAnsi" w:cs="Arial"/>
                <w:color w:val="auto"/>
                <w:szCs w:val="18"/>
              </w:rPr>
              <w:t xml:space="preserve"> </w:t>
            </w:r>
          </w:p>
        </w:tc>
        <w:tc>
          <w:tcPr>
            <w:tcW w:w="4961" w:type="dxa"/>
            <w:vAlign w:val="top"/>
          </w:tcPr>
          <w:p w14:paraId="1D80EE02" w14:textId="77777777" w:rsidR="00E45705" w:rsidRPr="00FC7F6A" w:rsidRDefault="00E45705" w:rsidP="00FC7F6A">
            <w:pPr>
              <w:pStyle w:val="ListParagraph"/>
              <w:numPr>
                <w:ilvl w:val="0"/>
                <w:numId w:val="31"/>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representatives</w:t>
            </w:r>
          </w:p>
          <w:p w14:paraId="7637790C" w14:textId="77777777" w:rsidR="00E45705" w:rsidRPr="00FC7F6A" w:rsidRDefault="00E45705" w:rsidP="00E45705">
            <w:pPr>
              <w:tabs>
                <w:tab w:val="right" w:pos="8930"/>
              </w:tabs>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highlight w:val="yellow"/>
              </w:rPr>
            </w:pPr>
          </w:p>
        </w:tc>
        <w:tc>
          <w:tcPr>
            <w:tcW w:w="2552" w:type="dxa"/>
            <w:vAlign w:val="top"/>
          </w:tcPr>
          <w:p w14:paraId="492BB5A6" w14:textId="77777777" w:rsidR="00E45705" w:rsidRPr="00FC7F6A" w:rsidRDefault="00E45705" w:rsidP="00FC7F6A">
            <w:pPr>
              <w:pStyle w:val="ListParagraph"/>
              <w:numPr>
                <w:ilvl w:val="0"/>
                <w:numId w:val="31"/>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Not applicable</w:t>
            </w:r>
          </w:p>
        </w:tc>
        <w:tc>
          <w:tcPr>
            <w:tcW w:w="4111" w:type="dxa"/>
            <w:vAlign w:val="top"/>
          </w:tcPr>
          <w:p w14:paraId="2CE4778C" w14:textId="77777777" w:rsidR="00E45705" w:rsidRPr="00FC7F6A" w:rsidRDefault="00E45705" w:rsidP="00FC7F6A">
            <w:pPr>
              <w:pStyle w:val="ListParagraph"/>
              <w:numPr>
                <w:ilvl w:val="0"/>
                <w:numId w:val="32"/>
              </w:numPr>
              <w:autoSpaceDE w:val="0"/>
              <w:autoSpaceDN w:val="0"/>
              <w:adjustRightInd w:val="0"/>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18"/>
                <w:szCs w:val="18"/>
              </w:rPr>
            </w:pPr>
            <w:r w:rsidRPr="00FC7F6A">
              <w:rPr>
                <w:rFonts w:asciiTheme="minorHAnsi" w:hAnsiTheme="minorHAnsi" w:cs="Arial"/>
                <w:sz w:val="18"/>
                <w:szCs w:val="18"/>
              </w:rPr>
              <w:t>Information request from DEEWR and MWG</w:t>
            </w:r>
          </w:p>
          <w:p w14:paraId="53CB1252" w14:textId="77777777" w:rsidR="00E45705" w:rsidRPr="00FC7F6A" w:rsidRDefault="00E45705" w:rsidP="00FC7F6A">
            <w:pPr>
              <w:pStyle w:val="ListParagraph"/>
              <w:numPr>
                <w:ilvl w:val="0"/>
                <w:numId w:val="32"/>
              </w:numPr>
              <w:autoSpaceDE w:val="0"/>
              <w:autoSpaceDN w:val="0"/>
              <w:adjustRightInd w:val="0"/>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18"/>
                <w:szCs w:val="18"/>
              </w:rPr>
            </w:pPr>
            <w:r w:rsidRPr="00FC7F6A">
              <w:rPr>
                <w:rFonts w:asciiTheme="minorHAnsi" w:hAnsiTheme="minorHAnsi" w:cs="Arial"/>
                <w:sz w:val="18"/>
                <w:szCs w:val="18"/>
              </w:rPr>
              <w:t>MEAST-funded initiative evaluation reports</w:t>
            </w:r>
          </w:p>
        </w:tc>
      </w:tr>
    </w:tbl>
    <w:p w14:paraId="54088197" w14:textId="77777777" w:rsidR="00E45705" w:rsidRPr="00FC7F6A" w:rsidRDefault="00E45705" w:rsidP="00E45705">
      <w:pPr>
        <w:rPr>
          <w:rFonts w:asciiTheme="minorHAnsi" w:hAnsiTheme="minorHAnsi" w:cs="Arial"/>
          <w:sz w:val="18"/>
          <w:szCs w:val="18"/>
        </w:rPr>
      </w:pPr>
    </w:p>
    <w:tbl>
      <w:tblPr>
        <w:tblStyle w:val="DandoloTableCentred"/>
        <w:tblW w:w="14064" w:type="dxa"/>
        <w:tblLayout w:type="fixed"/>
        <w:tblLook w:val="00A0" w:firstRow="1" w:lastRow="0" w:firstColumn="1" w:lastColumn="0" w:noHBand="0" w:noVBand="0"/>
        <w:tblCaption w:val="Year 2 Evaluation Framework - MEAST questions"/>
        <w:tblDescription w:val="Year 2 Evaluation Framework - MEAST questions"/>
      </w:tblPr>
      <w:tblGrid>
        <w:gridCol w:w="739"/>
        <w:gridCol w:w="2440"/>
        <w:gridCol w:w="7624"/>
        <w:gridCol w:w="3261"/>
      </w:tblGrid>
      <w:tr w:rsidR="00E45705" w:rsidRPr="00FC7F6A" w14:paraId="773E4621"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9" w:type="dxa"/>
            <w:gridSpan w:val="2"/>
            <w:vAlign w:val="top"/>
          </w:tcPr>
          <w:p w14:paraId="65605931"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color w:val="auto"/>
                <w:szCs w:val="18"/>
              </w:rPr>
              <w:t>Question</w:t>
            </w:r>
          </w:p>
        </w:tc>
        <w:tc>
          <w:tcPr>
            <w:tcW w:w="7624" w:type="dxa"/>
            <w:vAlign w:val="top"/>
          </w:tcPr>
          <w:p w14:paraId="3C4A96C0"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Sub-questions</w:t>
            </w:r>
          </w:p>
        </w:tc>
        <w:tc>
          <w:tcPr>
            <w:tcW w:w="3261" w:type="dxa"/>
            <w:vAlign w:val="top"/>
          </w:tcPr>
          <w:p w14:paraId="14861773"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Data sources </w:t>
            </w:r>
          </w:p>
        </w:tc>
      </w:tr>
      <w:tr w:rsidR="00E45705" w:rsidRPr="00FC7F6A" w14:paraId="6CED16FF"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2B155866"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What is happening?</w:t>
            </w:r>
          </w:p>
        </w:tc>
      </w:tr>
      <w:tr w:rsidR="00E45705" w:rsidRPr="00FC7F6A" w14:paraId="5413DCE4" w14:textId="77777777" w:rsidTr="00E45705">
        <w:trPr>
          <w:trHeight w:val="213"/>
        </w:trPr>
        <w:tc>
          <w:tcPr>
            <w:cnfStyle w:val="001000000000" w:firstRow="0" w:lastRow="0" w:firstColumn="1" w:lastColumn="0" w:oddVBand="0" w:evenVBand="0" w:oddHBand="0" w:evenHBand="0" w:firstRowFirstColumn="0" w:firstRowLastColumn="0" w:lastRowFirstColumn="0" w:lastRowLastColumn="0"/>
            <w:tcW w:w="739" w:type="dxa"/>
            <w:vAlign w:val="top"/>
          </w:tcPr>
          <w:p w14:paraId="5E981B96"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2.1</w:t>
            </w:r>
          </w:p>
        </w:tc>
        <w:tc>
          <w:tcPr>
            <w:tcW w:w="2440" w:type="dxa"/>
            <w:vAlign w:val="top"/>
          </w:tcPr>
          <w:p w14:paraId="0C673983"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Has the NP changed the activity and focus of career development, multiple learning pathways and mentoring initiatives?</w:t>
            </w:r>
          </w:p>
        </w:tc>
        <w:tc>
          <w:tcPr>
            <w:tcW w:w="7624" w:type="dxa"/>
            <w:vAlign w:val="top"/>
          </w:tcPr>
          <w:p w14:paraId="6F161F45" w14:textId="77777777" w:rsidR="00E45705" w:rsidRPr="00FC7F6A" w:rsidRDefault="00E45705" w:rsidP="00FC7F6A">
            <w:pPr>
              <w:numPr>
                <w:ilvl w:val="0"/>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 how MEAST has changed career development, multiple learning pathway and mentoring initiatives?</w:t>
            </w:r>
          </w:p>
          <w:p w14:paraId="3EBA7B40" w14:textId="77777777" w:rsidR="00E45705" w:rsidRPr="00FC7F6A" w:rsidRDefault="00E45705" w:rsidP="00E45705">
            <w:pPr>
              <w:spacing w:before="60" w:after="60"/>
              <w:ind w:left="0"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p>
        </w:tc>
        <w:tc>
          <w:tcPr>
            <w:tcW w:w="3261" w:type="dxa"/>
            <w:vAlign w:val="top"/>
          </w:tcPr>
          <w:p w14:paraId="1317105B"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76DB3F2F" w14:textId="77777777" w:rsidR="00E45705" w:rsidRPr="00FC7F6A" w:rsidRDefault="00E45705" w:rsidP="00E45705">
            <w:pPr>
              <w:tabs>
                <w:tab w:val="right" w:pos="8930"/>
              </w:tabs>
              <w:spacing w:before="60" w:after="60"/>
              <w:ind w:left="142"/>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p>
        </w:tc>
      </w:tr>
      <w:tr w:rsidR="00E45705" w:rsidRPr="00FC7F6A" w14:paraId="4A90F6DB"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190E098C"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Is the element working?</w:t>
            </w:r>
          </w:p>
        </w:tc>
      </w:tr>
      <w:tr w:rsidR="00E45705" w:rsidRPr="00FC7F6A" w14:paraId="57ECC029" w14:textId="77777777" w:rsidTr="00E45705">
        <w:trPr>
          <w:trHeight w:val="1106"/>
        </w:trPr>
        <w:tc>
          <w:tcPr>
            <w:cnfStyle w:val="001000000000" w:firstRow="0" w:lastRow="0" w:firstColumn="1" w:lastColumn="0" w:oddVBand="0" w:evenVBand="0" w:oddHBand="0" w:evenHBand="0" w:firstRowFirstColumn="0" w:firstRowLastColumn="0" w:lastRowFirstColumn="0" w:lastRowLastColumn="0"/>
            <w:tcW w:w="739" w:type="dxa"/>
            <w:vAlign w:val="top"/>
          </w:tcPr>
          <w:p w14:paraId="365B15D6"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2.2</w:t>
            </w:r>
          </w:p>
        </w:tc>
        <w:tc>
          <w:tcPr>
            <w:tcW w:w="2440" w:type="dxa"/>
            <w:vAlign w:val="top"/>
          </w:tcPr>
          <w:p w14:paraId="5F618A42"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 xml:space="preserve">If </w:t>
            </w:r>
            <w:r w:rsidRPr="00FC7F6A">
              <w:rPr>
                <w:rFonts w:asciiTheme="minorHAnsi" w:hAnsiTheme="minorHAnsi" w:cs="Arial"/>
                <w:b/>
                <w:bCs/>
                <w:szCs w:val="18"/>
                <w:u w:val="single"/>
              </w:rPr>
              <w:t>Career Development</w:t>
            </w:r>
            <w:r w:rsidRPr="00FC7F6A">
              <w:rPr>
                <w:rFonts w:asciiTheme="minorHAnsi" w:hAnsiTheme="minorHAnsi" w:cs="Arial"/>
                <w:b/>
                <w:bCs/>
                <w:szCs w:val="18"/>
              </w:rPr>
              <w:t xml:space="preserve"> was a focus of MEAST funding, did it help improve access to quality career development?</w:t>
            </w:r>
          </w:p>
        </w:tc>
        <w:tc>
          <w:tcPr>
            <w:tcW w:w="7624" w:type="dxa"/>
            <w:vAlign w:val="top"/>
          </w:tcPr>
          <w:p w14:paraId="3C01E5CF"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How have MEAST initiatives helped more young people aged 15-19 years access career development?</w:t>
            </w:r>
          </w:p>
          <w:p w14:paraId="2FDA1C41"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MEAST initiatives led to improved equity of access to career development? i.e. greater proportion of services accessed by Indigenous and at risk young people</w:t>
            </w:r>
          </w:p>
          <w:p w14:paraId="5D7AAC39"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Is there evidence in the jurisdictions and sectors (including case studies) that Career Development initiatives are improving participation, engagement, attainment and transition outcomes? </w:t>
            </w:r>
          </w:p>
        </w:tc>
        <w:tc>
          <w:tcPr>
            <w:tcW w:w="3261" w:type="dxa"/>
            <w:vAlign w:val="top"/>
          </w:tcPr>
          <w:p w14:paraId="462DF2E7"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6BCC6CD8" w14:textId="77777777" w:rsidR="00E45705" w:rsidRPr="00FC7F6A" w:rsidRDefault="00E45705" w:rsidP="00FC7F6A">
            <w:pPr>
              <w:pStyle w:val="ListParagraph"/>
              <w:framePr w:hSpace="180" w:wrap="around" w:vAnchor="text" w:hAnchor="text" w:y="1"/>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representatives</w:t>
            </w:r>
          </w:p>
          <w:p w14:paraId="1C788E03"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Evaluation reports</w:t>
            </w:r>
          </w:p>
        </w:tc>
      </w:tr>
      <w:tr w:rsidR="00E45705" w:rsidRPr="00FC7F6A" w14:paraId="32FCD09C" w14:textId="77777777" w:rsidTr="00E45705">
        <w:trPr>
          <w:trHeight w:val="2481"/>
        </w:trPr>
        <w:tc>
          <w:tcPr>
            <w:cnfStyle w:val="001000000000" w:firstRow="0" w:lastRow="0" w:firstColumn="1" w:lastColumn="0" w:oddVBand="0" w:evenVBand="0" w:oddHBand="0" w:evenHBand="0" w:firstRowFirstColumn="0" w:firstRowLastColumn="0" w:lastRowFirstColumn="0" w:lastRowLastColumn="0"/>
            <w:tcW w:w="739" w:type="dxa"/>
            <w:vAlign w:val="top"/>
          </w:tcPr>
          <w:p w14:paraId="3094D224"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2.3</w:t>
            </w:r>
          </w:p>
        </w:tc>
        <w:tc>
          <w:tcPr>
            <w:tcW w:w="2440" w:type="dxa"/>
            <w:vAlign w:val="top"/>
          </w:tcPr>
          <w:p w14:paraId="584E8279"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 xml:space="preserve">If </w:t>
            </w:r>
            <w:r w:rsidRPr="00FC7F6A">
              <w:rPr>
                <w:rFonts w:asciiTheme="minorHAnsi" w:hAnsiTheme="minorHAnsi" w:cs="Arial"/>
                <w:b/>
                <w:bCs/>
                <w:szCs w:val="18"/>
                <w:u w:val="single"/>
              </w:rPr>
              <w:t>Multiple Learning Pathways</w:t>
            </w:r>
            <w:r w:rsidRPr="00FC7F6A">
              <w:rPr>
                <w:rFonts w:asciiTheme="minorHAnsi" w:hAnsiTheme="minorHAnsi" w:cs="Arial"/>
                <w:b/>
                <w:bCs/>
                <w:szCs w:val="18"/>
              </w:rPr>
              <w:t xml:space="preserve"> were a focus of MEAST funding, did it help improve access to a broader range of quality multiple learning pathways for young people?</w:t>
            </w:r>
          </w:p>
        </w:tc>
        <w:tc>
          <w:tcPr>
            <w:tcW w:w="7624" w:type="dxa"/>
            <w:vAlign w:val="top"/>
          </w:tcPr>
          <w:p w14:paraId="56F03C2A"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How have MEAST initiatives increased the range of options and support available to help young people aged 15-19 years engage in training and education?</w:t>
            </w:r>
          </w:p>
          <w:p w14:paraId="5940F9CA"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MEAST initiatives led to improved equity of access to multiple learning pathways, workplace/transition support and expanded subject choice? i.e. greater proportion accessed by indigenous and at risk young people</w:t>
            </w:r>
          </w:p>
          <w:p w14:paraId="2CBB8EC1"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Is there evidence in the jurisdictions and sectors (including case studies) that Multiple Learning Pathways initiatives are improving participation, engagement, attainment and transition outcomes? </w:t>
            </w:r>
          </w:p>
        </w:tc>
        <w:tc>
          <w:tcPr>
            <w:tcW w:w="3261" w:type="dxa"/>
            <w:vAlign w:val="top"/>
          </w:tcPr>
          <w:p w14:paraId="326049D2"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r w:rsidR="00E45705" w:rsidRPr="00FC7F6A" w14:paraId="73C77A6D" w14:textId="77777777" w:rsidTr="00E45705">
        <w:trPr>
          <w:trHeight w:val="244"/>
        </w:trPr>
        <w:tc>
          <w:tcPr>
            <w:cnfStyle w:val="001000000000" w:firstRow="0" w:lastRow="0" w:firstColumn="1" w:lastColumn="0" w:oddVBand="0" w:evenVBand="0" w:oddHBand="0" w:evenHBand="0" w:firstRowFirstColumn="0" w:firstRowLastColumn="0" w:lastRowFirstColumn="0" w:lastRowLastColumn="0"/>
            <w:tcW w:w="739" w:type="dxa"/>
            <w:vAlign w:val="top"/>
          </w:tcPr>
          <w:p w14:paraId="27DBC9EA"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2.4</w:t>
            </w:r>
          </w:p>
        </w:tc>
        <w:tc>
          <w:tcPr>
            <w:tcW w:w="2440" w:type="dxa"/>
            <w:vAlign w:val="top"/>
          </w:tcPr>
          <w:p w14:paraId="35DDD64C"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 xml:space="preserve">If </w:t>
            </w:r>
            <w:r w:rsidRPr="00FC7F6A">
              <w:rPr>
                <w:rFonts w:asciiTheme="minorHAnsi" w:hAnsiTheme="minorHAnsi" w:cs="Arial"/>
                <w:b/>
                <w:bCs/>
                <w:szCs w:val="18"/>
                <w:u w:val="single"/>
              </w:rPr>
              <w:t>Mentoring</w:t>
            </w:r>
            <w:r w:rsidRPr="00FC7F6A">
              <w:rPr>
                <w:rFonts w:asciiTheme="minorHAnsi" w:hAnsiTheme="minorHAnsi" w:cs="Arial"/>
                <w:b/>
                <w:bCs/>
                <w:szCs w:val="18"/>
              </w:rPr>
              <w:t xml:space="preserve"> was a focus of MEAST funding, did it improve access to a variety of quality mentoring opportunities?</w:t>
            </w:r>
          </w:p>
        </w:tc>
        <w:tc>
          <w:tcPr>
            <w:tcW w:w="7624" w:type="dxa"/>
            <w:vAlign w:val="top"/>
          </w:tcPr>
          <w:p w14:paraId="1A72F59B"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MEAST initiatives increased the range of mentoring options available?</w:t>
            </w:r>
          </w:p>
          <w:p w14:paraId="47450689"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MEAST initiatives led to more young people aged 15-19 years accessing mentoring opportunities?</w:t>
            </w:r>
          </w:p>
          <w:p w14:paraId="3E189DB2"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MEAST initiatives led to improved equity of access to mentoring opportunities? i.e. greater proportion accessed by indigenous and at risk young people</w:t>
            </w:r>
          </w:p>
          <w:p w14:paraId="51668D08"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Is there evidence (including case studies) that Mentoring initiatives improved participation, engagement, attainment and transition outcomes?</w:t>
            </w:r>
          </w:p>
          <w:p w14:paraId="663D3DCD"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lastRenderedPageBreak/>
              <w:t>Are there barriers to implementing mentoring initiatives and progress on planned initiatives that is impacting access to mentoring opportunities?</w:t>
            </w:r>
          </w:p>
        </w:tc>
        <w:tc>
          <w:tcPr>
            <w:tcW w:w="3261" w:type="dxa"/>
            <w:vAlign w:val="top"/>
          </w:tcPr>
          <w:p w14:paraId="5678CFC4" w14:textId="77777777" w:rsidR="00E45705" w:rsidRPr="00FC7F6A" w:rsidRDefault="00E45705" w:rsidP="00FC7F6A">
            <w:pPr>
              <w:pStyle w:val="ListParagraph"/>
              <w:numPr>
                <w:ilvl w:val="0"/>
                <w:numId w:val="30"/>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lastRenderedPageBreak/>
              <w:t>As above</w:t>
            </w:r>
          </w:p>
        </w:tc>
      </w:tr>
      <w:tr w:rsidR="00E45705" w:rsidRPr="00FC7F6A" w14:paraId="54DA0A11" w14:textId="77777777" w:rsidTr="00E45705">
        <w:trPr>
          <w:trHeight w:val="777"/>
        </w:trPr>
        <w:tc>
          <w:tcPr>
            <w:cnfStyle w:val="001000000000" w:firstRow="0" w:lastRow="0" w:firstColumn="1" w:lastColumn="0" w:oddVBand="0" w:evenVBand="0" w:oddHBand="0" w:evenHBand="0" w:firstRowFirstColumn="0" w:firstRowLastColumn="0" w:lastRowFirstColumn="0" w:lastRowLastColumn="0"/>
            <w:tcW w:w="739" w:type="dxa"/>
            <w:vAlign w:val="top"/>
          </w:tcPr>
          <w:p w14:paraId="46B09AD6"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lastRenderedPageBreak/>
              <w:t>2.5</w:t>
            </w:r>
          </w:p>
        </w:tc>
        <w:tc>
          <w:tcPr>
            <w:tcW w:w="2440" w:type="dxa"/>
            <w:vAlign w:val="top"/>
          </w:tcPr>
          <w:p w14:paraId="0030EBAC"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What’s working well? Why? What could work better? How?</w:t>
            </w:r>
          </w:p>
        </w:tc>
        <w:tc>
          <w:tcPr>
            <w:tcW w:w="7624" w:type="dxa"/>
            <w:vAlign w:val="top"/>
          </w:tcPr>
          <w:p w14:paraId="6FCDD67C"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46AA4B4F"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the most significant benefits?</w:t>
            </w:r>
          </w:p>
          <w:p w14:paraId="0E17EC18"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unintended outcomes or other benefits? </w:t>
            </w:r>
          </w:p>
          <w:p w14:paraId="46C918C1"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critical success factors?</w:t>
            </w:r>
          </w:p>
          <w:p w14:paraId="2BC77B42"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major barriers to achieving desired outcomes?</w:t>
            </w:r>
          </w:p>
          <w:p w14:paraId="1ED04FF8"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what can be done to address the barriers?</w:t>
            </w:r>
          </w:p>
        </w:tc>
        <w:tc>
          <w:tcPr>
            <w:tcW w:w="3261" w:type="dxa"/>
            <w:vAlign w:val="top"/>
          </w:tcPr>
          <w:p w14:paraId="3898B164" w14:textId="77777777" w:rsidR="00E45705" w:rsidRPr="00FC7F6A" w:rsidRDefault="00E45705" w:rsidP="00FC7F6A">
            <w:pPr>
              <w:pStyle w:val="ListParagraph"/>
              <w:numPr>
                <w:ilvl w:val="0"/>
                <w:numId w:val="30"/>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r w:rsidR="00E45705" w:rsidRPr="00FC7F6A" w14:paraId="47015743"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4BC1059E"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Is it appropriate?</w:t>
            </w:r>
          </w:p>
        </w:tc>
      </w:tr>
      <w:tr w:rsidR="00E45705" w:rsidRPr="00FC7F6A" w14:paraId="4614B69B"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197D8F84"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2.6</w:t>
            </w:r>
          </w:p>
        </w:tc>
        <w:tc>
          <w:tcPr>
            <w:tcW w:w="2440" w:type="dxa"/>
            <w:vAlign w:val="top"/>
          </w:tcPr>
          <w:p w14:paraId="00F77D32"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Is MEAST consistent with NP objectives?</w:t>
            </w:r>
          </w:p>
        </w:tc>
        <w:tc>
          <w:tcPr>
            <w:tcW w:w="7624" w:type="dxa"/>
            <w:vAlign w:val="top"/>
          </w:tcPr>
          <w:p w14:paraId="318A8A2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2AE2F3B4"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Translation of NP objectives into MEAST objectives?</w:t>
            </w:r>
          </w:p>
          <w:p w14:paraId="5FAC1732"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Inconsistencies or gaps?</w:t>
            </w:r>
          </w:p>
        </w:tc>
        <w:tc>
          <w:tcPr>
            <w:tcW w:w="3261" w:type="dxa"/>
            <w:vAlign w:val="top"/>
          </w:tcPr>
          <w:p w14:paraId="6802B057"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4A33F397" w14:textId="77777777" w:rsidR="00E45705" w:rsidRPr="00FC7F6A" w:rsidRDefault="00E45705" w:rsidP="00E45705">
            <w:pPr>
              <w:tabs>
                <w:tab w:val="right" w:pos="8930"/>
              </w:tabs>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p>
        </w:tc>
      </w:tr>
      <w:tr w:rsidR="00E45705" w:rsidRPr="00FC7F6A" w14:paraId="7AAF50A3"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23AE2E7A"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2.7</w:t>
            </w:r>
          </w:p>
        </w:tc>
        <w:tc>
          <w:tcPr>
            <w:tcW w:w="2440" w:type="dxa"/>
            <w:vAlign w:val="top"/>
          </w:tcPr>
          <w:p w14:paraId="6C39D3D0"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highlight w:val="yellow"/>
              </w:rPr>
            </w:pPr>
            <w:r w:rsidRPr="00FC7F6A">
              <w:rPr>
                <w:rFonts w:asciiTheme="minorHAnsi" w:hAnsiTheme="minorHAnsi" w:cs="Arial"/>
                <w:b/>
                <w:bCs/>
                <w:szCs w:val="18"/>
              </w:rPr>
              <w:t>Does MEAST address areas of need?</w:t>
            </w:r>
          </w:p>
        </w:tc>
        <w:tc>
          <w:tcPr>
            <w:tcW w:w="7624" w:type="dxa"/>
            <w:vAlign w:val="top"/>
          </w:tcPr>
          <w:p w14:paraId="017FB612"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there any unmet needs that should be considered?</w:t>
            </w:r>
          </w:p>
        </w:tc>
        <w:tc>
          <w:tcPr>
            <w:tcW w:w="3261" w:type="dxa"/>
            <w:vAlign w:val="top"/>
          </w:tcPr>
          <w:p w14:paraId="1B788C69"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representatives and other sector representatives</w:t>
            </w:r>
          </w:p>
        </w:tc>
      </w:tr>
      <w:tr w:rsidR="00E45705" w:rsidRPr="00FC7F6A" w14:paraId="67804001"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32B58745"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2.8</w:t>
            </w:r>
          </w:p>
        </w:tc>
        <w:tc>
          <w:tcPr>
            <w:tcW w:w="2440" w:type="dxa"/>
            <w:vAlign w:val="top"/>
          </w:tcPr>
          <w:p w14:paraId="791342A5"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highlight w:val="yellow"/>
              </w:rPr>
            </w:pPr>
            <w:r w:rsidRPr="00FC7F6A">
              <w:rPr>
                <w:rFonts w:asciiTheme="minorHAnsi" w:hAnsiTheme="minorHAnsi" w:cs="Arial"/>
                <w:b/>
                <w:bCs/>
                <w:szCs w:val="18"/>
              </w:rPr>
              <w:t>Does MEAST complement other programs and initiatives targeting similar outcomes?</w:t>
            </w:r>
          </w:p>
        </w:tc>
        <w:tc>
          <w:tcPr>
            <w:tcW w:w="7624" w:type="dxa"/>
            <w:vAlign w:val="top"/>
          </w:tcPr>
          <w:p w14:paraId="72F0B950"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18021831"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Alignment of the YAT NP with MEAST initiatives? </w:t>
            </w:r>
          </w:p>
          <w:p w14:paraId="2366D975"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Inconsistencies or gaps?</w:t>
            </w:r>
          </w:p>
        </w:tc>
        <w:tc>
          <w:tcPr>
            <w:tcW w:w="3261" w:type="dxa"/>
            <w:vAlign w:val="top"/>
          </w:tcPr>
          <w:p w14:paraId="3BB1262F"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1612BA42" w14:textId="77777777" w:rsidR="00E45705" w:rsidRPr="00FC7F6A" w:rsidRDefault="00E45705" w:rsidP="00E45705">
            <w:pPr>
              <w:autoSpaceDE w:val="0"/>
              <w:autoSpaceDN w:val="0"/>
              <w:adjustRightInd w:val="0"/>
              <w:spacing w:before="60" w:after="60"/>
              <w:ind w:left="12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i/>
                <w:szCs w:val="18"/>
                <w:highlight w:val="yellow"/>
              </w:rPr>
            </w:pPr>
          </w:p>
        </w:tc>
      </w:tr>
      <w:tr w:rsidR="00E45705" w:rsidRPr="00FC7F6A" w14:paraId="12663E0B"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3E2451E3" w14:textId="77777777" w:rsidR="00E45705" w:rsidRPr="00FC7F6A" w:rsidRDefault="00E45705" w:rsidP="00E45705">
            <w:pPr>
              <w:tabs>
                <w:tab w:val="right" w:pos="8930"/>
              </w:tabs>
              <w:spacing w:before="60" w:after="60"/>
              <w:ind w:left="142"/>
              <w:rPr>
                <w:rFonts w:asciiTheme="minorHAnsi" w:hAnsiTheme="minorHAnsi" w:cs="Arial"/>
                <w:color w:val="auto"/>
                <w:szCs w:val="18"/>
                <w:highlight w:val="yellow"/>
              </w:rPr>
            </w:pPr>
            <w:r w:rsidRPr="00FC7F6A">
              <w:rPr>
                <w:rFonts w:asciiTheme="minorHAnsi" w:hAnsiTheme="minorHAnsi" w:cs="Arial"/>
                <w:bCs/>
                <w:color w:val="auto"/>
                <w:szCs w:val="18"/>
              </w:rPr>
              <w:t>Is the element well governed and implemented?</w:t>
            </w:r>
          </w:p>
        </w:tc>
      </w:tr>
      <w:tr w:rsidR="00E45705" w:rsidRPr="00FC7F6A" w14:paraId="30A9099E" w14:textId="77777777" w:rsidTr="00E45705">
        <w:trPr>
          <w:trHeight w:val="738"/>
        </w:trPr>
        <w:tc>
          <w:tcPr>
            <w:cnfStyle w:val="001000000000" w:firstRow="0" w:lastRow="0" w:firstColumn="1" w:lastColumn="0" w:oddVBand="0" w:evenVBand="0" w:oddHBand="0" w:evenHBand="0" w:firstRowFirstColumn="0" w:firstRowLastColumn="0" w:lastRowFirstColumn="0" w:lastRowLastColumn="0"/>
            <w:tcW w:w="739" w:type="dxa"/>
            <w:vAlign w:val="top"/>
          </w:tcPr>
          <w:p w14:paraId="7766F7E5"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2.9</w:t>
            </w:r>
          </w:p>
        </w:tc>
        <w:tc>
          <w:tcPr>
            <w:tcW w:w="2440" w:type="dxa"/>
            <w:vAlign w:val="top"/>
          </w:tcPr>
          <w:p w14:paraId="44410C78"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How well have stakeholders collaborated on the design and delivery of this element?</w:t>
            </w:r>
          </w:p>
        </w:tc>
        <w:tc>
          <w:tcPr>
            <w:tcW w:w="7624" w:type="dxa"/>
            <w:vAlign w:val="top"/>
          </w:tcPr>
          <w:p w14:paraId="0E88303D"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19AF4311"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Collaboration to support program delivery/implementation?</w:t>
            </w:r>
          </w:p>
          <w:p w14:paraId="73ACB1C6"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Knowledge sharing across elements and stakeholders?</w:t>
            </w:r>
          </w:p>
          <w:p w14:paraId="432CE786" w14:textId="77777777" w:rsidR="00E45705" w:rsidRPr="00FC7F6A" w:rsidRDefault="00E45705" w:rsidP="00E45705">
            <w:p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p>
        </w:tc>
        <w:tc>
          <w:tcPr>
            <w:tcW w:w="3261" w:type="dxa"/>
            <w:vAlign w:val="top"/>
          </w:tcPr>
          <w:p w14:paraId="2CBADD6B"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17CD0E44" w14:textId="77777777" w:rsidR="00E45705" w:rsidRPr="00FC7F6A" w:rsidRDefault="00E45705" w:rsidP="00E45705">
            <w:pPr>
              <w:ind w:lef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highlight w:val="yellow"/>
              </w:rPr>
            </w:pPr>
          </w:p>
        </w:tc>
      </w:tr>
      <w:tr w:rsidR="00E45705" w:rsidRPr="00FC7F6A" w14:paraId="7D133050" w14:textId="77777777" w:rsidTr="00E45705">
        <w:trPr>
          <w:trHeight w:val="248"/>
        </w:trPr>
        <w:tc>
          <w:tcPr>
            <w:cnfStyle w:val="001000000000" w:firstRow="0" w:lastRow="0" w:firstColumn="1" w:lastColumn="0" w:oddVBand="0" w:evenVBand="0" w:oddHBand="0" w:evenHBand="0" w:firstRowFirstColumn="0" w:firstRowLastColumn="0" w:lastRowFirstColumn="0" w:lastRowLastColumn="0"/>
            <w:tcW w:w="739" w:type="dxa"/>
            <w:vAlign w:val="top"/>
          </w:tcPr>
          <w:p w14:paraId="5FE2ADBD"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2.10</w:t>
            </w:r>
          </w:p>
        </w:tc>
        <w:tc>
          <w:tcPr>
            <w:tcW w:w="2440" w:type="dxa"/>
            <w:vAlign w:val="top"/>
          </w:tcPr>
          <w:p w14:paraId="16302678"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Is governance of the element working effectively?</w:t>
            </w:r>
          </w:p>
        </w:tc>
        <w:tc>
          <w:tcPr>
            <w:tcW w:w="7624" w:type="dxa"/>
            <w:vAlign w:val="top"/>
          </w:tcPr>
          <w:p w14:paraId="50409845"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 the aspects of the governance arrangements that are working well or could be improved?</w:t>
            </w:r>
          </w:p>
        </w:tc>
        <w:tc>
          <w:tcPr>
            <w:tcW w:w="3261" w:type="dxa"/>
            <w:vAlign w:val="top"/>
          </w:tcPr>
          <w:p w14:paraId="591E5E44"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 xml:space="preserve">As above </w:t>
            </w:r>
          </w:p>
        </w:tc>
      </w:tr>
      <w:tr w:rsidR="00E45705" w:rsidRPr="00FC7F6A" w14:paraId="3359812C"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6431768E"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2.11</w:t>
            </w:r>
          </w:p>
        </w:tc>
        <w:tc>
          <w:tcPr>
            <w:tcW w:w="2440" w:type="dxa"/>
            <w:vAlign w:val="top"/>
          </w:tcPr>
          <w:p w14:paraId="589E0B6A"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How well is performance reporting working?</w:t>
            </w:r>
          </w:p>
        </w:tc>
        <w:tc>
          <w:tcPr>
            <w:tcW w:w="7624" w:type="dxa"/>
            <w:vAlign w:val="top"/>
          </w:tcPr>
          <w:p w14:paraId="4228B594"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u w:val="single"/>
              </w:rPr>
            </w:pPr>
            <w:r w:rsidRPr="00FC7F6A">
              <w:rPr>
                <w:rFonts w:asciiTheme="minorHAnsi" w:hAnsiTheme="minorHAnsi" w:cs="Arial"/>
                <w:bCs/>
                <w:szCs w:val="18"/>
              </w:rPr>
              <w:t>Have the performance reporting issues identified in year one of the evaluation been addressed?</w:t>
            </w:r>
          </w:p>
        </w:tc>
        <w:tc>
          <w:tcPr>
            <w:tcW w:w="3261" w:type="dxa"/>
            <w:vAlign w:val="top"/>
          </w:tcPr>
          <w:p w14:paraId="2ECAC0F7"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r w:rsidR="00E45705" w:rsidRPr="00FC7F6A" w14:paraId="783549F1"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0BBD4CBB"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Looking ahead…</w:t>
            </w:r>
          </w:p>
        </w:tc>
      </w:tr>
      <w:tr w:rsidR="00E45705" w:rsidRPr="00FC7F6A" w14:paraId="4134AF63"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2F62A29B"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2.12</w:t>
            </w:r>
          </w:p>
        </w:tc>
        <w:tc>
          <w:tcPr>
            <w:tcW w:w="2440" w:type="dxa"/>
            <w:vAlign w:val="top"/>
          </w:tcPr>
          <w:p w14:paraId="7604D81E"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for the NP?</w:t>
            </w:r>
          </w:p>
        </w:tc>
        <w:tc>
          <w:tcPr>
            <w:tcW w:w="7624" w:type="dxa"/>
            <w:vAlign w:val="top"/>
          </w:tcPr>
          <w:p w14:paraId="32E3DF80"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refinements need to be made in the last year of the NP?</w:t>
            </w:r>
          </w:p>
        </w:tc>
        <w:tc>
          <w:tcPr>
            <w:tcW w:w="3261" w:type="dxa"/>
            <w:vAlign w:val="top"/>
          </w:tcPr>
          <w:p w14:paraId="6B01FADA"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460176BB"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education authorities, and sector representatives</w:t>
            </w:r>
          </w:p>
        </w:tc>
      </w:tr>
      <w:tr w:rsidR="00E45705" w:rsidRPr="00FC7F6A" w14:paraId="747852EC"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1D393F6F"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2.13</w:t>
            </w:r>
          </w:p>
        </w:tc>
        <w:tc>
          <w:tcPr>
            <w:tcW w:w="2440" w:type="dxa"/>
            <w:vAlign w:val="top"/>
          </w:tcPr>
          <w:p w14:paraId="38435054"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beyond the NP?</w:t>
            </w:r>
          </w:p>
        </w:tc>
        <w:tc>
          <w:tcPr>
            <w:tcW w:w="7624" w:type="dxa"/>
            <w:vAlign w:val="top"/>
          </w:tcPr>
          <w:p w14:paraId="096D798A"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Are there factors that influence youth attainment and transition outcomes that are not addressed by the NP?</w:t>
            </w:r>
          </w:p>
          <w:p w14:paraId="47DC6080"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options are there to achieve MEAST objectives and outcomes following the conclusion of the NP?</w:t>
            </w:r>
          </w:p>
        </w:tc>
        <w:tc>
          <w:tcPr>
            <w:tcW w:w="3261" w:type="dxa"/>
            <w:vAlign w:val="top"/>
          </w:tcPr>
          <w:p w14:paraId="6C6EDF45"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education authorities, and sector representatives</w:t>
            </w:r>
          </w:p>
        </w:tc>
      </w:tr>
    </w:tbl>
    <w:p w14:paraId="4712277D" w14:textId="77777777" w:rsidR="00E45705" w:rsidRDefault="00E45705" w:rsidP="00E45705">
      <w:pPr>
        <w:pStyle w:val="Heading1"/>
        <w:pageBreakBefore w:val="0"/>
        <w:numPr>
          <w:ilvl w:val="0"/>
          <w:numId w:val="0"/>
        </w:numPr>
        <w:spacing w:before="120" w:after="120" w:line="240" w:lineRule="atLeast"/>
        <w:ind w:left="432"/>
        <w:rPr>
          <w:rFonts w:ascii="Arial" w:hAnsi="Arial" w:cs="Arial"/>
        </w:rPr>
      </w:pPr>
    </w:p>
    <w:p w14:paraId="1E81B4B6" w14:textId="77777777" w:rsidR="00870B93" w:rsidRDefault="00870B93">
      <w:pPr>
        <w:spacing w:line="380" w:lineRule="atLeast"/>
        <w:rPr>
          <w:rFonts w:eastAsiaTheme="majorEastAsia" w:cstheme="majorBidi"/>
          <w:b/>
          <w:bCs/>
          <w:color w:val="808080"/>
          <w:sz w:val="24"/>
        </w:rPr>
      </w:pPr>
      <w:r>
        <w:br w:type="page"/>
      </w:r>
    </w:p>
    <w:p w14:paraId="70FE7CD6" w14:textId="77777777" w:rsidR="00E45705" w:rsidRPr="00906FF4" w:rsidRDefault="00E45705" w:rsidP="00E45705">
      <w:pPr>
        <w:pStyle w:val="Heading3NoNumbering"/>
      </w:pPr>
      <w:r>
        <w:t xml:space="preserve">3. </w:t>
      </w:r>
      <w:r w:rsidRPr="00906FF4">
        <w:t>School Business Community Partnership Brokers</w:t>
      </w:r>
    </w:p>
    <w:tbl>
      <w:tblPr>
        <w:tblStyle w:val="DandoloTableCentred"/>
        <w:tblW w:w="14064" w:type="dxa"/>
        <w:tblLook w:val="00A0" w:firstRow="1" w:lastRow="0" w:firstColumn="1" w:lastColumn="0" w:noHBand="0" w:noVBand="0"/>
        <w:tblCaption w:val="Year 2 Evaluation Framework - School Business Community Partnership Brokers research method"/>
        <w:tblDescription w:val="Year 2 Evaluation Framework - School Business Community Partnership Brokers research method"/>
      </w:tblPr>
      <w:tblGrid>
        <w:gridCol w:w="2440"/>
        <w:gridCol w:w="5245"/>
        <w:gridCol w:w="2551"/>
        <w:gridCol w:w="3828"/>
      </w:tblGrid>
      <w:tr w:rsidR="00E45705" w:rsidRPr="00FC7F6A" w14:paraId="5B09F0CD"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vAlign w:val="top"/>
          </w:tcPr>
          <w:p w14:paraId="6E080BF6" w14:textId="77777777" w:rsidR="00E45705" w:rsidRPr="00FC7F6A" w:rsidRDefault="00E45705" w:rsidP="00E45705">
            <w:pPr>
              <w:spacing w:before="60" w:after="60"/>
              <w:ind w:left="142" w:right="142"/>
              <w:rPr>
                <w:rFonts w:asciiTheme="minorHAnsi" w:hAnsiTheme="minorHAnsi" w:cs="Arial"/>
                <w:b w:val="0"/>
                <w:color w:val="auto"/>
                <w:szCs w:val="18"/>
              </w:rPr>
            </w:pPr>
            <w:r w:rsidRPr="00FC7F6A">
              <w:rPr>
                <w:rFonts w:asciiTheme="minorHAnsi" w:hAnsiTheme="minorHAnsi" w:cs="Arial"/>
                <w:b w:val="0"/>
                <w:color w:val="auto"/>
                <w:szCs w:val="18"/>
              </w:rPr>
              <w:t>Research method:</w:t>
            </w:r>
          </w:p>
        </w:tc>
        <w:tc>
          <w:tcPr>
            <w:tcW w:w="5245" w:type="dxa"/>
            <w:vAlign w:val="top"/>
          </w:tcPr>
          <w:p w14:paraId="45BFBDB3"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Stakeholder engagement</w:t>
            </w:r>
          </w:p>
        </w:tc>
        <w:tc>
          <w:tcPr>
            <w:tcW w:w="2551" w:type="dxa"/>
            <w:vAlign w:val="top"/>
          </w:tcPr>
          <w:p w14:paraId="67DD5411"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Data analysis </w:t>
            </w:r>
          </w:p>
        </w:tc>
        <w:tc>
          <w:tcPr>
            <w:tcW w:w="3828" w:type="dxa"/>
            <w:vAlign w:val="top"/>
          </w:tcPr>
          <w:p w14:paraId="30EEFA6D"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Literature review </w:t>
            </w:r>
          </w:p>
        </w:tc>
      </w:tr>
      <w:tr w:rsidR="00E45705" w:rsidRPr="00FC7F6A" w14:paraId="00F6F653" w14:textId="77777777" w:rsidTr="00E45705">
        <w:trPr>
          <w:trHeight w:val="1333"/>
        </w:trPr>
        <w:tc>
          <w:tcPr>
            <w:cnfStyle w:val="001000000000" w:firstRow="0" w:lastRow="0" w:firstColumn="1" w:lastColumn="0" w:oddVBand="0" w:evenVBand="0" w:oddHBand="0" w:evenHBand="0" w:firstRowFirstColumn="0" w:firstRowLastColumn="0" w:lastRowFirstColumn="0" w:lastRowLastColumn="0"/>
            <w:tcW w:w="2440" w:type="dxa"/>
            <w:vAlign w:val="top"/>
          </w:tcPr>
          <w:p w14:paraId="2767D412" w14:textId="77777777" w:rsidR="00E45705" w:rsidRPr="00FC7F6A" w:rsidRDefault="00E45705" w:rsidP="00E45705">
            <w:pPr>
              <w:spacing w:before="60" w:after="60"/>
              <w:ind w:left="142" w:right="142"/>
              <w:rPr>
                <w:rFonts w:asciiTheme="minorHAnsi" w:hAnsiTheme="minorHAnsi" w:cs="Arial"/>
                <w:b w:val="0"/>
                <w:bCs/>
                <w:color w:val="auto"/>
                <w:szCs w:val="18"/>
              </w:rPr>
            </w:pPr>
            <w:r w:rsidRPr="00FC7F6A">
              <w:rPr>
                <w:rFonts w:asciiTheme="minorHAnsi" w:hAnsiTheme="minorHAnsi" w:cs="Arial"/>
                <w:b w:val="0"/>
                <w:bCs/>
                <w:color w:val="auto"/>
                <w:szCs w:val="18"/>
              </w:rPr>
              <w:t>Sources of data:</w:t>
            </w:r>
          </w:p>
          <w:p w14:paraId="553F8A15" w14:textId="77777777" w:rsidR="00E45705" w:rsidRPr="00FC7F6A" w:rsidRDefault="00E45705" w:rsidP="00E45705">
            <w:pPr>
              <w:spacing w:before="60" w:after="60"/>
              <w:ind w:left="142" w:right="142"/>
              <w:rPr>
                <w:rFonts w:asciiTheme="minorHAnsi" w:hAnsiTheme="minorHAnsi" w:cs="Arial"/>
                <w:b w:val="0"/>
                <w:szCs w:val="18"/>
              </w:rPr>
            </w:pPr>
          </w:p>
        </w:tc>
        <w:tc>
          <w:tcPr>
            <w:tcW w:w="5245" w:type="dxa"/>
            <w:vAlign w:val="top"/>
          </w:tcPr>
          <w:p w14:paraId="01A135C7"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DEEWR – national and regional managers and staff</w:t>
            </w:r>
          </w:p>
          <w:p w14:paraId="2098C738"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States and territory education and training departments</w:t>
            </w:r>
          </w:p>
          <w:p w14:paraId="201F8477"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Catholic and Independent school sectors</w:t>
            </w:r>
          </w:p>
          <w:p w14:paraId="74299564"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Business and industry sector representatives</w:t>
            </w:r>
          </w:p>
          <w:p w14:paraId="7A5522CF"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Community and youth sector representatives</w:t>
            </w:r>
          </w:p>
          <w:p w14:paraId="2F256300"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Partnership Brokers</w:t>
            </w:r>
          </w:p>
          <w:p w14:paraId="4853BDF5"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Expert panel</w:t>
            </w:r>
          </w:p>
        </w:tc>
        <w:tc>
          <w:tcPr>
            <w:tcW w:w="2551" w:type="dxa"/>
            <w:vAlign w:val="top"/>
          </w:tcPr>
          <w:p w14:paraId="4FAB3A5E" w14:textId="77777777" w:rsidR="00E45705" w:rsidRPr="00FC7F6A" w:rsidRDefault="00E45705" w:rsidP="00FC7F6A">
            <w:pPr>
              <w:pStyle w:val="ListParagraph"/>
              <w:numPr>
                <w:ilvl w:val="0"/>
                <w:numId w:val="31"/>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YATMIS</w:t>
            </w:r>
          </w:p>
          <w:p w14:paraId="76EB043B" w14:textId="77777777" w:rsidR="00E45705" w:rsidRPr="00FC7F6A" w:rsidRDefault="00E45705" w:rsidP="00FC7F6A">
            <w:pPr>
              <w:pStyle w:val="ListParagraph"/>
              <w:numPr>
                <w:ilvl w:val="0"/>
                <w:numId w:val="31"/>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PB Survey (conducted by DEEWR with input from dandolo)</w:t>
            </w:r>
          </w:p>
          <w:p w14:paraId="310E54B4" w14:textId="77777777" w:rsidR="00E45705" w:rsidRPr="00FC7F6A" w:rsidRDefault="00E45705" w:rsidP="00FC7F6A">
            <w:pPr>
              <w:pStyle w:val="ListParagraph"/>
              <w:numPr>
                <w:ilvl w:val="0"/>
                <w:numId w:val="31"/>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Partner Survey (conducted by DEEWR with input from dandolo)</w:t>
            </w:r>
          </w:p>
          <w:p w14:paraId="0DD44E3E" w14:textId="77777777" w:rsidR="00E45705" w:rsidRPr="00FC7F6A" w:rsidRDefault="00E45705" w:rsidP="00FC7F6A">
            <w:pPr>
              <w:pStyle w:val="ListParagraph"/>
              <w:numPr>
                <w:ilvl w:val="0"/>
                <w:numId w:val="31"/>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LLEN data (Vic)</w:t>
            </w:r>
          </w:p>
        </w:tc>
        <w:tc>
          <w:tcPr>
            <w:tcW w:w="3828" w:type="dxa"/>
            <w:vAlign w:val="top"/>
          </w:tcPr>
          <w:p w14:paraId="24CA53A0" w14:textId="77777777" w:rsidR="00E45705" w:rsidRPr="00FC7F6A" w:rsidRDefault="00E45705" w:rsidP="00FC7F6A">
            <w:pPr>
              <w:pStyle w:val="ListParagraph"/>
              <w:numPr>
                <w:ilvl w:val="0"/>
                <w:numId w:val="31"/>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(e.g. outcome reports, survey results), MWG and non-government education authorities</w:t>
            </w:r>
          </w:p>
        </w:tc>
      </w:tr>
    </w:tbl>
    <w:p w14:paraId="1D546F6C" w14:textId="77777777" w:rsidR="00E45705" w:rsidRPr="00FC7F6A" w:rsidRDefault="00E45705" w:rsidP="00E45705">
      <w:pPr>
        <w:rPr>
          <w:rFonts w:asciiTheme="minorHAnsi" w:hAnsiTheme="minorHAnsi" w:cs="Arial"/>
          <w:sz w:val="18"/>
          <w:szCs w:val="18"/>
        </w:rPr>
      </w:pPr>
    </w:p>
    <w:tbl>
      <w:tblPr>
        <w:tblStyle w:val="DandoloTableCentred"/>
        <w:tblW w:w="14064" w:type="dxa"/>
        <w:tblLook w:val="00A0" w:firstRow="1" w:lastRow="0" w:firstColumn="1" w:lastColumn="0" w:noHBand="0" w:noVBand="0"/>
        <w:tblCaption w:val="Year 2 Evaluation Framework - School Business Community Partnership Brokers research questions"/>
        <w:tblDescription w:val="Year 2 Evaluation Framework - School Business Community Partnership Brokers research questions"/>
      </w:tblPr>
      <w:tblGrid>
        <w:gridCol w:w="945"/>
        <w:gridCol w:w="2417"/>
        <w:gridCol w:w="6869"/>
        <w:gridCol w:w="3833"/>
      </w:tblGrid>
      <w:tr w:rsidR="00E45705" w:rsidRPr="00FC7F6A" w14:paraId="03A489C2"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dxa"/>
            <w:gridSpan w:val="2"/>
            <w:vAlign w:val="top"/>
          </w:tcPr>
          <w:p w14:paraId="4B434E96"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color w:val="auto"/>
                <w:szCs w:val="18"/>
              </w:rPr>
              <w:t>Question</w:t>
            </w:r>
          </w:p>
        </w:tc>
        <w:tc>
          <w:tcPr>
            <w:tcW w:w="6869" w:type="dxa"/>
            <w:vAlign w:val="top"/>
          </w:tcPr>
          <w:p w14:paraId="702AB95A"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Sub-questions</w:t>
            </w:r>
          </w:p>
        </w:tc>
        <w:tc>
          <w:tcPr>
            <w:tcW w:w="3833" w:type="dxa"/>
            <w:vAlign w:val="top"/>
          </w:tcPr>
          <w:p w14:paraId="3215A696"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Data sources </w:t>
            </w:r>
          </w:p>
        </w:tc>
      </w:tr>
      <w:tr w:rsidR="00E45705" w:rsidRPr="00FC7F6A" w14:paraId="3A24167A"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5A4592F8"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What is happening?</w:t>
            </w:r>
          </w:p>
        </w:tc>
      </w:tr>
      <w:tr w:rsidR="00E45705" w:rsidRPr="00FC7F6A" w14:paraId="35651893" w14:textId="77777777" w:rsidTr="00E45705">
        <w:trPr>
          <w:trHeight w:val="1423"/>
        </w:trPr>
        <w:tc>
          <w:tcPr>
            <w:cnfStyle w:val="001000000000" w:firstRow="0" w:lastRow="0" w:firstColumn="1" w:lastColumn="0" w:oddVBand="0" w:evenVBand="0" w:oddHBand="0" w:evenHBand="0" w:firstRowFirstColumn="0" w:firstRowLastColumn="0" w:lastRowFirstColumn="0" w:lastRowLastColumn="0"/>
            <w:tcW w:w="945" w:type="dxa"/>
            <w:vAlign w:val="top"/>
          </w:tcPr>
          <w:p w14:paraId="157F0CC1"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3.1</w:t>
            </w:r>
          </w:p>
        </w:tc>
        <w:tc>
          <w:tcPr>
            <w:tcW w:w="2417" w:type="dxa"/>
            <w:vAlign w:val="top"/>
          </w:tcPr>
          <w:p w14:paraId="46191810"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highlight w:val="yellow"/>
              </w:rPr>
            </w:pPr>
            <w:r w:rsidRPr="00FC7F6A">
              <w:rPr>
                <w:rFonts w:asciiTheme="minorHAnsi" w:hAnsiTheme="minorHAnsi" w:cs="Arial"/>
                <w:b/>
                <w:bCs/>
                <w:szCs w:val="18"/>
              </w:rPr>
              <w:t>What activity is being generated under the Partnership Broker element?</w:t>
            </w:r>
            <w:r w:rsidRPr="00FC7F6A">
              <w:rPr>
                <w:rFonts w:asciiTheme="minorHAnsi" w:hAnsiTheme="minorHAnsi" w:cs="Arial"/>
                <w:b/>
                <w:szCs w:val="18"/>
                <w:highlight w:val="yellow"/>
              </w:rPr>
              <w:t xml:space="preserve"> </w:t>
            </w:r>
          </w:p>
        </w:tc>
        <w:tc>
          <w:tcPr>
            <w:tcW w:w="6869" w:type="dxa"/>
            <w:vAlign w:val="top"/>
          </w:tcPr>
          <w:p w14:paraId="4BBCF062"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2A5EBFE3" w14:textId="77777777" w:rsidR="00E45705" w:rsidRPr="00FC7F6A" w:rsidRDefault="00E45705" w:rsidP="00FC7F6A">
            <w:pPr>
              <w:pStyle w:val="ListParagraph"/>
              <w:numPr>
                <w:ilvl w:val="1"/>
                <w:numId w:val="30"/>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Number (and type) of partners?</w:t>
            </w:r>
          </w:p>
          <w:p w14:paraId="0FF42A9B"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Number of partnerships?</w:t>
            </w:r>
          </w:p>
          <w:p w14:paraId="25132632"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Focus of partnerships? (e.g. literacy support)</w:t>
            </w:r>
          </w:p>
        </w:tc>
        <w:tc>
          <w:tcPr>
            <w:tcW w:w="3833" w:type="dxa"/>
            <w:vAlign w:val="top"/>
          </w:tcPr>
          <w:p w14:paraId="6AAD143E"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 – Program report (YATMIS), case studies</w:t>
            </w:r>
          </w:p>
          <w:p w14:paraId="0CEE84B0" w14:textId="77777777" w:rsidR="00E45705" w:rsidRPr="00FC7F6A" w:rsidRDefault="00E45705" w:rsidP="00E45705">
            <w:pPr>
              <w:pStyle w:val="ListParagraph"/>
              <w:autoSpaceDE w:val="0"/>
              <w:autoSpaceDN w:val="0"/>
              <w:adjustRightInd w:val="0"/>
              <w:spacing w:before="60" w:after="60"/>
              <w:ind w:left="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E45705" w:rsidRPr="00FC7F6A" w14:paraId="17B35A11"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026C8191"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Is it working?</w:t>
            </w:r>
          </w:p>
        </w:tc>
      </w:tr>
      <w:tr w:rsidR="00E45705" w:rsidRPr="00FC7F6A" w14:paraId="7B8E7284" w14:textId="77777777" w:rsidTr="00E45705">
        <w:trPr>
          <w:trHeight w:val="531"/>
        </w:trPr>
        <w:tc>
          <w:tcPr>
            <w:cnfStyle w:val="001000000000" w:firstRow="0" w:lastRow="0" w:firstColumn="1" w:lastColumn="0" w:oddVBand="0" w:evenVBand="0" w:oddHBand="0" w:evenHBand="0" w:firstRowFirstColumn="0" w:firstRowLastColumn="0" w:lastRowFirstColumn="0" w:lastRowLastColumn="0"/>
            <w:tcW w:w="945" w:type="dxa"/>
            <w:vAlign w:val="top"/>
          </w:tcPr>
          <w:p w14:paraId="5692EF1B"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3.2</w:t>
            </w:r>
          </w:p>
        </w:tc>
        <w:tc>
          <w:tcPr>
            <w:tcW w:w="2417" w:type="dxa"/>
            <w:vAlign w:val="top"/>
          </w:tcPr>
          <w:p w14:paraId="5DEBC0BD"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 xml:space="preserve">Has the Partnership Brokers element facilitated the establishment of high quality School Business Community Partnerships that link key stakeholders? </w:t>
            </w:r>
          </w:p>
          <w:p w14:paraId="384DFC03"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p>
        </w:tc>
        <w:tc>
          <w:tcPr>
            <w:tcW w:w="6869" w:type="dxa"/>
            <w:vAlign w:val="top"/>
          </w:tcPr>
          <w:p w14:paraId="22C9C167"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310D5CBE"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Progress towards partnership outcomes? (KPM evaluation ratings)</w:t>
            </w:r>
          </w:p>
          <w:p w14:paraId="68ABB412"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Progress towards partnership characteristics outcomes? (KPM evaluation ratings)</w:t>
            </w:r>
          </w:p>
          <w:p w14:paraId="1E280895"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Partnership Brokers’ contribution to partnerships? (PB workshop, partner focus groups)</w:t>
            </w:r>
          </w:p>
          <w:p w14:paraId="00DE0124"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Partnership Brokers’ engagement of education and training providers, business and industry, community groups and parents and families in partnerships? (KPM evaluation ratings)</w:t>
            </w:r>
          </w:p>
          <w:p w14:paraId="5FDE80B7"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Partners becoming involved in partnerships due to the work of Partnership Brokers? (PB workshop)</w:t>
            </w:r>
          </w:p>
          <w:p w14:paraId="75FCE6FD" w14:textId="77777777" w:rsidR="00E45705" w:rsidRPr="00FC7F6A" w:rsidRDefault="00E45705" w:rsidP="00E45705">
            <w:pPr>
              <w:spacing w:before="60" w:after="60"/>
              <w:ind w:left="1080"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p>
        </w:tc>
        <w:tc>
          <w:tcPr>
            <w:tcW w:w="3833" w:type="dxa"/>
            <w:vAlign w:val="top"/>
          </w:tcPr>
          <w:p w14:paraId="02365C8B"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Partnership Brokers</w:t>
            </w:r>
          </w:p>
          <w:p w14:paraId="7A88F1DF"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Partnership Brokers</w:t>
            </w:r>
          </w:p>
          <w:p w14:paraId="72B3ECC0"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Analysis of YATMIS data</w:t>
            </w:r>
          </w:p>
        </w:tc>
      </w:tr>
      <w:tr w:rsidR="00E45705" w:rsidRPr="00FC7F6A" w14:paraId="3E6C7388" w14:textId="77777777" w:rsidTr="00E45705">
        <w:trPr>
          <w:trHeight w:val="130"/>
        </w:trPr>
        <w:tc>
          <w:tcPr>
            <w:cnfStyle w:val="001000000000" w:firstRow="0" w:lastRow="0" w:firstColumn="1" w:lastColumn="0" w:oddVBand="0" w:evenVBand="0" w:oddHBand="0" w:evenHBand="0" w:firstRowFirstColumn="0" w:firstRowLastColumn="0" w:lastRowFirstColumn="0" w:lastRowLastColumn="0"/>
            <w:tcW w:w="945" w:type="dxa"/>
            <w:vAlign w:val="top"/>
          </w:tcPr>
          <w:p w14:paraId="22CC1A08"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3.3</w:t>
            </w:r>
          </w:p>
        </w:tc>
        <w:tc>
          <w:tcPr>
            <w:tcW w:w="2417" w:type="dxa"/>
            <w:vAlign w:val="top"/>
          </w:tcPr>
          <w:p w14:paraId="0B0F63ED"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Are School Business Community Partnerships tailored to address the needs of young people in the service regions?</w:t>
            </w:r>
          </w:p>
        </w:tc>
        <w:tc>
          <w:tcPr>
            <w:tcW w:w="6869" w:type="dxa"/>
            <w:vAlign w:val="top"/>
          </w:tcPr>
          <w:p w14:paraId="6879255B"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0A9AFEFC"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Partnerships working towards addressing priorities in their service region?</w:t>
            </w:r>
          </w:p>
        </w:tc>
        <w:tc>
          <w:tcPr>
            <w:tcW w:w="3833" w:type="dxa"/>
            <w:vAlign w:val="top"/>
          </w:tcPr>
          <w:p w14:paraId="7734C4BD"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r w:rsidR="00E45705" w:rsidRPr="00FC7F6A" w14:paraId="5CA8AB3F" w14:textId="77777777" w:rsidTr="00E45705">
        <w:trPr>
          <w:trHeight w:val="777"/>
        </w:trPr>
        <w:tc>
          <w:tcPr>
            <w:cnfStyle w:val="001000000000" w:firstRow="0" w:lastRow="0" w:firstColumn="1" w:lastColumn="0" w:oddVBand="0" w:evenVBand="0" w:oddHBand="0" w:evenHBand="0" w:firstRowFirstColumn="0" w:firstRowLastColumn="0" w:lastRowFirstColumn="0" w:lastRowLastColumn="0"/>
            <w:tcW w:w="945" w:type="dxa"/>
            <w:vAlign w:val="top"/>
          </w:tcPr>
          <w:p w14:paraId="6198FF65"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3.4</w:t>
            </w:r>
          </w:p>
        </w:tc>
        <w:tc>
          <w:tcPr>
            <w:tcW w:w="2417" w:type="dxa"/>
            <w:vAlign w:val="top"/>
          </w:tcPr>
          <w:p w14:paraId="458AC179"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What’s working well? Why? What could work better? How?</w:t>
            </w:r>
          </w:p>
        </w:tc>
        <w:tc>
          <w:tcPr>
            <w:tcW w:w="6869" w:type="dxa"/>
            <w:vAlign w:val="top"/>
          </w:tcPr>
          <w:p w14:paraId="772D1B7E"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18849721"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the most significant benefits?</w:t>
            </w:r>
          </w:p>
          <w:p w14:paraId="31A68543"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unintended outcomes or other benefits? </w:t>
            </w:r>
          </w:p>
          <w:p w14:paraId="5C531EA0"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critical success factors?</w:t>
            </w:r>
          </w:p>
          <w:p w14:paraId="7BCABE4E"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major barriers to achieving desired outcomes?</w:t>
            </w:r>
          </w:p>
          <w:p w14:paraId="2BF3C2E7"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can be done to address the barriers?</w:t>
            </w:r>
          </w:p>
        </w:tc>
        <w:tc>
          <w:tcPr>
            <w:tcW w:w="3833" w:type="dxa"/>
            <w:vAlign w:val="top"/>
          </w:tcPr>
          <w:p w14:paraId="4188E877"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 – Program report (YATMIS), case studies</w:t>
            </w:r>
          </w:p>
          <w:p w14:paraId="3C4B012F"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Surveys of Partnership Brokers and partners</w:t>
            </w:r>
          </w:p>
          <w:p w14:paraId="24794DC1"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Partnership Brokers</w:t>
            </w:r>
          </w:p>
        </w:tc>
      </w:tr>
      <w:tr w:rsidR="00E45705" w:rsidRPr="00FC7F6A" w14:paraId="1D01D536"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4DBE6A53"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Is it appropriate?</w:t>
            </w:r>
          </w:p>
        </w:tc>
      </w:tr>
      <w:tr w:rsidR="00E45705" w:rsidRPr="00FC7F6A" w14:paraId="032963E2" w14:textId="77777777" w:rsidTr="00E45705">
        <w:tc>
          <w:tcPr>
            <w:cnfStyle w:val="001000000000" w:firstRow="0" w:lastRow="0" w:firstColumn="1" w:lastColumn="0" w:oddVBand="0" w:evenVBand="0" w:oddHBand="0" w:evenHBand="0" w:firstRowFirstColumn="0" w:firstRowLastColumn="0" w:lastRowFirstColumn="0" w:lastRowLastColumn="0"/>
            <w:tcW w:w="945" w:type="dxa"/>
            <w:vAlign w:val="top"/>
          </w:tcPr>
          <w:p w14:paraId="6A5D3109"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3.5</w:t>
            </w:r>
          </w:p>
        </w:tc>
        <w:tc>
          <w:tcPr>
            <w:tcW w:w="2417" w:type="dxa"/>
            <w:vAlign w:val="top"/>
          </w:tcPr>
          <w:p w14:paraId="142F1DDC"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Is this element consistent with overarching policy objectives?</w:t>
            </w:r>
          </w:p>
        </w:tc>
        <w:tc>
          <w:tcPr>
            <w:tcW w:w="6869" w:type="dxa"/>
            <w:vAlign w:val="top"/>
          </w:tcPr>
          <w:p w14:paraId="6E993080"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05E68575"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Translation of NP objectives into PB objectives?</w:t>
            </w:r>
          </w:p>
          <w:p w14:paraId="779A7CCB"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PB activities helping to establish long-term reform?</w:t>
            </w:r>
          </w:p>
          <w:p w14:paraId="7CB266C9"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Inconsistencies or gaps?</w:t>
            </w:r>
          </w:p>
        </w:tc>
        <w:tc>
          <w:tcPr>
            <w:tcW w:w="3833" w:type="dxa"/>
            <w:vAlign w:val="top"/>
          </w:tcPr>
          <w:p w14:paraId="631E34B6"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18D92886" w14:textId="77777777" w:rsidR="00E45705" w:rsidRPr="00FC7F6A" w:rsidRDefault="00E45705" w:rsidP="00FC7F6A">
            <w:pPr>
              <w:numPr>
                <w:ilvl w:val="0"/>
                <w:numId w:val="38"/>
              </w:numPr>
              <w:spacing w:before="60" w:after="60"/>
              <w:ind w:right="14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Interviews with DEEWR, MWG, non-government representatives and other sector representatives</w:t>
            </w:r>
          </w:p>
          <w:p w14:paraId="5DF46090" w14:textId="77777777" w:rsidR="00E45705" w:rsidRPr="00FC7F6A" w:rsidRDefault="00E45705" w:rsidP="00E45705">
            <w:pPr>
              <w:tabs>
                <w:tab w:val="right" w:pos="8930"/>
              </w:tabs>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p>
        </w:tc>
      </w:tr>
      <w:tr w:rsidR="00E45705" w:rsidRPr="00FC7F6A" w14:paraId="1563609A" w14:textId="77777777" w:rsidTr="00E45705">
        <w:tc>
          <w:tcPr>
            <w:cnfStyle w:val="001000000000" w:firstRow="0" w:lastRow="0" w:firstColumn="1" w:lastColumn="0" w:oddVBand="0" w:evenVBand="0" w:oddHBand="0" w:evenHBand="0" w:firstRowFirstColumn="0" w:firstRowLastColumn="0" w:lastRowFirstColumn="0" w:lastRowLastColumn="0"/>
            <w:tcW w:w="945" w:type="dxa"/>
            <w:vAlign w:val="top"/>
          </w:tcPr>
          <w:p w14:paraId="65E99A55"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3.6</w:t>
            </w:r>
          </w:p>
        </w:tc>
        <w:tc>
          <w:tcPr>
            <w:tcW w:w="2417" w:type="dxa"/>
            <w:vAlign w:val="top"/>
          </w:tcPr>
          <w:p w14:paraId="4DD2A8CA"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highlight w:val="yellow"/>
              </w:rPr>
            </w:pPr>
            <w:r w:rsidRPr="00FC7F6A">
              <w:rPr>
                <w:rFonts w:asciiTheme="minorHAnsi" w:hAnsiTheme="minorHAnsi" w:cs="Arial"/>
                <w:b/>
                <w:bCs/>
                <w:szCs w:val="18"/>
              </w:rPr>
              <w:t>Does this element address areas of need?</w:t>
            </w:r>
          </w:p>
        </w:tc>
        <w:tc>
          <w:tcPr>
            <w:tcW w:w="6869" w:type="dxa"/>
            <w:vAlign w:val="top"/>
          </w:tcPr>
          <w:p w14:paraId="25A22C2B"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there any unmet needs that should be considered?</w:t>
            </w:r>
          </w:p>
          <w:p w14:paraId="59853ED8"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Is the PB program contributing to YAT outcomes?</w:t>
            </w:r>
          </w:p>
        </w:tc>
        <w:tc>
          <w:tcPr>
            <w:tcW w:w="3833" w:type="dxa"/>
            <w:vAlign w:val="top"/>
          </w:tcPr>
          <w:p w14:paraId="67C8BA69"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representatives and other sector representatives</w:t>
            </w:r>
          </w:p>
          <w:p w14:paraId="1AA43519" w14:textId="77777777" w:rsidR="00E45705" w:rsidRPr="00FC7F6A" w:rsidRDefault="00E45705" w:rsidP="00FC7F6A">
            <w:pPr>
              <w:numPr>
                <w:ilvl w:val="0"/>
                <w:numId w:val="38"/>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Partnership Brokers and partners</w:t>
            </w:r>
          </w:p>
          <w:p w14:paraId="2895C997" w14:textId="77777777" w:rsidR="00E45705" w:rsidRPr="00FC7F6A" w:rsidRDefault="00E45705" w:rsidP="00FC7F6A">
            <w:pPr>
              <w:numPr>
                <w:ilvl w:val="0"/>
                <w:numId w:val="38"/>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Partnership Brokers</w:t>
            </w:r>
          </w:p>
        </w:tc>
      </w:tr>
      <w:tr w:rsidR="00E45705" w:rsidRPr="00FC7F6A" w14:paraId="6BF0CB8F" w14:textId="77777777" w:rsidTr="00E45705">
        <w:tc>
          <w:tcPr>
            <w:cnfStyle w:val="001000000000" w:firstRow="0" w:lastRow="0" w:firstColumn="1" w:lastColumn="0" w:oddVBand="0" w:evenVBand="0" w:oddHBand="0" w:evenHBand="0" w:firstRowFirstColumn="0" w:firstRowLastColumn="0" w:lastRowFirstColumn="0" w:lastRowLastColumn="0"/>
            <w:tcW w:w="945" w:type="dxa"/>
            <w:vAlign w:val="top"/>
          </w:tcPr>
          <w:p w14:paraId="207DB702"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3.7</w:t>
            </w:r>
          </w:p>
        </w:tc>
        <w:tc>
          <w:tcPr>
            <w:tcW w:w="2417" w:type="dxa"/>
            <w:vAlign w:val="top"/>
          </w:tcPr>
          <w:p w14:paraId="11E29102"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highlight w:val="yellow"/>
              </w:rPr>
            </w:pPr>
            <w:r w:rsidRPr="00FC7F6A">
              <w:rPr>
                <w:rFonts w:asciiTheme="minorHAnsi" w:hAnsiTheme="minorHAnsi" w:cs="Arial"/>
                <w:b/>
                <w:bCs/>
                <w:szCs w:val="18"/>
              </w:rPr>
              <w:t>Does this element complement other programs and initiatives targeting similar outcomes?</w:t>
            </w:r>
          </w:p>
        </w:tc>
        <w:tc>
          <w:tcPr>
            <w:tcW w:w="6869" w:type="dxa"/>
            <w:vAlign w:val="top"/>
          </w:tcPr>
          <w:p w14:paraId="3BE1C5EE"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5F730AE2"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Alignment of the YAT NP with PB? </w:t>
            </w:r>
          </w:p>
          <w:p w14:paraId="5B756E9F"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Inconsistencies or gaps?</w:t>
            </w:r>
          </w:p>
          <w:p w14:paraId="4321A087"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Cs w:val="18"/>
              </w:rPr>
            </w:pPr>
            <w:r w:rsidRPr="00FC7F6A">
              <w:rPr>
                <w:rFonts w:asciiTheme="minorHAnsi" w:hAnsiTheme="minorHAnsi" w:cs="Arial"/>
                <w:bCs/>
                <w:szCs w:val="18"/>
              </w:rPr>
              <w:t>Does the PB program complement state level reform and policies in terms of schools community partnerships?</w:t>
            </w:r>
          </w:p>
          <w:p w14:paraId="7C1841EB"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To what degree have providers/the program been able to collaborate with and leverage off other programs and initiatives?</w:t>
            </w:r>
          </w:p>
        </w:tc>
        <w:tc>
          <w:tcPr>
            <w:tcW w:w="3833" w:type="dxa"/>
            <w:vAlign w:val="top"/>
          </w:tcPr>
          <w:p w14:paraId="49A5BD45"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765AE54B" w14:textId="77777777" w:rsidR="00E45705" w:rsidRPr="00FC7F6A" w:rsidRDefault="00E45705" w:rsidP="00FC7F6A">
            <w:pPr>
              <w:numPr>
                <w:ilvl w:val="0"/>
                <w:numId w:val="38"/>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Partnership Brokers</w:t>
            </w:r>
          </w:p>
          <w:p w14:paraId="181B574C"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18"/>
                <w:szCs w:val="18"/>
              </w:rPr>
            </w:pPr>
            <w:r w:rsidRPr="00FC7F6A">
              <w:rPr>
                <w:rFonts w:asciiTheme="minorHAnsi" w:hAnsiTheme="minorHAnsi" w:cs="Arial"/>
                <w:bCs/>
                <w:sz w:val="18"/>
                <w:szCs w:val="18"/>
              </w:rPr>
              <w:t>Workshop with Partnership Brokers</w:t>
            </w:r>
          </w:p>
        </w:tc>
      </w:tr>
      <w:tr w:rsidR="00E45705" w:rsidRPr="00FC7F6A" w14:paraId="0B394120"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0FBE1BB2" w14:textId="77777777" w:rsidR="00E45705" w:rsidRPr="00FC7F6A" w:rsidRDefault="00E45705" w:rsidP="00E45705">
            <w:pPr>
              <w:tabs>
                <w:tab w:val="right" w:pos="8930"/>
              </w:tabs>
              <w:spacing w:before="60" w:after="60"/>
              <w:ind w:left="142"/>
              <w:rPr>
                <w:rFonts w:asciiTheme="minorHAnsi" w:hAnsiTheme="minorHAnsi" w:cs="Arial"/>
                <w:color w:val="auto"/>
                <w:szCs w:val="18"/>
                <w:highlight w:val="yellow"/>
              </w:rPr>
            </w:pPr>
            <w:r w:rsidRPr="00FC7F6A">
              <w:rPr>
                <w:rFonts w:asciiTheme="minorHAnsi" w:hAnsiTheme="minorHAnsi" w:cs="Arial"/>
                <w:bCs/>
                <w:color w:val="auto"/>
                <w:szCs w:val="18"/>
              </w:rPr>
              <w:t>Is the element well governed and implemented?</w:t>
            </w:r>
          </w:p>
        </w:tc>
      </w:tr>
      <w:tr w:rsidR="00E45705" w:rsidRPr="00FC7F6A" w14:paraId="20A36B5B" w14:textId="77777777" w:rsidTr="00E45705">
        <w:trPr>
          <w:trHeight w:val="273"/>
        </w:trPr>
        <w:tc>
          <w:tcPr>
            <w:cnfStyle w:val="001000000000" w:firstRow="0" w:lastRow="0" w:firstColumn="1" w:lastColumn="0" w:oddVBand="0" w:evenVBand="0" w:oddHBand="0" w:evenHBand="0" w:firstRowFirstColumn="0" w:firstRowLastColumn="0" w:lastRowFirstColumn="0" w:lastRowLastColumn="0"/>
            <w:tcW w:w="945" w:type="dxa"/>
            <w:vAlign w:val="top"/>
          </w:tcPr>
          <w:p w14:paraId="2E842AB7"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3.8</w:t>
            </w:r>
          </w:p>
        </w:tc>
        <w:tc>
          <w:tcPr>
            <w:tcW w:w="2417" w:type="dxa"/>
            <w:vAlign w:val="top"/>
          </w:tcPr>
          <w:p w14:paraId="1F6769E7"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How well have stakeholders collaborated on the delivery of the element?</w:t>
            </w:r>
          </w:p>
        </w:tc>
        <w:tc>
          <w:tcPr>
            <w:tcW w:w="6869" w:type="dxa"/>
            <w:vAlign w:val="top"/>
          </w:tcPr>
          <w:p w14:paraId="5D5677F7"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59452FA5"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Collaboration to support program delivery/implementation?</w:t>
            </w:r>
          </w:p>
          <w:p w14:paraId="4E41C2E1"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Knowledge sharing across service providers and other stakeholders?</w:t>
            </w:r>
          </w:p>
        </w:tc>
        <w:tc>
          <w:tcPr>
            <w:tcW w:w="3833" w:type="dxa"/>
            <w:vAlign w:val="top"/>
          </w:tcPr>
          <w:p w14:paraId="4BDE07D5"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1FDF44E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Partnership Brokers and partners</w:t>
            </w:r>
          </w:p>
          <w:p w14:paraId="5363398B"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Partnership Brokers</w:t>
            </w:r>
          </w:p>
        </w:tc>
      </w:tr>
      <w:tr w:rsidR="00E45705" w:rsidRPr="00FC7F6A" w14:paraId="2EC6EA7C" w14:textId="77777777" w:rsidTr="00E45705">
        <w:trPr>
          <w:trHeight w:val="248"/>
        </w:trPr>
        <w:tc>
          <w:tcPr>
            <w:cnfStyle w:val="001000000000" w:firstRow="0" w:lastRow="0" w:firstColumn="1" w:lastColumn="0" w:oddVBand="0" w:evenVBand="0" w:oddHBand="0" w:evenHBand="0" w:firstRowFirstColumn="0" w:firstRowLastColumn="0" w:lastRowFirstColumn="0" w:lastRowLastColumn="0"/>
            <w:tcW w:w="945" w:type="dxa"/>
            <w:vAlign w:val="top"/>
          </w:tcPr>
          <w:p w14:paraId="385A3E14"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3.9</w:t>
            </w:r>
          </w:p>
        </w:tc>
        <w:tc>
          <w:tcPr>
            <w:tcW w:w="2417" w:type="dxa"/>
            <w:vAlign w:val="top"/>
          </w:tcPr>
          <w:p w14:paraId="790C4BB2"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Is governance of the element working effectively?</w:t>
            </w:r>
          </w:p>
        </w:tc>
        <w:tc>
          <w:tcPr>
            <w:tcW w:w="6869" w:type="dxa"/>
            <w:vAlign w:val="top"/>
          </w:tcPr>
          <w:p w14:paraId="67C0E1F9" w14:textId="77777777" w:rsidR="00E45705" w:rsidRPr="00FC7F6A" w:rsidRDefault="00E45705" w:rsidP="00FC7F6A">
            <w:pPr>
              <w:pStyle w:val="ListParagraph"/>
              <w:numPr>
                <w:ilvl w:val="0"/>
                <w:numId w:val="36"/>
              </w:numPr>
              <w:autoSpaceDE w:val="0"/>
              <w:autoSpaceDN w:val="0"/>
              <w:adjustRightInd w:val="0"/>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Have there been any changes since the year one evaluation in terms of the aspects of the governance arrangements that are working well or could be improved?</w:t>
            </w:r>
          </w:p>
        </w:tc>
        <w:tc>
          <w:tcPr>
            <w:tcW w:w="3833" w:type="dxa"/>
            <w:vAlign w:val="top"/>
          </w:tcPr>
          <w:p w14:paraId="6DAA0677"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r w:rsidR="00E45705" w:rsidRPr="00FC7F6A" w14:paraId="2B2ABB29" w14:textId="77777777" w:rsidTr="00E45705">
        <w:tc>
          <w:tcPr>
            <w:cnfStyle w:val="001000000000" w:firstRow="0" w:lastRow="0" w:firstColumn="1" w:lastColumn="0" w:oddVBand="0" w:evenVBand="0" w:oddHBand="0" w:evenHBand="0" w:firstRowFirstColumn="0" w:firstRowLastColumn="0" w:lastRowFirstColumn="0" w:lastRowLastColumn="0"/>
            <w:tcW w:w="945" w:type="dxa"/>
            <w:vAlign w:val="top"/>
          </w:tcPr>
          <w:p w14:paraId="201E5637"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3.10</w:t>
            </w:r>
          </w:p>
        </w:tc>
        <w:tc>
          <w:tcPr>
            <w:tcW w:w="2417" w:type="dxa"/>
            <w:vAlign w:val="top"/>
          </w:tcPr>
          <w:p w14:paraId="46DE342D"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How well is performance reporting working?</w:t>
            </w:r>
          </w:p>
        </w:tc>
        <w:tc>
          <w:tcPr>
            <w:tcW w:w="6869" w:type="dxa"/>
            <w:vAlign w:val="top"/>
          </w:tcPr>
          <w:p w14:paraId="55848507"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 performance reporting issues identified in year one of the evaluation been addressed?</w:t>
            </w:r>
          </w:p>
          <w:p w14:paraId="57F03FD9"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any new issues arisen?</w:t>
            </w:r>
          </w:p>
        </w:tc>
        <w:tc>
          <w:tcPr>
            <w:tcW w:w="3833" w:type="dxa"/>
            <w:vAlign w:val="top"/>
          </w:tcPr>
          <w:p w14:paraId="36CE4DA9"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w:t>
            </w:r>
          </w:p>
          <w:p w14:paraId="23862077"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 with DEEWR</w:t>
            </w:r>
          </w:p>
          <w:p w14:paraId="6B98476D"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Partnership Brokers and partners</w:t>
            </w:r>
          </w:p>
          <w:p w14:paraId="4BF90467"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bCs/>
                <w:sz w:val="18"/>
                <w:szCs w:val="18"/>
              </w:rPr>
              <w:t>Workshop with Partnership Brokers</w:t>
            </w:r>
            <w:r w:rsidRPr="00FC7F6A" w:rsidDel="00D07DBA">
              <w:rPr>
                <w:rFonts w:asciiTheme="minorHAnsi" w:hAnsiTheme="minorHAnsi" w:cs="Arial"/>
                <w:sz w:val="18"/>
                <w:szCs w:val="18"/>
              </w:rPr>
              <w:t xml:space="preserve"> </w:t>
            </w:r>
          </w:p>
        </w:tc>
      </w:tr>
      <w:tr w:rsidR="00E45705" w:rsidRPr="00FC7F6A" w14:paraId="11CA1F5F" w14:textId="77777777" w:rsidTr="00E45705">
        <w:tc>
          <w:tcPr>
            <w:cnfStyle w:val="001000000000" w:firstRow="0" w:lastRow="0" w:firstColumn="1" w:lastColumn="0" w:oddVBand="0" w:evenVBand="0" w:oddHBand="0" w:evenHBand="0" w:firstRowFirstColumn="0" w:firstRowLastColumn="0" w:lastRowFirstColumn="0" w:lastRowLastColumn="0"/>
            <w:tcW w:w="945" w:type="dxa"/>
            <w:vAlign w:val="top"/>
          </w:tcPr>
          <w:p w14:paraId="215AE246"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3.11</w:t>
            </w:r>
          </w:p>
        </w:tc>
        <w:tc>
          <w:tcPr>
            <w:tcW w:w="2417" w:type="dxa"/>
            <w:vAlign w:val="top"/>
          </w:tcPr>
          <w:p w14:paraId="36A74AC2"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How effective is communication?</w:t>
            </w:r>
          </w:p>
          <w:p w14:paraId="4AEBB836" w14:textId="77777777" w:rsidR="00E45705" w:rsidRPr="00FC7F6A" w:rsidRDefault="00E45705" w:rsidP="00E45705">
            <w:p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rPr>
            </w:pPr>
          </w:p>
        </w:tc>
        <w:tc>
          <w:tcPr>
            <w:tcW w:w="6869" w:type="dxa"/>
            <w:vAlign w:val="top"/>
          </w:tcPr>
          <w:p w14:paraId="5006D140"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How effective have actions taken to improve communication of the PB program been?</w:t>
            </w:r>
          </w:p>
        </w:tc>
        <w:tc>
          <w:tcPr>
            <w:tcW w:w="3833" w:type="dxa"/>
            <w:vAlign w:val="top"/>
          </w:tcPr>
          <w:p w14:paraId="309651BA" w14:textId="77777777" w:rsidR="00E45705" w:rsidRPr="00FC7F6A" w:rsidRDefault="00E45705" w:rsidP="00FC7F6A">
            <w:pPr>
              <w:pStyle w:val="ListParagraph"/>
              <w:numPr>
                <w:ilvl w:val="0"/>
                <w:numId w:val="36"/>
              </w:numPr>
              <w:autoSpaceDE w:val="0"/>
              <w:autoSpaceDN w:val="0"/>
              <w:adjustRightInd w:val="0"/>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18"/>
                <w:szCs w:val="18"/>
              </w:rPr>
            </w:pPr>
            <w:r w:rsidRPr="00FC7F6A">
              <w:rPr>
                <w:rFonts w:asciiTheme="minorHAnsi" w:hAnsiTheme="minorHAnsi" w:cs="Arial"/>
                <w:sz w:val="18"/>
                <w:szCs w:val="18"/>
              </w:rPr>
              <w:t>As above</w:t>
            </w:r>
          </w:p>
        </w:tc>
      </w:tr>
      <w:tr w:rsidR="00E45705" w:rsidRPr="00FC7F6A" w14:paraId="43645898"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122227FA"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Looking ahead…</w:t>
            </w:r>
          </w:p>
        </w:tc>
      </w:tr>
      <w:tr w:rsidR="00E45705" w:rsidRPr="00FC7F6A" w14:paraId="5CE0FFDB" w14:textId="77777777" w:rsidTr="00E45705">
        <w:tc>
          <w:tcPr>
            <w:cnfStyle w:val="001000000000" w:firstRow="0" w:lastRow="0" w:firstColumn="1" w:lastColumn="0" w:oddVBand="0" w:evenVBand="0" w:oddHBand="0" w:evenHBand="0" w:firstRowFirstColumn="0" w:firstRowLastColumn="0" w:lastRowFirstColumn="0" w:lastRowLastColumn="0"/>
            <w:tcW w:w="945" w:type="dxa"/>
            <w:vAlign w:val="top"/>
          </w:tcPr>
          <w:p w14:paraId="7BA79096"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3.12</w:t>
            </w:r>
          </w:p>
        </w:tc>
        <w:tc>
          <w:tcPr>
            <w:tcW w:w="2417" w:type="dxa"/>
            <w:vAlign w:val="top"/>
          </w:tcPr>
          <w:p w14:paraId="6662D4BC"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for the NP?</w:t>
            </w:r>
          </w:p>
        </w:tc>
        <w:tc>
          <w:tcPr>
            <w:tcW w:w="6869" w:type="dxa"/>
            <w:vAlign w:val="top"/>
          </w:tcPr>
          <w:p w14:paraId="78880F14"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refinements need to be made in the last year of the NP?</w:t>
            </w:r>
          </w:p>
          <w:p w14:paraId="16B769DB" w14:textId="77777777" w:rsidR="00E45705" w:rsidRPr="00FC7F6A" w:rsidRDefault="00E45705" w:rsidP="00E45705">
            <w:pPr>
              <w:spacing w:before="60" w:after="60"/>
              <w:ind w:left="0"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p>
        </w:tc>
        <w:tc>
          <w:tcPr>
            <w:tcW w:w="3833" w:type="dxa"/>
            <w:vAlign w:val="top"/>
          </w:tcPr>
          <w:p w14:paraId="1564A624"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514673AA"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education authorities and sector representatives</w:t>
            </w:r>
          </w:p>
          <w:p w14:paraId="16D030A1"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Partnership Brokers and partners</w:t>
            </w:r>
          </w:p>
          <w:p w14:paraId="4BE64B3B"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Partnership Brokers</w:t>
            </w:r>
          </w:p>
        </w:tc>
      </w:tr>
      <w:tr w:rsidR="00E45705" w:rsidRPr="00FC7F6A" w14:paraId="70108644" w14:textId="77777777" w:rsidTr="00E45705">
        <w:tc>
          <w:tcPr>
            <w:cnfStyle w:val="001000000000" w:firstRow="0" w:lastRow="0" w:firstColumn="1" w:lastColumn="0" w:oddVBand="0" w:evenVBand="0" w:oddHBand="0" w:evenHBand="0" w:firstRowFirstColumn="0" w:firstRowLastColumn="0" w:lastRowFirstColumn="0" w:lastRowLastColumn="0"/>
            <w:tcW w:w="945" w:type="dxa"/>
            <w:vAlign w:val="top"/>
          </w:tcPr>
          <w:p w14:paraId="3EC46434"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3.13</w:t>
            </w:r>
          </w:p>
        </w:tc>
        <w:tc>
          <w:tcPr>
            <w:tcW w:w="2417" w:type="dxa"/>
            <w:vAlign w:val="top"/>
          </w:tcPr>
          <w:p w14:paraId="0F44EB19"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beyond the NP?</w:t>
            </w:r>
          </w:p>
        </w:tc>
        <w:tc>
          <w:tcPr>
            <w:tcW w:w="6869" w:type="dxa"/>
            <w:vAlign w:val="top"/>
          </w:tcPr>
          <w:p w14:paraId="61FBC724"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Are there factors that influence PB program outcomes that are not addressed by the PB program?</w:t>
            </w:r>
          </w:p>
          <w:p w14:paraId="13139E9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options are there to achieve PB objectives and outcomes following the conclusion of the NP?</w:t>
            </w:r>
          </w:p>
        </w:tc>
        <w:tc>
          <w:tcPr>
            <w:tcW w:w="3833" w:type="dxa"/>
            <w:vAlign w:val="top"/>
          </w:tcPr>
          <w:p w14:paraId="72B82A59"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1E3D7F36"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education authorities and sector representatives</w:t>
            </w:r>
          </w:p>
          <w:p w14:paraId="3845FD3B" w14:textId="77777777" w:rsidR="00E45705" w:rsidRPr="00FC7F6A" w:rsidRDefault="00E45705" w:rsidP="00E45705">
            <w:pPr>
              <w:tabs>
                <w:tab w:val="right" w:pos="8930"/>
              </w:tabs>
              <w:spacing w:before="60" w:after="6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p>
        </w:tc>
      </w:tr>
    </w:tbl>
    <w:p w14:paraId="44FBC3A2" w14:textId="77777777" w:rsidR="00E45705" w:rsidRDefault="00E45705" w:rsidP="00E45705"/>
    <w:p w14:paraId="098CEB1B" w14:textId="77777777" w:rsidR="00E45705" w:rsidRDefault="00E45705" w:rsidP="00E45705">
      <w:pPr>
        <w:rPr>
          <w:rFonts w:eastAsia="Times New Roman" w:cs="Arial"/>
          <w:b/>
          <w:color w:val="800000"/>
          <w:sz w:val="32"/>
          <w:lang w:eastAsia="en-AU"/>
        </w:rPr>
      </w:pPr>
      <w:r>
        <w:rPr>
          <w:rFonts w:cs="Arial"/>
        </w:rPr>
        <w:br w:type="page"/>
      </w:r>
    </w:p>
    <w:p w14:paraId="7E2428B2" w14:textId="77777777" w:rsidR="00E45705" w:rsidRPr="00906FF4" w:rsidRDefault="00E45705" w:rsidP="00E45705">
      <w:pPr>
        <w:pStyle w:val="Heading3NoNumbering"/>
      </w:pPr>
      <w:r>
        <w:t xml:space="preserve">4. </w:t>
      </w:r>
      <w:r w:rsidRPr="00906FF4">
        <w:t>Youth Connections</w:t>
      </w:r>
    </w:p>
    <w:tbl>
      <w:tblPr>
        <w:tblStyle w:val="DandoloTableCentred"/>
        <w:tblW w:w="14064" w:type="dxa"/>
        <w:tblLook w:val="00A0" w:firstRow="1" w:lastRow="0" w:firstColumn="1" w:lastColumn="0" w:noHBand="0" w:noVBand="0"/>
        <w:tblCaption w:val="Year 2 Evaluation Framework - Youth Connections research method"/>
        <w:tblDescription w:val="Year 2 Evaluation Framework - Youth Connections research method&#10;"/>
      </w:tblPr>
      <w:tblGrid>
        <w:gridCol w:w="2440"/>
        <w:gridCol w:w="5245"/>
        <w:gridCol w:w="2835"/>
        <w:gridCol w:w="3544"/>
      </w:tblGrid>
      <w:tr w:rsidR="00E45705" w:rsidRPr="00FC7F6A" w14:paraId="1C7A3ECA"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vAlign w:val="top"/>
          </w:tcPr>
          <w:p w14:paraId="4C3A3637"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color w:val="auto"/>
                <w:szCs w:val="18"/>
              </w:rPr>
              <w:t>Research method:</w:t>
            </w:r>
          </w:p>
        </w:tc>
        <w:tc>
          <w:tcPr>
            <w:tcW w:w="5245" w:type="dxa"/>
            <w:vAlign w:val="top"/>
          </w:tcPr>
          <w:p w14:paraId="703EB811"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Stakeholder engagement</w:t>
            </w:r>
          </w:p>
        </w:tc>
        <w:tc>
          <w:tcPr>
            <w:tcW w:w="2835" w:type="dxa"/>
            <w:vAlign w:val="top"/>
          </w:tcPr>
          <w:p w14:paraId="31284715"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Data analysis </w:t>
            </w:r>
          </w:p>
        </w:tc>
        <w:tc>
          <w:tcPr>
            <w:tcW w:w="3544" w:type="dxa"/>
            <w:vAlign w:val="top"/>
          </w:tcPr>
          <w:p w14:paraId="713BC179"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Literature review </w:t>
            </w:r>
          </w:p>
        </w:tc>
      </w:tr>
      <w:tr w:rsidR="00E45705" w:rsidRPr="00FC7F6A" w14:paraId="3F2657A7" w14:textId="77777777" w:rsidTr="00E45705">
        <w:trPr>
          <w:trHeight w:val="2312"/>
        </w:trPr>
        <w:tc>
          <w:tcPr>
            <w:cnfStyle w:val="001000000000" w:firstRow="0" w:lastRow="0" w:firstColumn="1" w:lastColumn="0" w:oddVBand="0" w:evenVBand="0" w:oddHBand="0" w:evenHBand="0" w:firstRowFirstColumn="0" w:firstRowLastColumn="0" w:lastRowFirstColumn="0" w:lastRowLastColumn="0"/>
            <w:tcW w:w="2440" w:type="dxa"/>
            <w:vAlign w:val="top"/>
          </w:tcPr>
          <w:p w14:paraId="18C77A5E"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bCs/>
                <w:color w:val="auto"/>
                <w:szCs w:val="18"/>
              </w:rPr>
              <w:t>Sources of data:</w:t>
            </w:r>
            <w:r w:rsidRPr="00FC7F6A">
              <w:rPr>
                <w:rFonts w:asciiTheme="minorHAnsi" w:hAnsiTheme="minorHAnsi" w:cs="Arial"/>
                <w:color w:val="auto"/>
                <w:szCs w:val="18"/>
              </w:rPr>
              <w:t xml:space="preserve"> </w:t>
            </w:r>
          </w:p>
        </w:tc>
        <w:tc>
          <w:tcPr>
            <w:tcW w:w="5245" w:type="dxa"/>
            <w:vAlign w:val="top"/>
          </w:tcPr>
          <w:p w14:paraId="37AE175B"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DEEWR – national and regional managers and staff</w:t>
            </w:r>
          </w:p>
          <w:p w14:paraId="2CC2C22B"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States and territory education and training departments</w:t>
            </w:r>
          </w:p>
          <w:p w14:paraId="469FC9BB"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Catholic and Independent school sectors</w:t>
            </w:r>
          </w:p>
          <w:p w14:paraId="7B0AEA2A"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Community and youth representative bodies</w:t>
            </w:r>
          </w:p>
          <w:p w14:paraId="6CC6484A"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Youth Connections service providers</w:t>
            </w:r>
          </w:p>
          <w:p w14:paraId="0DD0229E"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Centrelink and JSA providers</w:t>
            </w:r>
          </w:p>
          <w:p w14:paraId="04CCB1E3"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Youth Connections stakeholders (e.g. principals, community organisations)</w:t>
            </w:r>
          </w:p>
        </w:tc>
        <w:tc>
          <w:tcPr>
            <w:tcW w:w="2835" w:type="dxa"/>
            <w:vAlign w:val="top"/>
          </w:tcPr>
          <w:p w14:paraId="3BD10491" w14:textId="77777777" w:rsidR="00E45705" w:rsidRPr="00FC7F6A" w:rsidRDefault="00E45705" w:rsidP="00FC7F6A">
            <w:pPr>
              <w:numPr>
                <w:ilvl w:val="0"/>
                <w:numId w:val="38"/>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YATMIS</w:t>
            </w:r>
          </w:p>
          <w:p w14:paraId="5CA903DE" w14:textId="77777777" w:rsidR="00E45705" w:rsidRPr="00FC7F6A" w:rsidRDefault="00E45705" w:rsidP="00FC7F6A">
            <w:pPr>
              <w:numPr>
                <w:ilvl w:val="0"/>
                <w:numId w:val="38"/>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Centrelink (ISIS)</w:t>
            </w:r>
          </w:p>
          <w:p w14:paraId="5B0649A4"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Labour Force Survey</w:t>
            </w:r>
          </w:p>
          <w:p w14:paraId="1B440B4C"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National School Statistics Collection</w:t>
            </w:r>
          </w:p>
          <w:p w14:paraId="1C72199C"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Survey of Education and Work</w:t>
            </w:r>
          </w:p>
          <w:p w14:paraId="604D3596"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Regional Population Growth</w:t>
            </w:r>
          </w:p>
          <w:p w14:paraId="0D0D9303"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Australian Demographic Statistics</w:t>
            </w:r>
          </w:p>
          <w:p w14:paraId="5CCD938F" w14:textId="77777777" w:rsidR="00E45705" w:rsidRPr="00FC7F6A" w:rsidRDefault="00E45705" w:rsidP="00E45705">
            <w:pPr>
              <w:spacing w:before="60" w:after="60"/>
              <w:ind w:left="50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p>
        </w:tc>
        <w:tc>
          <w:tcPr>
            <w:tcW w:w="3544" w:type="dxa"/>
            <w:vAlign w:val="top"/>
          </w:tcPr>
          <w:p w14:paraId="55A2BB00" w14:textId="77777777" w:rsidR="00E45705" w:rsidRPr="00FC7F6A" w:rsidRDefault="00E45705" w:rsidP="00FC7F6A">
            <w:pPr>
              <w:numPr>
                <w:ilvl w:val="0"/>
                <w:numId w:val="38"/>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Information request from DEEWR (e.g. outcome reports, survey results), MWG and non-government education authorities</w:t>
            </w:r>
          </w:p>
          <w:p w14:paraId="5EECD7F9" w14:textId="77777777" w:rsidR="00E45705" w:rsidRPr="00FC7F6A" w:rsidRDefault="00E45705" w:rsidP="00FC7F6A">
            <w:pPr>
              <w:numPr>
                <w:ilvl w:val="0"/>
                <w:numId w:val="38"/>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Service provider evaluations (e.g. Brotherhood of St Laurence)</w:t>
            </w:r>
          </w:p>
        </w:tc>
      </w:tr>
    </w:tbl>
    <w:p w14:paraId="3CFD8699" w14:textId="77777777" w:rsidR="00E45705" w:rsidRPr="00FC7F6A" w:rsidRDefault="00E45705" w:rsidP="00E45705">
      <w:pPr>
        <w:rPr>
          <w:rFonts w:asciiTheme="minorHAnsi" w:hAnsiTheme="minorHAnsi" w:cs="Arial"/>
          <w:b/>
          <w:color w:val="FF0000"/>
          <w:sz w:val="18"/>
          <w:szCs w:val="18"/>
        </w:rPr>
      </w:pPr>
    </w:p>
    <w:tbl>
      <w:tblPr>
        <w:tblStyle w:val="DandoloTableCentred"/>
        <w:tblW w:w="14064" w:type="dxa"/>
        <w:tblLook w:val="00A0" w:firstRow="1" w:lastRow="0" w:firstColumn="1" w:lastColumn="0" w:noHBand="0" w:noVBand="0"/>
        <w:tblCaption w:val="Year 2 Evaluation Framework - Youth Connections research questions"/>
        <w:tblDescription w:val="Year 2 Evaluation Framework - Youth Connections research questions"/>
      </w:tblPr>
      <w:tblGrid>
        <w:gridCol w:w="739"/>
        <w:gridCol w:w="2440"/>
        <w:gridCol w:w="7341"/>
        <w:gridCol w:w="3544"/>
      </w:tblGrid>
      <w:tr w:rsidR="00E45705" w:rsidRPr="00FC7F6A" w14:paraId="1E33F472"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9" w:type="dxa"/>
            <w:gridSpan w:val="2"/>
            <w:vAlign w:val="top"/>
          </w:tcPr>
          <w:p w14:paraId="652168C2"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color w:val="auto"/>
                <w:szCs w:val="18"/>
              </w:rPr>
              <w:t>Question</w:t>
            </w:r>
          </w:p>
        </w:tc>
        <w:tc>
          <w:tcPr>
            <w:tcW w:w="7341" w:type="dxa"/>
            <w:vAlign w:val="top"/>
          </w:tcPr>
          <w:p w14:paraId="4DBCB7C3"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Sub-questions</w:t>
            </w:r>
          </w:p>
        </w:tc>
        <w:tc>
          <w:tcPr>
            <w:tcW w:w="3544" w:type="dxa"/>
            <w:vAlign w:val="top"/>
          </w:tcPr>
          <w:p w14:paraId="5BE29326"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Data sources </w:t>
            </w:r>
          </w:p>
        </w:tc>
      </w:tr>
      <w:tr w:rsidR="00E45705" w:rsidRPr="00FC7F6A" w14:paraId="7F76CECC"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4A357282"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What is happening?</w:t>
            </w:r>
          </w:p>
        </w:tc>
      </w:tr>
      <w:tr w:rsidR="00E45705" w:rsidRPr="00FC7F6A" w14:paraId="33943248" w14:textId="77777777" w:rsidTr="00E45705">
        <w:trPr>
          <w:trHeight w:val="364"/>
        </w:trPr>
        <w:tc>
          <w:tcPr>
            <w:cnfStyle w:val="001000000000" w:firstRow="0" w:lastRow="0" w:firstColumn="1" w:lastColumn="0" w:oddVBand="0" w:evenVBand="0" w:oddHBand="0" w:evenHBand="0" w:firstRowFirstColumn="0" w:firstRowLastColumn="0" w:lastRowFirstColumn="0" w:lastRowLastColumn="0"/>
            <w:tcW w:w="739" w:type="dxa"/>
            <w:vAlign w:val="top"/>
          </w:tcPr>
          <w:p w14:paraId="0BE865B1"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4.1</w:t>
            </w:r>
          </w:p>
        </w:tc>
        <w:tc>
          <w:tcPr>
            <w:tcW w:w="2440" w:type="dxa"/>
            <w:vAlign w:val="top"/>
          </w:tcPr>
          <w:p w14:paraId="6D91FB42"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highlight w:val="yellow"/>
              </w:rPr>
            </w:pPr>
            <w:r w:rsidRPr="00FC7F6A">
              <w:rPr>
                <w:rFonts w:asciiTheme="minorHAnsi" w:hAnsiTheme="minorHAnsi" w:cs="Arial"/>
                <w:b/>
                <w:bCs/>
                <w:szCs w:val="18"/>
              </w:rPr>
              <w:t>What is being delivered as a result of NP funding?</w:t>
            </w:r>
            <w:r w:rsidRPr="00FC7F6A">
              <w:rPr>
                <w:rFonts w:asciiTheme="minorHAnsi" w:hAnsiTheme="minorHAnsi" w:cs="Arial"/>
                <w:b/>
                <w:szCs w:val="18"/>
                <w:highlight w:val="yellow"/>
              </w:rPr>
              <w:t xml:space="preserve"> </w:t>
            </w:r>
          </w:p>
        </w:tc>
        <w:tc>
          <w:tcPr>
            <w:tcW w:w="7341" w:type="dxa"/>
            <w:vAlign w:val="top"/>
          </w:tcPr>
          <w:p w14:paraId="14610984"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Have there been any changes since the year one evaluation in terms of:</w:t>
            </w:r>
          </w:p>
          <w:p w14:paraId="69B6CE37" w14:textId="77777777" w:rsidR="00E45705" w:rsidRPr="00FC7F6A" w:rsidRDefault="00E45705" w:rsidP="00FC7F6A">
            <w:pPr>
              <w:numPr>
                <w:ilvl w:val="1"/>
                <w:numId w:val="37"/>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Numbers of participants in YC services</w:t>
            </w:r>
          </w:p>
          <w:p w14:paraId="2511F5D7" w14:textId="77777777" w:rsidR="00E45705" w:rsidRPr="00FC7F6A" w:rsidRDefault="00E45705" w:rsidP="00FC7F6A">
            <w:pPr>
              <w:numPr>
                <w:ilvl w:val="1"/>
                <w:numId w:val="37"/>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Characteristics of participants - % indigenous, humanitarian refugees</w:t>
            </w:r>
          </w:p>
          <w:p w14:paraId="3D10F520" w14:textId="77777777" w:rsidR="00E45705" w:rsidRPr="00FC7F6A" w:rsidRDefault="00E45705" w:rsidP="00FC7F6A">
            <w:pPr>
              <w:numPr>
                <w:ilvl w:val="1"/>
                <w:numId w:val="37"/>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Connection level of participants</w:t>
            </w:r>
          </w:p>
          <w:p w14:paraId="4E98930F" w14:textId="77777777" w:rsidR="00E45705" w:rsidRPr="00FC7F6A" w:rsidRDefault="00E45705" w:rsidP="00FC7F6A">
            <w:pPr>
              <w:pStyle w:val="ListParagraph"/>
              <w:numPr>
                <w:ilvl w:val="1"/>
                <w:numId w:val="37"/>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Regions/locations</w:t>
            </w:r>
          </w:p>
          <w:p w14:paraId="4E4E7666" w14:textId="77777777" w:rsidR="00E45705" w:rsidRPr="00FC7F6A" w:rsidRDefault="00E45705" w:rsidP="00FC7F6A">
            <w:pPr>
              <w:pStyle w:val="ListParagraph"/>
              <w:numPr>
                <w:ilvl w:val="1"/>
                <w:numId w:val="37"/>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Referrers</w:t>
            </w:r>
          </w:p>
        </w:tc>
        <w:tc>
          <w:tcPr>
            <w:tcW w:w="3544" w:type="dxa"/>
            <w:vAlign w:val="top"/>
          </w:tcPr>
          <w:p w14:paraId="3320F9A0"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w:t>
            </w:r>
          </w:p>
          <w:p w14:paraId="13154F69" w14:textId="77777777" w:rsidR="00E45705" w:rsidRPr="00FC7F6A" w:rsidRDefault="00E45705" w:rsidP="00E45705">
            <w:pPr>
              <w:spacing w:before="60" w:after="60"/>
              <w:ind w:left="12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highlight w:val="yellow"/>
              </w:rPr>
            </w:pPr>
          </w:p>
        </w:tc>
      </w:tr>
      <w:tr w:rsidR="00E45705" w:rsidRPr="00FC7F6A" w14:paraId="29D091DD"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5759C467"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Is it working?</w:t>
            </w:r>
          </w:p>
        </w:tc>
      </w:tr>
      <w:tr w:rsidR="00E45705" w:rsidRPr="00FC7F6A" w14:paraId="431F7232"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41789B16"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4.2</w:t>
            </w:r>
          </w:p>
        </w:tc>
        <w:tc>
          <w:tcPr>
            <w:tcW w:w="2440" w:type="dxa"/>
            <w:vAlign w:val="top"/>
          </w:tcPr>
          <w:p w14:paraId="4AE25FA0"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Are Individual Support Services working?</w:t>
            </w:r>
          </w:p>
          <w:p w14:paraId="697B65A6"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p>
        </w:tc>
        <w:tc>
          <w:tcPr>
            <w:tcW w:w="7341" w:type="dxa"/>
            <w:vAlign w:val="top"/>
          </w:tcPr>
          <w:p w14:paraId="3DF77A0E"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Have there been any changes since the year one evaluation in terms of:</w:t>
            </w:r>
          </w:p>
          <w:p w14:paraId="5A124260" w14:textId="77777777" w:rsidR="00E45705" w:rsidRPr="00FC7F6A" w:rsidRDefault="00E45705" w:rsidP="00FC7F6A">
            <w:pPr>
              <w:pStyle w:val="ListParagraph"/>
              <w:numPr>
                <w:ilvl w:val="1"/>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Targeted outcomes being achieved?</w:t>
            </w:r>
          </w:p>
          <w:p w14:paraId="09894E2C" w14:textId="77777777" w:rsidR="00E45705" w:rsidRPr="00FC7F6A" w:rsidRDefault="00E45705" w:rsidP="00FC7F6A">
            <w:pPr>
              <w:pStyle w:val="ListParagraph"/>
              <w:numPr>
                <w:ilvl w:val="1"/>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Other outcomes being achieved?</w:t>
            </w:r>
          </w:p>
          <w:p w14:paraId="738893A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i/>
                <w:color w:val="3C3C3B" w:themeColor="text2"/>
                <w:szCs w:val="18"/>
              </w:rPr>
            </w:pPr>
            <w:r w:rsidRPr="00FC7F6A">
              <w:rPr>
                <w:rFonts w:asciiTheme="minorHAnsi" w:hAnsiTheme="minorHAnsi" w:cs="Arial"/>
                <w:szCs w:val="18"/>
              </w:rPr>
              <w:t>Is engagement in education and/or training sustained?</w:t>
            </w:r>
          </w:p>
          <w:p w14:paraId="59961555"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i/>
                <w:color w:val="3C3C3B" w:themeColor="text2"/>
                <w:szCs w:val="18"/>
              </w:rPr>
            </w:pPr>
            <w:r w:rsidRPr="00FC7F6A">
              <w:rPr>
                <w:rFonts w:asciiTheme="minorHAnsi" w:hAnsiTheme="minorHAnsi" w:cs="Arial"/>
                <w:szCs w:val="18"/>
              </w:rPr>
              <w:t>What is happening to the young people that are not achieving outcomes?</w:t>
            </w:r>
          </w:p>
        </w:tc>
        <w:tc>
          <w:tcPr>
            <w:tcW w:w="3544" w:type="dxa"/>
            <w:vAlign w:val="top"/>
          </w:tcPr>
          <w:p w14:paraId="6DBD54C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Interviews with Youth Connections stakeholders</w:t>
            </w:r>
          </w:p>
          <w:p w14:paraId="136AAD57"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Youth Connections service providers</w:t>
            </w:r>
          </w:p>
          <w:p w14:paraId="7E88A211"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Youth Connections service providers</w:t>
            </w:r>
          </w:p>
          <w:p w14:paraId="5ABE609B"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Analysis of YATMIS data (Program Summary Report)</w:t>
            </w:r>
          </w:p>
          <w:p w14:paraId="548D1304"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DEEWR work on sustainability of outcomes and young people that do not achieve outcomes (CRN tracking)</w:t>
            </w:r>
          </w:p>
        </w:tc>
      </w:tr>
      <w:tr w:rsidR="00E45705" w:rsidRPr="00FC7F6A" w14:paraId="4DA4444A"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286CB7AA"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4.3</w:t>
            </w:r>
          </w:p>
        </w:tc>
        <w:tc>
          <w:tcPr>
            <w:tcW w:w="2440" w:type="dxa"/>
            <w:vAlign w:val="top"/>
          </w:tcPr>
          <w:p w14:paraId="6DCEC3E1" w14:textId="77777777" w:rsidR="00E45705" w:rsidRPr="00FC7F6A" w:rsidDel="002B7CCE"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Are Outreach and Re-Engagement services working?</w:t>
            </w:r>
          </w:p>
        </w:tc>
        <w:tc>
          <w:tcPr>
            <w:tcW w:w="7341" w:type="dxa"/>
            <w:vAlign w:val="top"/>
          </w:tcPr>
          <w:p w14:paraId="303D87C0"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Have there been any changes since the year one evaluation in terms of:</w:t>
            </w:r>
          </w:p>
          <w:p w14:paraId="438D91B7" w14:textId="77777777" w:rsidR="00E45705" w:rsidRPr="00FC7F6A" w:rsidRDefault="00E45705" w:rsidP="00FC7F6A">
            <w:pPr>
              <w:pStyle w:val="ListParagraph"/>
              <w:numPr>
                <w:ilvl w:val="1"/>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Targeted outcomes being achieved?</w:t>
            </w:r>
          </w:p>
          <w:p w14:paraId="291BDF77" w14:textId="77777777" w:rsidR="00E45705" w:rsidRPr="00FC7F6A" w:rsidRDefault="00E45705" w:rsidP="00FC7F6A">
            <w:pPr>
              <w:pStyle w:val="ListParagraph"/>
              <w:numPr>
                <w:ilvl w:val="1"/>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Other outcomes being achieved?</w:t>
            </w:r>
          </w:p>
          <w:p w14:paraId="2D58A4B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Success of outreach and re-engagement services in moving young people to individual support services?</w:t>
            </w:r>
          </w:p>
          <w:p w14:paraId="3CB4853B"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Where Outreach and re-engagement activities are working – what does it look like and why is it working?</w:t>
            </w:r>
          </w:p>
        </w:tc>
        <w:tc>
          <w:tcPr>
            <w:tcW w:w="3544" w:type="dxa"/>
            <w:vAlign w:val="top"/>
          </w:tcPr>
          <w:p w14:paraId="74680677"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Analysis of YATMIS data (Program Summary Report)</w:t>
            </w:r>
          </w:p>
          <w:p w14:paraId="55CD01D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Interviews with Youth Connections stakeholders</w:t>
            </w:r>
          </w:p>
          <w:p w14:paraId="34CD2DDD"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Youth Connections service providers</w:t>
            </w:r>
          </w:p>
          <w:p w14:paraId="3E654210"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Youth Connections service providers</w:t>
            </w:r>
          </w:p>
        </w:tc>
      </w:tr>
      <w:tr w:rsidR="00E45705" w:rsidRPr="00FC7F6A" w14:paraId="4AC19A43"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31DCBAFA"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4.4</w:t>
            </w:r>
          </w:p>
        </w:tc>
        <w:tc>
          <w:tcPr>
            <w:tcW w:w="2440" w:type="dxa"/>
            <w:vAlign w:val="top"/>
          </w:tcPr>
          <w:p w14:paraId="7BFDD877" w14:textId="77777777" w:rsidR="00E45705" w:rsidRPr="00FC7F6A" w:rsidDel="002B7CCE"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Have Youth Services in the Regions been strengthened?</w:t>
            </w:r>
          </w:p>
        </w:tc>
        <w:tc>
          <w:tcPr>
            <w:tcW w:w="7341" w:type="dxa"/>
            <w:vAlign w:val="top"/>
          </w:tcPr>
          <w:p w14:paraId="546650A7"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What is service providers’ understanding of the Strengthening Services in the Region objectives?</w:t>
            </w:r>
          </w:p>
          <w:p w14:paraId="74310795"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How are YC providers interacting with PBs to deliver this component of the program?</w:t>
            </w:r>
          </w:p>
          <w:p w14:paraId="17FCD512"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Have there been any changes since the year one evaluation in terms of:</w:t>
            </w:r>
          </w:p>
          <w:p w14:paraId="5986C36B" w14:textId="77777777" w:rsidR="00E45705" w:rsidRPr="00FC7F6A" w:rsidRDefault="00E45705" w:rsidP="00FC7F6A">
            <w:pPr>
              <w:pStyle w:val="ListParagraph"/>
              <w:numPr>
                <w:ilvl w:val="1"/>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Targeted outcomes being achieved (including movement of young people from outreach into support services)?</w:t>
            </w:r>
          </w:p>
          <w:p w14:paraId="2203BC56"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Other outcomes being achieved?</w:t>
            </w:r>
          </w:p>
          <w:p w14:paraId="045CE844"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Where Strengthening Services in the region is working – what does it look like and why is it working?</w:t>
            </w:r>
          </w:p>
        </w:tc>
        <w:tc>
          <w:tcPr>
            <w:tcW w:w="3544" w:type="dxa"/>
            <w:vAlign w:val="top"/>
          </w:tcPr>
          <w:p w14:paraId="7B4734F1"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Interviews with Youth Connections stakeholders</w:t>
            </w:r>
          </w:p>
          <w:p w14:paraId="75C70340"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Youth Connections service providers</w:t>
            </w:r>
          </w:p>
          <w:p w14:paraId="6ED49845"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Youth Connections service providers</w:t>
            </w:r>
          </w:p>
          <w:p w14:paraId="6CE2902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Analysis of YATMIS data (Program Summary Report)</w:t>
            </w:r>
          </w:p>
        </w:tc>
      </w:tr>
      <w:tr w:rsidR="00E45705" w:rsidRPr="00FC7F6A" w14:paraId="06A69FDF" w14:textId="77777777" w:rsidTr="00E45705">
        <w:trPr>
          <w:trHeight w:val="777"/>
        </w:trPr>
        <w:tc>
          <w:tcPr>
            <w:cnfStyle w:val="001000000000" w:firstRow="0" w:lastRow="0" w:firstColumn="1" w:lastColumn="0" w:oddVBand="0" w:evenVBand="0" w:oddHBand="0" w:evenHBand="0" w:firstRowFirstColumn="0" w:firstRowLastColumn="0" w:lastRowFirstColumn="0" w:lastRowLastColumn="0"/>
            <w:tcW w:w="739" w:type="dxa"/>
            <w:vAlign w:val="top"/>
          </w:tcPr>
          <w:p w14:paraId="0047D1B0"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4.5</w:t>
            </w:r>
          </w:p>
        </w:tc>
        <w:tc>
          <w:tcPr>
            <w:tcW w:w="2440" w:type="dxa"/>
            <w:vAlign w:val="top"/>
          </w:tcPr>
          <w:p w14:paraId="5E43FC24"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What’s working well? Why?</w:t>
            </w:r>
          </w:p>
        </w:tc>
        <w:tc>
          <w:tcPr>
            <w:tcW w:w="7341" w:type="dxa"/>
            <w:vAlign w:val="top"/>
          </w:tcPr>
          <w:p w14:paraId="712CDB8D"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60EF9CB8"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the most significant benefits?</w:t>
            </w:r>
          </w:p>
          <w:p w14:paraId="635C1948"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unintended outcomes or other benefits? </w:t>
            </w:r>
          </w:p>
          <w:p w14:paraId="5F42C236"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critical success factors?</w:t>
            </w:r>
          </w:p>
          <w:p w14:paraId="1F217067"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major barriers to achieving desired outcomes?</w:t>
            </w:r>
          </w:p>
          <w:p w14:paraId="60E1F0A3"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can be done to address the barriers?</w:t>
            </w:r>
          </w:p>
          <w:p w14:paraId="56D99985" w14:textId="77777777" w:rsidR="00E45705" w:rsidRPr="00FC7F6A" w:rsidRDefault="00E45705" w:rsidP="00E45705">
            <w:pPr>
              <w:spacing w:before="60" w:after="60"/>
              <w:ind w:left="0"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Cs w:val="18"/>
              </w:rPr>
            </w:pPr>
          </w:p>
        </w:tc>
        <w:tc>
          <w:tcPr>
            <w:tcW w:w="3544" w:type="dxa"/>
            <w:vAlign w:val="top"/>
          </w:tcPr>
          <w:p w14:paraId="74E36A44"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 (outcomes reports, evaluation ratings, surveys), MWG and non-government education authorities</w:t>
            </w:r>
          </w:p>
          <w:p w14:paraId="5370A292"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Interviews with DEEWR, MWG, non-government representatives and other sector representatives and </w:t>
            </w:r>
            <w:r w:rsidRPr="00FC7F6A">
              <w:rPr>
                <w:rFonts w:asciiTheme="minorHAnsi" w:hAnsiTheme="minorHAnsi" w:cs="Arial"/>
                <w:szCs w:val="18"/>
              </w:rPr>
              <w:t>Youth Connections stakeholders</w:t>
            </w:r>
          </w:p>
          <w:p w14:paraId="23199C39"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Youth Connections service providers</w:t>
            </w:r>
          </w:p>
          <w:p w14:paraId="288B00BD"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Youth Connections service providers</w:t>
            </w:r>
          </w:p>
          <w:p w14:paraId="77A817D1"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Analysis of YATMIS data</w:t>
            </w:r>
          </w:p>
        </w:tc>
      </w:tr>
      <w:tr w:rsidR="00E45705" w:rsidRPr="00FC7F6A" w14:paraId="2E7961E1"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414FD3B3"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Is it appropriate?</w:t>
            </w:r>
          </w:p>
        </w:tc>
      </w:tr>
      <w:tr w:rsidR="00E45705" w:rsidRPr="00FC7F6A" w14:paraId="4F06593F"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01ACC524"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4.6</w:t>
            </w:r>
          </w:p>
        </w:tc>
        <w:tc>
          <w:tcPr>
            <w:tcW w:w="2440" w:type="dxa"/>
            <w:vAlign w:val="top"/>
          </w:tcPr>
          <w:p w14:paraId="5C13A5BB"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Is the element consistent with overarching policy objectives?</w:t>
            </w:r>
          </w:p>
        </w:tc>
        <w:tc>
          <w:tcPr>
            <w:tcW w:w="7341" w:type="dxa"/>
            <w:vAlign w:val="top"/>
          </w:tcPr>
          <w:p w14:paraId="78C9E4DA"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745D81F1"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Inconsistencies or gaps?</w:t>
            </w:r>
          </w:p>
        </w:tc>
        <w:tc>
          <w:tcPr>
            <w:tcW w:w="3544" w:type="dxa"/>
            <w:vAlign w:val="top"/>
          </w:tcPr>
          <w:p w14:paraId="424EF96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 MWG and non-government education authorities</w:t>
            </w:r>
          </w:p>
          <w:p w14:paraId="6AC2D230" w14:textId="77777777" w:rsidR="00E45705" w:rsidRPr="00FC7F6A" w:rsidRDefault="00E45705" w:rsidP="00E45705">
            <w:pPr>
              <w:pStyle w:val="ListParagraph"/>
              <w:tabs>
                <w:tab w:val="right" w:pos="8930"/>
              </w:tabs>
              <w:spacing w:before="60" w:after="60"/>
              <w:ind w:left="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E45705" w:rsidRPr="00FC7F6A" w14:paraId="2D7AF469"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419AAF9C"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4.7</w:t>
            </w:r>
          </w:p>
        </w:tc>
        <w:tc>
          <w:tcPr>
            <w:tcW w:w="2440" w:type="dxa"/>
            <w:vAlign w:val="top"/>
          </w:tcPr>
          <w:p w14:paraId="664FD8D3"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Does this element address areas of need?</w:t>
            </w:r>
          </w:p>
        </w:tc>
        <w:tc>
          <w:tcPr>
            <w:tcW w:w="7341" w:type="dxa"/>
            <w:vAlign w:val="top"/>
          </w:tcPr>
          <w:p w14:paraId="203DF8BC"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047C1539" w14:textId="77777777" w:rsidR="00E45705" w:rsidRPr="00FC7F6A" w:rsidRDefault="00E45705" w:rsidP="00FC7F6A">
            <w:pPr>
              <w:numPr>
                <w:ilvl w:val="1"/>
                <w:numId w:val="3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Targeting of at risk young people?</w:t>
            </w:r>
          </w:p>
          <w:p w14:paraId="2746E5C7" w14:textId="77777777" w:rsidR="00E45705" w:rsidRPr="00FC7F6A" w:rsidRDefault="00E45705" w:rsidP="00FC7F6A">
            <w:pPr>
              <w:numPr>
                <w:ilvl w:val="1"/>
                <w:numId w:val="3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Unmet needs that should be considered?</w:t>
            </w:r>
          </w:p>
          <w:p w14:paraId="65E9D45D"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Cs w:val="18"/>
              </w:rPr>
            </w:pPr>
            <w:r w:rsidRPr="00FC7F6A">
              <w:rPr>
                <w:rFonts w:asciiTheme="minorHAnsi" w:hAnsiTheme="minorHAnsi" w:cs="Arial"/>
                <w:bCs/>
                <w:szCs w:val="18"/>
              </w:rPr>
              <w:t>If it is possible to determine – is the capacity of the Youth Connections program sufficient to address the level of demand for youth support services?</w:t>
            </w:r>
          </w:p>
          <w:p w14:paraId="5684E227"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Cs w:val="18"/>
              </w:rPr>
            </w:pPr>
            <w:r w:rsidRPr="00FC7F6A">
              <w:rPr>
                <w:rFonts w:asciiTheme="minorHAnsi" w:hAnsiTheme="minorHAnsi" w:cs="Arial"/>
                <w:bCs/>
                <w:szCs w:val="18"/>
              </w:rPr>
              <w:t>Are Indigenous and humanitarian refugee flags useful in focusing provider effort on areas of need? Are there other areas that could benefit from being flagged?</w:t>
            </w:r>
          </w:p>
          <w:p w14:paraId="42E4E15D"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Cs w:val="18"/>
              </w:rPr>
            </w:pPr>
            <w:r w:rsidRPr="00FC7F6A">
              <w:rPr>
                <w:rFonts w:asciiTheme="minorHAnsi" w:hAnsiTheme="minorHAnsi" w:cs="Arial"/>
                <w:bCs/>
                <w:szCs w:val="18"/>
              </w:rPr>
              <w:t>What is the impact of using connection level targets on addressing areas of need?</w:t>
            </w:r>
          </w:p>
        </w:tc>
        <w:tc>
          <w:tcPr>
            <w:tcW w:w="3544" w:type="dxa"/>
            <w:vAlign w:val="top"/>
          </w:tcPr>
          <w:p w14:paraId="61A6758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Interviews with DEEWR, MWG, non-government representatives and other sector representatives</w:t>
            </w:r>
          </w:p>
          <w:p w14:paraId="49F8174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Youth Connections service providers</w:t>
            </w:r>
          </w:p>
          <w:p w14:paraId="4DA2116D"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Youth Connections service providers</w:t>
            </w:r>
          </w:p>
          <w:p w14:paraId="5D836E7E" w14:textId="77777777" w:rsidR="00E45705" w:rsidRPr="00FC7F6A" w:rsidRDefault="00E45705" w:rsidP="00FC7F6A">
            <w:pPr>
              <w:pStyle w:val="ListParagraph"/>
              <w:numPr>
                <w:ilvl w:val="0"/>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bCs/>
                <w:sz w:val="18"/>
                <w:szCs w:val="18"/>
              </w:rPr>
              <w:t xml:space="preserve">Data analysis </w:t>
            </w:r>
          </w:p>
          <w:p w14:paraId="1632C732" w14:textId="77777777" w:rsidR="00E45705" w:rsidRPr="00FC7F6A" w:rsidRDefault="00E45705" w:rsidP="00FC7F6A">
            <w:pPr>
              <w:pStyle w:val="ListParagraph"/>
              <w:numPr>
                <w:ilvl w:val="1"/>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Labour Force Survey</w:t>
            </w:r>
          </w:p>
          <w:p w14:paraId="35108076" w14:textId="77777777" w:rsidR="00E45705" w:rsidRPr="00FC7F6A" w:rsidRDefault="00E45705" w:rsidP="00FC7F6A">
            <w:pPr>
              <w:pStyle w:val="ListParagraph"/>
              <w:numPr>
                <w:ilvl w:val="1"/>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National School Statistics Collection</w:t>
            </w:r>
          </w:p>
          <w:p w14:paraId="551D0AA7" w14:textId="77777777" w:rsidR="00E45705" w:rsidRPr="00FC7F6A" w:rsidRDefault="00E45705" w:rsidP="00FC7F6A">
            <w:pPr>
              <w:pStyle w:val="ListParagraph"/>
              <w:numPr>
                <w:ilvl w:val="1"/>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Survey of Education and Work</w:t>
            </w:r>
          </w:p>
          <w:p w14:paraId="562E9610" w14:textId="77777777" w:rsidR="00E45705" w:rsidRPr="00FC7F6A" w:rsidRDefault="00E45705" w:rsidP="00FC7F6A">
            <w:pPr>
              <w:pStyle w:val="ListParagraph"/>
              <w:numPr>
                <w:ilvl w:val="1"/>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Regional Population Growth</w:t>
            </w:r>
          </w:p>
          <w:p w14:paraId="543FC525" w14:textId="77777777" w:rsidR="00E45705" w:rsidRPr="00FC7F6A" w:rsidRDefault="00E45705" w:rsidP="00FC7F6A">
            <w:pPr>
              <w:pStyle w:val="ListParagraph"/>
              <w:numPr>
                <w:ilvl w:val="1"/>
                <w:numId w:val="38"/>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Australian Demographic Statistics</w:t>
            </w:r>
          </w:p>
        </w:tc>
      </w:tr>
      <w:tr w:rsidR="00E45705" w:rsidRPr="00FC7F6A" w14:paraId="38045DF3"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60FF1D0F"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4.8</w:t>
            </w:r>
          </w:p>
        </w:tc>
        <w:tc>
          <w:tcPr>
            <w:tcW w:w="2440" w:type="dxa"/>
            <w:vAlign w:val="top"/>
          </w:tcPr>
          <w:p w14:paraId="360ABC24"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highlight w:val="yellow"/>
              </w:rPr>
            </w:pPr>
            <w:r w:rsidRPr="00FC7F6A">
              <w:rPr>
                <w:rFonts w:asciiTheme="minorHAnsi" w:hAnsiTheme="minorHAnsi" w:cs="Arial"/>
                <w:b/>
                <w:bCs/>
                <w:szCs w:val="18"/>
              </w:rPr>
              <w:t>Does Youth Connections complement other programs and initiatives targeting similar outcomes?</w:t>
            </w:r>
          </w:p>
        </w:tc>
        <w:tc>
          <w:tcPr>
            <w:tcW w:w="7341" w:type="dxa"/>
            <w:vAlign w:val="top"/>
          </w:tcPr>
          <w:p w14:paraId="54E075F0"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42194F41" w14:textId="77777777" w:rsidR="00E45705" w:rsidRPr="00FC7F6A" w:rsidRDefault="00E45705" w:rsidP="00FC7F6A">
            <w:pPr>
              <w:numPr>
                <w:ilvl w:val="1"/>
                <w:numId w:val="3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Inconsistencies or gaps?</w:t>
            </w:r>
          </w:p>
          <w:p w14:paraId="60024D00"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Cs w:val="18"/>
              </w:rPr>
            </w:pPr>
            <w:r w:rsidRPr="00FC7F6A">
              <w:rPr>
                <w:rFonts w:asciiTheme="minorHAnsi" w:hAnsiTheme="minorHAnsi" w:cs="Arial"/>
                <w:bCs/>
                <w:szCs w:val="18"/>
              </w:rPr>
              <w:t xml:space="preserve">How well does Youth Connections interact with other youth support programs (delivered by the Australian Government, state and territory governments and non-government organisations)? </w:t>
            </w:r>
          </w:p>
        </w:tc>
        <w:tc>
          <w:tcPr>
            <w:tcW w:w="3544" w:type="dxa"/>
            <w:vAlign w:val="top"/>
          </w:tcPr>
          <w:p w14:paraId="5350D16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 MWG and non-government education authorities</w:t>
            </w:r>
          </w:p>
          <w:p w14:paraId="5E7EB63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Interviews with service providers, JSA and Centrelink</w:t>
            </w:r>
          </w:p>
          <w:p w14:paraId="3E21F6C3"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i/>
                <w:szCs w:val="18"/>
              </w:rPr>
            </w:pPr>
          </w:p>
        </w:tc>
      </w:tr>
      <w:tr w:rsidR="00E45705" w:rsidRPr="00FC7F6A" w14:paraId="5F9012D3"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1A94F538" w14:textId="77777777" w:rsidR="00E45705" w:rsidRPr="00FC7F6A" w:rsidRDefault="00E45705" w:rsidP="00E45705">
            <w:pPr>
              <w:tabs>
                <w:tab w:val="right" w:pos="8930"/>
              </w:tabs>
              <w:spacing w:before="60" w:after="60"/>
              <w:ind w:left="142"/>
              <w:rPr>
                <w:rFonts w:asciiTheme="minorHAnsi" w:hAnsiTheme="minorHAnsi" w:cs="Arial"/>
                <w:color w:val="auto"/>
                <w:szCs w:val="18"/>
                <w:highlight w:val="yellow"/>
              </w:rPr>
            </w:pPr>
            <w:r w:rsidRPr="00FC7F6A">
              <w:rPr>
                <w:rFonts w:asciiTheme="minorHAnsi" w:hAnsiTheme="minorHAnsi" w:cs="Arial"/>
                <w:bCs/>
                <w:color w:val="auto"/>
                <w:szCs w:val="18"/>
              </w:rPr>
              <w:t>Is the element well governed and implemented?</w:t>
            </w:r>
          </w:p>
        </w:tc>
      </w:tr>
      <w:tr w:rsidR="00E45705" w:rsidRPr="00FC7F6A" w14:paraId="220D3D2F" w14:textId="77777777" w:rsidTr="00E45705">
        <w:trPr>
          <w:trHeight w:val="738"/>
        </w:trPr>
        <w:tc>
          <w:tcPr>
            <w:cnfStyle w:val="001000000000" w:firstRow="0" w:lastRow="0" w:firstColumn="1" w:lastColumn="0" w:oddVBand="0" w:evenVBand="0" w:oddHBand="0" w:evenHBand="0" w:firstRowFirstColumn="0" w:firstRowLastColumn="0" w:lastRowFirstColumn="0" w:lastRowLastColumn="0"/>
            <w:tcW w:w="739" w:type="dxa"/>
            <w:vAlign w:val="top"/>
          </w:tcPr>
          <w:p w14:paraId="352F0C4F"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4.9</w:t>
            </w:r>
          </w:p>
        </w:tc>
        <w:tc>
          <w:tcPr>
            <w:tcW w:w="2440" w:type="dxa"/>
            <w:vAlign w:val="top"/>
          </w:tcPr>
          <w:p w14:paraId="68F7FC80"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How well have stakeholders collaborated on the design and delivery of the element?</w:t>
            </w:r>
          </w:p>
        </w:tc>
        <w:tc>
          <w:tcPr>
            <w:tcW w:w="7341" w:type="dxa"/>
            <w:vAlign w:val="top"/>
          </w:tcPr>
          <w:p w14:paraId="0C9EB77C" w14:textId="77777777" w:rsidR="00E45705" w:rsidRPr="00FC7F6A" w:rsidRDefault="00E45705" w:rsidP="00FC7F6A">
            <w:pPr>
              <w:numPr>
                <w:ilvl w:val="0"/>
                <w:numId w:val="33"/>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Have there been any changes since the year one evaluation in terms of:</w:t>
            </w:r>
          </w:p>
          <w:p w14:paraId="3FF1C2A0"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Collaboration to support program delivery/implementation?</w:t>
            </w:r>
          </w:p>
          <w:p w14:paraId="38C43EE7"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Knowledge sharing across elements and stakeholders?</w:t>
            </w:r>
          </w:p>
        </w:tc>
        <w:tc>
          <w:tcPr>
            <w:tcW w:w="3544" w:type="dxa"/>
            <w:vAlign w:val="top"/>
          </w:tcPr>
          <w:p w14:paraId="5BAE0865"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 MWG and non-government education authorities</w:t>
            </w:r>
          </w:p>
          <w:p w14:paraId="3E84FAC9"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Youth Connections service providers</w:t>
            </w:r>
          </w:p>
          <w:p w14:paraId="0E95C0A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Youth Connections service provider</w:t>
            </w:r>
            <w:r w:rsidRPr="00FC7F6A">
              <w:rPr>
                <w:rFonts w:asciiTheme="minorHAnsi" w:hAnsiTheme="minorHAnsi" w:cs="Arial"/>
                <w:szCs w:val="18"/>
              </w:rPr>
              <w:t>s</w:t>
            </w:r>
          </w:p>
        </w:tc>
      </w:tr>
      <w:tr w:rsidR="00E45705" w:rsidRPr="00FC7F6A" w14:paraId="1E8C82BA" w14:textId="77777777" w:rsidTr="00E45705">
        <w:trPr>
          <w:trHeight w:val="248"/>
        </w:trPr>
        <w:tc>
          <w:tcPr>
            <w:cnfStyle w:val="001000000000" w:firstRow="0" w:lastRow="0" w:firstColumn="1" w:lastColumn="0" w:oddVBand="0" w:evenVBand="0" w:oddHBand="0" w:evenHBand="0" w:firstRowFirstColumn="0" w:firstRowLastColumn="0" w:lastRowFirstColumn="0" w:lastRowLastColumn="0"/>
            <w:tcW w:w="739" w:type="dxa"/>
            <w:vAlign w:val="top"/>
          </w:tcPr>
          <w:p w14:paraId="70F0FE7A"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4.10</w:t>
            </w:r>
          </w:p>
        </w:tc>
        <w:tc>
          <w:tcPr>
            <w:tcW w:w="2440" w:type="dxa"/>
            <w:vAlign w:val="top"/>
          </w:tcPr>
          <w:p w14:paraId="685F7652"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Is governance of the element working effectively?</w:t>
            </w:r>
          </w:p>
        </w:tc>
        <w:tc>
          <w:tcPr>
            <w:tcW w:w="7341" w:type="dxa"/>
            <w:vAlign w:val="top"/>
          </w:tcPr>
          <w:p w14:paraId="314B0620" w14:textId="77777777" w:rsidR="00E45705" w:rsidRPr="00FC7F6A" w:rsidRDefault="00E45705" w:rsidP="00FC7F6A">
            <w:pPr>
              <w:numPr>
                <w:ilvl w:val="0"/>
                <w:numId w:val="33"/>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Have there been any changes since the year one evaluation in terms of the aspects of the governance arrangements that are working well or could be improved?</w:t>
            </w:r>
          </w:p>
        </w:tc>
        <w:tc>
          <w:tcPr>
            <w:tcW w:w="3544" w:type="dxa"/>
            <w:vAlign w:val="top"/>
          </w:tcPr>
          <w:p w14:paraId="2636C767"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 xml:space="preserve">As above </w:t>
            </w:r>
          </w:p>
        </w:tc>
      </w:tr>
      <w:tr w:rsidR="00E45705" w:rsidRPr="00FC7F6A" w14:paraId="3BC48600"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0F7FD7EA"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4.11</w:t>
            </w:r>
          </w:p>
        </w:tc>
        <w:tc>
          <w:tcPr>
            <w:tcW w:w="2440" w:type="dxa"/>
            <w:vAlign w:val="top"/>
          </w:tcPr>
          <w:p w14:paraId="368AE448"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How well is performance reporting working?</w:t>
            </w:r>
          </w:p>
        </w:tc>
        <w:tc>
          <w:tcPr>
            <w:tcW w:w="7341" w:type="dxa"/>
            <w:vAlign w:val="top"/>
          </w:tcPr>
          <w:p w14:paraId="09646172" w14:textId="77777777" w:rsidR="00E45705" w:rsidRPr="00FC7F6A" w:rsidRDefault="00E45705" w:rsidP="00FC7F6A">
            <w:pPr>
              <w:numPr>
                <w:ilvl w:val="0"/>
                <w:numId w:val="33"/>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Have there been any changes since the year one evaluation in terms of performance reporting?</w:t>
            </w:r>
          </w:p>
        </w:tc>
        <w:tc>
          <w:tcPr>
            <w:tcW w:w="3544" w:type="dxa"/>
            <w:vAlign w:val="top"/>
          </w:tcPr>
          <w:p w14:paraId="6AFB0A3C"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r w:rsidR="00E45705" w:rsidRPr="00FC7F6A" w14:paraId="3D7397D4"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7D557E8B"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4.12</w:t>
            </w:r>
          </w:p>
        </w:tc>
        <w:tc>
          <w:tcPr>
            <w:tcW w:w="2440" w:type="dxa"/>
            <w:vAlign w:val="top"/>
          </w:tcPr>
          <w:p w14:paraId="53E4A4D0"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How effective is communication?</w:t>
            </w:r>
          </w:p>
          <w:p w14:paraId="0593A565" w14:textId="77777777" w:rsidR="00E45705" w:rsidRPr="00FC7F6A" w:rsidRDefault="00E45705" w:rsidP="00E45705">
            <w:p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rPr>
            </w:pPr>
          </w:p>
        </w:tc>
        <w:tc>
          <w:tcPr>
            <w:tcW w:w="7341" w:type="dxa"/>
            <w:vAlign w:val="top"/>
          </w:tcPr>
          <w:p w14:paraId="0C3CC167" w14:textId="77777777" w:rsidR="00E45705" w:rsidRPr="00FC7F6A" w:rsidRDefault="00E45705" w:rsidP="00FC7F6A">
            <w:pPr>
              <w:numPr>
                <w:ilvl w:val="0"/>
                <w:numId w:val="33"/>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Have there been any changes since the year one evaluation in terms of communication?</w:t>
            </w:r>
          </w:p>
        </w:tc>
        <w:tc>
          <w:tcPr>
            <w:tcW w:w="3544" w:type="dxa"/>
            <w:vAlign w:val="top"/>
          </w:tcPr>
          <w:p w14:paraId="11D43841"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 xml:space="preserve">As above </w:t>
            </w:r>
          </w:p>
          <w:p w14:paraId="157ED30F" w14:textId="77777777" w:rsidR="00E45705" w:rsidRPr="00FC7F6A" w:rsidRDefault="00E45705" w:rsidP="00E45705">
            <w:pPr>
              <w:tabs>
                <w:tab w:val="right" w:pos="8930"/>
              </w:tabs>
              <w:spacing w:before="60" w:after="60"/>
              <w:ind w:left="142"/>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p>
        </w:tc>
      </w:tr>
      <w:tr w:rsidR="00E45705" w:rsidRPr="00FC7F6A" w14:paraId="575BCC04"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16946E65"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Looking ahead…</w:t>
            </w:r>
          </w:p>
        </w:tc>
      </w:tr>
      <w:tr w:rsidR="00E45705" w:rsidRPr="00FC7F6A" w14:paraId="42045052"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77AE9F8C"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4.13</w:t>
            </w:r>
          </w:p>
        </w:tc>
        <w:tc>
          <w:tcPr>
            <w:tcW w:w="2440" w:type="dxa"/>
            <w:vAlign w:val="top"/>
          </w:tcPr>
          <w:p w14:paraId="012BC5DC"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for the NP?</w:t>
            </w:r>
          </w:p>
        </w:tc>
        <w:tc>
          <w:tcPr>
            <w:tcW w:w="7341" w:type="dxa"/>
            <w:vAlign w:val="top"/>
          </w:tcPr>
          <w:p w14:paraId="0752301D" w14:textId="77777777" w:rsidR="00E45705" w:rsidRPr="00FC7F6A" w:rsidRDefault="00E45705" w:rsidP="00FC7F6A">
            <w:pPr>
              <w:numPr>
                <w:ilvl w:val="0"/>
                <w:numId w:val="33"/>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u w:val="single"/>
              </w:rPr>
            </w:pPr>
            <w:r w:rsidRPr="00FC7F6A">
              <w:rPr>
                <w:rFonts w:asciiTheme="minorHAnsi" w:hAnsiTheme="minorHAnsi" w:cs="Arial"/>
                <w:szCs w:val="18"/>
              </w:rPr>
              <w:t>What refinements need to be made in the last year of the NP?</w:t>
            </w:r>
          </w:p>
          <w:p w14:paraId="770C7BEF" w14:textId="77777777" w:rsidR="00E45705" w:rsidRPr="00FC7F6A" w:rsidRDefault="00E45705" w:rsidP="00E45705">
            <w:pPr>
              <w:spacing w:before="60" w:after="60"/>
              <w:ind w:left="0"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p>
        </w:tc>
        <w:tc>
          <w:tcPr>
            <w:tcW w:w="3544" w:type="dxa"/>
            <w:vAlign w:val="top"/>
          </w:tcPr>
          <w:p w14:paraId="34FB7C65"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2EDFF49A"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 xml:space="preserve">Interviews with DEEWR, MWG, non-government education authorities, Youth Connections service providers, stakeholders and sector representatives </w:t>
            </w:r>
          </w:p>
          <w:p w14:paraId="60B77D7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Survey of Youth Connections service providers</w:t>
            </w:r>
          </w:p>
          <w:p w14:paraId="7A55A0B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 with Youth Connections service providers</w:t>
            </w:r>
          </w:p>
        </w:tc>
      </w:tr>
      <w:tr w:rsidR="00E45705" w:rsidRPr="00FC7F6A" w14:paraId="422EE74B"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3A8A35BA"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4.14</w:t>
            </w:r>
          </w:p>
        </w:tc>
        <w:tc>
          <w:tcPr>
            <w:tcW w:w="2440" w:type="dxa"/>
            <w:vAlign w:val="top"/>
          </w:tcPr>
          <w:p w14:paraId="633BF58A"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beyond the NP?</w:t>
            </w:r>
          </w:p>
        </w:tc>
        <w:tc>
          <w:tcPr>
            <w:tcW w:w="7341" w:type="dxa"/>
            <w:vAlign w:val="top"/>
          </w:tcPr>
          <w:p w14:paraId="0E47883A" w14:textId="77777777" w:rsidR="00E45705" w:rsidRPr="00FC7F6A" w:rsidRDefault="00E45705" w:rsidP="00FC7F6A">
            <w:pPr>
              <w:numPr>
                <w:ilvl w:val="0"/>
                <w:numId w:val="33"/>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u w:val="single"/>
              </w:rPr>
            </w:pPr>
            <w:r w:rsidRPr="00FC7F6A">
              <w:rPr>
                <w:rFonts w:asciiTheme="minorHAnsi" w:hAnsiTheme="minorHAnsi" w:cs="Arial"/>
                <w:szCs w:val="18"/>
              </w:rPr>
              <w:t>Are there factors that influence YC program outcomes that are not addressed by the YC program?</w:t>
            </w:r>
          </w:p>
          <w:p w14:paraId="6941CB6C"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What options are there to achieve YC objectives and outcomes following the conclusion of the NP?</w:t>
            </w:r>
          </w:p>
        </w:tc>
        <w:tc>
          <w:tcPr>
            <w:tcW w:w="3544" w:type="dxa"/>
            <w:vAlign w:val="top"/>
          </w:tcPr>
          <w:p w14:paraId="1C25CA79" w14:textId="77777777" w:rsidR="00E45705" w:rsidRPr="00FC7F6A" w:rsidRDefault="00E45705" w:rsidP="00FC7F6A">
            <w:pPr>
              <w:pStyle w:val="ListParagraph"/>
              <w:numPr>
                <w:ilvl w:val="0"/>
                <w:numId w:val="33"/>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70D54E6F" w14:textId="77777777" w:rsidR="00E45705" w:rsidRPr="00FC7F6A" w:rsidRDefault="00E45705" w:rsidP="00FC7F6A">
            <w:pPr>
              <w:pStyle w:val="ListParagraph"/>
              <w:numPr>
                <w:ilvl w:val="0"/>
                <w:numId w:val="33"/>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education authorities and sector representatives</w:t>
            </w:r>
          </w:p>
        </w:tc>
      </w:tr>
    </w:tbl>
    <w:p w14:paraId="1C6C028A" w14:textId="77777777" w:rsidR="00E45705" w:rsidRDefault="00E45705" w:rsidP="00E45705"/>
    <w:p w14:paraId="76AA16E3" w14:textId="77777777" w:rsidR="00E45705" w:rsidRDefault="00E45705" w:rsidP="00E45705">
      <w:pPr>
        <w:spacing w:line="380" w:lineRule="atLeast"/>
        <w:rPr>
          <w:rFonts w:eastAsiaTheme="majorEastAsia" w:cstheme="majorBidi"/>
          <w:b/>
          <w:bCs/>
          <w:color w:val="808080"/>
          <w:sz w:val="24"/>
        </w:rPr>
      </w:pPr>
      <w:r>
        <w:br w:type="page"/>
      </w:r>
    </w:p>
    <w:p w14:paraId="763CE97D" w14:textId="77777777" w:rsidR="00E45705" w:rsidRPr="00AE42BD" w:rsidRDefault="00E45705" w:rsidP="00E45705">
      <w:pPr>
        <w:pStyle w:val="Heading3NoNumbering"/>
      </w:pPr>
      <w:r>
        <w:t xml:space="preserve">5. </w:t>
      </w:r>
      <w:r w:rsidRPr="00AE42BD">
        <w:t>National Career Development</w:t>
      </w:r>
    </w:p>
    <w:tbl>
      <w:tblPr>
        <w:tblStyle w:val="DandoloTableCentred"/>
        <w:tblW w:w="14064" w:type="dxa"/>
        <w:tblLook w:val="00A0" w:firstRow="1" w:lastRow="0" w:firstColumn="1" w:lastColumn="0" w:noHBand="0" w:noVBand="0"/>
        <w:tblCaption w:val="Year 2 Evaluation Framework - National Career Development esearch questions"/>
        <w:tblDescription w:val="Year 2 Evaluation Framework - National Career Development esearch questions"/>
      </w:tblPr>
      <w:tblGrid>
        <w:gridCol w:w="2440"/>
        <w:gridCol w:w="5245"/>
        <w:gridCol w:w="2835"/>
        <w:gridCol w:w="3544"/>
      </w:tblGrid>
      <w:tr w:rsidR="00E45705" w:rsidRPr="00FC7F6A" w14:paraId="60BC5852"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vAlign w:val="top"/>
          </w:tcPr>
          <w:p w14:paraId="19D65753"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color w:val="auto"/>
                <w:szCs w:val="18"/>
              </w:rPr>
              <w:t>Research method:</w:t>
            </w:r>
          </w:p>
        </w:tc>
        <w:tc>
          <w:tcPr>
            <w:tcW w:w="5245" w:type="dxa"/>
            <w:vAlign w:val="top"/>
          </w:tcPr>
          <w:p w14:paraId="4EE0C8D1"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Stakeholder engagement</w:t>
            </w:r>
          </w:p>
        </w:tc>
        <w:tc>
          <w:tcPr>
            <w:tcW w:w="2835" w:type="dxa"/>
            <w:vAlign w:val="top"/>
          </w:tcPr>
          <w:p w14:paraId="2084E693"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Data analysis </w:t>
            </w:r>
          </w:p>
        </w:tc>
        <w:tc>
          <w:tcPr>
            <w:tcW w:w="3544" w:type="dxa"/>
            <w:vAlign w:val="top"/>
          </w:tcPr>
          <w:p w14:paraId="258E576B"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Literature review </w:t>
            </w:r>
          </w:p>
        </w:tc>
      </w:tr>
      <w:tr w:rsidR="00E45705" w:rsidRPr="00FC7F6A" w14:paraId="614EF463" w14:textId="77777777" w:rsidTr="00E45705">
        <w:trPr>
          <w:trHeight w:val="1514"/>
        </w:trPr>
        <w:tc>
          <w:tcPr>
            <w:cnfStyle w:val="001000000000" w:firstRow="0" w:lastRow="0" w:firstColumn="1" w:lastColumn="0" w:oddVBand="0" w:evenVBand="0" w:oddHBand="0" w:evenHBand="0" w:firstRowFirstColumn="0" w:firstRowLastColumn="0" w:lastRowFirstColumn="0" w:lastRowLastColumn="0"/>
            <w:tcW w:w="2440" w:type="dxa"/>
            <w:vAlign w:val="top"/>
          </w:tcPr>
          <w:p w14:paraId="34952153" w14:textId="77777777" w:rsidR="00E45705" w:rsidRPr="00FC7F6A" w:rsidRDefault="00E45705" w:rsidP="00E45705">
            <w:pPr>
              <w:spacing w:before="60" w:after="60"/>
              <w:ind w:left="142" w:right="142"/>
              <w:rPr>
                <w:rFonts w:asciiTheme="minorHAnsi" w:hAnsiTheme="minorHAnsi" w:cs="Arial"/>
                <w:bCs/>
                <w:color w:val="auto"/>
                <w:szCs w:val="18"/>
              </w:rPr>
            </w:pPr>
            <w:r w:rsidRPr="00FC7F6A">
              <w:rPr>
                <w:rFonts w:asciiTheme="minorHAnsi" w:hAnsiTheme="minorHAnsi" w:cs="Arial"/>
                <w:bCs/>
                <w:color w:val="auto"/>
                <w:szCs w:val="18"/>
              </w:rPr>
              <w:t>Sources of data:</w:t>
            </w:r>
          </w:p>
          <w:p w14:paraId="582C3755" w14:textId="77777777" w:rsidR="00E45705" w:rsidRPr="00FC7F6A" w:rsidRDefault="00E45705" w:rsidP="00E45705">
            <w:pPr>
              <w:spacing w:before="60" w:after="60"/>
              <w:ind w:left="142" w:right="142"/>
              <w:rPr>
                <w:rFonts w:asciiTheme="minorHAnsi" w:hAnsiTheme="minorHAnsi" w:cs="Arial"/>
                <w:szCs w:val="18"/>
              </w:rPr>
            </w:pPr>
          </w:p>
        </w:tc>
        <w:tc>
          <w:tcPr>
            <w:tcW w:w="5245" w:type="dxa"/>
            <w:vAlign w:val="top"/>
          </w:tcPr>
          <w:p w14:paraId="33538AFA"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DEEWR – national and regional managers and staff</w:t>
            </w:r>
          </w:p>
          <w:p w14:paraId="27075D28"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States and territory education and training departments</w:t>
            </w:r>
          </w:p>
          <w:p w14:paraId="608D942E"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Catholic and Independent school sectors</w:t>
            </w:r>
          </w:p>
          <w:p w14:paraId="327AA1F2"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Business and industry representative bodies</w:t>
            </w:r>
          </w:p>
          <w:p w14:paraId="25A396B5"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Community and youth representative bodies</w:t>
            </w:r>
          </w:p>
          <w:p w14:paraId="0FD976C6"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Career industry representatives</w:t>
            </w:r>
          </w:p>
          <w:p w14:paraId="24AE3551"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Expert panel</w:t>
            </w:r>
          </w:p>
        </w:tc>
        <w:tc>
          <w:tcPr>
            <w:tcW w:w="2835" w:type="dxa"/>
            <w:vAlign w:val="top"/>
          </w:tcPr>
          <w:p w14:paraId="4A401E6C" w14:textId="77777777" w:rsidR="00E45705" w:rsidRPr="00FC7F6A" w:rsidRDefault="00E45705" w:rsidP="00FC7F6A">
            <w:pPr>
              <w:pStyle w:val="ListParagraph"/>
              <w:numPr>
                <w:ilvl w:val="0"/>
                <w:numId w:val="31"/>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 xml:space="preserve">Not applicable </w:t>
            </w:r>
          </w:p>
        </w:tc>
        <w:tc>
          <w:tcPr>
            <w:tcW w:w="3544" w:type="dxa"/>
            <w:vAlign w:val="top"/>
          </w:tcPr>
          <w:p w14:paraId="18DBDF57"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National Career Development Strategy and related documents</w:t>
            </w:r>
          </w:p>
          <w:p w14:paraId="4613D8BC"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 xml:space="preserve">NCD research reports </w:t>
            </w:r>
          </w:p>
          <w:p w14:paraId="026E6CC2" w14:textId="77777777" w:rsidR="00E45705" w:rsidRPr="00FC7F6A" w:rsidRDefault="00E45705" w:rsidP="00E45705">
            <w:pPr>
              <w:pStyle w:val="ListParagraph"/>
              <w:autoSpaceDE w:val="0"/>
              <w:autoSpaceDN w:val="0"/>
              <w:adjustRightInd w:val="0"/>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18"/>
                <w:szCs w:val="18"/>
                <w:highlight w:val="yellow"/>
              </w:rPr>
            </w:pPr>
          </w:p>
        </w:tc>
      </w:tr>
    </w:tbl>
    <w:p w14:paraId="2D0276B9" w14:textId="77777777" w:rsidR="00E45705" w:rsidRPr="00FC7F6A" w:rsidRDefault="00E45705" w:rsidP="00E45705">
      <w:pPr>
        <w:pStyle w:val="Heading4"/>
        <w:rPr>
          <w:rFonts w:asciiTheme="minorHAnsi" w:hAnsiTheme="minorHAnsi"/>
          <w:sz w:val="18"/>
          <w:szCs w:val="18"/>
        </w:rPr>
      </w:pPr>
    </w:p>
    <w:tbl>
      <w:tblPr>
        <w:tblStyle w:val="DandoloTableCentred"/>
        <w:tblW w:w="14064" w:type="dxa"/>
        <w:tblLook w:val="00A0" w:firstRow="1" w:lastRow="0" w:firstColumn="1" w:lastColumn="0" w:noHBand="0" w:noVBand="0"/>
        <w:tblCaption w:val="Year 2 Evaluation Framework - National Career Development research questions"/>
        <w:tblDescription w:val="Year 2 Evaluation Framework - National Career Development research questions"/>
      </w:tblPr>
      <w:tblGrid>
        <w:gridCol w:w="739"/>
        <w:gridCol w:w="2440"/>
        <w:gridCol w:w="7341"/>
        <w:gridCol w:w="3544"/>
      </w:tblGrid>
      <w:tr w:rsidR="00E45705" w:rsidRPr="00FC7F6A" w14:paraId="04FED415"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9" w:type="dxa"/>
            <w:gridSpan w:val="2"/>
            <w:vAlign w:val="top"/>
          </w:tcPr>
          <w:p w14:paraId="5291723E" w14:textId="77777777" w:rsidR="00E45705" w:rsidRPr="00FC7F6A" w:rsidRDefault="00E45705" w:rsidP="00E45705">
            <w:pPr>
              <w:spacing w:before="60" w:after="60"/>
              <w:ind w:left="142" w:right="142"/>
              <w:rPr>
                <w:rFonts w:asciiTheme="minorHAnsi" w:hAnsiTheme="minorHAnsi" w:cs="Arial"/>
                <w:b w:val="0"/>
                <w:color w:val="auto"/>
                <w:szCs w:val="18"/>
              </w:rPr>
            </w:pPr>
            <w:r w:rsidRPr="00FC7F6A">
              <w:rPr>
                <w:rFonts w:asciiTheme="minorHAnsi" w:hAnsiTheme="minorHAnsi" w:cs="Arial"/>
                <w:szCs w:val="18"/>
              </w:rPr>
              <w:t>Question</w:t>
            </w:r>
          </w:p>
        </w:tc>
        <w:tc>
          <w:tcPr>
            <w:tcW w:w="7341" w:type="dxa"/>
            <w:vAlign w:val="top"/>
          </w:tcPr>
          <w:p w14:paraId="30D8A8F7"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szCs w:val="18"/>
              </w:rPr>
              <w:t>Sub-questions</w:t>
            </w:r>
          </w:p>
        </w:tc>
        <w:tc>
          <w:tcPr>
            <w:tcW w:w="3544" w:type="dxa"/>
            <w:vAlign w:val="top"/>
          </w:tcPr>
          <w:p w14:paraId="02D6C98D"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szCs w:val="18"/>
              </w:rPr>
              <w:t xml:space="preserve">Data sources </w:t>
            </w:r>
          </w:p>
        </w:tc>
      </w:tr>
      <w:tr w:rsidR="00E45705" w:rsidRPr="00FC7F6A" w14:paraId="0592B29D"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3F1AE367" w14:textId="77777777" w:rsidR="00E45705" w:rsidRPr="00FC7F6A" w:rsidRDefault="00E45705" w:rsidP="00E45705">
            <w:pPr>
              <w:tabs>
                <w:tab w:val="right" w:pos="8930"/>
              </w:tabs>
              <w:spacing w:before="60" w:after="60"/>
              <w:ind w:left="142" w:right="0"/>
              <w:rPr>
                <w:rFonts w:asciiTheme="minorHAnsi" w:hAnsiTheme="minorHAnsi" w:cs="Arial"/>
                <w:color w:val="auto"/>
                <w:szCs w:val="18"/>
              </w:rPr>
            </w:pPr>
            <w:r w:rsidRPr="00FC7F6A">
              <w:rPr>
                <w:rFonts w:asciiTheme="minorHAnsi" w:hAnsiTheme="minorHAnsi" w:cs="Arial"/>
                <w:bCs/>
                <w:szCs w:val="18"/>
              </w:rPr>
              <w:t>What is happening?</w:t>
            </w:r>
          </w:p>
        </w:tc>
      </w:tr>
      <w:tr w:rsidR="00E45705" w:rsidRPr="00FC7F6A" w14:paraId="3E8C94CF" w14:textId="77777777" w:rsidTr="00E45705">
        <w:trPr>
          <w:trHeight w:val="917"/>
        </w:trPr>
        <w:tc>
          <w:tcPr>
            <w:cnfStyle w:val="001000000000" w:firstRow="0" w:lastRow="0" w:firstColumn="1" w:lastColumn="0" w:oddVBand="0" w:evenVBand="0" w:oddHBand="0" w:evenHBand="0" w:firstRowFirstColumn="0" w:firstRowLastColumn="0" w:lastRowFirstColumn="0" w:lastRowLastColumn="0"/>
            <w:tcW w:w="739" w:type="dxa"/>
            <w:vAlign w:val="top"/>
          </w:tcPr>
          <w:p w14:paraId="67DAF12C" w14:textId="77777777" w:rsidR="00E45705" w:rsidRPr="00FC7F6A" w:rsidRDefault="00E45705" w:rsidP="00E45705">
            <w:pPr>
              <w:spacing w:before="60" w:after="60"/>
              <w:ind w:left="142" w:right="142"/>
              <w:rPr>
                <w:rFonts w:asciiTheme="minorHAnsi" w:hAnsiTheme="minorHAnsi" w:cs="Arial"/>
                <w:b w:val="0"/>
                <w:bCs/>
                <w:szCs w:val="18"/>
              </w:rPr>
            </w:pPr>
            <w:r w:rsidRPr="00FC7F6A">
              <w:rPr>
                <w:rFonts w:asciiTheme="minorHAnsi" w:hAnsiTheme="minorHAnsi" w:cs="Arial"/>
                <w:bCs/>
                <w:szCs w:val="18"/>
              </w:rPr>
              <w:t>5.1</w:t>
            </w:r>
          </w:p>
        </w:tc>
        <w:tc>
          <w:tcPr>
            <w:tcW w:w="2440" w:type="dxa"/>
            <w:vAlign w:val="top"/>
          </w:tcPr>
          <w:p w14:paraId="55631168"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is being delivered as a result of NP funding?</w:t>
            </w:r>
          </w:p>
          <w:p w14:paraId="549F9640" w14:textId="77777777" w:rsidR="00E45705" w:rsidRPr="00FC7F6A" w:rsidRDefault="00E45705" w:rsidP="00E45705">
            <w:pPr>
              <w:tabs>
                <w:tab w:val="right" w:pos="8930"/>
              </w:tabs>
              <w:spacing w:before="60" w:after="60"/>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highlight w:val="yellow"/>
              </w:rPr>
            </w:pPr>
          </w:p>
        </w:tc>
        <w:tc>
          <w:tcPr>
            <w:tcW w:w="7341" w:type="dxa"/>
            <w:vAlign w:val="top"/>
          </w:tcPr>
          <w:p w14:paraId="0953FC6E"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resources that it makes sense to produce at a national level being produced nationally?</w:t>
            </w:r>
          </w:p>
          <w:p w14:paraId="7607C001"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Is the program on track to deliver the NCDS?</w:t>
            </w:r>
          </w:p>
          <w:p w14:paraId="225DE179"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national career development activities and resources are in place or planned as a result of the implementation of the NCDS?</w:t>
            </w:r>
          </w:p>
          <w:p w14:paraId="069FA33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How is funding allocated? </w:t>
            </w:r>
          </w:p>
          <w:p w14:paraId="35456107"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Has a national approach enabled more to be done with less? (e.g. provided more resources/initiatives or supported more young people within the same or less budget)</w:t>
            </w:r>
          </w:p>
          <w:p w14:paraId="41A82089"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Does the NCDS address research project findings and recommendations?</w:t>
            </w:r>
          </w:p>
        </w:tc>
        <w:tc>
          <w:tcPr>
            <w:tcW w:w="3544" w:type="dxa"/>
            <w:vAlign w:val="top"/>
          </w:tcPr>
          <w:p w14:paraId="69F4FD30"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w:t>
            </w:r>
          </w:p>
          <w:p w14:paraId="76A1F6F9" w14:textId="77777777" w:rsidR="00E45705" w:rsidRPr="00FC7F6A" w:rsidRDefault="00E45705" w:rsidP="00FC7F6A">
            <w:pPr>
              <w:pStyle w:val="ListParagraph"/>
              <w:numPr>
                <w:ilvl w:val="0"/>
                <w:numId w:val="29"/>
              </w:numPr>
              <w:tabs>
                <w:tab w:val="right" w:pos="8930"/>
              </w:tabs>
              <w:spacing w:before="60" w:after="60"/>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w:t>
            </w:r>
          </w:p>
        </w:tc>
      </w:tr>
      <w:tr w:rsidR="00E45705" w:rsidRPr="00FC7F6A" w14:paraId="4F748007"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3235A7D6" w14:textId="77777777" w:rsidR="00E45705" w:rsidRPr="00FC7F6A" w:rsidRDefault="00E45705" w:rsidP="00E45705">
            <w:pPr>
              <w:tabs>
                <w:tab w:val="right" w:pos="8930"/>
              </w:tabs>
              <w:spacing w:before="60" w:after="60"/>
              <w:ind w:left="142" w:right="0"/>
              <w:rPr>
                <w:rFonts w:asciiTheme="minorHAnsi" w:hAnsiTheme="minorHAnsi" w:cs="Arial"/>
                <w:color w:val="auto"/>
                <w:szCs w:val="18"/>
              </w:rPr>
            </w:pPr>
            <w:r w:rsidRPr="00FC7F6A">
              <w:rPr>
                <w:rFonts w:asciiTheme="minorHAnsi" w:hAnsiTheme="minorHAnsi" w:cs="Arial"/>
                <w:bCs/>
                <w:szCs w:val="18"/>
              </w:rPr>
              <w:t>Is it working?</w:t>
            </w:r>
          </w:p>
        </w:tc>
      </w:tr>
      <w:tr w:rsidR="00E45705" w:rsidRPr="00FC7F6A" w14:paraId="1F2BE855" w14:textId="77777777" w:rsidTr="00E45705">
        <w:trPr>
          <w:trHeight w:val="1092"/>
        </w:trPr>
        <w:tc>
          <w:tcPr>
            <w:cnfStyle w:val="001000000000" w:firstRow="0" w:lastRow="0" w:firstColumn="1" w:lastColumn="0" w:oddVBand="0" w:evenVBand="0" w:oddHBand="0" w:evenHBand="0" w:firstRowFirstColumn="0" w:firstRowLastColumn="0" w:lastRowFirstColumn="0" w:lastRowLastColumn="0"/>
            <w:tcW w:w="739" w:type="dxa"/>
            <w:vAlign w:val="top"/>
          </w:tcPr>
          <w:p w14:paraId="43606ABA" w14:textId="77777777" w:rsidR="00E45705" w:rsidRPr="00FC7F6A" w:rsidRDefault="00E45705" w:rsidP="00E45705">
            <w:pPr>
              <w:spacing w:before="60" w:after="60"/>
              <w:ind w:left="142" w:right="142"/>
              <w:rPr>
                <w:rFonts w:asciiTheme="minorHAnsi" w:hAnsiTheme="minorHAnsi" w:cs="Arial"/>
                <w:b w:val="0"/>
                <w:bCs/>
                <w:szCs w:val="18"/>
              </w:rPr>
            </w:pPr>
            <w:r w:rsidRPr="00FC7F6A">
              <w:rPr>
                <w:rFonts w:asciiTheme="minorHAnsi" w:hAnsiTheme="minorHAnsi" w:cs="Arial"/>
                <w:bCs/>
                <w:szCs w:val="18"/>
              </w:rPr>
              <w:t>5.2</w:t>
            </w:r>
          </w:p>
        </w:tc>
        <w:tc>
          <w:tcPr>
            <w:tcW w:w="2440" w:type="dxa"/>
            <w:vAlign w:val="top"/>
          </w:tcPr>
          <w:p w14:paraId="64EB47C5"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highlight w:val="yellow"/>
              </w:rPr>
            </w:pPr>
            <w:r w:rsidRPr="00FC7F6A">
              <w:rPr>
                <w:rFonts w:asciiTheme="minorHAnsi" w:hAnsiTheme="minorHAnsi" w:cs="Arial"/>
                <w:b/>
                <w:bCs/>
                <w:szCs w:val="18"/>
              </w:rPr>
              <w:t>Has the NP facilitated a more strategic approach to career development for young Australians?</w:t>
            </w:r>
          </w:p>
        </w:tc>
        <w:tc>
          <w:tcPr>
            <w:tcW w:w="7341" w:type="dxa"/>
            <w:vAlign w:val="top"/>
          </w:tcPr>
          <w:p w14:paraId="312D477B"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How have the career development needs of young people been incorporated in the NCDS development process?</w:t>
            </w:r>
          </w:p>
          <w:p w14:paraId="311BF747"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initiatives supported by evidence about what works well in terms of career education and development support for young people?</w:t>
            </w:r>
          </w:p>
          <w:p w14:paraId="18EA1E1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Were stakeholder groups that have significant impact on young people’s career decisions engaged in developing the initiatives? (schools, parents, carers, etc.)</w:t>
            </w:r>
          </w:p>
          <w:p w14:paraId="6891DE4D"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objectives/outcomes clearly defined and measurable?</w:t>
            </w:r>
          </w:p>
        </w:tc>
        <w:tc>
          <w:tcPr>
            <w:tcW w:w="3544" w:type="dxa"/>
            <w:vAlign w:val="top"/>
          </w:tcPr>
          <w:p w14:paraId="3F0A30C6" w14:textId="77777777" w:rsidR="00E45705" w:rsidRPr="00FC7F6A" w:rsidRDefault="00E45705" w:rsidP="00FC7F6A">
            <w:pPr>
              <w:pStyle w:val="ListParagraph"/>
              <w:numPr>
                <w:ilvl w:val="0"/>
                <w:numId w:val="29"/>
              </w:numPr>
              <w:tabs>
                <w:tab w:val="right" w:pos="8930"/>
              </w:tabs>
              <w:spacing w:before="60" w:after="60"/>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sector representatives, career industry representatives</w:t>
            </w:r>
          </w:p>
          <w:p w14:paraId="04FDFEFD" w14:textId="77777777" w:rsidR="00E45705" w:rsidRPr="00FC7F6A" w:rsidRDefault="00E45705" w:rsidP="00E45705">
            <w:pPr>
              <w:tabs>
                <w:tab w:val="right" w:pos="8930"/>
              </w:tabs>
              <w:spacing w:before="60" w:after="60"/>
              <w:ind w:left="142"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p>
        </w:tc>
      </w:tr>
      <w:tr w:rsidR="00E45705" w:rsidRPr="00FC7F6A" w14:paraId="09CF9B8D" w14:textId="77777777" w:rsidTr="00E45705">
        <w:trPr>
          <w:trHeight w:val="556"/>
        </w:trPr>
        <w:tc>
          <w:tcPr>
            <w:cnfStyle w:val="001000000000" w:firstRow="0" w:lastRow="0" w:firstColumn="1" w:lastColumn="0" w:oddVBand="0" w:evenVBand="0" w:oddHBand="0" w:evenHBand="0" w:firstRowFirstColumn="0" w:firstRowLastColumn="0" w:lastRowFirstColumn="0" w:lastRowLastColumn="0"/>
            <w:tcW w:w="739" w:type="dxa"/>
            <w:vAlign w:val="top"/>
          </w:tcPr>
          <w:p w14:paraId="727CD619"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5.3</w:t>
            </w:r>
          </w:p>
        </w:tc>
        <w:tc>
          <w:tcPr>
            <w:tcW w:w="2440" w:type="dxa"/>
            <w:vAlign w:val="top"/>
          </w:tcPr>
          <w:p w14:paraId="3A2E7964"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Did the NP lead to a more strategic approach to career development for young Australians?</w:t>
            </w:r>
          </w:p>
        </w:tc>
        <w:tc>
          <w:tcPr>
            <w:tcW w:w="7341" w:type="dxa"/>
            <w:vAlign w:val="top"/>
          </w:tcPr>
          <w:p w14:paraId="23F3B1FE"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How has implementation of the NCDS helped to:</w:t>
            </w:r>
          </w:p>
          <w:p w14:paraId="57002DBF"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Clarify roles and responsibilities of key stakeholders – e.g. Commonwealth, states/territories, non-gov sector, industry?</w:t>
            </w:r>
          </w:p>
          <w:p w14:paraId="3CE7D560"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Reduce duplication of activities/resources?</w:t>
            </w:r>
          </w:p>
          <w:p w14:paraId="24F18750"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Improve equity of access issues for young people? (e.g. for young Indigenous people, young people living in remote areas, young people out of school and not in education) </w:t>
            </w:r>
          </w:p>
          <w:p w14:paraId="60E0CDD2" w14:textId="77777777" w:rsidR="00E45705" w:rsidRPr="00FC7F6A" w:rsidRDefault="00E45705" w:rsidP="00FC7F6A">
            <w:pPr>
              <w:numPr>
                <w:ilvl w:val="1"/>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Establish a more integrated career development focus – across NP Elements and beyond? </w:t>
            </w:r>
          </w:p>
        </w:tc>
        <w:tc>
          <w:tcPr>
            <w:tcW w:w="3544" w:type="dxa"/>
            <w:vAlign w:val="top"/>
          </w:tcPr>
          <w:p w14:paraId="2B44CF40" w14:textId="77777777" w:rsidR="00E45705" w:rsidRPr="00FC7F6A" w:rsidRDefault="00E45705" w:rsidP="00FC7F6A">
            <w:pPr>
              <w:pStyle w:val="ListParagraph"/>
              <w:numPr>
                <w:ilvl w:val="0"/>
                <w:numId w:val="29"/>
              </w:numPr>
              <w:tabs>
                <w:tab w:val="right" w:pos="8930"/>
              </w:tabs>
              <w:spacing w:before="60" w:after="60"/>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r w:rsidR="00E45705" w:rsidRPr="00FC7F6A" w14:paraId="0FC47260" w14:textId="77777777" w:rsidTr="00E45705">
        <w:trPr>
          <w:trHeight w:val="1092"/>
        </w:trPr>
        <w:tc>
          <w:tcPr>
            <w:cnfStyle w:val="001000000000" w:firstRow="0" w:lastRow="0" w:firstColumn="1" w:lastColumn="0" w:oddVBand="0" w:evenVBand="0" w:oddHBand="0" w:evenHBand="0" w:firstRowFirstColumn="0" w:firstRowLastColumn="0" w:lastRowFirstColumn="0" w:lastRowLastColumn="0"/>
            <w:tcW w:w="739" w:type="dxa"/>
            <w:vAlign w:val="top"/>
          </w:tcPr>
          <w:p w14:paraId="7C8F26C4"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5.4</w:t>
            </w:r>
          </w:p>
        </w:tc>
        <w:tc>
          <w:tcPr>
            <w:tcW w:w="2440" w:type="dxa"/>
            <w:vAlign w:val="top"/>
          </w:tcPr>
          <w:p w14:paraId="1ACF3666"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 xml:space="preserve">Has the NP assisted the development of initiatives that have been effective in helping young people identify and consider their career options and develop career plans? </w:t>
            </w:r>
          </w:p>
        </w:tc>
        <w:tc>
          <w:tcPr>
            <w:tcW w:w="7341" w:type="dxa"/>
            <w:vAlign w:val="top"/>
          </w:tcPr>
          <w:p w14:paraId="1A66B103"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targeted objectives and outcomes being achieved?</w:t>
            </w:r>
          </w:p>
          <w:p w14:paraId="70A17E47"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Do career development initiatives and delivery channels address the needs of different cohorts young people (e.g. age groups) and key influencers (e.g. parents, career advisers, teachers)? </w:t>
            </w:r>
          </w:p>
          <w:p w14:paraId="7E7660D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stakeholders satisfied with the quality of career development initiatives and resources given the available budget?</w:t>
            </w:r>
          </w:p>
        </w:tc>
        <w:tc>
          <w:tcPr>
            <w:tcW w:w="3544" w:type="dxa"/>
            <w:vAlign w:val="top"/>
          </w:tcPr>
          <w:p w14:paraId="1E6E7D2A"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r w:rsidR="00E45705" w:rsidRPr="00FC7F6A" w14:paraId="44170A0B" w14:textId="77777777" w:rsidTr="00E45705">
        <w:trPr>
          <w:trHeight w:val="1092"/>
        </w:trPr>
        <w:tc>
          <w:tcPr>
            <w:cnfStyle w:val="001000000000" w:firstRow="0" w:lastRow="0" w:firstColumn="1" w:lastColumn="0" w:oddVBand="0" w:evenVBand="0" w:oddHBand="0" w:evenHBand="0" w:firstRowFirstColumn="0" w:firstRowLastColumn="0" w:lastRowFirstColumn="0" w:lastRowLastColumn="0"/>
            <w:tcW w:w="739" w:type="dxa"/>
            <w:vAlign w:val="top"/>
          </w:tcPr>
          <w:p w14:paraId="7E64969A"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5.5</w:t>
            </w:r>
          </w:p>
        </w:tc>
        <w:tc>
          <w:tcPr>
            <w:tcW w:w="2440" w:type="dxa"/>
            <w:vAlign w:val="top"/>
          </w:tcPr>
          <w:p w14:paraId="73F287F4"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What’s working well? Why? What could work better? How?</w:t>
            </w:r>
          </w:p>
        </w:tc>
        <w:tc>
          <w:tcPr>
            <w:tcW w:w="7341" w:type="dxa"/>
            <w:vAlign w:val="top"/>
          </w:tcPr>
          <w:p w14:paraId="3A569F24"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What have been the most significant benefits of national career development strategy and activity? </w:t>
            </w:r>
          </w:p>
          <w:p w14:paraId="2823F987"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Were there any unintended outcomes or other benefits? </w:t>
            </w:r>
          </w:p>
          <w:p w14:paraId="0728748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are the critical success factors for national career development support?</w:t>
            </w:r>
          </w:p>
          <w:p w14:paraId="360B39A2"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are the major barriers to achieving desired outcomes?</w:t>
            </w:r>
          </w:p>
          <w:p w14:paraId="67AEC67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can be done to address those barriers?</w:t>
            </w:r>
          </w:p>
        </w:tc>
        <w:tc>
          <w:tcPr>
            <w:tcW w:w="3544" w:type="dxa"/>
            <w:vAlign w:val="top"/>
          </w:tcPr>
          <w:p w14:paraId="3701333A"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r w:rsidR="00E45705" w:rsidRPr="00FC7F6A" w14:paraId="0320334D"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42E916E5" w14:textId="77777777" w:rsidR="00E45705" w:rsidRPr="00FC7F6A" w:rsidRDefault="00E45705" w:rsidP="00E45705">
            <w:pPr>
              <w:tabs>
                <w:tab w:val="right" w:pos="8930"/>
              </w:tabs>
              <w:spacing w:before="60" w:after="60"/>
              <w:ind w:left="142" w:right="0"/>
              <w:rPr>
                <w:rFonts w:asciiTheme="minorHAnsi" w:hAnsiTheme="minorHAnsi" w:cs="Arial"/>
                <w:color w:val="auto"/>
                <w:szCs w:val="18"/>
              </w:rPr>
            </w:pPr>
            <w:r w:rsidRPr="00FC7F6A">
              <w:rPr>
                <w:rFonts w:asciiTheme="minorHAnsi" w:hAnsiTheme="minorHAnsi" w:cs="Arial"/>
                <w:bCs/>
                <w:szCs w:val="18"/>
              </w:rPr>
              <w:t>Is it appropriate?</w:t>
            </w:r>
          </w:p>
        </w:tc>
      </w:tr>
      <w:tr w:rsidR="00E45705" w:rsidRPr="00FC7F6A" w14:paraId="2521E065" w14:textId="77777777" w:rsidTr="00E45705">
        <w:trPr>
          <w:trHeight w:val="1092"/>
        </w:trPr>
        <w:tc>
          <w:tcPr>
            <w:cnfStyle w:val="001000000000" w:firstRow="0" w:lastRow="0" w:firstColumn="1" w:lastColumn="0" w:oddVBand="0" w:evenVBand="0" w:oddHBand="0" w:evenHBand="0" w:firstRowFirstColumn="0" w:firstRowLastColumn="0" w:lastRowFirstColumn="0" w:lastRowLastColumn="0"/>
            <w:tcW w:w="739" w:type="dxa"/>
            <w:vAlign w:val="top"/>
          </w:tcPr>
          <w:p w14:paraId="055CB7DD" w14:textId="77777777" w:rsidR="00E45705" w:rsidRPr="00FC7F6A" w:rsidRDefault="00E45705" w:rsidP="00E45705">
            <w:pPr>
              <w:spacing w:before="60" w:after="60"/>
              <w:ind w:left="142" w:right="142"/>
              <w:rPr>
                <w:rFonts w:asciiTheme="minorHAnsi" w:hAnsiTheme="minorHAnsi" w:cs="Arial"/>
                <w:b w:val="0"/>
                <w:bCs/>
                <w:szCs w:val="18"/>
              </w:rPr>
            </w:pPr>
            <w:r w:rsidRPr="00FC7F6A">
              <w:rPr>
                <w:rFonts w:asciiTheme="minorHAnsi" w:hAnsiTheme="minorHAnsi" w:cs="Arial"/>
                <w:bCs/>
                <w:szCs w:val="18"/>
              </w:rPr>
              <w:t>5.6</w:t>
            </w:r>
          </w:p>
        </w:tc>
        <w:tc>
          <w:tcPr>
            <w:tcW w:w="2440" w:type="dxa"/>
            <w:vAlign w:val="top"/>
          </w:tcPr>
          <w:p w14:paraId="5106572D"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highlight w:val="yellow"/>
              </w:rPr>
            </w:pPr>
            <w:r w:rsidRPr="00FC7F6A">
              <w:rPr>
                <w:rFonts w:asciiTheme="minorHAnsi" w:hAnsiTheme="minorHAnsi" w:cs="Arial"/>
                <w:b/>
                <w:bCs/>
                <w:szCs w:val="18"/>
              </w:rPr>
              <w:t>Is this element consistent with NP objectives?</w:t>
            </w:r>
          </w:p>
        </w:tc>
        <w:tc>
          <w:tcPr>
            <w:tcW w:w="7341" w:type="dxa"/>
            <w:vAlign w:val="top"/>
          </w:tcPr>
          <w:p w14:paraId="7B4B4B87"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How are NP objectives translated to the NCDS? </w:t>
            </w:r>
          </w:p>
          <w:p w14:paraId="129D6412"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How will the NCDS align with other career development strategies at Commonwealth and jurisdictional levels?</w:t>
            </w:r>
          </w:p>
          <w:p w14:paraId="3B14BAEA"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there any inconsistencies or gaps?</w:t>
            </w:r>
          </w:p>
          <w:p w14:paraId="25537B93"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How could alignment be improved?</w:t>
            </w:r>
          </w:p>
        </w:tc>
        <w:tc>
          <w:tcPr>
            <w:tcW w:w="3544" w:type="dxa"/>
            <w:vAlign w:val="top"/>
          </w:tcPr>
          <w:p w14:paraId="0EB884B5"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 MWG and non-government education authorities</w:t>
            </w:r>
          </w:p>
          <w:p w14:paraId="57C7C01C" w14:textId="77777777" w:rsidR="00E45705" w:rsidRPr="00FC7F6A" w:rsidRDefault="00E45705" w:rsidP="00E45705">
            <w:pPr>
              <w:pStyle w:val="ListParagraph"/>
              <w:tabs>
                <w:tab w:val="right" w:pos="8930"/>
              </w:tabs>
              <w:spacing w:before="60" w:after="60"/>
              <w:ind w:left="50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E45705" w:rsidRPr="00FC7F6A" w14:paraId="69291E55" w14:textId="77777777" w:rsidTr="00E45705">
        <w:trPr>
          <w:trHeight w:val="222"/>
        </w:trPr>
        <w:tc>
          <w:tcPr>
            <w:cnfStyle w:val="001000000000" w:firstRow="0" w:lastRow="0" w:firstColumn="1" w:lastColumn="0" w:oddVBand="0" w:evenVBand="0" w:oddHBand="0" w:evenHBand="0" w:firstRowFirstColumn="0" w:firstRowLastColumn="0" w:lastRowFirstColumn="0" w:lastRowLastColumn="0"/>
            <w:tcW w:w="739" w:type="dxa"/>
            <w:vAlign w:val="top"/>
          </w:tcPr>
          <w:p w14:paraId="1FAA3D96"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5.7</w:t>
            </w:r>
          </w:p>
        </w:tc>
        <w:tc>
          <w:tcPr>
            <w:tcW w:w="2440" w:type="dxa"/>
            <w:vAlign w:val="top"/>
          </w:tcPr>
          <w:p w14:paraId="6109747D"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Does this element address areas of need?</w:t>
            </w:r>
          </w:p>
        </w:tc>
        <w:tc>
          <w:tcPr>
            <w:tcW w:w="7341" w:type="dxa"/>
            <w:vAlign w:val="top"/>
          </w:tcPr>
          <w:p w14:paraId="42C6C6D0" w14:textId="77777777" w:rsidR="00E45705" w:rsidRPr="00FC7F6A" w:rsidRDefault="00E45705" w:rsidP="00FC7F6A">
            <w:pPr>
              <w:numPr>
                <w:ilvl w:val="0"/>
                <w:numId w:val="35"/>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i/>
                <w:szCs w:val="18"/>
              </w:rPr>
            </w:pPr>
            <w:r w:rsidRPr="00FC7F6A">
              <w:rPr>
                <w:rFonts w:asciiTheme="minorHAnsi" w:hAnsiTheme="minorHAnsi" w:cs="Arial"/>
                <w:bCs/>
                <w:szCs w:val="18"/>
              </w:rPr>
              <w:t>Are there any unmet needs that should be considered?</w:t>
            </w:r>
          </w:p>
        </w:tc>
        <w:tc>
          <w:tcPr>
            <w:tcW w:w="3544" w:type="dxa"/>
            <w:vAlign w:val="top"/>
          </w:tcPr>
          <w:p w14:paraId="5EC5E683" w14:textId="77777777" w:rsidR="00E45705" w:rsidRPr="00FC7F6A" w:rsidRDefault="00E45705" w:rsidP="00FC7F6A">
            <w:pPr>
              <w:pStyle w:val="ListParagraph"/>
              <w:numPr>
                <w:ilvl w:val="0"/>
                <w:numId w:val="29"/>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bCs/>
                <w:sz w:val="18"/>
                <w:szCs w:val="18"/>
              </w:rPr>
              <w:t>Interviews with DEEWR, MWG, non-government representatives, career industry representatives and other sector representatives</w:t>
            </w:r>
          </w:p>
        </w:tc>
      </w:tr>
      <w:tr w:rsidR="00E45705" w:rsidRPr="00FC7F6A" w14:paraId="23DC0EA1" w14:textId="77777777" w:rsidTr="00E45705">
        <w:trPr>
          <w:trHeight w:val="1092"/>
        </w:trPr>
        <w:tc>
          <w:tcPr>
            <w:cnfStyle w:val="001000000000" w:firstRow="0" w:lastRow="0" w:firstColumn="1" w:lastColumn="0" w:oddVBand="0" w:evenVBand="0" w:oddHBand="0" w:evenHBand="0" w:firstRowFirstColumn="0" w:firstRowLastColumn="0" w:lastRowFirstColumn="0" w:lastRowLastColumn="0"/>
            <w:tcW w:w="739" w:type="dxa"/>
            <w:vAlign w:val="top"/>
          </w:tcPr>
          <w:p w14:paraId="697D8E8C"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5.8</w:t>
            </w:r>
          </w:p>
        </w:tc>
        <w:tc>
          <w:tcPr>
            <w:tcW w:w="2440" w:type="dxa"/>
            <w:vAlign w:val="top"/>
          </w:tcPr>
          <w:p w14:paraId="10D291BD"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Does this element complement other elements or initiatives targeting similar outcomes?</w:t>
            </w:r>
          </w:p>
        </w:tc>
        <w:tc>
          <w:tcPr>
            <w:tcW w:w="7341" w:type="dxa"/>
            <w:vAlign w:val="top"/>
          </w:tcPr>
          <w:p w14:paraId="792DC351"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How is this element integrated with other NP elements?  Is there overlap, complementarity or gaps?  Is there potential for greater integration?</w:t>
            </w:r>
          </w:p>
          <w:p w14:paraId="6BAAFB73"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How does this element align with other initiatives at Commonwealth, state and regional levels?  Is there overlap, complementarity or gaps?</w:t>
            </w:r>
          </w:p>
        </w:tc>
        <w:tc>
          <w:tcPr>
            <w:tcW w:w="3544" w:type="dxa"/>
            <w:vAlign w:val="top"/>
          </w:tcPr>
          <w:p w14:paraId="197D62E4"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 MWG and non-government education authorities</w:t>
            </w:r>
          </w:p>
          <w:p w14:paraId="7A477EE5" w14:textId="77777777" w:rsidR="00E45705" w:rsidRPr="00FC7F6A" w:rsidRDefault="00E45705" w:rsidP="00E45705">
            <w:pPr>
              <w:pStyle w:val="ListParagraph"/>
              <w:tabs>
                <w:tab w:val="right" w:pos="8930"/>
              </w:tabs>
              <w:spacing w:before="60" w:after="60"/>
              <w:ind w:left="5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E45705" w:rsidRPr="00FC7F6A" w14:paraId="021AD6B6"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4C29FEA5" w14:textId="77777777" w:rsidR="00E45705" w:rsidRPr="00FC7F6A" w:rsidRDefault="00E45705" w:rsidP="00E45705">
            <w:pPr>
              <w:tabs>
                <w:tab w:val="right" w:pos="8930"/>
              </w:tabs>
              <w:spacing w:before="60" w:after="60"/>
              <w:ind w:left="142" w:right="0"/>
              <w:rPr>
                <w:rFonts w:asciiTheme="minorHAnsi" w:hAnsiTheme="minorHAnsi" w:cs="Arial"/>
                <w:color w:val="auto"/>
                <w:szCs w:val="18"/>
              </w:rPr>
            </w:pPr>
            <w:r w:rsidRPr="00FC7F6A">
              <w:rPr>
                <w:rFonts w:asciiTheme="minorHAnsi" w:hAnsiTheme="minorHAnsi" w:cs="Arial"/>
                <w:bCs/>
                <w:szCs w:val="18"/>
              </w:rPr>
              <w:t>Is it well governed and implemented?</w:t>
            </w:r>
          </w:p>
        </w:tc>
      </w:tr>
      <w:tr w:rsidR="00E45705" w:rsidRPr="00FC7F6A" w14:paraId="747E34B1" w14:textId="77777777" w:rsidTr="00E45705">
        <w:trPr>
          <w:trHeight w:val="248"/>
        </w:trPr>
        <w:tc>
          <w:tcPr>
            <w:cnfStyle w:val="001000000000" w:firstRow="0" w:lastRow="0" w:firstColumn="1" w:lastColumn="0" w:oddVBand="0" w:evenVBand="0" w:oddHBand="0" w:evenHBand="0" w:firstRowFirstColumn="0" w:firstRowLastColumn="0" w:lastRowFirstColumn="0" w:lastRowLastColumn="0"/>
            <w:tcW w:w="739" w:type="dxa"/>
            <w:vAlign w:val="top"/>
          </w:tcPr>
          <w:p w14:paraId="5AABC4A1" w14:textId="77777777" w:rsidR="00E45705" w:rsidRPr="00FC7F6A" w:rsidRDefault="00E45705" w:rsidP="00E45705">
            <w:pPr>
              <w:spacing w:before="60" w:after="60"/>
              <w:ind w:left="142" w:right="142"/>
              <w:rPr>
                <w:rFonts w:asciiTheme="minorHAnsi" w:hAnsiTheme="minorHAnsi" w:cs="Arial"/>
                <w:b w:val="0"/>
                <w:bCs/>
                <w:szCs w:val="18"/>
              </w:rPr>
            </w:pPr>
            <w:r w:rsidRPr="00FC7F6A">
              <w:rPr>
                <w:rFonts w:asciiTheme="minorHAnsi" w:hAnsiTheme="minorHAnsi" w:cs="Arial"/>
                <w:bCs/>
                <w:szCs w:val="18"/>
              </w:rPr>
              <w:t>5.9</w:t>
            </w:r>
          </w:p>
        </w:tc>
        <w:tc>
          <w:tcPr>
            <w:tcW w:w="2440" w:type="dxa"/>
            <w:vAlign w:val="top"/>
          </w:tcPr>
          <w:p w14:paraId="0AA33D65"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Has there been collaboration and buy-in to the NCDS?</w:t>
            </w:r>
          </w:p>
        </w:tc>
        <w:tc>
          <w:tcPr>
            <w:tcW w:w="7341" w:type="dxa"/>
            <w:vAlign w:val="top"/>
          </w:tcPr>
          <w:p w14:paraId="3376FB32"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 collaboration and buy-in?</w:t>
            </w:r>
          </w:p>
        </w:tc>
        <w:tc>
          <w:tcPr>
            <w:tcW w:w="3544" w:type="dxa"/>
            <w:vAlign w:val="top"/>
          </w:tcPr>
          <w:p w14:paraId="768F8D25"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DEEWR, MWG and non-government education authorities</w:t>
            </w:r>
          </w:p>
          <w:p w14:paraId="7C26B86D"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Interviews with career industry representatives</w:t>
            </w:r>
          </w:p>
        </w:tc>
      </w:tr>
      <w:tr w:rsidR="00E45705" w:rsidRPr="00FC7F6A" w14:paraId="435939C0" w14:textId="77777777" w:rsidTr="00E45705">
        <w:trPr>
          <w:trHeight w:val="248"/>
        </w:trPr>
        <w:tc>
          <w:tcPr>
            <w:cnfStyle w:val="001000000000" w:firstRow="0" w:lastRow="0" w:firstColumn="1" w:lastColumn="0" w:oddVBand="0" w:evenVBand="0" w:oddHBand="0" w:evenHBand="0" w:firstRowFirstColumn="0" w:firstRowLastColumn="0" w:lastRowFirstColumn="0" w:lastRowLastColumn="0"/>
            <w:tcW w:w="739" w:type="dxa"/>
            <w:vAlign w:val="top"/>
          </w:tcPr>
          <w:p w14:paraId="28B85753" w14:textId="77777777" w:rsidR="00E45705" w:rsidRPr="00FC7F6A" w:rsidRDefault="00E45705" w:rsidP="00E45705">
            <w:pPr>
              <w:spacing w:before="60" w:after="60"/>
              <w:ind w:left="142" w:right="142"/>
              <w:rPr>
                <w:rFonts w:asciiTheme="minorHAnsi" w:hAnsiTheme="minorHAnsi" w:cs="Arial"/>
                <w:b w:val="0"/>
                <w:bCs/>
                <w:szCs w:val="18"/>
              </w:rPr>
            </w:pPr>
            <w:r w:rsidRPr="00FC7F6A">
              <w:rPr>
                <w:rFonts w:asciiTheme="minorHAnsi" w:hAnsiTheme="minorHAnsi" w:cs="Arial"/>
                <w:bCs/>
                <w:szCs w:val="18"/>
              </w:rPr>
              <w:t>5.10</w:t>
            </w:r>
          </w:p>
          <w:p w14:paraId="42FAC9B8" w14:textId="77777777" w:rsidR="00E45705" w:rsidRPr="00FC7F6A" w:rsidRDefault="00E45705" w:rsidP="00E45705">
            <w:pPr>
              <w:spacing w:before="60" w:after="60"/>
              <w:ind w:left="142" w:right="142"/>
              <w:rPr>
                <w:rFonts w:asciiTheme="minorHAnsi" w:hAnsiTheme="minorHAnsi" w:cs="Arial"/>
                <w:b w:val="0"/>
                <w:bCs/>
                <w:szCs w:val="18"/>
              </w:rPr>
            </w:pPr>
          </w:p>
        </w:tc>
        <w:tc>
          <w:tcPr>
            <w:tcW w:w="2440" w:type="dxa"/>
            <w:vAlign w:val="top"/>
          </w:tcPr>
          <w:p w14:paraId="2A196506"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Is governance of the element working well?</w:t>
            </w:r>
          </w:p>
        </w:tc>
        <w:tc>
          <w:tcPr>
            <w:tcW w:w="7341" w:type="dxa"/>
            <w:vAlign w:val="top"/>
          </w:tcPr>
          <w:p w14:paraId="2B454E1B" w14:textId="77777777" w:rsidR="00E45705" w:rsidRPr="00FC7F6A" w:rsidRDefault="00E45705" w:rsidP="00FC7F6A">
            <w:pPr>
              <w:pStyle w:val="ListParagraph"/>
              <w:numPr>
                <w:ilvl w:val="0"/>
                <w:numId w:val="29"/>
              </w:num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Have there been any changes since the year one evaluation in terms of the aspects of the governance arrangements that are working well or could be improved?</w:t>
            </w:r>
          </w:p>
        </w:tc>
        <w:tc>
          <w:tcPr>
            <w:tcW w:w="3544" w:type="dxa"/>
            <w:vAlign w:val="top"/>
          </w:tcPr>
          <w:p w14:paraId="1CD21AC2" w14:textId="77777777" w:rsidR="00E45705" w:rsidRPr="00FC7F6A" w:rsidRDefault="00E45705" w:rsidP="00FC7F6A">
            <w:pPr>
              <w:pStyle w:val="ListParagraph"/>
              <w:numPr>
                <w:ilvl w:val="0"/>
                <w:numId w:val="29"/>
              </w:num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18"/>
                <w:szCs w:val="18"/>
              </w:rPr>
            </w:pPr>
            <w:r w:rsidRPr="00FC7F6A">
              <w:rPr>
                <w:rFonts w:asciiTheme="minorHAnsi" w:hAnsiTheme="minorHAnsi" w:cs="Arial"/>
                <w:sz w:val="18"/>
                <w:szCs w:val="18"/>
              </w:rPr>
              <w:t xml:space="preserve">As above </w:t>
            </w:r>
          </w:p>
        </w:tc>
      </w:tr>
      <w:tr w:rsidR="00E45705" w:rsidRPr="00FC7F6A" w14:paraId="6ED68CD3" w14:textId="77777777" w:rsidTr="00E45705">
        <w:tc>
          <w:tcPr>
            <w:cnfStyle w:val="001000000000" w:firstRow="0" w:lastRow="0" w:firstColumn="1" w:lastColumn="0" w:oddVBand="0" w:evenVBand="0" w:oddHBand="0" w:evenHBand="0" w:firstRowFirstColumn="0" w:firstRowLastColumn="0" w:lastRowFirstColumn="0" w:lastRowLastColumn="0"/>
            <w:tcW w:w="14064" w:type="dxa"/>
            <w:gridSpan w:val="4"/>
            <w:vAlign w:val="top"/>
          </w:tcPr>
          <w:p w14:paraId="51095A35" w14:textId="77777777" w:rsidR="00E45705" w:rsidRPr="00FC7F6A" w:rsidRDefault="00E45705" w:rsidP="00E45705">
            <w:pPr>
              <w:tabs>
                <w:tab w:val="right" w:pos="8930"/>
              </w:tabs>
              <w:spacing w:before="60" w:after="60"/>
              <w:ind w:left="142" w:right="0"/>
              <w:rPr>
                <w:rFonts w:asciiTheme="minorHAnsi" w:hAnsiTheme="minorHAnsi" w:cs="Arial"/>
                <w:color w:val="auto"/>
                <w:szCs w:val="18"/>
              </w:rPr>
            </w:pPr>
            <w:r w:rsidRPr="00FC7F6A">
              <w:rPr>
                <w:rFonts w:asciiTheme="minorHAnsi" w:hAnsiTheme="minorHAnsi" w:cs="Arial"/>
                <w:bCs/>
                <w:szCs w:val="18"/>
              </w:rPr>
              <w:t>Looking ahead…</w:t>
            </w:r>
          </w:p>
        </w:tc>
      </w:tr>
      <w:tr w:rsidR="00E45705" w:rsidRPr="00FC7F6A" w14:paraId="214F1ED9"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37E5783C" w14:textId="77777777" w:rsidR="00E45705" w:rsidRPr="00FC7F6A" w:rsidRDefault="00E45705" w:rsidP="00E45705">
            <w:pPr>
              <w:spacing w:before="60" w:after="60"/>
              <w:ind w:left="142" w:right="142"/>
              <w:rPr>
                <w:rFonts w:asciiTheme="minorHAnsi" w:hAnsiTheme="minorHAnsi" w:cs="Arial"/>
                <w:b w:val="0"/>
                <w:bCs/>
                <w:szCs w:val="18"/>
              </w:rPr>
            </w:pPr>
            <w:r w:rsidRPr="00FC7F6A">
              <w:rPr>
                <w:rFonts w:asciiTheme="minorHAnsi" w:hAnsiTheme="minorHAnsi" w:cs="Arial"/>
                <w:bCs/>
                <w:szCs w:val="18"/>
              </w:rPr>
              <w:t>5.11</w:t>
            </w:r>
          </w:p>
          <w:p w14:paraId="794259C1" w14:textId="77777777" w:rsidR="00E45705" w:rsidRPr="00FC7F6A" w:rsidRDefault="00E45705" w:rsidP="00E45705">
            <w:pPr>
              <w:spacing w:before="60" w:after="60"/>
              <w:ind w:left="142" w:right="142"/>
              <w:rPr>
                <w:rFonts w:asciiTheme="minorHAnsi" w:hAnsiTheme="minorHAnsi" w:cs="Arial"/>
                <w:b w:val="0"/>
                <w:bCs/>
                <w:szCs w:val="18"/>
              </w:rPr>
            </w:pPr>
          </w:p>
        </w:tc>
        <w:tc>
          <w:tcPr>
            <w:tcW w:w="2440" w:type="dxa"/>
            <w:vAlign w:val="top"/>
          </w:tcPr>
          <w:p w14:paraId="017A37A7"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for the NP?</w:t>
            </w:r>
          </w:p>
        </w:tc>
        <w:tc>
          <w:tcPr>
            <w:tcW w:w="7341" w:type="dxa"/>
            <w:vAlign w:val="top"/>
          </w:tcPr>
          <w:p w14:paraId="48B5C2EE"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refinements need to be made in the last year of the NP?</w:t>
            </w:r>
          </w:p>
        </w:tc>
        <w:tc>
          <w:tcPr>
            <w:tcW w:w="3544" w:type="dxa"/>
            <w:vAlign w:val="top"/>
          </w:tcPr>
          <w:p w14:paraId="00040653" w14:textId="77777777" w:rsidR="00E45705" w:rsidRPr="00FC7F6A" w:rsidRDefault="00E45705" w:rsidP="00FC7F6A">
            <w:pPr>
              <w:pStyle w:val="ListParagraph"/>
              <w:numPr>
                <w:ilvl w:val="0"/>
                <w:numId w:val="40"/>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35733F46" w14:textId="77777777" w:rsidR="00E45705" w:rsidRPr="00FC7F6A" w:rsidRDefault="00E45705" w:rsidP="00FC7F6A">
            <w:pPr>
              <w:pStyle w:val="ListParagraph"/>
              <w:numPr>
                <w:ilvl w:val="0"/>
                <w:numId w:val="40"/>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education authorities, career industry representatives and sector representatives</w:t>
            </w:r>
          </w:p>
        </w:tc>
      </w:tr>
      <w:tr w:rsidR="00E45705" w:rsidRPr="00FC7F6A" w14:paraId="67FC6A38"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735F37EE"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5.12</w:t>
            </w:r>
          </w:p>
        </w:tc>
        <w:tc>
          <w:tcPr>
            <w:tcW w:w="2440" w:type="dxa"/>
            <w:vAlign w:val="top"/>
          </w:tcPr>
          <w:p w14:paraId="26F1A225"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beyond the NP?</w:t>
            </w:r>
          </w:p>
        </w:tc>
        <w:tc>
          <w:tcPr>
            <w:tcW w:w="7341" w:type="dxa"/>
            <w:vAlign w:val="top"/>
          </w:tcPr>
          <w:p w14:paraId="1EE62283"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bCs/>
                <w:szCs w:val="18"/>
              </w:rPr>
              <w:t>Are there factors that influence NCD element outcomes that are not addressed by the NCD element (including tension between youth focus of the NP and a lifelong approach)?</w:t>
            </w:r>
          </w:p>
          <w:p w14:paraId="7DC6B07C"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What options are there to achieve Compact objectives and outcomes following the conclusion of the NP?</w:t>
            </w:r>
          </w:p>
        </w:tc>
        <w:tc>
          <w:tcPr>
            <w:tcW w:w="3544" w:type="dxa"/>
            <w:vAlign w:val="top"/>
          </w:tcPr>
          <w:p w14:paraId="4A6D8E64" w14:textId="77777777" w:rsidR="00E45705" w:rsidRPr="00FC7F6A" w:rsidRDefault="00E45705" w:rsidP="00FC7F6A">
            <w:pPr>
              <w:pStyle w:val="ListParagraph"/>
              <w:numPr>
                <w:ilvl w:val="0"/>
                <w:numId w:val="40"/>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bl>
    <w:p w14:paraId="5983C2A7" w14:textId="77777777" w:rsidR="00E45705" w:rsidRDefault="00E45705" w:rsidP="00E45705">
      <w:pPr>
        <w:spacing w:line="380" w:lineRule="atLeast"/>
        <w:rPr>
          <w:rFonts w:eastAsiaTheme="majorEastAsia" w:cstheme="majorBidi"/>
          <w:bCs/>
          <w:color w:val="931B2F"/>
          <w:sz w:val="32"/>
          <w:szCs w:val="26"/>
        </w:rPr>
      </w:pPr>
      <w:r>
        <w:br w:type="page"/>
      </w:r>
    </w:p>
    <w:p w14:paraId="2ECF787B" w14:textId="77777777" w:rsidR="00E45705" w:rsidRPr="00180999" w:rsidRDefault="00E45705" w:rsidP="00E45705">
      <w:pPr>
        <w:pStyle w:val="Heading3NoNumbering"/>
      </w:pPr>
      <w:r>
        <w:t xml:space="preserve">6. </w:t>
      </w:r>
      <w:r w:rsidRPr="00180999">
        <w:t>Compact with Young Australians</w:t>
      </w:r>
    </w:p>
    <w:tbl>
      <w:tblPr>
        <w:tblStyle w:val="DandoloTableCentred"/>
        <w:tblW w:w="13922" w:type="dxa"/>
        <w:tblLook w:val="00A0" w:firstRow="1" w:lastRow="0" w:firstColumn="1" w:lastColumn="0" w:noHBand="0" w:noVBand="0"/>
        <w:tblCaption w:val="Year 2 Evaluation Framework - Compact with Young Australians research method"/>
        <w:tblDescription w:val="Year 2 Evaluation Framework - Compact with Young Australians research method"/>
      </w:tblPr>
      <w:tblGrid>
        <w:gridCol w:w="2440"/>
        <w:gridCol w:w="5245"/>
        <w:gridCol w:w="2835"/>
        <w:gridCol w:w="3402"/>
      </w:tblGrid>
      <w:tr w:rsidR="00E45705" w:rsidRPr="00FC7F6A" w14:paraId="1FEEC1EF"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vAlign w:val="top"/>
          </w:tcPr>
          <w:p w14:paraId="684DCB2A"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color w:val="auto"/>
                <w:szCs w:val="18"/>
              </w:rPr>
              <w:t>Research method:</w:t>
            </w:r>
          </w:p>
        </w:tc>
        <w:tc>
          <w:tcPr>
            <w:tcW w:w="5245" w:type="dxa"/>
            <w:vAlign w:val="top"/>
          </w:tcPr>
          <w:p w14:paraId="0B780B37"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Stakeholder engagement</w:t>
            </w:r>
          </w:p>
        </w:tc>
        <w:tc>
          <w:tcPr>
            <w:tcW w:w="2835" w:type="dxa"/>
            <w:vAlign w:val="top"/>
          </w:tcPr>
          <w:p w14:paraId="1752E140"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Data analysis </w:t>
            </w:r>
          </w:p>
        </w:tc>
        <w:tc>
          <w:tcPr>
            <w:tcW w:w="3402" w:type="dxa"/>
            <w:vAlign w:val="top"/>
          </w:tcPr>
          <w:p w14:paraId="6198046D"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Literature review </w:t>
            </w:r>
          </w:p>
        </w:tc>
      </w:tr>
      <w:tr w:rsidR="00E45705" w:rsidRPr="00FC7F6A" w14:paraId="1948E0B8" w14:textId="77777777" w:rsidTr="00E45705">
        <w:trPr>
          <w:trHeight w:val="2218"/>
        </w:trPr>
        <w:tc>
          <w:tcPr>
            <w:cnfStyle w:val="001000000000" w:firstRow="0" w:lastRow="0" w:firstColumn="1" w:lastColumn="0" w:oddVBand="0" w:evenVBand="0" w:oddHBand="0" w:evenHBand="0" w:firstRowFirstColumn="0" w:firstRowLastColumn="0" w:lastRowFirstColumn="0" w:lastRowLastColumn="0"/>
            <w:tcW w:w="2440" w:type="dxa"/>
            <w:vAlign w:val="top"/>
          </w:tcPr>
          <w:p w14:paraId="2592BCBA" w14:textId="77777777" w:rsidR="00E45705" w:rsidRPr="00FC7F6A" w:rsidRDefault="00E45705" w:rsidP="00E45705">
            <w:pPr>
              <w:spacing w:before="60" w:after="60"/>
              <w:ind w:left="142" w:right="142"/>
              <w:rPr>
                <w:rFonts w:asciiTheme="minorHAnsi" w:hAnsiTheme="minorHAnsi" w:cs="Arial"/>
                <w:bCs/>
                <w:color w:val="auto"/>
                <w:szCs w:val="18"/>
              </w:rPr>
            </w:pPr>
            <w:r w:rsidRPr="00FC7F6A">
              <w:rPr>
                <w:rFonts w:asciiTheme="minorHAnsi" w:hAnsiTheme="minorHAnsi" w:cs="Arial"/>
                <w:bCs/>
                <w:color w:val="auto"/>
                <w:szCs w:val="18"/>
              </w:rPr>
              <w:t>Sources of data:</w:t>
            </w:r>
          </w:p>
          <w:p w14:paraId="095EE951" w14:textId="77777777" w:rsidR="00E45705" w:rsidRPr="00FC7F6A" w:rsidRDefault="00E45705" w:rsidP="00E45705">
            <w:pPr>
              <w:spacing w:before="60" w:after="60"/>
              <w:ind w:left="142" w:right="142"/>
              <w:rPr>
                <w:rFonts w:asciiTheme="minorHAnsi" w:hAnsiTheme="minorHAnsi" w:cs="Arial"/>
                <w:szCs w:val="18"/>
              </w:rPr>
            </w:pPr>
          </w:p>
        </w:tc>
        <w:tc>
          <w:tcPr>
            <w:tcW w:w="5245" w:type="dxa"/>
            <w:vAlign w:val="top"/>
          </w:tcPr>
          <w:p w14:paraId="19296F51"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DEEWR – national and regional managers and staff</w:t>
            </w:r>
          </w:p>
          <w:p w14:paraId="65A03451"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States and territory education and training departments</w:t>
            </w:r>
          </w:p>
          <w:p w14:paraId="4E03E29D"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Catholic and Independent school sectors</w:t>
            </w:r>
          </w:p>
          <w:p w14:paraId="06197D0D"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Business and industry representative bodies</w:t>
            </w:r>
          </w:p>
          <w:p w14:paraId="1ADF114D"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Community and youth representative bodies</w:t>
            </w:r>
          </w:p>
          <w:p w14:paraId="7AA76593"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Expert panel</w:t>
            </w:r>
          </w:p>
          <w:p w14:paraId="02F0B7DC"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Centrelink/JSA representatives</w:t>
            </w:r>
          </w:p>
          <w:p w14:paraId="67CA2559" w14:textId="77777777" w:rsidR="00E45705" w:rsidRPr="00FC7F6A" w:rsidRDefault="00E45705" w:rsidP="00E45705">
            <w:pPr>
              <w:pStyle w:val="ListParagraph"/>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highlight w:val="yellow"/>
              </w:rPr>
            </w:pPr>
          </w:p>
        </w:tc>
        <w:tc>
          <w:tcPr>
            <w:tcW w:w="2835" w:type="dxa"/>
            <w:vAlign w:val="top"/>
          </w:tcPr>
          <w:p w14:paraId="5107AA8A" w14:textId="77777777" w:rsidR="00E45705" w:rsidRPr="00FC7F6A" w:rsidRDefault="00E45705" w:rsidP="00E45705">
            <w:pPr>
              <w:tabs>
                <w:tab w:val="right" w:pos="8930"/>
              </w:tabs>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Data analysis</w:t>
            </w:r>
          </w:p>
          <w:p w14:paraId="2E264D7F"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Labour Force Survey</w:t>
            </w:r>
          </w:p>
          <w:p w14:paraId="0E77C10E"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National School Statistics Collection</w:t>
            </w:r>
          </w:p>
          <w:p w14:paraId="2335E73E"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National VET in Schools Collection</w:t>
            </w:r>
          </w:p>
          <w:p w14:paraId="65F4EEFE"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National VET Provider Collection</w:t>
            </w:r>
          </w:p>
          <w:p w14:paraId="00816C54" w14:textId="77777777" w:rsidR="00E45705" w:rsidRPr="00FC7F6A" w:rsidRDefault="00E45705" w:rsidP="00FC7F6A">
            <w:pPr>
              <w:pStyle w:val="ListParagraph"/>
              <w:numPr>
                <w:ilvl w:val="0"/>
                <w:numId w:val="32"/>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DEEWR Higher Education Statistics Collection</w:t>
            </w:r>
          </w:p>
        </w:tc>
        <w:tc>
          <w:tcPr>
            <w:tcW w:w="3402" w:type="dxa"/>
            <w:vAlign w:val="top"/>
          </w:tcPr>
          <w:p w14:paraId="00259522"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bCs/>
                <w:sz w:val="18"/>
                <w:szCs w:val="18"/>
              </w:rPr>
              <w:t>Information request from MWG, non-government education authorities</w:t>
            </w:r>
          </w:p>
          <w:p w14:paraId="3CD6D8D3" w14:textId="77777777" w:rsidR="00E45705" w:rsidRPr="00FC7F6A" w:rsidRDefault="00E45705" w:rsidP="00E45705">
            <w:pPr>
              <w:pStyle w:val="ListParagraph"/>
              <w:autoSpaceDE w:val="0"/>
              <w:autoSpaceDN w:val="0"/>
              <w:adjustRightInd w:val="0"/>
              <w:spacing w:before="60" w:after="60"/>
              <w:ind w:left="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18"/>
                <w:szCs w:val="18"/>
                <w:highlight w:val="yellow"/>
              </w:rPr>
            </w:pPr>
          </w:p>
        </w:tc>
      </w:tr>
    </w:tbl>
    <w:p w14:paraId="1BE1BA8D" w14:textId="77777777" w:rsidR="00E45705" w:rsidRPr="00FC7F6A" w:rsidRDefault="00E45705" w:rsidP="00E45705">
      <w:pPr>
        <w:rPr>
          <w:rFonts w:asciiTheme="minorHAnsi" w:hAnsiTheme="minorHAnsi" w:cs="Arial"/>
          <w:sz w:val="18"/>
          <w:szCs w:val="18"/>
        </w:rPr>
      </w:pPr>
    </w:p>
    <w:tbl>
      <w:tblPr>
        <w:tblStyle w:val="DandoloTableCentred"/>
        <w:tblW w:w="13934" w:type="dxa"/>
        <w:tblLook w:val="00A0" w:firstRow="1" w:lastRow="0" w:firstColumn="1" w:lastColumn="0" w:noHBand="0" w:noVBand="0"/>
        <w:tblCaption w:val="Year 2 Evaluation Framework - Compact with Young Australians research questions"/>
        <w:tblDescription w:val="Year 2 Evaluation Framework - Compact with Young Australians research questions"/>
      </w:tblPr>
      <w:tblGrid>
        <w:gridCol w:w="739"/>
        <w:gridCol w:w="2440"/>
        <w:gridCol w:w="7341"/>
        <w:gridCol w:w="3414"/>
      </w:tblGrid>
      <w:tr w:rsidR="00E45705" w:rsidRPr="00FC7F6A" w14:paraId="4E5B3B45" w14:textId="77777777" w:rsidTr="00E4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9" w:type="dxa"/>
            <w:gridSpan w:val="2"/>
            <w:vAlign w:val="top"/>
          </w:tcPr>
          <w:p w14:paraId="3DBE868B" w14:textId="77777777" w:rsidR="00E45705" w:rsidRPr="00FC7F6A" w:rsidRDefault="00E45705" w:rsidP="00E45705">
            <w:pPr>
              <w:spacing w:before="60" w:after="60"/>
              <w:ind w:left="142" w:right="142"/>
              <w:rPr>
                <w:rFonts w:asciiTheme="minorHAnsi" w:hAnsiTheme="minorHAnsi" w:cs="Arial"/>
                <w:color w:val="auto"/>
                <w:szCs w:val="18"/>
              </w:rPr>
            </w:pPr>
            <w:r w:rsidRPr="00FC7F6A">
              <w:rPr>
                <w:rFonts w:asciiTheme="minorHAnsi" w:hAnsiTheme="minorHAnsi" w:cs="Arial"/>
                <w:color w:val="auto"/>
                <w:szCs w:val="18"/>
              </w:rPr>
              <w:t>Question</w:t>
            </w:r>
          </w:p>
        </w:tc>
        <w:tc>
          <w:tcPr>
            <w:tcW w:w="7341" w:type="dxa"/>
            <w:vAlign w:val="top"/>
          </w:tcPr>
          <w:p w14:paraId="513C5BBC"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Sub-questions</w:t>
            </w:r>
          </w:p>
        </w:tc>
        <w:tc>
          <w:tcPr>
            <w:tcW w:w="3414" w:type="dxa"/>
            <w:vAlign w:val="top"/>
          </w:tcPr>
          <w:p w14:paraId="139821F4" w14:textId="77777777" w:rsidR="00E45705" w:rsidRPr="00FC7F6A" w:rsidRDefault="00E45705" w:rsidP="00E45705">
            <w:pPr>
              <w:spacing w:before="60" w:after="60"/>
              <w:ind w:left="142" w:right="14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auto"/>
                <w:szCs w:val="18"/>
              </w:rPr>
            </w:pPr>
            <w:r w:rsidRPr="00FC7F6A">
              <w:rPr>
                <w:rFonts w:asciiTheme="minorHAnsi" w:hAnsiTheme="minorHAnsi" w:cs="Arial"/>
                <w:b/>
                <w:color w:val="auto"/>
                <w:szCs w:val="18"/>
              </w:rPr>
              <w:t xml:space="preserve">Data sources </w:t>
            </w:r>
          </w:p>
        </w:tc>
      </w:tr>
      <w:tr w:rsidR="00E45705" w:rsidRPr="00FC7F6A" w14:paraId="4C7B8FF5" w14:textId="77777777" w:rsidTr="00E45705">
        <w:tc>
          <w:tcPr>
            <w:cnfStyle w:val="001000000000" w:firstRow="0" w:lastRow="0" w:firstColumn="1" w:lastColumn="0" w:oddVBand="0" w:evenVBand="0" w:oddHBand="0" w:evenHBand="0" w:firstRowFirstColumn="0" w:firstRowLastColumn="0" w:lastRowFirstColumn="0" w:lastRowLastColumn="0"/>
            <w:tcW w:w="13934" w:type="dxa"/>
            <w:gridSpan w:val="4"/>
            <w:vAlign w:val="top"/>
          </w:tcPr>
          <w:p w14:paraId="1CFDB7A9"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What is happening?</w:t>
            </w:r>
          </w:p>
        </w:tc>
      </w:tr>
      <w:tr w:rsidR="00E45705" w:rsidRPr="00FC7F6A" w14:paraId="420EB9D5" w14:textId="77777777" w:rsidTr="00E45705">
        <w:trPr>
          <w:trHeight w:val="770"/>
        </w:trPr>
        <w:tc>
          <w:tcPr>
            <w:cnfStyle w:val="001000000000" w:firstRow="0" w:lastRow="0" w:firstColumn="1" w:lastColumn="0" w:oddVBand="0" w:evenVBand="0" w:oddHBand="0" w:evenHBand="0" w:firstRowFirstColumn="0" w:firstRowLastColumn="0" w:lastRowFirstColumn="0" w:lastRowLastColumn="0"/>
            <w:tcW w:w="739" w:type="dxa"/>
            <w:vMerge w:val="restart"/>
            <w:vAlign w:val="top"/>
          </w:tcPr>
          <w:p w14:paraId="3B4E815F"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6.1</w:t>
            </w:r>
          </w:p>
        </w:tc>
        <w:tc>
          <w:tcPr>
            <w:tcW w:w="2440" w:type="dxa"/>
            <w:vMerge w:val="restart"/>
            <w:vAlign w:val="top"/>
          </w:tcPr>
          <w:p w14:paraId="4DC5EB68"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is being delivered?  What has changed?</w:t>
            </w:r>
          </w:p>
          <w:p w14:paraId="3CE4E314" w14:textId="77777777" w:rsidR="00E45705" w:rsidRPr="00FC7F6A" w:rsidRDefault="00E45705" w:rsidP="00E45705">
            <w:p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highlight w:val="yellow"/>
              </w:rPr>
            </w:pPr>
          </w:p>
        </w:tc>
        <w:tc>
          <w:tcPr>
            <w:tcW w:w="7341" w:type="dxa"/>
            <w:vAlign w:val="top"/>
          </w:tcPr>
          <w:p w14:paraId="33E83821" w14:textId="77777777" w:rsidR="00E45705" w:rsidRPr="00FC7F6A" w:rsidRDefault="00E45705" w:rsidP="00FC7F6A">
            <w:pPr>
              <w:pStyle w:val="ListParagraph"/>
              <w:numPr>
                <w:ilvl w:val="0"/>
                <w:numId w:val="29"/>
              </w:num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C7F6A">
              <w:rPr>
                <w:rFonts w:asciiTheme="minorHAnsi" w:hAnsiTheme="minorHAnsi"/>
                <w:sz w:val="18"/>
                <w:szCs w:val="18"/>
              </w:rPr>
              <w:t>What are the monitoring and enforcement arrangements in the jurisdictions?</w:t>
            </w:r>
          </w:p>
          <w:p w14:paraId="6EBE16DD" w14:textId="77777777" w:rsidR="00E45705" w:rsidRPr="00FC7F6A" w:rsidRDefault="00E45705" w:rsidP="00FC7F6A">
            <w:pPr>
              <w:pStyle w:val="ListParagraph"/>
              <w:numPr>
                <w:ilvl w:val="0"/>
                <w:numId w:val="29"/>
              </w:num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C7F6A">
              <w:rPr>
                <w:rFonts w:asciiTheme="minorHAnsi" w:hAnsiTheme="minorHAnsi"/>
                <w:sz w:val="18"/>
                <w:szCs w:val="18"/>
              </w:rPr>
              <w:t>What entitlement and training place models in different jurisdictions?</w:t>
            </w:r>
          </w:p>
          <w:p w14:paraId="0D800410" w14:textId="77777777" w:rsidR="00E45705" w:rsidRPr="00FC7F6A" w:rsidRDefault="00E45705" w:rsidP="00E45705">
            <w:pPr>
              <w:spacing w:before="60" w:after="60"/>
              <w:ind w:left="122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p>
        </w:tc>
        <w:tc>
          <w:tcPr>
            <w:tcW w:w="3414" w:type="dxa"/>
            <w:vAlign w:val="top"/>
          </w:tcPr>
          <w:p w14:paraId="0328A352"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MWG, non-government education authorities</w:t>
            </w:r>
          </w:p>
          <w:p w14:paraId="490E3B88" w14:textId="77777777" w:rsidR="00E45705" w:rsidRPr="00FC7F6A" w:rsidRDefault="00E45705" w:rsidP="00E45705">
            <w:pPr>
              <w:pStyle w:val="ListParagraph"/>
              <w:autoSpaceDE w:val="0"/>
              <w:autoSpaceDN w:val="0"/>
              <w:adjustRightInd w:val="0"/>
              <w:spacing w:before="60" w:after="60"/>
              <w:ind w:left="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highlight w:val="yellow"/>
              </w:rPr>
            </w:pPr>
          </w:p>
        </w:tc>
      </w:tr>
      <w:tr w:rsidR="00E45705" w:rsidRPr="00FC7F6A" w14:paraId="054F9443" w14:textId="77777777" w:rsidTr="00E45705">
        <w:trPr>
          <w:trHeight w:val="770"/>
        </w:trPr>
        <w:tc>
          <w:tcPr>
            <w:cnfStyle w:val="001000000000" w:firstRow="0" w:lastRow="0" w:firstColumn="1" w:lastColumn="0" w:oddVBand="0" w:evenVBand="0" w:oddHBand="0" w:evenHBand="0" w:firstRowFirstColumn="0" w:firstRowLastColumn="0" w:lastRowFirstColumn="0" w:lastRowLastColumn="0"/>
            <w:tcW w:w="739" w:type="dxa"/>
            <w:vMerge/>
            <w:vAlign w:val="top"/>
          </w:tcPr>
          <w:p w14:paraId="49FC00A9" w14:textId="77777777" w:rsidR="00E45705" w:rsidRPr="00FC7F6A" w:rsidRDefault="00E45705" w:rsidP="00E45705">
            <w:pPr>
              <w:spacing w:before="60" w:after="60"/>
              <w:ind w:left="142" w:right="142"/>
              <w:rPr>
                <w:rFonts w:asciiTheme="minorHAnsi" w:hAnsiTheme="minorHAnsi" w:cs="Arial"/>
                <w:szCs w:val="18"/>
                <w:highlight w:val="yellow"/>
              </w:rPr>
            </w:pPr>
          </w:p>
        </w:tc>
        <w:tc>
          <w:tcPr>
            <w:tcW w:w="2440" w:type="dxa"/>
            <w:vMerge/>
            <w:vAlign w:val="top"/>
          </w:tcPr>
          <w:p w14:paraId="63B23CE4"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szCs w:val="18"/>
                <w:highlight w:val="yellow"/>
              </w:rPr>
            </w:pPr>
          </w:p>
        </w:tc>
        <w:tc>
          <w:tcPr>
            <w:tcW w:w="7341" w:type="dxa"/>
            <w:vAlign w:val="top"/>
          </w:tcPr>
          <w:p w14:paraId="47D6ED71"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Is there consistency across jurisdictions’ arrangements in terms of:</w:t>
            </w:r>
          </w:p>
          <w:p w14:paraId="1B5FD022"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Exemption policies?</w:t>
            </w:r>
          </w:p>
          <w:p w14:paraId="45C07826" w14:textId="77777777" w:rsidR="00E45705" w:rsidRPr="00FC7F6A" w:rsidRDefault="00E45705" w:rsidP="00FC7F6A">
            <w:pPr>
              <w:pStyle w:val="ListParagraph"/>
              <w:numPr>
                <w:ilvl w:val="0"/>
                <w:numId w:val="29"/>
              </w:num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C7F6A">
              <w:rPr>
                <w:rFonts w:asciiTheme="minorHAnsi" w:hAnsiTheme="minorHAnsi"/>
                <w:sz w:val="18"/>
                <w:szCs w:val="18"/>
              </w:rPr>
              <w:t>Have there been any changes since the year one evaluation in terms of:</w:t>
            </w:r>
          </w:p>
          <w:p w14:paraId="03CE34CE" w14:textId="77777777" w:rsidR="00E45705" w:rsidRPr="00FC7F6A" w:rsidRDefault="00E45705" w:rsidP="00FC7F6A">
            <w:pPr>
              <w:numPr>
                <w:ilvl w:val="1"/>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Jurisdictions’ views of the relative responsibilities of schools/TAFEs in addressing the new participation requirements? </w:t>
            </w:r>
          </w:p>
        </w:tc>
        <w:tc>
          <w:tcPr>
            <w:tcW w:w="3414" w:type="dxa"/>
            <w:vAlign w:val="top"/>
          </w:tcPr>
          <w:p w14:paraId="18CC8500" w14:textId="77777777" w:rsidR="00E45705" w:rsidRPr="00FC7F6A" w:rsidRDefault="00E45705" w:rsidP="00FC7F6A">
            <w:pPr>
              <w:numPr>
                <w:ilvl w:val="0"/>
                <w:numId w:val="30"/>
              </w:numPr>
              <w:spacing w:before="60" w:after="60"/>
              <w:ind w:left="55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Information request from MWG, non-government education authorities</w:t>
            </w:r>
          </w:p>
          <w:p w14:paraId="79171362" w14:textId="77777777" w:rsidR="00E45705" w:rsidRPr="00FC7F6A" w:rsidRDefault="00E45705" w:rsidP="00E45705">
            <w:pPr>
              <w:autoSpaceDE w:val="0"/>
              <w:autoSpaceDN w:val="0"/>
              <w:adjustRightInd w:val="0"/>
              <w:spacing w:before="60" w:after="60"/>
              <w:ind w:lef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highlight w:val="yellow"/>
              </w:rPr>
            </w:pPr>
          </w:p>
        </w:tc>
      </w:tr>
      <w:tr w:rsidR="00E45705" w:rsidRPr="00FC7F6A" w14:paraId="2802DA35" w14:textId="77777777" w:rsidTr="00E45705">
        <w:tc>
          <w:tcPr>
            <w:cnfStyle w:val="001000000000" w:firstRow="0" w:lastRow="0" w:firstColumn="1" w:lastColumn="0" w:oddVBand="0" w:evenVBand="0" w:oddHBand="0" w:evenHBand="0" w:firstRowFirstColumn="0" w:firstRowLastColumn="0" w:lastRowFirstColumn="0" w:lastRowLastColumn="0"/>
            <w:tcW w:w="13934" w:type="dxa"/>
            <w:gridSpan w:val="4"/>
            <w:vAlign w:val="top"/>
          </w:tcPr>
          <w:p w14:paraId="58F772FB"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Is it working?</w:t>
            </w:r>
          </w:p>
        </w:tc>
      </w:tr>
      <w:tr w:rsidR="00E45705" w:rsidRPr="00FC7F6A" w14:paraId="73C21557"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1079E0A0"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6.2</w:t>
            </w:r>
          </w:p>
        </w:tc>
        <w:tc>
          <w:tcPr>
            <w:tcW w:w="2440" w:type="dxa"/>
            <w:vAlign w:val="top"/>
          </w:tcPr>
          <w:p w14:paraId="2EAB0489"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Does participation data show that the Compact has had an impact?</w:t>
            </w:r>
          </w:p>
        </w:tc>
        <w:tc>
          <w:tcPr>
            <w:tcW w:w="7341" w:type="dxa"/>
            <w:vAlign w:val="top"/>
          </w:tcPr>
          <w:p w14:paraId="71D9CE43" w14:textId="77777777" w:rsidR="00E45705" w:rsidRPr="00FC7F6A" w:rsidRDefault="00E45705" w:rsidP="00FC7F6A">
            <w:pPr>
              <w:numPr>
                <w:ilvl w:val="0"/>
                <w:numId w:val="30"/>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4BCAE004" w14:textId="77777777" w:rsidR="00E45705" w:rsidRPr="00FC7F6A" w:rsidRDefault="00E45705" w:rsidP="00FC7F6A">
            <w:pPr>
              <w:pStyle w:val="ListParagraph"/>
              <w:numPr>
                <w:ilvl w:val="1"/>
                <w:numId w:val="31"/>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Jurisdictions’ views on the contribution of participation requirements and entitlements on youth participation?</w:t>
            </w:r>
          </w:p>
          <w:p w14:paraId="4100E713" w14:textId="77777777" w:rsidR="00E45705" w:rsidRPr="00FC7F6A" w:rsidRDefault="00E45705" w:rsidP="00FC7F6A">
            <w:pPr>
              <w:pStyle w:val="ListParagraph"/>
              <w:numPr>
                <w:ilvl w:val="1"/>
                <w:numId w:val="31"/>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rPr>
            </w:pPr>
            <w:r w:rsidRPr="00FC7F6A">
              <w:rPr>
                <w:rFonts w:asciiTheme="minorHAnsi" w:hAnsiTheme="minorHAnsi" w:cs="Arial"/>
                <w:sz w:val="18"/>
                <w:szCs w:val="18"/>
              </w:rPr>
              <w:t>Changes in the participation data?</w:t>
            </w:r>
          </w:p>
        </w:tc>
        <w:tc>
          <w:tcPr>
            <w:tcW w:w="3414" w:type="dxa"/>
            <w:vAlign w:val="top"/>
          </w:tcPr>
          <w:p w14:paraId="5AAD93C6"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MWG, non-government education authorities</w:t>
            </w:r>
          </w:p>
          <w:p w14:paraId="500B04E5"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Data analysis – see NP level</w:t>
            </w:r>
          </w:p>
          <w:p w14:paraId="51C7A998" w14:textId="77777777" w:rsidR="00E45705" w:rsidRPr="00FC7F6A" w:rsidRDefault="00E45705" w:rsidP="00E45705">
            <w:pPr>
              <w:pStyle w:val="ListParagraph"/>
              <w:tabs>
                <w:tab w:val="right" w:pos="8930"/>
              </w:tabs>
              <w:spacing w:before="60" w:after="60"/>
              <w:ind w:left="1636"/>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highlight w:val="yellow"/>
              </w:rPr>
            </w:pPr>
          </w:p>
        </w:tc>
      </w:tr>
      <w:tr w:rsidR="00E45705" w:rsidRPr="00FC7F6A" w14:paraId="6025587A"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77B9A4BC"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6.3</w:t>
            </w:r>
          </w:p>
        </w:tc>
        <w:tc>
          <w:tcPr>
            <w:tcW w:w="2440" w:type="dxa"/>
            <w:vAlign w:val="top"/>
          </w:tcPr>
          <w:p w14:paraId="27F1C380"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What’s working well? Why? What could work better? How?</w:t>
            </w:r>
          </w:p>
        </w:tc>
        <w:tc>
          <w:tcPr>
            <w:tcW w:w="7341" w:type="dxa"/>
            <w:vAlign w:val="top"/>
          </w:tcPr>
          <w:p w14:paraId="00E5BB14" w14:textId="77777777" w:rsidR="00E45705" w:rsidRPr="00FC7F6A" w:rsidRDefault="00E45705" w:rsidP="00FC7F6A">
            <w:pPr>
              <w:numPr>
                <w:ilvl w:val="0"/>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08469CE0" w14:textId="77777777" w:rsidR="00E45705" w:rsidRPr="00FC7F6A" w:rsidRDefault="00E45705" w:rsidP="00FC7F6A">
            <w:pPr>
              <w:pStyle w:val="ListParagraph"/>
              <w:numPr>
                <w:ilvl w:val="1"/>
                <w:numId w:val="33"/>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Influence of the nationally consistent approach on outcomes?</w:t>
            </w:r>
          </w:p>
          <w:p w14:paraId="17FCF01B" w14:textId="77777777" w:rsidR="00E45705" w:rsidRPr="00FC7F6A" w:rsidRDefault="00E45705" w:rsidP="00FC7F6A">
            <w:pPr>
              <w:pStyle w:val="ListParagraph"/>
              <w:numPr>
                <w:ilvl w:val="1"/>
                <w:numId w:val="33"/>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Benefits or unintended positive outcomes?</w:t>
            </w:r>
          </w:p>
          <w:p w14:paraId="5D93F9A9" w14:textId="77777777" w:rsidR="00E45705" w:rsidRPr="00FC7F6A" w:rsidRDefault="00E45705" w:rsidP="00FC7F6A">
            <w:pPr>
              <w:pStyle w:val="ListParagraph"/>
              <w:numPr>
                <w:ilvl w:val="1"/>
                <w:numId w:val="33"/>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Major barriers to achieving desired outcomes?</w:t>
            </w:r>
          </w:p>
          <w:p w14:paraId="10DDB348"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What can be done to address the barriers?</w:t>
            </w:r>
          </w:p>
          <w:p w14:paraId="24339C16" w14:textId="77777777" w:rsidR="00E45705" w:rsidRPr="00FC7F6A" w:rsidRDefault="00E45705" w:rsidP="00FC7F6A">
            <w:pPr>
              <w:numPr>
                <w:ilvl w:val="0"/>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stakeholders and young people aware of the requirements of the Compact?</w:t>
            </w:r>
          </w:p>
          <w:p w14:paraId="6AF7C40B" w14:textId="77777777" w:rsidR="00E45705" w:rsidRPr="00FC7F6A" w:rsidRDefault="00E45705" w:rsidP="00FC7F6A">
            <w:pPr>
              <w:numPr>
                <w:ilvl w:val="0"/>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What has been the impact of the Compact on young people’s behaviour? </w:t>
            </w:r>
          </w:p>
        </w:tc>
        <w:tc>
          <w:tcPr>
            <w:tcW w:w="3414" w:type="dxa"/>
            <w:vAlign w:val="top"/>
          </w:tcPr>
          <w:p w14:paraId="3E28C1D9" w14:textId="77777777" w:rsidR="00E45705" w:rsidRPr="00FC7F6A" w:rsidRDefault="00E45705" w:rsidP="00FC7F6A">
            <w:pPr>
              <w:numPr>
                <w:ilvl w:val="0"/>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 xml:space="preserve">Interviews with DEEWR, MWG, non-government representatives, Centrelink and JSA </w:t>
            </w:r>
          </w:p>
          <w:p w14:paraId="3CA17261" w14:textId="77777777" w:rsidR="00E45705" w:rsidRPr="00FC7F6A" w:rsidRDefault="00E45705" w:rsidP="00FC7F6A">
            <w:pPr>
              <w:numPr>
                <w:ilvl w:val="0"/>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Workshops with community and youth representative bodies</w:t>
            </w:r>
          </w:p>
          <w:p w14:paraId="18ADD732" w14:textId="77777777" w:rsidR="00E45705" w:rsidRPr="00FC7F6A" w:rsidRDefault="00E45705" w:rsidP="00E45705">
            <w:pPr>
              <w:pStyle w:val="ListParagraph"/>
              <w:tabs>
                <w:tab w:val="right" w:pos="8930"/>
              </w:tabs>
              <w:spacing w:before="60" w:after="60"/>
              <w:ind w:left="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highlight w:val="yellow"/>
              </w:rPr>
            </w:pPr>
          </w:p>
        </w:tc>
      </w:tr>
      <w:tr w:rsidR="00E45705" w:rsidRPr="00FC7F6A" w14:paraId="4E84285D" w14:textId="77777777" w:rsidTr="00E45705">
        <w:tc>
          <w:tcPr>
            <w:cnfStyle w:val="001000000000" w:firstRow="0" w:lastRow="0" w:firstColumn="1" w:lastColumn="0" w:oddVBand="0" w:evenVBand="0" w:oddHBand="0" w:evenHBand="0" w:firstRowFirstColumn="0" w:firstRowLastColumn="0" w:lastRowFirstColumn="0" w:lastRowLastColumn="0"/>
            <w:tcW w:w="13934" w:type="dxa"/>
            <w:gridSpan w:val="4"/>
            <w:vAlign w:val="top"/>
          </w:tcPr>
          <w:p w14:paraId="13C02CD2"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Is it appropriate?</w:t>
            </w:r>
          </w:p>
        </w:tc>
      </w:tr>
      <w:tr w:rsidR="00E45705" w:rsidRPr="00FC7F6A" w14:paraId="22C05513"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3F0D5AD7"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6.4</w:t>
            </w:r>
          </w:p>
        </w:tc>
        <w:tc>
          <w:tcPr>
            <w:tcW w:w="2440" w:type="dxa"/>
            <w:vAlign w:val="top"/>
          </w:tcPr>
          <w:p w14:paraId="7E62C8E3"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Is this element consistent with NP objectives?</w:t>
            </w:r>
          </w:p>
        </w:tc>
        <w:tc>
          <w:tcPr>
            <w:tcW w:w="7341" w:type="dxa"/>
            <w:vAlign w:val="top"/>
          </w:tcPr>
          <w:p w14:paraId="2EC1A40D" w14:textId="77777777" w:rsidR="00E45705" w:rsidRPr="00FC7F6A" w:rsidRDefault="00E45705" w:rsidP="00FC7F6A">
            <w:pPr>
              <w:numPr>
                <w:ilvl w:val="0"/>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55BF5CAA" w14:textId="77777777" w:rsidR="00E45705" w:rsidRPr="00FC7F6A" w:rsidRDefault="00E45705" w:rsidP="00FC7F6A">
            <w:pPr>
              <w:pStyle w:val="ListParagraph"/>
              <w:numPr>
                <w:ilvl w:val="1"/>
                <w:numId w:val="33"/>
              </w:num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Translation of NP objectives into Compact objectives?</w:t>
            </w:r>
          </w:p>
          <w:p w14:paraId="2952CCB6"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szCs w:val="18"/>
              </w:rPr>
              <w:t>Inconsistencies or gaps?</w:t>
            </w:r>
          </w:p>
        </w:tc>
        <w:tc>
          <w:tcPr>
            <w:tcW w:w="3414" w:type="dxa"/>
            <w:vAlign w:val="top"/>
          </w:tcPr>
          <w:p w14:paraId="68842B9F"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318A53DF" w14:textId="77777777" w:rsidR="00E45705" w:rsidRPr="00FC7F6A" w:rsidRDefault="00E45705" w:rsidP="00E45705">
            <w:pPr>
              <w:tabs>
                <w:tab w:val="right" w:pos="8930"/>
              </w:tabs>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highlight w:val="yellow"/>
              </w:rPr>
            </w:pPr>
          </w:p>
        </w:tc>
      </w:tr>
      <w:tr w:rsidR="00E45705" w:rsidRPr="00FC7F6A" w14:paraId="4963F3AA"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478C832F"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6.5</w:t>
            </w:r>
          </w:p>
        </w:tc>
        <w:tc>
          <w:tcPr>
            <w:tcW w:w="2440" w:type="dxa"/>
            <w:vAlign w:val="top"/>
          </w:tcPr>
          <w:p w14:paraId="74916E46"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highlight w:val="yellow"/>
              </w:rPr>
            </w:pPr>
            <w:r w:rsidRPr="00FC7F6A">
              <w:rPr>
                <w:rFonts w:asciiTheme="minorHAnsi" w:hAnsiTheme="minorHAnsi" w:cs="Arial"/>
                <w:b/>
                <w:bCs/>
                <w:szCs w:val="18"/>
              </w:rPr>
              <w:t>Does this element address areas of need?</w:t>
            </w:r>
          </w:p>
        </w:tc>
        <w:tc>
          <w:tcPr>
            <w:tcW w:w="7341" w:type="dxa"/>
            <w:vAlign w:val="top"/>
          </w:tcPr>
          <w:p w14:paraId="0A406938" w14:textId="77777777" w:rsidR="00E45705" w:rsidRPr="00FC7F6A" w:rsidRDefault="00E45705" w:rsidP="00FC7F6A">
            <w:pPr>
              <w:numPr>
                <w:ilvl w:val="0"/>
                <w:numId w:val="29"/>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Have there been any changes since the year one evaluation in terms of:</w:t>
            </w:r>
          </w:p>
          <w:p w14:paraId="6411517F"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Targeting of at risk young people?</w:t>
            </w:r>
          </w:p>
          <w:p w14:paraId="07707245" w14:textId="77777777" w:rsidR="00E45705" w:rsidRPr="00FC7F6A" w:rsidRDefault="00E45705" w:rsidP="00FC7F6A">
            <w:pPr>
              <w:numPr>
                <w:ilvl w:val="1"/>
                <w:numId w:val="33"/>
              </w:numPr>
              <w:spacing w:before="60" w:after="60"/>
              <w:ind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rPr>
            </w:pPr>
            <w:r w:rsidRPr="00FC7F6A">
              <w:rPr>
                <w:rFonts w:asciiTheme="minorHAnsi" w:hAnsiTheme="minorHAnsi" w:cs="Arial"/>
                <w:szCs w:val="18"/>
              </w:rPr>
              <w:t>Unmet needs?</w:t>
            </w:r>
          </w:p>
        </w:tc>
        <w:tc>
          <w:tcPr>
            <w:tcW w:w="3414" w:type="dxa"/>
            <w:vAlign w:val="top"/>
          </w:tcPr>
          <w:p w14:paraId="7FDC8193" w14:textId="77777777" w:rsidR="00E45705" w:rsidRPr="00FC7F6A" w:rsidRDefault="00E45705" w:rsidP="00FC7F6A">
            <w:pPr>
              <w:pStyle w:val="ListParagraph"/>
              <w:numPr>
                <w:ilvl w:val="0"/>
                <w:numId w:val="31"/>
              </w:numPr>
              <w:tabs>
                <w:tab w:val="right" w:pos="8930"/>
              </w:tabs>
              <w:spacing w:before="60" w:after="60"/>
              <w:ind w:left="55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representatives, Centrelink, JSA and other sector representatives</w:t>
            </w:r>
          </w:p>
        </w:tc>
      </w:tr>
      <w:tr w:rsidR="00E45705" w:rsidRPr="00FC7F6A" w14:paraId="60F79D98" w14:textId="77777777" w:rsidTr="00E45705">
        <w:tc>
          <w:tcPr>
            <w:cnfStyle w:val="001000000000" w:firstRow="0" w:lastRow="0" w:firstColumn="1" w:lastColumn="0" w:oddVBand="0" w:evenVBand="0" w:oddHBand="0" w:evenHBand="0" w:firstRowFirstColumn="0" w:firstRowLastColumn="0" w:lastRowFirstColumn="0" w:lastRowLastColumn="0"/>
            <w:tcW w:w="13934" w:type="dxa"/>
            <w:gridSpan w:val="4"/>
            <w:vAlign w:val="top"/>
          </w:tcPr>
          <w:p w14:paraId="1A87A5FD" w14:textId="77777777" w:rsidR="00E45705" w:rsidRPr="00FC7F6A" w:rsidRDefault="00E45705" w:rsidP="00E45705">
            <w:pPr>
              <w:tabs>
                <w:tab w:val="right" w:pos="8930"/>
              </w:tabs>
              <w:spacing w:before="60" w:after="60"/>
              <w:ind w:left="142"/>
              <w:rPr>
                <w:rFonts w:asciiTheme="minorHAnsi" w:hAnsiTheme="minorHAnsi" w:cs="Arial"/>
                <w:color w:val="auto"/>
                <w:szCs w:val="18"/>
              </w:rPr>
            </w:pPr>
            <w:r w:rsidRPr="00FC7F6A">
              <w:rPr>
                <w:rFonts w:asciiTheme="minorHAnsi" w:hAnsiTheme="minorHAnsi" w:cs="Arial"/>
                <w:bCs/>
                <w:color w:val="auto"/>
                <w:szCs w:val="18"/>
              </w:rPr>
              <w:t>Looking ahead…</w:t>
            </w:r>
          </w:p>
        </w:tc>
      </w:tr>
      <w:tr w:rsidR="00E45705" w:rsidRPr="00FC7F6A" w14:paraId="3E93BF58"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1665C363"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6.6</w:t>
            </w:r>
          </w:p>
        </w:tc>
        <w:tc>
          <w:tcPr>
            <w:tcW w:w="2440" w:type="dxa"/>
            <w:vAlign w:val="top"/>
          </w:tcPr>
          <w:p w14:paraId="59056768"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for the NP?</w:t>
            </w:r>
          </w:p>
        </w:tc>
        <w:tc>
          <w:tcPr>
            <w:tcW w:w="7341" w:type="dxa"/>
            <w:vAlign w:val="top"/>
          </w:tcPr>
          <w:p w14:paraId="3F5CF4B2" w14:textId="77777777" w:rsidR="00E45705" w:rsidRPr="00FC7F6A" w:rsidRDefault="00E45705" w:rsidP="00FC7F6A">
            <w:pPr>
              <w:numPr>
                <w:ilvl w:val="0"/>
                <w:numId w:val="33"/>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refinements need to be made in the last year of the NP?</w:t>
            </w:r>
          </w:p>
        </w:tc>
        <w:tc>
          <w:tcPr>
            <w:tcW w:w="3414" w:type="dxa"/>
            <w:vAlign w:val="top"/>
          </w:tcPr>
          <w:p w14:paraId="6C242A6D" w14:textId="77777777" w:rsidR="00E45705" w:rsidRPr="00FC7F6A" w:rsidRDefault="00E45705" w:rsidP="00FC7F6A">
            <w:pPr>
              <w:pStyle w:val="ListParagraph"/>
              <w:numPr>
                <w:ilvl w:val="0"/>
                <w:numId w:val="33"/>
              </w:numPr>
              <w:autoSpaceDE w:val="0"/>
              <w:autoSpaceDN w:val="0"/>
              <w:adjustRightInd w:val="0"/>
              <w:spacing w:before="60" w:after="60"/>
              <w:ind w:left="521"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Information request from DEEWR, MWG and non-government education authorities</w:t>
            </w:r>
          </w:p>
          <w:p w14:paraId="427C88AA" w14:textId="77777777" w:rsidR="00E45705" w:rsidRPr="00FC7F6A" w:rsidRDefault="00E45705" w:rsidP="00FC7F6A">
            <w:pPr>
              <w:pStyle w:val="ListParagraph"/>
              <w:numPr>
                <w:ilvl w:val="0"/>
                <w:numId w:val="33"/>
              </w:numPr>
              <w:autoSpaceDE w:val="0"/>
              <w:autoSpaceDN w:val="0"/>
              <w:adjustRightInd w:val="0"/>
              <w:spacing w:before="60" w:after="60"/>
              <w:ind w:left="521"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Interviews with DEEWR, MWG, non-government education authorities, and sector representatives</w:t>
            </w:r>
          </w:p>
        </w:tc>
      </w:tr>
      <w:tr w:rsidR="00E45705" w:rsidRPr="00FC7F6A" w14:paraId="3D3731E9" w14:textId="77777777" w:rsidTr="00E45705">
        <w:tc>
          <w:tcPr>
            <w:cnfStyle w:val="001000000000" w:firstRow="0" w:lastRow="0" w:firstColumn="1" w:lastColumn="0" w:oddVBand="0" w:evenVBand="0" w:oddHBand="0" w:evenHBand="0" w:firstRowFirstColumn="0" w:firstRowLastColumn="0" w:lastRowFirstColumn="0" w:lastRowLastColumn="0"/>
            <w:tcW w:w="739" w:type="dxa"/>
            <w:vAlign w:val="top"/>
          </w:tcPr>
          <w:p w14:paraId="452067CA" w14:textId="77777777" w:rsidR="00E45705" w:rsidRPr="00FC7F6A" w:rsidRDefault="00E45705" w:rsidP="00E45705">
            <w:pPr>
              <w:spacing w:before="60" w:after="60"/>
              <w:ind w:left="142" w:right="142"/>
              <w:rPr>
                <w:rFonts w:asciiTheme="minorHAnsi" w:hAnsiTheme="minorHAnsi" w:cs="Arial"/>
                <w:bCs/>
                <w:szCs w:val="18"/>
              </w:rPr>
            </w:pPr>
            <w:r w:rsidRPr="00FC7F6A">
              <w:rPr>
                <w:rFonts w:asciiTheme="minorHAnsi" w:hAnsiTheme="minorHAnsi" w:cs="Arial"/>
                <w:bCs/>
                <w:szCs w:val="18"/>
              </w:rPr>
              <w:t>6.7</w:t>
            </w:r>
          </w:p>
        </w:tc>
        <w:tc>
          <w:tcPr>
            <w:tcW w:w="2440" w:type="dxa"/>
            <w:vAlign w:val="top"/>
          </w:tcPr>
          <w:p w14:paraId="073A7B8A" w14:textId="77777777" w:rsidR="00E45705" w:rsidRPr="00FC7F6A" w:rsidRDefault="00E45705" w:rsidP="00E45705">
            <w:pPr>
              <w:spacing w:before="60" w:after="60"/>
              <w:ind w:left="142"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18"/>
              </w:rPr>
            </w:pPr>
            <w:r w:rsidRPr="00FC7F6A">
              <w:rPr>
                <w:rFonts w:asciiTheme="minorHAnsi" w:hAnsiTheme="minorHAnsi" w:cs="Arial"/>
                <w:b/>
                <w:bCs/>
                <w:szCs w:val="18"/>
              </w:rPr>
              <w:t>What are the implications of evaluation findings beyond the NP?</w:t>
            </w:r>
          </w:p>
        </w:tc>
        <w:tc>
          <w:tcPr>
            <w:tcW w:w="7341" w:type="dxa"/>
            <w:vAlign w:val="top"/>
          </w:tcPr>
          <w:p w14:paraId="69A217B9" w14:textId="77777777" w:rsidR="00E45705" w:rsidRPr="00FC7F6A" w:rsidRDefault="00E45705" w:rsidP="00FC7F6A">
            <w:pPr>
              <w:numPr>
                <w:ilvl w:val="0"/>
                <w:numId w:val="33"/>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Are there factors that influence Compact element outcomes that are not addressed by the Compact?</w:t>
            </w:r>
          </w:p>
          <w:p w14:paraId="0A751610" w14:textId="77777777" w:rsidR="00E45705" w:rsidRPr="00FC7F6A" w:rsidRDefault="00E45705" w:rsidP="00FC7F6A">
            <w:pPr>
              <w:numPr>
                <w:ilvl w:val="0"/>
                <w:numId w:val="33"/>
              </w:numPr>
              <w:spacing w:before="60" w:after="60"/>
              <w:ind w:left="523" w:right="14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18"/>
              </w:rPr>
            </w:pPr>
            <w:r w:rsidRPr="00FC7F6A">
              <w:rPr>
                <w:rFonts w:asciiTheme="minorHAnsi" w:hAnsiTheme="minorHAnsi" w:cs="Arial"/>
                <w:bCs/>
                <w:szCs w:val="18"/>
              </w:rPr>
              <w:t>What options are there to achieve Compact objectives and outcomes following the conclusion of the NP?</w:t>
            </w:r>
          </w:p>
        </w:tc>
        <w:tc>
          <w:tcPr>
            <w:tcW w:w="3414" w:type="dxa"/>
            <w:vAlign w:val="top"/>
          </w:tcPr>
          <w:p w14:paraId="48DC0EF9" w14:textId="77777777" w:rsidR="00E45705" w:rsidRPr="00FC7F6A" w:rsidRDefault="00E45705" w:rsidP="00FC7F6A">
            <w:pPr>
              <w:pStyle w:val="ListParagraph"/>
              <w:numPr>
                <w:ilvl w:val="0"/>
                <w:numId w:val="33"/>
              </w:numPr>
              <w:autoSpaceDE w:val="0"/>
              <w:autoSpaceDN w:val="0"/>
              <w:adjustRightInd w:val="0"/>
              <w:spacing w:before="60" w:after="60"/>
              <w:ind w:left="521"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C7F6A">
              <w:rPr>
                <w:rFonts w:asciiTheme="minorHAnsi" w:hAnsiTheme="minorHAnsi" w:cs="Arial"/>
                <w:sz w:val="18"/>
                <w:szCs w:val="18"/>
              </w:rPr>
              <w:t>As above</w:t>
            </w:r>
          </w:p>
        </w:tc>
      </w:tr>
    </w:tbl>
    <w:p w14:paraId="09828E1E" w14:textId="77777777" w:rsidR="00E45705" w:rsidRDefault="00E45705" w:rsidP="00E45705">
      <w:pPr>
        <w:spacing w:line="380" w:lineRule="atLeast"/>
      </w:pPr>
    </w:p>
    <w:p w14:paraId="7092B989" w14:textId="77777777" w:rsidR="00E45705" w:rsidRDefault="00E45705" w:rsidP="00E45705">
      <w:pPr>
        <w:spacing w:line="380" w:lineRule="atLeast"/>
        <w:sectPr w:rsidR="00E45705" w:rsidSect="00E45705">
          <w:footerReference w:type="default" r:id="rId87"/>
          <w:pgSz w:w="16838" w:h="11899" w:orient="landscape" w:code="9"/>
          <w:pgMar w:top="1134" w:right="1077" w:bottom="1247" w:left="1361" w:header="284" w:footer="1021" w:gutter="0"/>
          <w:pgNumType w:start="105"/>
          <w:cols w:space="708"/>
          <w:docGrid w:linePitch="272"/>
        </w:sectPr>
      </w:pPr>
    </w:p>
    <w:p w14:paraId="47E4B627" w14:textId="77777777" w:rsidR="00E45705" w:rsidRPr="001B09E6" w:rsidRDefault="00E45705" w:rsidP="00E45705">
      <w:pPr>
        <w:pStyle w:val="Heading1NoNumbering"/>
      </w:pPr>
      <w:bookmarkStart w:id="131" w:name="_Toc219347265"/>
      <w:bookmarkStart w:id="132" w:name="_Toc333918976"/>
      <w:r w:rsidRPr="001B09E6">
        <w:t>Appendix 2: Youth attainment and transitions data</w:t>
      </w:r>
      <w:bookmarkEnd w:id="131"/>
    </w:p>
    <w:p w14:paraId="2C2CD9E6" w14:textId="77777777" w:rsidR="00E45705" w:rsidRPr="001B09E6" w:rsidRDefault="00E45705" w:rsidP="00E45705">
      <w:pPr>
        <w:pStyle w:val="Heading2NoNumbering"/>
      </w:pPr>
      <w:bookmarkStart w:id="133" w:name="_Toc219347266"/>
      <w:r w:rsidRPr="001B09E6">
        <w:t>Participation overall</w:t>
      </w:r>
      <w:bookmarkEnd w:id="132"/>
      <w:bookmarkEnd w:id="133"/>
    </w:p>
    <w:p w14:paraId="4FB01D54" w14:textId="77777777" w:rsidR="00E45705" w:rsidRPr="001B09E6" w:rsidRDefault="00E45705" w:rsidP="00E45705">
      <w:pPr>
        <w:pStyle w:val="Heading3NoNumbering"/>
        <w:tabs>
          <w:tab w:val="left" w:pos="0"/>
        </w:tabs>
      </w:pPr>
      <w:bookmarkStart w:id="134" w:name="_Toc192134388"/>
      <w:bookmarkStart w:id="135" w:name="_Toc333918977"/>
      <w:r w:rsidRPr="001B09E6">
        <w:t>Table A2.1: Total full-time educational participation</w:t>
      </w:r>
      <w:bookmarkEnd w:id="134"/>
      <w:bookmarkEnd w:id="135"/>
    </w:p>
    <w:p w14:paraId="3261F203" w14:textId="77777777" w:rsidR="00E45705" w:rsidRPr="001B09E6" w:rsidRDefault="00E45705" w:rsidP="00E45705">
      <w:pPr>
        <w:pStyle w:val="TableHeading"/>
        <w:spacing w:before="112"/>
      </w:pPr>
      <w:r w:rsidRPr="001B09E6">
        <w:t xml:space="preserve"> PERCENTAGE OF PERSONS AGED 15-24 PARTICIPATING IN FULL-TIME EDUCATION AS AT MAY 2001-2012</w:t>
      </w:r>
    </w:p>
    <w:tbl>
      <w:tblPr>
        <w:tblW w:w="5000" w:type="pct"/>
        <w:tblBorders>
          <w:top w:val="single" w:sz="4" w:space="0" w:color="auto"/>
          <w:bottom w:val="single" w:sz="4" w:space="0" w:color="auto"/>
        </w:tblBorders>
        <w:tblLook w:val="04A0" w:firstRow="1" w:lastRow="0" w:firstColumn="1" w:lastColumn="0" w:noHBand="0" w:noVBand="1"/>
        <w:tblCaption w:val="Table A2.1: Total full-time educational participation  PERCENTAGE OF PERSONS AGED 15-24 PARTICIPATING IN FULL-TIME EDUCATION AS AT MAY 2001-2012 "/>
        <w:tblDescription w:val="Table A2.1: Total full-time educational participation&#10; PERCENTAGE OF PERSONS AGED 15-24 PARTICIPATING IN FULL-TIME EDUCATION AS AT MAY 2001-2012&#10;"/>
      </w:tblPr>
      <w:tblGrid>
        <w:gridCol w:w="1044"/>
        <w:gridCol w:w="1044"/>
        <w:gridCol w:w="1044"/>
        <w:gridCol w:w="1044"/>
        <w:gridCol w:w="1044"/>
        <w:gridCol w:w="1044"/>
        <w:gridCol w:w="1044"/>
        <w:gridCol w:w="1044"/>
        <w:gridCol w:w="1044"/>
        <w:gridCol w:w="1044"/>
        <w:gridCol w:w="1044"/>
        <w:gridCol w:w="1044"/>
        <w:gridCol w:w="1044"/>
        <w:gridCol w:w="1044"/>
      </w:tblGrid>
      <w:tr w:rsidR="00E45705" w:rsidRPr="001B09E6" w14:paraId="20A03154" w14:textId="77777777" w:rsidTr="00E45705">
        <w:trPr>
          <w:trHeight w:val="376"/>
        </w:trPr>
        <w:tc>
          <w:tcPr>
            <w:tcW w:w="357" w:type="pct"/>
            <w:tcBorders>
              <w:top w:val="single" w:sz="4" w:space="0" w:color="auto"/>
              <w:bottom w:val="single" w:sz="4" w:space="0" w:color="auto"/>
            </w:tcBorders>
          </w:tcPr>
          <w:p w14:paraId="728E3667" w14:textId="77777777" w:rsidR="00E45705" w:rsidRPr="001B09E6" w:rsidRDefault="00E45705" w:rsidP="00E45705">
            <w:pPr>
              <w:pStyle w:val="TableColumnHeading"/>
              <w:spacing w:before="0" w:after="0"/>
              <w:ind w:left="0" w:right="0"/>
              <w:jc w:val="center"/>
              <w:rPr>
                <w:lang w:eastAsia="en-AU"/>
              </w:rPr>
            </w:pPr>
            <w:r w:rsidRPr="001B09E6">
              <w:rPr>
                <w:lang w:eastAsia="en-AU"/>
              </w:rPr>
              <w:t>Age</w:t>
            </w:r>
          </w:p>
        </w:tc>
        <w:tc>
          <w:tcPr>
            <w:tcW w:w="357" w:type="pct"/>
            <w:tcBorders>
              <w:top w:val="single" w:sz="4" w:space="0" w:color="auto"/>
              <w:bottom w:val="single" w:sz="4" w:space="0" w:color="auto"/>
            </w:tcBorders>
          </w:tcPr>
          <w:p w14:paraId="54C9FB0A" w14:textId="77777777" w:rsidR="00E45705" w:rsidRPr="001B09E6" w:rsidRDefault="00E45705" w:rsidP="00E45705">
            <w:pPr>
              <w:pStyle w:val="TableColumnHeading"/>
              <w:spacing w:before="0" w:after="0"/>
              <w:ind w:left="0" w:right="0"/>
              <w:jc w:val="center"/>
              <w:rPr>
                <w:lang w:eastAsia="en-AU"/>
              </w:rPr>
            </w:pPr>
            <w:r w:rsidRPr="001B09E6">
              <w:rPr>
                <w:lang w:eastAsia="en-AU"/>
              </w:rPr>
              <w:t>2000</w:t>
            </w:r>
          </w:p>
        </w:tc>
        <w:tc>
          <w:tcPr>
            <w:tcW w:w="357" w:type="pct"/>
            <w:tcBorders>
              <w:top w:val="single" w:sz="4" w:space="0" w:color="auto"/>
              <w:bottom w:val="single" w:sz="4" w:space="0" w:color="auto"/>
            </w:tcBorders>
            <w:shd w:val="clear" w:color="auto" w:fill="auto"/>
            <w:noWrap/>
            <w:hideMark/>
          </w:tcPr>
          <w:p w14:paraId="63B07E94" w14:textId="77777777" w:rsidR="00E45705" w:rsidRPr="001B09E6" w:rsidRDefault="00E45705" w:rsidP="00E45705">
            <w:pPr>
              <w:pStyle w:val="TableColumnHeading"/>
              <w:spacing w:before="0" w:after="0"/>
              <w:ind w:left="0" w:right="0"/>
              <w:jc w:val="center"/>
              <w:rPr>
                <w:lang w:eastAsia="en-AU"/>
              </w:rPr>
            </w:pPr>
            <w:r w:rsidRPr="001B09E6">
              <w:rPr>
                <w:lang w:eastAsia="en-AU"/>
              </w:rPr>
              <w:t>2001</w:t>
            </w:r>
          </w:p>
        </w:tc>
        <w:tc>
          <w:tcPr>
            <w:tcW w:w="357" w:type="pct"/>
            <w:tcBorders>
              <w:top w:val="single" w:sz="4" w:space="0" w:color="auto"/>
              <w:bottom w:val="single" w:sz="4" w:space="0" w:color="auto"/>
            </w:tcBorders>
            <w:shd w:val="clear" w:color="auto" w:fill="auto"/>
            <w:noWrap/>
            <w:hideMark/>
          </w:tcPr>
          <w:p w14:paraId="04F4ECB4" w14:textId="77777777" w:rsidR="00E45705" w:rsidRPr="001B09E6" w:rsidRDefault="00E45705" w:rsidP="00E45705">
            <w:pPr>
              <w:pStyle w:val="TableColumnHeading"/>
              <w:spacing w:before="0" w:after="0"/>
              <w:ind w:left="0" w:right="0"/>
              <w:jc w:val="center"/>
              <w:rPr>
                <w:lang w:eastAsia="en-AU"/>
              </w:rPr>
            </w:pPr>
            <w:r w:rsidRPr="001B09E6">
              <w:rPr>
                <w:lang w:eastAsia="en-AU"/>
              </w:rPr>
              <w:t>2002</w:t>
            </w:r>
          </w:p>
        </w:tc>
        <w:tc>
          <w:tcPr>
            <w:tcW w:w="357" w:type="pct"/>
            <w:tcBorders>
              <w:top w:val="single" w:sz="4" w:space="0" w:color="auto"/>
              <w:bottom w:val="single" w:sz="4" w:space="0" w:color="auto"/>
            </w:tcBorders>
            <w:shd w:val="clear" w:color="auto" w:fill="auto"/>
            <w:noWrap/>
            <w:hideMark/>
          </w:tcPr>
          <w:p w14:paraId="43296F4F" w14:textId="77777777" w:rsidR="00E45705" w:rsidRPr="001B09E6" w:rsidRDefault="00E45705" w:rsidP="00E45705">
            <w:pPr>
              <w:pStyle w:val="TableColumnHeading"/>
              <w:spacing w:before="0" w:after="0"/>
              <w:ind w:left="0" w:right="0"/>
              <w:jc w:val="center"/>
              <w:rPr>
                <w:lang w:eastAsia="en-AU"/>
              </w:rPr>
            </w:pPr>
            <w:r w:rsidRPr="001B09E6">
              <w:rPr>
                <w:lang w:eastAsia="en-AU"/>
              </w:rPr>
              <w:t>2003</w:t>
            </w:r>
          </w:p>
        </w:tc>
        <w:tc>
          <w:tcPr>
            <w:tcW w:w="357" w:type="pct"/>
            <w:tcBorders>
              <w:top w:val="single" w:sz="4" w:space="0" w:color="auto"/>
              <w:bottom w:val="single" w:sz="4" w:space="0" w:color="auto"/>
            </w:tcBorders>
            <w:shd w:val="clear" w:color="auto" w:fill="auto"/>
            <w:noWrap/>
            <w:hideMark/>
          </w:tcPr>
          <w:p w14:paraId="27A01333" w14:textId="77777777" w:rsidR="00E45705" w:rsidRPr="001B09E6" w:rsidRDefault="00E45705" w:rsidP="00E45705">
            <w:pPr>
              <w:pStyle w:val="TableColumnHeading"/>
              <w:spacing w:before="0" w:after="0"/>
              <w:ind w:left="0" w:right="0"/>
              <w:jc w:val="center"/>
              <w:rPr>
                <w:lang w:eastAsia="en-AU"/>
              </w:rPr>
            </w:pPr>
            <w:r w:rsidRPr="001B09E6">
              <w:rPr>
                <w:lang w:eastAsia="en-AU"/>
              </w:rPr>
              <w:t>2004</w:t>
            </w:r>
          </w:p>
        </w:tc>
        <w:tc>
          <w:tcPr>
            <w:tcW w:w="357" w:type="pct"/>
            <w:tcBorders>
              <w:top w:val="single" w:sz="4" w:space="0" w:color="auto"/>
              <w:bottom w:val="single" w:sz="4" w:space="0" w:color="auto"/>
            </w:tcBorders>
            <w:shd w:val="clear" w:color="auto" w:fill="auto"/>
            <w:noWrap/>
            <w:hideMark/>
          </w:tcPr>
          <w:p w14:paraId="430D5BC7" w14:textId="77777777" w:rsidR="00E45705" w:rsidRPr="001B09E6" w:rsidRDefault="00E45705" w:rsidP="00E45705">
            <w:pPr>
              <w:pStyle w:val="TableColumnHeading"/>
              <w:spacing w:before="0" w:after="0"/>
              <w:ind w:left="0" w:right="0"/>
              <w:jc w:val="center"/>
              <w:rPr>
                <w:lang w:eastAsia="en-AU"/>
              </w:rPr>
            </w:pPr>
            <w:r w:rsidRPr="001B09E6">
              <w:rPr>
                <w:lang w:eastAsia="en-AU"/>
              </w:rPr>
              <w:t>2005</w:t>
            </w:r>
          </w:p>
        </w:tc>
        <w:tc>
          <w:tcPr>
            <w:tcW w:w="357" w:type="pct"/>
            <w:tcBorders>
              <w:top w:val="single" w:sz="4" w:space="0" w:color="auto"/>
              <w:bottom w:val="single" w:sz="4" w:space="0" w:color="auto"/>
            </w:tcBorders>
            <w:shd w:val="clear" w:color="auto" w:fill="auto"/>
            <w:noWrap/>
            <w:hideMark/>
          </w:tcPr>
          <w:p w14:paraId="7286A95F" w14:textId="77777777" w:rsidR="00E45705" w:rsidRPr="001B09E6" w:rsidRDefault="00E45705" w:rsidP="00E45705">
            <w:pPr>
              <w:pStyle w:val="TableColumnHeading"/>
              <w:spacing w:before="0" w:after="0"/>
              <w:ind w:left="0" w:right="0"/>
              <w:jc w:val="center"/>
              <w:rPr>
                <w:lang w:eastAsia="en-AU"/>
              </w:rPr>
            </w:pPr>
            <w:r w:rsidRPr="001B09E6">
              <w:rPr>
                <w:lang w:eastAsia="en-AU"/>
              </w:rPr>
              <w:t>2006</w:t>
            </w:r>
          </w:p>
        </w:tc>
        <w:tc>
          <w:tcPr>
            <w:tcW w:w="357" w:type="pct"/>
            <w:tcBorders>
              <w:top w:val="single" w:sz="4" w:space="0" w:color="auto"/>
              <w:bottom w:val="single" w:sz="4" w:space="0" w:color="auto"/>
            </w:tcBorders>
            <w:shd w:val="clear" w:color="auto" w:fill="auto"/>
            <w:noWrap/>
            <w:hideMark/>
          </w:tcPr>
          <w:p w14:paraId="331C97AD" w14:textId="77777777" w:rsidR="00E45705" w:rsidRPr="001B09E6" w:rsidRDefault="00E45705" w:rsidP="00E45705">
            <w:pPr>
              <w:pStyle w:val="TableColumnHeading"/>
              <w:spacing w:before="0" w:after="0"/>
              <w:ind w:left="0" w:right="0"/>
              <w:jc w:val="center"/>
              <w:rPr>
                <w:lang w:eastAsia="en-AU"/>
              </w:rPr>
            </w:pPr>
            <w:r w:rsidRPr="001B09E6">
              <w:rPr>
                <w:lang w:eastAsia="en-AU"/>
              </w:rPr>
              <w:t>2007</w:t>
            </w:r>
          </w:p>
        </w:tc>
        <w:tc>
          <w:tcPr>
            <w:tcW w:w="357" w:type="pct"/>
            <w:tcBorders>
              <w:top w:val="single" w:sz="4" w:space="0" w:color="auto"/>
              <w:bottom w:val="single" w:sz="4" w:space="0" w:color="auto"/>
            </w:tcBorders>
            <w:shd w:val="clear" w:color="auto" w:fill="auto"/>
            <w:noWrap/>
            <w:hideMark/>
          </w:tcPr>
          <w:p w14:paraId="6AF38C8E" w14:textId="77777777" w:rsidR="00E45705" w:rsidRPr="001B09E6" w:rsidRDefault="00E45705" w:rsidP="00E45705">
            <w:pPr>
              <w:pStyle w:val="TableColumnHeading"/>
              <w:spacing w:before="0" w:after="0"/>
              <w:ind w:left="0" w:right="0"/>
              <w:jc w:val="center"/>
              <w:rPr>
                <w:lang w:eastAsia="en-AU"/>
              </w:rPr>
            </w:pPr>
            <w:r w:rsidRPr="001B09E6">
              <w:rPr>
                <w:lang w:eastAsia="en-AU"/>
              </w:rPr>
              <w:t>2008</w:t>
            </w:r>
          </w:p>
        </w:tc>
        <w:tc>
          <w:tcPr>
            <w:tcW w:w="357" w:type="pct"/>
            <w:tcBorders>
              <w:top w:val="single" w:sz="4" w:space="0" w:color="auto"/>
              <w:bottom w:val="single" w:sz="4" w:space="0" w:color="auto"/>
            </w:tcBorders>
            <w:shd w:val="clear" w:color="auto" w:fill="auto"/>
            <w:noWrap/>
            <w:hideMark/>
          </w:tcPr>
          <w:p w14:paraId="1C641315" w14:textId="77777777" w:rsidR="00E45705" w:rsidRPr="001B09E6" w:rsidRDefault="00E45705" w:rsidP="00E45705">
            <w:pPr>
              <w:pStyle w:val="TableColumnHeading"/>
              <w:spacing w:before="0" w:after="0"/>
              <w:ind w:left="0" w:right="0"/>
              <w:jc w:val="center"/>
              <w:rPr>
                <w:lang w:eastAsia="en-AU"/>
              </w:rPr>
            </w:pPr>
            <w:r w:rsidRPr="001B09E6">
              <w:rPr>
                <w:lang w:eastAsia="en-AU"/>
              </w:rPr>
              <w:t>2009</w:t>
            </w:r>
          </w:p>
        </w:tc>
        <w:tc>
          <w:tcPr>
            <w:tcW w:w="357" w:type="pct"/>
            <w:tcBorders>
              <w:top w:val="single" w:sz="4" w:space="0" w:color="auto"/>
              <w:bottom w:val="single" w:sz="4" w:space="0" w:color="auto"/>
            </w:tcBorders>
            <w:shd w:val="clear" w:color="auto" w:fill="auto"/>
            <w:noWrap/>
            <w:hideMark/>
          </w:tcPr>
          <w:p w14:paraId="463CCAE5" w14:textId="77777777" w:rsidR="00E45705" w:rsidRPr="001B09E6" w:rsidRDefault="00E45705" w:rsidP="00E45705">
            <w:pPr>
              <w:pStyle w:val="TableColumnHeading"/>
              <w:spacing w:before="0" w:after="0"/>
              <w:ind w:left="0" w:right="0"/>
              <w:jc w:val="center"/>
              <w:rPr>
                <w:lang w:eastAsia="en-AU"/>
              </w:rPr>
            </w:pPr>
            <w:r w:rsidRPr="001B09E6">
              <w:rPr>
                <w:lang w:eastAsia="en-AU"/>
              </w:rPr>
              <w:t>2010</w:t>
            </w:r>
          </w:p>
        </w:tc>
        <w:tc>
          <w:tcPr>
            <w:tcW w:w="357" w:type="pct"/>
            <w:tcBorders>
              <w:top w:val="single" w:sz="4" w:space="0" w:color="auto"/>
              <w:bottom w:val="single" w:sz="4" w:space="0" w:color="auto"/>
            </w:tcBorders>
            <w:shd w:val="clear" w:color="auto" w:fill="auto"/>
            <w:noWrap/>
            <w:hideMark/>
          </w:tcPr>
          <w:p w14:paraId="25408ADC" w14:textId="77777777" w:rsidR="00E45705" w:rsidRPr="001B09E6" w:rsidRDefault="00E45705" w:rsidP="00E45705">
            <w:pPr>
              <w:pStyle w:val="TableColumnHeading"/>
              <w:spacing w:before="0" w:after="0"/>
              <w:ind w:left="0" w:right="0"/>
              <w:jc w:val="center"/>
              <w:rPr>
                <w:lang w:eastAsia="en-AU"/>
              </w:rPr>
            </w:pPr>
            <w:r w:rsidRPr="001B09E6">
              <w:rPr>
                <w:lang w:eastAsia="en-AU"/>
              </w:rPr>
              <w:t>2011</w:t>
            </w:r>
          </w:p>
        </w:tc>
        <w:tc>
          <w:tcPr>
            <w:tcW w:w="357" w:type="pct"/>
            <w:tcBorders>
              <w:top w:val="single" w:sz="4" w:space="0" w:color="auto"/>
              <w:bottom w:val="single" w:sz="4" w:space="0" w:color="auto"/>
            </w:tcBorders>
            <w:shd w:val="clear" w:color="auto" w:fill="auto"/>
            <w:noWrap/>
            <w:hideMark/>
          </w:tcPr>
          <w:p w14:paraId="381BE154" w14:textId="77777777" w:rsidR="00E45705" w:rsidRPr="001B09E6" w:rsidRDefault="00E45705" w:rsidP="00E45705">
            <w:pPr>
              <w:pStyle w:val="TableColumnHeading"/>
              <w:spacing w:before="0" w:after="0"/>
              <w:ind w:left="0" w:right="0"/>
              <w:jc w:val="center"/>
              <w:rPr>
                <w:lang w:eastAsia="en-AU"/>
              </w:rPr>
            </w:pPr>
            <w:r w:rsidRPr="001B09E6">
              <w:rPr>
                <w:lang w:eastAsia="en-AU"/>
              </w:rPr>
              <w:t>2012</w:t>
            </w:r>
          </w:p>
        </w:tc>
      </w:tr>
      <w:tr w:rsidR="00E45705" w:rsidRPr="001B09E6" w14:paraId="461BA345" w14:textId="77777777" w:rsidTr="00E45705">
        <w:trPr>
          <w:trHeight w:val="300"/>
        </w:trPr>
        <w:tc>
          <w:tcPr>
            <w:tcW w:w="357" w:type="pct"/>
            <w:tcBorders>
              <w:top w:val="single" w:sz="4" w:space="0" w:color="auto"/>
            </w:tcBorders>
          </w:tcPr>
          <w:p w14:paraId="3C9126E0" w14:textId="77777777" w:rsidR="00E45705" w:rsidRPr="001B09E6" w:rsidRDefault="00E45705" w:rsidP="00E45705">
            <w:pPr>
              <w:pStyle w:val="TableCellText"/>
              <w:spacing w:before="0" w:after="0"/>
              <w:ind w:left="0" w:right="0"/>
              <w:jc w:val="center"/>
            </w:pPr>
            <w:r w:rsidRPr="001B09E6">
              <w:t>15-19</w:t>
            </w:r>
          </w:p>
        </w:tc>
        <w:tc>
          <w:tcPr>
            <w:tcW w:w="357" w:type="pct"/>
            <w:tcBorders>
              <w:top w:val="single" w:sz="4" w:space="0" w:color="auto"/>
            </w:tcBorders>
          </w:tcPr>
          <w:p w14:paraId="278D4488" w14:textId="77777777" w:rsidR="00E45705" w:rsidRPr="001B09E6" w:rsidRDefault="00E45705" w:rsidP="00E45705">
            <w:pPr>
              <w:pStyle w:val="TableCellText"/>
              <w:spacing w:before="0" w:after="0"/>
              <w:ind w:left="0" w:right="0"/>
              <w:jc w:val="center"/>
            </w:pPr>
            <w:r w:rsidRPr="001B09E6">
              <w:t>69.2</w:t>
            </w:r>
          </w:p>
        </w:tc>
        <w:tc>
          <w:tcPr>
            <w:tcW w:w="357" w:type="pct"/>
            <w:tcBorders>
              <w:top w:val="single" w:sz="4" w:space="0" w:color="auto"/>
            </w:tcBorders>
            <w:shd w:val="clear" w:color="auto" w:fill="auto"/>
            <w:noWrap/>
            <w:hideMark/>
          </w:tcPr>
          <w:p w14:paraId="718AD11F" w14:textId="77777777" w:rsidR="00E45705" w:rsidRPr="001B09E6" w:rsidRDefault="00E45705" w:rsidP="00E45705">
            <w:pPr>
              <w:pStyle w:val="TableCellText"/>
              <w:spacing w:before="0" w:after="0"/>
              <w:ind w:left="0" w:right="0"/>
              <w:jc w:val="center"/>
            </w:pPr>
            <w:r w:rsidRPr="001B09E6">
              <w:t>69.7</w:t>
            </w:r>
          </w:p>
        </w:tc>
        <w:tc>
          <w:tcPr>
            <w:tcW w:w="357" w:type="pct"/>
            <w:tcBorders>
              <w:top w:val="single" w:sz="4" w:space="0" w:color="auto"/>
            </w:tcBorders>
            <w:shd w:val="clear" w:color="auto" w:fill="auto"/>
            <w:noWrap/>
            <w:hideMark/>
          </w:tcPr>
          <w:p w14:paraId="7585898B" w14:textId="77777777" w:rsidR="00E45705" w:rsidRPr="001B09E6" w:rsidRDefault="00E45705" w:rsidP="00E45705">
            <w:pPr>
              <w:pStyle w:val="TableCellText"/>
              <w:spacing w:before="0" w:after="0"/>
              <w:ind w:left="0" w:right="0"/>
              <w:jc w:val="center"/>
            </w:pPr>
            <w:r w:rsidRPr="001B09E6">
              <w:t>69.6</w:t>
            </w:r>
          </w:p>
        </w:tc>
        <w:tc>
          <w:tcPr>
            <w:tcW w:w="357" w:type="pct"/>
            <w:tcBorders>
              <w:top w:val="single" w:sz="4" w:space="0" w:color="auto"/>
            </w:tcBorders>
            <w:shd w:val="clear" w:color="auto" w:fill="auto"/>
            <w:noWrap/>
            <w:hideMark/>
          </w:tcPr>
          <w:p w14:paraId="1EFAA04B" w14:textId="77777777" w:rsidR="00E45705" w:rsidRPr="001B09E6" w:rsidRDefault="00E45705" w:rsidP="00E45705">
            <w:pPr>
              <w:pStyle w:val="TableCellText"/>
              <w:spacing w:before="0" w:after="0"/>
              <w:ind w:left="0" w:right="0"/>
              <w:jc w:val="center"/>
            </w:pPr>
            <w:r w:rsidRPr="001B09E6">
              <w:t>69.6</w:t>
            </w:r>
          </w:p>
        </w:tc>
        <w:tc>
          <w:tcPr>
            <w:tcW w:w="357" w:type="pct"/>
            <w:tcBorders>
              <w:top w:val="single" w:sz="4" w:space="0" w:color="auto"/>
            </w:tcBorders>
            <w:shd w:val="clear" w:color="auto" w:fill="auto"/>
            <w:noWrap/>
            <w:hideMark/>
          </w:tcPr>
          <w:p w14:paraId="0FE42E66" w14:textId="77777777" w:rsidR="00E45705" w:rsidRPr="001B09E6" w:rsidRDefault="00E45705" w:rsidP="00E45705">
            <w:pPr>
              <w:pStyle w:val="TableCellText"/>
              <w:spacing w:before="0" w:after="0"/>
              <w:ind w:left="0" w:right="0"/>
              <w:jc w:val="center"/>
            </w:pPr>
            <w:r w:rsidRPr="001B09E6">
              <w:t>69.0</w:t>
            </w:r>
          </w:p>
        </w:tc>
        <w:tc>
          <w:tcPr>
            <w:tcW w:w="357" w:type="pct"/>
            <w:tcBorders>
              <w:top w:val="single" w:sz="4" w:space="0" w:color="auto"/>
            </w:tcBorders>
            <w:shd w:val="clear" w:color="auto" w:fill="auto"/>
            <w:noWrap/>
            <w:hideMark/>
          </w:tcPr>
          <w:p w14:paraId="3FD4A7AB" w14:textId="77777777" w:rsidR="00E45705" w:rsidRPr="001B09E6" w:rsidRDefault="00E45705" w:rsidP="00E45705">
            <w:pPr>
              <w:pStyle w:val="TableCellText"/>
              <w:spacing w:before="0" w:after="0"/>
              <w:ind w:left="0" w:right="0"/>
              <w:jc w:val="center"/>
            </w:pPr>
            <w:r w:rsidRPr="001B09E6">
              <w:t>68.8</w:t>
            </w:r>
          </w:p>
        </w:tc>
        <w:tc>
          <w:tcPr>
            <w:tcW w:w="357" w:type="pct"/>
            <w:tcBorders>
              <w:top w:val="single" w:sz="4" w:space="0" w:color="auto"/>
            </w:tcBorders>
            <w:shd w:val="clear" w:color="auto" w:fill="auto"/>
            <w:noWrap/>
            <w:hideMark/>
          </w:tcPr>
          <w:p w14:paraId="5C310FD4" w14:textId="77777777" w:rsidR="00E45705" w:rsidRPr="001B09E6" w:rsidRDefault="00E45705" w:rsidP="00E45705">
            <w:pPr>
              <w:pStyle w:val="TableCellText"/>
              <w:spacing w:before="0" w:after="0"/>
              <w:ind w:left="0" w:right="0"/>
              <w:jc w:val="center"/>
            </w:pPr>
            <w:r w:rsidRPr="001B09E6">
              <w:t>70.1</w:t>
            </w:r>
          </w:p>
        </w:tc>
        <w:tc>
          <w:tcPr>
            <w:tcW w:w="357" w:type="pct"/>
            <w:tcBorders>
              <w:top w:val="single" w:sz="4" w:space="0" w:color="auto"/>
            </w:tcBorders>
            <w:shd w:val="clear" w:color="auto" w:fill="auto"/>
            <w:noWrap/>
            <w:hideMark/>
          </w:tcPr>
          <w:p w14:paraId="61392782" w14:textId="77777777" w:rsidR="00E45705" w:rsidRPr="001B09E6" w:rsidRDefault="00E45705" w:rsidP="00E45705">
            <w:pPr>
              <w:pStyle w:val="TableCellText"/>
              <w:spacing w:before="0" w:after="0"/>
              <w:ind w:left="0" w:right="0"/>
              <w:jc w:val="center"/>
            </w:pPr>
            <w:r w:rsidRPr="001B09E6">
              <w:t>70.1</w:t>
            </w:r>
          </w:p>
        </w:tc>
        <w:tc>
          <w:tcPr>
            <w:tcW w:w="357" w:type="pct"/>
            <w:tcBorders>
              <w:top w:val="single" w:sz="4" w:space="0" w:color="auto"/>
            </w:tcBorders>
            <w:shd w:val="clear" w:color="auto" w:fill="auto"/>
            <w:noWrap/>
            <w:hideMark/>
          </w:tcPr>
          <w:p w14:paraId="68AD8ADA" w14:textId="77777777" w:rsidR="00E45705" w:rsidRPr="001B09E6" w:rsidRDefault="00E45705" w:rsidP="00E45705">
            <w:pPr>
              <w:pStyle w:val="TableCellText"/>
              <w:spacing w:before="0" w:after="0"/>
              <w:ind w:left="0" w:right="0"/>
              <w:jc w:val="center"/>
            </w:pPr>
            <w:r w:rsidRPr="001B09E6">
              <w:t>69.9</w:t>
            </w:r>
          </w:p>
        </w:tc>
        <w:tc>
          <w:tcPr>
            <w:tcW w:w="357" w:type="pct"/>
            <w:tcBorders>
              <w:top w:val="single" w:sz="4" w:space="0" w:color="auto"/>
            </w:tcBorders>
            <w:shd w:val="clear" w:color="auto" w:fill="auto"/>
            <w:noWrap/>
            <w:hideMark/>
          </w:tcPr>
          <w:p w14:paraId="64B4CB39" w14:textId="77777777" w:rsidR="00E45705" w:rsidRPr="001B09E6" w:rsidRDefault="00E45705" w:rsidP="00E45705">
            <w:pPr>
              <w:pStyle w:val="TableCellText"/>
              <w:spacing w:before="0" w:after="0"/>
              <w:ind w:left="0" w:right="0"/>
              <w:jc w:val="center"/>
            </w:pPr>
            <w:r w:rsidRPr="001B09E6">
              <w:t>69.5</w:t>
            </w:r>
          </w:p>
        </w:tc>
        <w:tc>
          <w:tcPr>
            <w:tcW w:w="357" w:type="pct"/>
            <w:tcBorders>
              <w:top w:val="single" w:sz="4" w:space="0" w:color="auto"/>
            </w:tcBorders>
            <w:shd w:val="clear" w:color="auto" w:fill="auto"/>
            <w:noWrap/>
            <w:hideMark/>
          </w:tcPr>
          <w:p w14:paraId="06E5377B" w14:textId="77777777" w:rsidR="00E45705" w:rsidRPr="001B09E6" w:rsidRDefault="00E45705" w:rsidP="00E45705">
            <w:pPr>
              <w:pStyle w:val="TableCellText"/>
              <w:spacing w:before="0" w:after="0"/>
              <w:ind w:left="0" w:right="0"/>
              <w:jc w:val="center"/>
            </w:pPr>
            <w:r w:rsidRPr="001B09E6">
              <w:t>70.2</w:t>
            </w:r>
          </w:p>
        </w:tc>
        <w:tc>
          <w:tcPr>
            <w:tcW w:w="357" w:type="pct"/>
            <w:tcBorders>
              <w:top w:val="single" w:sz="4" w:space="0" w:color="auto"/>
            </w:tcBorders>
            <w:shd w:val="clear" w:color="auto" w:fill="auto"/>
            <w:noWrap/>
            <w:hideMark/>
          </w:tcPr>
          <w:p w14:paraId="228E2122" w14:textId="77777777" w:rsidR="00E45705" w:rsidRPr="001B09E6" w:rsidRDefault="00E45705" w:rsidP="00E45705">
            <w:pPr>
              <w:pStyle w:val="TableCellText"/>
              <w:spacing w:before="0" w:after="0"/>
              <w:ind w:left="0" w:right="0"/>
              <w:jc w:val="center"/>
            </w:pPr>
            <w:r w:rsidRPr="001B09E6">
              <w:t>71.7</w:t>
            </w:r>
          </w:p>
        </w:tc>
        <w:tc>
          <w:tcPr>
            <w:tcW w:w="357" w:type="pct"/>
            <w:tcBorders>
              <w:top w:val="single" w:sz="4" w:space="0" w:color="auto"/>
            </w:tcBorders>
            <w:shd w:val="clear" w:color="auto" w:fill="auto"/>
            <w:noWrap/>
            <w:hideMark/>
          </w:tcPr>
          <w:p w14:paraId="4199D8B6" w14:textId="77777777" w:rsidR="00E45705" w:rsidRPr="001B09E6" w:rsidRDefault="00E45705" w:rsidP="00E45705">
            <w:pPr>
              <w:pStyle w:val="TableCellText"/>
              <w:spacing w:before="0" w:after="0"/>
              <w:ind w:left="0" w:right="0"/>
              <w:jc w:val="center"/>
            </w:pPr>
            <w:r w:rsidRPr="001B09E6">
              <w:t>73.4</w:t>
            </w:r>
          </w:p>
        </w:tc>
      </w:tr>
      <w:tr w:rsidR="00E45705" w:rsidRPr="001B09E6" w14:paraId="012D4C8A" w14:textId="77777777" w:rsidTr="00E45705">
        <w:trPr>
          <w:trHeight w:val="300"/>
        </w:trPr>
        <w:tc>
          <w:tcPr>
            <w:tcW w:w="357" w:type="pct"/>
          </w:tcPr>
          <w:p w14:paraId="2D537026" w14:textId="77777777" w:rsidR="00E45705" w:rsidRPr="001B09E6" w:rsidRDefault="00E45705" w:rsidP="00E45705">
            <w:pPr>
              <w:pStyle w:val="TableCellText"/>
              <w:spacing w:before="0" w:after="0"/>
              <w:ind w:left="0" w:right="0"/>
              <w:jc w:val="center"/>
            </w:pPr>
            <w:r w:rsidRPr="001B09E6">
              <w:t>20-24</w:t>
            </w:r>
          </w:p>
        </w:tc>
        <w:tc>
          <w:tcPr>
            <w:tcW w:w="357" w:type="pct"/>
          </w:tcPr>
          <w:p w14:paraId="750232B9" w14:textId="77777777" w:rsidR="00E45705" w:rsidRPr="001B09E6" w:rsidRDefault="00E45705" w:rsidP="00E45705">
            <w:pPr>
              <w:pStyle w:val="TableCellText"/>
              <w:spacing w:before="0" w:after="0"/>
              <w:ind w:left="0" w:right="0"/>
              <w:jc w:val="center"/>
            </w:pPr>
            <w:r w:rsidRPr="001B09E6">
              <w:t>20.8</w:t>
            </w:r>
          </w:p>
        </w:tc>
        <w:tc>
          <w:tcPr>
            <w:tcW w:w="357" w:type="pct"/>
            <w:shd w:val="clear" w:color="auto" w:fill="auto"/>
            <w:noWrap/>
            <w:hideMark/>
          </w:tcPr>
          <w:p w14:paraId="7060EA00" w14:textId="77777777" w:rsidR="00E45705" w:rsidRPr="001B09E6" w:rsidRDefault="00E45705" w:rsidP="00E45705">
            <w:pPr>
              <w:pStyle w:val="TableCellText"/>
              <w:spacing w:before="0" w:after="0"/>
              <w:ind w:left="0" w:right="0"/>
              <w:jc w:val="center"/>
            </w:pPr>
            <w:r w:rsidRPr="001B09E6">
              <w:t>21.9</w:t>
            </w:r>
          </w:p>
        </w:tc>
        <w:tc>
          <w:tcPr>
            <w:tcW w:w="357" w:type="pct"/>
            <w:shd w:val="clear" w:color="auto" w:fill="auto"/>
            <w:noWrap/>
            <w:hideMark/>
          </w:tcPr>
          <w:p w14:paraId="50FDF983" w14:textId="77777777" w:rsidR="00E45705" w:rsidRPr="001B09E6" w:rsidRDefault="00E45705" w:rsidP="00E45705">
            <w:pPr>
              <w:pStyle w:val="TableCellText"/>
              <w:spacing w:before="0" w:after="0"/>
              <w:ind w:left="0" w:right="0"/>
              <w:jc w:val="center"/>
            </w:pPr>
            <w:r w:rsidRPr="001B09E6">
              <w:t>24.9</w:t>
            </w:r>
          </w:p>
        </w:tc>
        <w:tc>
          <w:tcPr>
            <w:tcW w:w="357" w:type="pct"/>
            <w:shd w:val="clear" w:color="auto" w:fill="auto"/>
            <w:noWrap/>
            <w:hideMark/>
          </w:tcPr>
          <w:p w14:paraId="3A59E5A4" w14:textId="77777777" w:rsidR="00E45705" w:rsidRPr="001B09E6" w:rsidRDefault="00E45705" w:rsidP="00E45705">
            <w:pPr>
              <w:pStyle w:val="TableCellText"/>
              <w:spacing w:before="0" w:after="0"/>
              <w:ind w:left="0" w:right="0"/>
              <w:jc w:val="center"/>
            </w:pPr>
            <w:r w:rsidRPr="001B09E6">
              <w:t>25.2</w:t>
            </w:r>
          </w:p>
        </w:tc>
        <w:tc>
          <w:tcPr>
            <w:tcW w:w="357" w:type="pct"/>
            <w:shd w:val="clear" w:color="auto" w:fill="auto"/>
            <w:noWrap/>
            <w:hideMark/>
          </w:tcPr>
          <w:p w14:paraId="25CB9042" w14:textId="77777777" w:rsidR="00E45705" w:rsidRPr="001B09E6" w:rsidRDefault="00E45705" w:rsidP="00E45705">
            <w:pPr>
              <w:pStyle w:val="TableCellText"/>
              <w:spacing w:before="0" w:after="0"/>
              <w:ind w:left="0" w:right="0"/>
              <w:jc w:val="center"/>
            </w:pPr>
            <w:r w:rsidRPr="001B09E6">
              <w:t>25.2</w:t>
            </w:r>
          </w:p>
        </w:tc>
        <w:tc>
          <w:tcPr>
            <w:tcW w:w="357" w:type="pct"/>
            <w:shd w:val="clear" w:color="auto" w:fill="auto"/>
            <w:noWrap/>
            <w:hideMark/>
          </w:tcPr>
          <w:p w14:paraId="0D69F8FD" w14:textId="77777777" w:rsidR="00E45705" w:rsidRPr="001B09E6" w:rsidRDefault="00E45705" w:rsidP="00E45705">
            <w:pPr>
              <w:pStyle w:val="TableCellText"/>
              <w:spacing w:before="0" w:after="0"/>
              <w:ind w:left="0" w:right="0"/>
              <w:jc w:val="center"/>
            </w:pPr>
            <w:r w:rsidRPr="001B09E6">
              <w:t>26.1</w:t>
            </w:r>
          </w:p>
        </w:tc>
        <w:tc>
          <w:tcPr>
            <w:tcW w:w="357" w:type="pct"/>
            <w:shd w:val="clear" w:color="auto" w:fill="auto"/>
            <w:noWrap/>
            <w:hideMark/>
          </w:tcPr>
          <w:p w14:paraId="3581C08D" w14:textId="77777777" w:rsidR="00E45705" w:rsidRPr="001B09E6" w:rsidRDefault="00E45705" w:rsidP="00E45705">
            <w:pPr>
              <w:pStyle w:val="TableCellText"/>
              <w:spacing w:before="0" w:after="0"/>
              <w:ind w:left="0" w:right="0"/>
              <w:jc w:val="center"/>
            </w:pPr>
            <w:r w:rsidRPr="001B09E6">
              <w:t>26.1</w:t>
            </w:r>
          </w:p>
        </w:tc>
        <w:tc>
          <w:tcPr>
            <w:tcW w:w="357" w:type="pct"/>
            <w:shd w:val="clear" w:color="auto" w:fill="auto"/>
            <w:noWrap/>
            <w:hideMark/>
          </w:tcPr>
          <w:p w14:paraId="4DC4B55E" w14:textId="77777777" w:rsidR="00E45705" w:rsidRPr="001B09E6" w:rsidRDefault="00E45705" w:rsidP="00E45705">
            <w:pPr>
              <w:pStyle w:val="TableCellText"/>
              <w:spacing w:before="0" w:after="0"/>
              <w:ind w:left="0" w:right="0"/>
              <w:jc w:val="center"/>
            </w:pPr>
            <w:r w:rsidRPr="001B09E6">
              <w:t>26.5</w:t>
            </w:r>
          </w:p>
        </w:tc>
        <w:tc>
          <w:tcPr>
            <w:tcW w:w="357" w:type="pct"/>
            <w:shd w:val="clear" w:color="auto" w:fill="auto"/>
            <w:noWrap/>
            <w:hideMark/>
          </w:tcPr>
          <w:p w14:paraId="0E6EB051" w14:textId="77777777" w:rsidR="00E45705" w:rsidRPr="001B09E6" w:rsidRDefault="00E45705" w:rsidP="00E45705">
            <w:pPr>
              <w:pStyle w:val="TableCellText"/>
              <w:spacing w:before="0" w:after="0"/>
              <w:ind w:left="0" w:right="0"/>
              <w:jc w:val="center"/>
            </w:pPr>
            <w:r w:rsidRPr="001B09E6">
              <w:t>28.4</w:t>
            </w:r>
          </w:p>
        </w:tc>
        <w:tc>
          <w:tcPr>
            <w:tcW w:w="357" w:type="pct"/>
            <w:shd w:val="clear" w:color="auto" w:fill="auto"/>
            <w:noWrap/>
            <w:hideMark/>
          </w:tcPr>
          <w:p w14:paraId="476ECCBF" w14:textId="77777777" w:rsidR="00E45705" w:rsidRPr="001B09E6" w:rsidRDefault="00E45705" w:rsidP="00E45705">
            <w:pPr>
              <w:pStyle w:val="TableCellText"/>
              <w:spacing w:before="0" w:after="0"/>
              <w:ind w:left="0" w:right="0"/>
              <w:jc w:val="center"/>
            </w:pPr>
            <w:r w:rsidRPr="001B09E6">
              <w:t>29.1</w:t>
            </w:r>
          </w:p>
        </w:tc>
        <w:tc>
          <w:tcPr>
            <w:tcW w:w="357" w:type="pct"/>
            <w:shd w:val="clear" w:color="auto" w:fill="auto"/>
            <w:noWrap/>
            <w:hideMark/>
          </w:tcPr>
          <w:p w14:paraId="00B19382" w14:textId="77777777" w:rsidR="00E45705" w:rsidRPr="001B09E6" w:rsidRDefault="00E45705" w:rsidP="00E45705">
            <w:pPr>
              <w:pStyle w:val="TableCellText"/>
              <w:spacing w:before="0" w:after="0"/>
              <w:ind w:left="0" w:right="0"/>
              <w:jc w:val="center"/>
            </w:pPr>
            <w:r w:rsidRPr="001B09E6">
              <w:t>29.5</w:t>
            </w:r>
          </w:p>
        </w:tc>
        <w:tc>
          <w:tcPr>
            <w:tcW w:w="357" w:type="pct"/>
            <w:shd w:val="clear" w:color="auto" w:fill="auto"/>
            <w:noWrap/>
            <w:hideMark/>
          </w:tcPr>
          <w:p w14:paraId="377486B8" w14:textId="77777777" w:rsidR="00E45705" w:rsidRPr="001B09E6" w:rsidRDefault="00E45705" w:rsidP="00E45705">
            <w:pPr>
              <w:pStyle w:val="TableCellText"/>
              <w:spacing w:before="0" w:after="0"/>
              <w:ind w:left="0" w:right="0"/>
              <w:jc w:val="center"/>
            </w:pPr>
            <w:r w:rsidRPr="001B09E6">
              <w:t>29.2</w:t>
            </w:r>
          </w:p>
        </w:tc>
        <w:tc>
          <w:tcPr>
            <w:tcW w:w="357" w:type="pct"/>
            <w:shd w:val="clear" w:color="auto" w:fill="auto"/>
            <w:noWrap/>
            <w:hideMark/>
          </w:tcPr>
          <w:p w14:paraId="0C6105EF" w14:textId="77777777" w:rsidR="00E45705" w:rsidRPr="001B09E6" w:rsidRDefault="00E45705" w:rsidP="00E45705">
            <w:pPr>
              <w:pStyle w:val="TableCellText"/>
              <w:spacing w:before="0" w:after="0"/>
              <w:ind w:left="0" w:right="0"/>
              <w:jc w:val="center"/>
            </w:pPr>
            <w:r w:rsidRPr="001B09E6">
              <w:t>31.3</w:t>
            </w:r>
          </w:p>
        </w:tc>
      </w:tr>
    </w:tbl>
    <w:p w14:paraId="41DDEBC7" w14:textId="77777777" w:rsidR="00E45705" w:rsidRPr="001B09E6" w:rsidRDefault="00E45705" w:rsidP="00E45705">
      <w:pPr>
        <w:pStyle w:val="Tablenote"/>
      </w:pPr>
      <w:r w:rsidRPr="001B09E6">
        <w:t xml:space="preserve">Source: Labour force, Australia, Detailed Quarterly, 6291.0.55.001  </w:t>
      </w:r>
    </w:p>
    <w:p w14:paraId="79AAFA1F" w14:textId="77777777" w:rsidR="00E45705" w:rsidRPr="001B09E6" w:rsidRDefault="00E45705" w:rsidP="00E45705">
      <w:pPr>
        <w:pStyle w:val="Heading2NoNumbering"/>
      </w:pPr>
      <w:bookmarkStart w:id="136" w:name="_Toc333918978"/>
      <w:bookmarkStart w:id="137" w:name="_Toc219347267"/>
      <w:r w:rsidRPr="001B09E6">
        <w:t>Participation- by sector</w:t>
      </w:r>
      <w:bookmarkEnd w:id="136"/>
      <w:bookmarkEnd w:id="137"/>
    </w:p>
    <w:p w14:paraId="2F4A71D9" w14:textId="77777777" w:rsidR="00E45705" w:rsidRPr="001B09E6" w:rsidRDefault="00E45705" w:rsidP="00E45705">
      <w:pPr>
        <w:pStyle w:val="Heading3NoNumbering"/>
      </w:pPr>
      <w:bookmarkStart w:id="138" w:name="_Toc333918979"/>
      <w:r w:rsidRPr="001B09E6">
        <w:t>Table A2.2: Total full-time secondary participation</w:t>
      </w:r>
      <w:bookmarkEnd w:id="138"/>
    </w:p>
    <w:p w14:paraId="55FE4B9A" w14:textId="77777777" w:rsidR="00E45705" w:rsidRPr="001B09E6" w:rsidRDefault="00E45705" w:rsidP="00E45705">
      <w:pPr>
        <w:pStyle w:val="TableHeading"/>
        <w:spacing w:before="112"/>
      </w:pPr>
      <w:r w:rsidRPr="001B09E6">
        <w:t>PERCENTAGE OF PERSONS AGED 15-19 YEARS ENROLLED FULL-TIME IN SECONDARY SCHOOL, 2000-2011</w:t>
      </w:r>
    </w:p>
    <w:tbl>
      <w:tblPr>
        <w:tblW w:w="5000" w:type="pct"/>
        <w:tblBorders>
          <w:top w:val="single" w:sz="4" w:space="0" w:color="auto"/>
          <w:bottom w:val="single" w:sz="4" w:space="0" w:color="auto"/>
        </w:tblBorders>
        <w:tblLook w:val="04A0" w:firstRow="1" w:lastRow="0" w:firstColumn="1" w:lastColumn="0" w:noHBand="0" w:noVBand="1"/>
        <w:tblCaption w:val="Table A2.2: Total full-time secondary participation PERCENTAGE OF PERSONS AGED 15-19 YEARS ENROLLED FULL-TIME IN SECONDARY SCHOOL, 2000-2011 "/>
        <w:tblDescription w:val="Table A2.2: Total full-time secondary participation&#10;PERCENTAGE OF PERSONS AGED 15-19 YEARS ENROLLED FULL-TIME IN SECONDARY SCHOOL, 2000-2011&#10;"/>
      </w:tblPr>
      <w:tblGrid>
        <w:gridCol w:w="1115"/>
        <w:gridCol w:w="1126"/>
        <w:gridCol w:w="1126"/>
        <w:gridCol w:w="1126"/>
        <w:gridCol w:w="1125"/>
        <w:gridCol w:w="1125"/>
        <w:gridCol w:w="1125"/>
        <w:gridCol w:w="1125"/>
        <w:gridCol w:w="1125"/>
        <w:gridCol w:w="1125"/>
        <w:gridCol w:w="1125"/>
        <w:gridCol w:w="1125"/>
        <w:gridCol w:w="1123"/>
      </w:tblGrid>
      <w:tr w:rsidR="00E45705" w:rsidRPr="001B09E6" w14:paraId="10CDFF73" w14:textId="77777777" w:rsidTr="00E45705">
        <w:trPr>
          <w:trHeight w:val="300"/>
        </w:trPr>
        <w:tc>
          <w:tcPr>
            <w:tcW w:w="381" w:type="pct"/>
            <w:tcBorders>
              <w:top w:val="single" w:sz="4" w:space="0" w:color="auto"/>
              <w:bottom w:val="single" w:sz="4" w:space="0" w:color="auto"/>
            </w:tcBorders>
            <w:shd w:val="clear" w:color="auto" w:fill="auto"/>
            <w:noWrap/>
            <w:hideMark/>
          </w:tcPr>
          <w:p w14:paraId="17A72E83" w14:textId="77777777" w:rsidR="00E45705" w:rsidRPr="001B09E6" w:rsidRDefault="00E45705" w:rsidP="00E45705">
            <w:pPr>
              <w:pStyle w:val="TableColumnHeading"/>
              <w:spacing w:before="0" w:after="0"/>
            </w:pPr>
            <w:r w:rsidRPr="001B09E6">
              <w:t>Age</w:t>
            </w:r>
          </w:p>
        </w:tc>
        <w:tc>
          <w:tcPr>
            <w:tcW w:w="385" w:type="pct"/>
            <w:tcBorders>
              <w:top w:val="single" w:sz="4" w:space="0" w:color="auto"/>
              <w:bottom w:val="single" w:sz="4" w:space="0" w:color="auto"/>
            </w:tcBorders>
            <w:shd w:val="clear" w:color="auto" w:fill="auto"/>
            <w:noWrap/>
            <w:hideMark/>
          </w:tcPr>
          <w:p w14:paraId="03B009B9" w14:textId="77777777" w:rsidR="00E45705" w:rsidRPr="001B09E6" w:rsidRDefault="00E45705" w:rsidP="00E45705">
            <w:pPr>
              <w:pStyle w:val="TableColumnHeading"/>
              <w:spacing w:before="0" w:after="0"/>
            </w:pPr>
            <w:r w:rsidRPr="001B09E6">
              <w:t>2000</w:t>
            </w:r>
          </w:p>
        </w:tc>
        <w:tc>
          <w:tcPr>
            <w:tcW w:w="385" w:type="pct"/>
            <w:tcBorders>
              <w:top w:val="single" w:sz="4" w:space="0" w:color="auto"/>
              <w:bottom w:val="single" w:sz="4" w:space="0" w:color="auto"/>
            </w:tcBorders>
            <w:shd w:val="clear" w:color="auto" w:fill="auto"/>
            <w:noWrap/>
            <w:hideMark/>
          </w:tcPr>
          <w:p w14:paraId="13719F2E" w14:textId="77777777" w:rsidR="00E45705" w:rsidRPr="001B09E6" w:rsidRDefault="00E45705" w:rsidP="00E45705">
            <w:pPr>
              <w:pStyle w:val="TableColumnHeading"/>
              <w:spacing w:before="0" w:after="0"/>
            </w:pPr>
            <w:r w:rsidRPr="001B09E6">
              <w:t>2001</w:t>
            </w:r>
          </w:p>
        </w:tc>
        <w:tc>
          <w:tcPr>
            <w:tcW w:w="385" w:type="pct"/>
            <w:tcBorders>
              <w:top w:val="single" w:sz="4" w:space="0" w:color="auto"/>
              <w:bottom w:val="single" w:sz="4" w:space="0" w:color="auto"/>
            </w:tcBorders>
            <w:shd w:val="clear" w:color="auto" w:fill="auto"/>
            <w:noWrap/>
            <w:hideMark/>
          </w:tcPr>
          <w:p w14:paraId="08F45831" w14:textId="77777777" w:rsidR="00E45705" w:rsidRPr="001B09E6" w:rsidRDefault="00E45705" w:rsidP="00E45705">
            <w:pPr>
              <w:pStyle w:val="TableColumnHeading"/>
              <w:spacing w:before="0" w:after="0"/>
            </w:pPr>
            <w:r w:rsidRPr="001B09E6">
              <w:t>2002</w:t>
            </w:r>
          </w:p>
        </w:tc>
        <w:tc>
          <w:tcPr>
            <w:tcW w:w="385" w:type="pct"/>
            <w:tcBorders>
              <w:top w:val="single" w:sz="4" w:space="0" w:color="auto"/>
              <w:bottom w:val="single" w:sz="4" w:space="0" w:color="auto"/>
            </w:tcBorders>
            <w:shd w:val="clear" w:color="auto" w:fill="auto"/>
            <w:noWrap/>
            <w:hideMark/>
          </w:tcPr>
          <w:p w14:paraId="20E81749" w14:textId="77777777" w:rsidR="00E45705" w:rsidRPr="001B09E6" w:rsidRDefault="00E45705" w:rsidP="00E45705">
            <w:pPr>
              <w:pStyle w:val="TableColumnHeading"/>
              <w:spacing w:before="0" w:after="0"/>
            </w:pPr>
            <w:r w:rsidRPr="001B09E6">
              <w:t>2003</w:t>
            </w:r>
          </w:p>
        </w:tc>
        <w:tc>
          <w:tcPr>
            <w:tcW w:w="385" w:type="pct"/>
            <w:tcBorders>
              <w:top w:val="single" w:sz="4" w:space="0" w:color="auto"/>
              <w:bottom w:val="single" w:sz="4" w:space="0" w:color="auto"/>
            </w:tcBorders>
            <w:shd w:val="clear" w:color="auto" w:fill="auto"/>
            <w:noWrap/>
            <w:hideMark/>
          </w:tcPr>
          <w:p w14:paraId="02D209F0" w14:textId="77777777" w:rsidR="00E45705" w:rsidRPr="001B09E6" w:rsidRDefault="00E45705" w:rsidP="00E45705">
            <w:pPr>
              <w:pStyle w:val="TableColumnHeading"/>
              <w:spacing w:before="0" w:after="0"/>
            </w:pPr>
            <w:r w:rsidRPr="001B09E6">
              <w:t>2004</w:t>
            </w:r>
          </w:p>
        </w:tc>
        <w:tc>
          <w:tcPr>
            <w:tcW w:w="385" w:type="pct"/>
            <w:tcBorders>
              <w:top w:val="single" w:sz="4" w:space="0" w:color="auto"/>
              <w:bottom w:val="single" w:sz="4" w:space="0" w:color="auto"/>
            </w:tcBorders>
            <w:shd w:val="clear" w:color="auto" w:fill="auto"/>
            <w:noWrap/>
            <w:hideMark/>
          </w:tcPr>
          <w:p w14:paraId="4ED3FB6D" w14:textId="77777777" w:rsidR="00E45705" w:rsidRPr="001B09E6" w:rsidRDefault="00E45705" w:rsidP="00E45705">
            <w:pPr>
              <w:pStyle w:val="TableColumnHeading"/>
              <w:spacing w:before="0" w:after="0"/>
            </w:pPr>
            <w:r w:rsidRPr="001B09E6">
              <w:t>2005</w:t>
            </w:r>
          </w:p>
        </w:tc>
        <w:tc>
          <w:tcPr>
            <w:tcW w:w="385" w:type="pct"/>
            <w:tcBorders>
              <w:top w:val="single" w:sz="4" w:space="0" w:color="auto"/>
              <w:bottom w:val="single" w:sz="4" w:space="0" w:color="auto"/>
            </w:tcBorders>
            <w:shd w:val="clear" w:color="auto" w:fill="auto"/>
            <w:noWrap/>
            <w:hideMark/>
          </w:tcPr>
          <w:p w14:paraId="35616A21" w14:textId="77777777" w:rsidR="00E45705" w:rsidRPr="001B09E6" w:rsidRDefault="00E45705" w:rsidP="00E45705">
            <w:pPr>
              <w:pStyle w:val="TableColumnHeading"/>
              <w:spacing w:before="0" w:after="0"/>
            </w:pPr>
            <w:r w:rsidRPr="001B09E6">
              <w:t>2006</w:t>
            </w:r>
          </w:p>
        </w:tc>
        <w:tc>
          <w:tcPr>
            <w:tcW w:w="385" w:type="pct"/>
            <w:tcBorders>
              <w:top w:val="single" w:sz="4" w:space="0" w:color="auto"/>
              <w:bottom w:val="single" w:sz="4" w:space="0" w:color="auto"/>
            </w:tcBorders>
            <w:shd w:val="clear" w:color="auto" w:fill="auto"/>
            <w:noWrap/>
            <w:hideMark/>
          </w:tcPr>
          <w:p w14:paraId="7531432F" w14:textId="77777777" w:rsidR="00E45705" w:rsidRPr="001B09E6" w:rsidRDefault="00E45705" w:rsidP="00E45705">
            <w:pPr>
              <w:pStyle w:val="TableColumnHeading"/>
              <w:spacing w:before="0" w:after="0"/>
            </w:pPr>
            <w:r w:rsidRPr="001B09E6">
              <w:t>2007</w:t>
            </w:r>
          </w:p>
        </w:tc>
        <w:tc>
          <w:tcPr>
            <w:tcW w:w="385" w:type="pct"/>
            <w:tcBorders>
              <w:top w:val="single" w:sz="4" w:space="0" w:color="auto"/>
              <w:bottom w:val="single" w:sz="4" w:space="0" w:color="auto"/>
            </w:tcBorders>
            <w:shd w:val="clear" w:color="auto" w:fill="auto"/>
            <w:noWrap/>
            <w:hideMark/>
          </w:tcPr>
          <w:p w14:paraId="7DEB620C" w14:textId="77777777" w:rsidR="00E45705" w:rsidRPr="001B09E6" w:rsidRDefault="00E45705" w:rsidP="00E45705">
            <w:pPr>
              <w:pStyle w:val="TableColumnHeading"/>
              <w:spacing w:before="0" w:after="0"/>
            </w:pPr>
            <w:r w:rsidRPr="001B09E6">
              <w:t>2008</w:t>
            </w:r>
          </w:p>
        </w:tc>
        <w:tc>
          <w:tcPr>
            <w:tcW w:w="385" w:type="pct"/>
            <w:tcBorders>
              <w:top w:val="single" w:sz="4" w:space="0" w:color="auto"/>
              <w:bottom w:val="single" w:sz="4" w:space="0" w:color="auto"/>
            </w:tcBorders>
            <w:shd w:val="clear" w:color="auto" w:fill="auto"/>
            <w:noWrap/>
            <w:hideMark/>
          </w:tcPr>
          <w:p w14:paraId="4A1D6FDA" w14:textId="77777777" w:rsidR="00E45705" w:rsidRPr="001B09E6" w:rsidRDefault="00E45705" w:rsidP="00E45705">
            <w:pPr>
              <w:pStyle w:val="TableColumnHeading"/>
              <w:spacing w:before="0" w:after="0"/>
            </w:pPr>
            <w:r w:rsidRPr="001B09E6">
              <w:t>2009</w:t>
            </w:r>
          </w:p>
        </w:tc>
        <w:tc>
          <w:tcPr>
            <w:tcW w:w="385" w:type="pct"/>
            <w:tcBorders>
              <w:top w:val="single" w:sz="4" w:space="0" w:color="auto"/>
              <w:bottom w:val="single" w:sz="4" w:space="0" w:color="auto"/>
            </w:tcBorders>
            <w:shd w:val="clear" w:color="auto" w:fill="auto"/>
            <w:noWrap/>
            <w:hideMark/>
          </w:tcPr>
          <w:p w14:paraId="6658E405" w14:textId="77777777" w:rsidR="00E45705" w:rsidRPr="001B09E6" w:rsidRDefault="00E45705" w:rsidP="00E45705">
            <w:pPr>
              <w:pStyle w:val="TableColumnHeading"/>
              <w:spacing w:before="0" w:after="0"/>
            </w:pPr>
            <w:r w:rsidRPr="001B09E6">
              <w:t>2010</w:t>
            </w:r>
          </w:p>
        </w:tc>
        <w:tc>
          <w:tcPr>
            <w:tcW w:w="384" w:type="pct"/>
            <w:tcBorders>
              <w:top w:val="single" w:sz="4" w:space="0" w:color="auto"/>
              <w:bottom w:val="single" w:sz="4" w:space="0" w:color="auto"/>
            </w:tcBorders>
            <w:shd w:val="clear" w:color="auto" w:fill="auto"/>
            <w:noWrap/>
            <w:hideMark/>
          </w:tcPr>
          <w:p w14:paraId="7B308E3F" w14:textId="77777777" w:rsidR="00E45705" w:rsidRPr="001B09E6" w:rsidRDefault="00E45705" w:rsidP="00E45705">
            <w:pPr>
              <w:pStyle w:val="TableColumnHeading"/>
              <w:spacing w:before="0" w:after="0"/>
            </w:pPr>
            <w:r w:rsidRPr="001B09E6">
              <w:t>2011</w:t>
            </w:r>
          </w:p>
        </w:tc>
      </w:tr>
      <w:tr w:rsidR="00E45705" w:rsidRPr="001B09E6" w14:paraId="535B6895" w14:textId="77777777" w:rsidTr="00E45705">
        <w:trPr>
          <w:trHeight w:val="300"/>
        </w:trPr>
        <w:tc>
          <w:tcPr>
            <w:tcW w:w="381" w:type="pct"/>
            <w:tcBorders>
              <w:top w:val="single" w:sz="4" w:space="0" w:color="auto"/>
            </w:tcBorders>
            <w:shd w:val="clear" w:color="auto" w:fill="auto"/>
            <w:noWrap/>
            <w:hideMark/>
          </w:tcPr>
          <w:p w14:paraId="49CD9C4B" w14:textId="77777777" w:rsidR="00E45705" w:rsidRPr="001B09E6" w:rsidRDefault="00E45705" w:rsidP="00E45705">
            <w:pPr>
              <w:pStyle w:val="TableCellText"/>
              <w:spacing w:before="0" w:after="0"/>
            </w:pPr>
            <w:r w:rsidRPr="001B09E6">
              <w:t>15</w:t>
            </w:r>
          </w:p>
        </w:tc>
        <w:tc>
          <w:tcPr>
            <w:tcW w:w="385" w:type="pct"/>
            <w:tcBorders>
              <w:top w:val="single" w:sz="4" w:space="0" w:color="auto"/>
            </w:tcBorders>
            <w:shd w:val="clear" w:color="auto" w:fill="auto"/>
            <w:noWrap/>
            <w:hideMark/>
          </w:tcPr>
          <w:p w14:paraId="6FF1C7F4" w14:textId="77777777" w:rsidR="00E45705" w:rsidRPr="001B09E6" w:rsidRDefault="00E45705" w:rsidP="00E45705">
            <w:pPr>
              <w:pStyle w:val="TableCellText"/>
              <w:spacing w:before="0" w:after="0"/>
            </w:pPr>
            <w:r w:rsidRPr="001B09E6">
              <w:t>92.8</w:t>
            </w:r>
          </w:p>
        </w:tc>
        <w:tc>
          <w:tcPr>
            <w:tcW w:w="385" w:type="pct"/>
            <w:tcBorders>
              <w:top w:val="single" w:sz="4" w:space="0" w:color="auto"/>
            </w:tcBorders>
            <w:shd w:val="clear" w:color="auto" w:fill="auto"/>
            <w:noWrap/>
            <w:hideMark/>
          </w:tcPr>
          <w:p w14:paraId="2990CC42" w14:textId="77777777" w:rsidR="00E45705" w:rsidRPr="001B09E6" w:rsidRDefault="00E45705" w:rsidP="00E45705">
            <w:pPr>
              <w:pStyle w:val="TableCellText"/>
              <w:spacing w:before="0" w:after="0"/>
            </w:pPr>
            <w:r w:rsidRPr="001B09E6">
              <w:t>92.1</w:t>
            </w:r>
          </w:p>
        </w:tc>
        <w:tc>
          <w:tcPr>
            <w:tcW w:w="385" w:type="pct"/>
            <w:tcBorders>
              <w:top w:val="single" w:sz="4" w:space="0" w:color="auto"/>
            </w:tcBorders>
            <w:shd w:val="clear" w:color="auto" w:fill="auto"/>
            <w:noWrap/>
            <w:hideMark/>
          </w:tcPr>
          <w:p w14:paraId="32F8DA1E" w14:textId="77777777" w:rsidR="00E45705" w:rsidRPr="001B09E6" w:rsidRDefault="00E45705" w:rsidP="00E45705">
            <w:pPr>
              <w:pStyle w:val="TableCellText"/>
              <w:spacing w:before="0" w:after="0"/>
            </w:pPr>
            <w:r w:rsidRPr="001B09E6">
              <w:t>92.7</w:t>
            </w:r>
          </w:p>
        </w:tc>
        <w:tc>
          <w:tcPr>
            <w:tcW w:w="385" w:type="pct"/>
            <w:tcBorders>
              <w:top w:val="single" w:sz="4" w:space="0" w:color="auto"/>
            </w:tcBorders>
            <w:shd w:val="clear" w:color="auto" w:fill="auto"/>
            <w:noWrap/>
            <w:hideMark/>
          </w:tcPr>
          <w:p w14:paraId="0FD47815" w14:textId="77777777" w:rsidR="00E45705" w:rsidRPr="001B09E6" w:rsidRDefault="00E45705" w:rsidP="00E45705">
            <w:pPr>
              <w:pStyle w:val="TableCellText"/>
              <w:spacing w:before="0" w:after="0"/>
            </w:pPr>
            <w:r w:rsidRPr="001B09E6">
              <w:t>93.2</w:t>
            </w:r>
          </w:p>
        </w:tc>
        <w:tc>
          <w:tcPr>
            <w:tcW w:w="385" w:type="pct"/>
            <w:tcBorders>
              <w:top w:val="single" w:sz="4" w:space="0" w:color="auto"/>
            </w:tcBorders>
            <w:shd w:val="clear" w:color="auto" w:fill="auto"/>
            <w:noWrap/>
            <w:hideMark/>
          </w:tcPr>
          <w:p w14:paraId="650F8688" w14:textId="77777777" w:rsidR="00E45705" w:rsidRPr="001B09E6" w:rsidRDefault="00E45705" w:rsidP="00E45705">
            <w:pPr>
              <w:pStyle w:val="TableCellText"/>
              <w:spacing w:before="0" w:after="0"/>
            </w:pPr>
            <w:r w:rsidRPr="001B09E6">
              <w:t>93.2</w:t>
            </w:r>
          </w:p>
        </w:tc>
        <w:tc>
          <w:tcPr>
            <w:tcW w:w="385" w:type="pct"/>
            <w:tcBorders>
              <w:top w:val="single" w:sz="4" w:space="0" w:color="auto"/>
            </w:tcBorders>
            <w:shd w:val="clear" w:color="auto" w:fill="auto"/>
            <w:noWrap/>
            <w:hideMark/>
          </w:tcPr>
          <w:p w14:paraId="1FA9057F" w14:textId="77777777" w:rsidR="00E45705" w:rsidRPr="001B09E6" w:rsidRDefault="00E45705" w:rsidP="00E45705">
            <w:pPr>
              <w:pStyle w:val="TableCellText"/>
              <w:spacing w:before="0" w:after="0"/>
            </w:pPr>
            <w:r w:rsidRPr="001B09E6">
              <w:t>93.4</w:t>
            </w:r>
          </w:p>
        </w:tc>
        <w:tc>
          <w:tcPr>
            <w:tcW w:w="385" w:type="pct"/>
            <w:tcBorders>
              <w:top w:val="single" w:sz="4" w:space="0" w:color="auto"/>
            </w:tcBorders>
            <w:shd w:val="clear" w:color="auto" w:fill="auto"/>
            <w:noWrap/>
            <w:hideMark/>
          </w:tcPr>
          <w:p w14:paraId="324496CE" w14:textId="77777777" w:rsidR="00E45705" w:rsidRPr="001B09E6" w:rsidRDefault="00E45705" w:rsidP="00E45705">
            <w:pPr>
              <w:pStyle w:val="TableCellText"/>
              <w:spacing w:before="0" w:after="0"/>
            </w:pPr>
            <w:r w:rsidRPr="001B09E6">
              <w:t>93.9</w:t>
            </w:r>
          </w:p>
        </w:tc>
        <w:tc>
          <w:tcPr>
            <w:tcW w:w="385" w:type="pct"/>
            <w:tcBorders>
              <w:top w:val="single" w:sz="4" w:space="0" w:color="auto"/>
            </w:tcBorders>
            <w:shd w:val="clear" w:color="auto" w:fill="auto"/>
            <w:noWrap/>
            <w:hideMark/>
          </w:tcPr>
          <w:p w14:paraId="0C5A231F" w14:textId="77777777" w:rsidR="00E45705" w:rsidRPr="001B09E6" w:rsidRDefault="00E45705" w:rsidP="00E45705">
            <w:pPr>
              <w:pStyle w:val="TableCellText"/>
              <w:spacing w:before="0" w:after="0"/>
            </w:pPr>
            <w:r w:rsidRPr="001B09E6">
              <w:t>94.1</w:t>
            </w:r>
          </w:p>
        </w:tc>
        <w:tc>
          <w:tcPr>
            <w:tcW w:w="385" w:type="pct"/>
            <w:tcBorders>
              <w:top w:val="single" w:sz="4" w:space="0" w:color="auto"/>
            </w:tcBorders>
            <w:shd w:val="clear" w:color="auto" w:fill="auto"/>
            <w:noWrap/>
            <w:hideMark/>
          </w:tcPr>
          <w:p w14:paraId="79021E45" w14:textId="77777777" w:rsidR="00E45705" w:rsidRPr="001B09E6" w:rsidRDefault="00E45705" w:rsidP="00E45705">
            <w:pPr>
              <w:pStyle w:val="TableCellText"/>
              <w:spacing w:before="0" w:after="0"/>
            </w:pPr>
            <w:r w:rsidRPr="001B09E6">
              <w:t>94.7</w:t>
            </w:r>
          </w:p>
        </w:tc>
        <w:tc>
          <w:tcPr>
            <w:tcW w:w="385" w:type="pct"/>
            <w:tcBorders>
              <w:top w:val="single" w:sz="4" w:space="0" w:color="auto"/>
            </w:tcBorders>
            <w:shd w:val="clear" w:color="auto" w:fill="auto"/>
            <w:noWrap/>
            <w:hideMark/>
          </w:tcPr>
          <w:p w14:paraId="61503E3E" w14:textId="77777777" w:rsidR="00E45705" w:rsidRPr="001B09E6" w:rsidRDefault="00E45705" w:rsidP="00E45705">
            <w:pPr>
              <w:pStyle w:val="TableCellText"/>
              <w:spacing w:before="0" w:after="0"/>
            </w:pPr>
            <w:r w:rsidRPr="001B09E6">
              <w:t>95.0</w:t>
            </w:r>
          </w:p>
        </w:tc>
        <w:tc>
          <w:tcPr>
            <w:tcW w:w="385" w:type="pct"/>
            <w:tcBorders>
              <w:top w:val="single" w:sz="4" w:space="0" w:color="auto"/>
            </w:tcBorders>
            <w:shd w:val="clear" w:color="auto" w:fill="auto"/>
            <w:noWrap/>
            <w:hideMark/>
          </w:tcPr>
          <w:p w14:paraId="5E70B00E" w14:textId="77777777" w:rsidR="00E45705" w:rsidRPr="001B09E6" w:rsidRDefault="00E45705" w:rsidP="00E45705">
            <w:pPr>
              <w:pStyle w:val="TableCellText"/>
              <w:spacing w:before="0" w:after="0"/>
            </w:pPr>
            <w:r w:rsidRPr="001B09E6">
              <w:t>95.7</w:t>
            </w:r>
          </w:p>
        </w:tc>
        <w:tc>
          <w:tcPr>
            <w:tcW w:w="384" w:type="pct"/>
            <w:tcBorders>
              <w:top w:val="single" w:sz="4" w:space="0" w:color="auto"/>
            </w:tcBorders>
            <w:shd w:val="clear" w:color="auto" w:fill="auto"/>
            <w:noWrap/>
            <w:hideMark/>
          </w:tcPr>
          <w:p w14:paraId="241EF9A1" w14:textId="77777777" w:rsidR="00E45705" w:rsidRPr="001B09E6" w:rsidRDefault="00E45705" w:rsidP="00E45705">
            <w:pPr>
              <w:pStyle w:val="TableCellText"/>
              <w:spacing w:before="0" w:after="0"/>
            </w:pPr>
            <w:r w:rsidRPr="001B09E6">
              <w:t>96.1</w:t>
            </w:r>
          </w:p>
        </w:tc>
      </w:tr>
      <w:tr w:rsidR="00E45705" w:rsidRPr="001B09E6" w14:paraId="2DE804AB" w14:textId="77777777" w:rsidTr="00E45705">
        <w:trPr>
          <w:trHeight w:val="300"/>
        </w:trPr>
        <w:tc>
          <w:tcPr>
            <w:tcW w:w="381" w:type="pct"/>
            <w:shd w:val="clear" w:color="auto" w:fill="auto"/>
            <w:noWrap/>
            <w:hideMark/>
          </w:tcPr>
          <w:p w14:paraId="74C806D3" w14:textId="77777777" w:rsidR="00E45705" w:rsidRPr="001B09E6" w:rsidRDefault="00E45705" w:rsidP="00E45705">
            <w:pPr>
              <w:pStyle w:val="TableCellText"/>
              <w:spacing w:before="0" w:after="0"/>
            </w:pPr>
            <w:r w:rsidRPr="001B09E6">
              <w:t>16</w:t>
            </w:r>
          </w:p>
        </w:tc>
        <w:tc>
          <w:tcPr>
            <w:tcW w:w="385" w:type="pct"/>
            <w:shd w:val="clear" w:color="auto" w:fill="auto"/>
            <w:noWrap/>
            <w:hideMark/>
          </w:tcPr>
          <w:p w14:paraId="38BABFAB" w14:textId="77777777" w:rsidR="00E45705" w:rsidRPr="001B09E6" w:rsidRDefault="00E45705" w:rsidP="00E45705">
            <w:pPr>
              <w:pStyle w:val="TableCellText"/>
              <w:spacing w:before="0" w:after="0"/>
            </w:pPr>
            <w:r w:rsidRPr="001B09E6">
              <w:t>81.7</w:t>
            </w:r>
          </w:p>
        </w:tc>
        <w:tc>
          <w:tcPr>
            <w:tcW w:w="385" w:type="pct"/>
            <w:shd w:val="clear" w:color="auto" w:fill="auto"/>
            <w:noWrap/>
            <w:hideMark/>
          </w:tcPr>
          <w:p w14:paraId="6F57D610" w14:textId="77777777" w:rsidR="00E45705" w:rsidRPr="001B09E6" w:rsidRDefault="00E45705" w:rsidP="00E45705">
            <w:pPr>
              <w:pStyle w:val="TableCellText"/>
              <w:spacing w:before="0" w:after="0"/>
            </w:pPr>
            <w:r w:rsidRPr="001B09E6">
              <w:t>81.4</w:t>
            </w:r>
          </w:p>
        </w:tc>
        <w:tc>
          <w:tcPr>
            <w:tcW w:w="385" w:type="pct"/>
            <w:shd w:val="clear" w:color="auto" w:fill="auto"/>
            <w:noWrap/>
            <w:hideMark/>
          </w:tcPr>
          <w:p w14:paraId="17BC26F1" w14:textId="77777777" w:rsidR="00E45705" w:rsidRPr="001B09E6" w:rsidRDefault="00E45705" w:rsidP="00E45705">
            <w:pPr>
              <w:pStyle w:val="TableCellText"/>
              <w:spacing w:before="0" w:after="0"/>
            </w:pPr>
            <w:r w:rsidRPr="001B09E6">
              <w:t>81.4</w:t>
            </w:r>
          </w:p>
        </w:tc>
        <w:tc>
          <w:tcPr>
            <w:tcW w:w="385" w:type="pct"/>
            <w:shd w:val="clear" w:color="auto" w:fill="auto"/>
            <w:noWrap/>
            <w:hideMark/>
          </w:tcPr>
          <w:p w14:paraId="282E9A3C" w14:textId="77777777" w:rsidR="00E45705" w:rsidRPr="001B09E6" w:rsidRDefault="00E45705" w:rsidP="00E45705">
            <w:pPr>
              <w:pStyle w:val="TableCellText"/>
              <w:spacing w:before="0" w:after="0"/>
            </w:pPr>
            <w:r w:rsidRPr="001B09E6">
              <w:t>82.5</w:t>
            </w:r>
          </w:p>
        </w:tc>
        <w:tc>
          <w:tcPr>
            <w:tcW w:w="385" w:type="pct"/>
            <w:shd w:val="clear" w:color="auto" w:fill="auto"/>
            <w:noWrap/>
            <w:hideMark/>
          </w:tcPr>
          <w:p w14:paraId="1EDFA97E" w14:textId="77777777" w:rsidR="00E45705" w:rsidRPr="001B09E6" w:rsidRDefault="00E45705" w:rsidP="00E45705">
            <w:pPr>
              <w:pStyle w:val="TableCellText"/>
              <w:spacing w:before="0" w:after="0"/>
            </w:pPr>
            <w:r w:rsidRPr="001B09E6">
              <w:t>82.6</w:t>
            </w:r>
          </w:p>
        </w:tc>
        <w:tc>
          <w:tcPr>
            <w:tcW w:w="385" w:type="pct"/>
            <w:shd w:val="clear" w:color="auto" w:fill="auto"/>
            <w:noWrap/>
            <w:hideMark/>
          </w:tcPr>
          <w:p w14:paraId="05761B5F" w14:textId="77777777" w:rsidR="00E45705" w:rsidRPr="001B09E6" w:rsidRDefault="00E45705" w:rsidP="00E45705">
            <w:pPr>
              <w:pStyle w:val="TableCellText"/>
              <w:spacing w:before="0" w:after="0"/>
            </w:pPr>
            <w:r w:rsidRPr="001B09E6">
              <w:t>82.3</w:t>
            </w:r>
          </w:p>
        </w:tc>
        <w:tc>
          <w:tcPr>
            <w:tcW w:w="385" w:type="pct"/>
            <w:shd w:val="clear" w:color="auto" w:fill="auto"/>
            <w:noWrap/>
            <w:hideMark/>
          </w:tcPr>
          <w:p w14:paraId="1F04C1C3" w14:textId="77777777" w:rsidR="00E45705" w:rsidRPr="001B09E6" w:rsidRDefault="00E45705" w:rsidP="00E45705">
            <w:pPr>
              <w:pStyle w:val="TableCellText"/>
              <w:spacing w:before="0" w:after="0"/>
            </w:pPr>
            <w:r w:rsidRPr="001B09E6">
              <w:t>82.8</w:t>
            </w:r>
          </w:p>
        </w:tc>
        <w:tc>
          <w:tcPr>
            <w:tcW w:w="385" w:type="pct"/>
            <w:shd w:val="clear" w:color="auto" w:fill="auto"/>
            <w:noWrap/>
            <w:hideMark/>
          </w:tcPr>
          <w:p w14:paraId="148A1CCD" w14:textId="77777777" w:rsidR="00E45705" w:rsidRPr="001B09E6" w:rsidRDefault="00E45705" w:rsidP="00E45705">
            <w:pPr>
              <w:pStyle w:val="TableCellText"/>
              <w:spacing w:before="0" w:after="0"/>
            </w:pPr>
            <w:r w:rsidRPr="001B09E6">
              <w:t>83.2</w:t>
            </w:r>
          </w:p>
        </w:tc>
        <w:tc>
          <w:tcPr>
            <w:tcW w:w="385" w:type="pct"/>
            <w:shd w:val="clear" w:color="auto" w:fill="auto"/>
            <w:noWrap/>
            <w:hideMark/>
          </w:tcPr>
          <w:p w14:paraId="117F987A" w14:textId="77777777" w:rsidR="00E45705" w:rsidRPr="001B09E6" w:rsidRDefault="00E45705" w:rsidP="00E45705">
            <w:pPr>
              <w:pStyle w:val="TableCellText"/>
              <w:spacing w:before="0" w:after="0"/>
            </w:pPr>
            <w:r w:rsidRPr="001B09E6">
              <w:t>82.9</w:t>
            </w:r>
          </w:p>
        </w:tc>
        <w:tc>
          <w:tcPr>
            <w:tcW w:w="385" w:type="pct"/>
            <w:shd w:val="clear" w:color="auto" w:fill="auto"/>
            <w:noWrap/>
            <w:hideMark/>
          </w:tcPr>
          <w:p w14:paraId="6709360B" w14:textId="77777777" w:rsidR="00E45705" w:rsidRPr="001B09E6" w:rsidRDefault="00E45705" w:rsidP="00E45705">
            <w:pPr>
              <w:pStyle w:val="TableCellText"/>
              <w:spacing w:before="0" w:after="0"/>
            </w:pPr>
            <w:r w:rsidRPr="001B09E6">
              <w:t>84.7</w:t>
            </w:r>
          </w:p>
        </w:tc>
        <w:tc>
          <w:tcPr>
            <w:tcW w:w="385" w:type="pct"/>
            <w:shd w:val="clear" w:color="auto" w:fill="auto"/>
            <w:noWrap/>
            <w:hideMark/>
          </w:tcPr>
          <w:p w14:paraId="676B26E6" w14:textId="77777777" w:rsidR="00E45705" w:rsidRPr="001B09E6" w:rsidRDefault="00E45705" w:rsidP="00E45705">
            <w:pPr>
              <w:pStyle w:val="TableCellText"/>
              <w:spacing w:before="0" w:after="0"/>
            </w:pPr>
            <w:r w:rsidRPr="001B09E6">
              <w:t>86.7</w:t>
            </w:r>
          </w:p>
        </w:tc>
        <w:tc>
          <w:tcPr>
            <w:tcW w:w="384" w:type="pct"/>
            <w:shd w:val="clear" w:color="auto" w:fill="auto"/>
            <w:noWrap/>
            <w:hideMark/>
          </w:tcPr>
          <w:p w14:paraId="14C03CC5" w14:textId="77777777" w:rsidR="00E45705" w:rsidRPr="001B09E6" w:rsidRDefault="00E45705" w:rsidP="00E45705">
            <w:pPr>
              <w:pStyle w:val="TableCellText"/>
              <w:spacing w:before="0" w:after="0"/>
            </w:pPr>
            <w:r w:rsidRPr="001B09E6">
              <w:t>87.6</w:t>
            </w:r>
          </w:p>
        </w:tc>
      </w:tr>
      <w:tr w:rsidR="00E45705" w:rsidRPr="001B09E6" w14:paraId="19F2DE3B" w14:textId="77777777" w:rsidTr="00E45705">
        <w:trPr>
          <w:trHeight w:val="300"/>
        </w:trPr>
        <w:tc>
          <w:tcPr>
            <w:tcW w:w="381" w:type="pct"/>
            <w:shd w:val="clear" w:color="auto" w:fill="auto"/>
            <w:noWrap/>
            <w:hideMark/>
          </w:tcPr>
          <w:p w14:paraId="3907E951" w14:textId="77777777" w:rsidR="00E45705" w:rsidRPr="001B09E6" w:rsidRDefault="00E45705" w:rsidP="00E45705">
            <w:pPr>
              <w:pStyle w:val="TableCellText"/>
              <w:spacing w:before="0" w:after="0"/>
            </w:pPr>
            <w:r w:rsidRPr="001B09E6">
              <w:t>17</w:t>
            </w:r>
          </w:p>
        </w:tc>
        <w:tc>
          <w:tcPr>
            <w:tcW w:w="385" w:type="pct"/>
            <w:shd w:val="clear" w:color="auto" w:fill="auto"/>
            <w:noWrap/>
            <w:hideMark/>
          </w:tcPr>
          <w:p w14:paraId="7F8E900E" w14:textId="77777777" w:rsidR="00E45705" w:rsidRPr="001B09E6" w:rsidRDefault="00E45705" w:rsidP="00E45705">
            <w:pPr>
              <w:pStyle w:val="TableCellText"/>
              <w:spacing w:before="0" w:after="0"/>
            </w:pPr>
            <w:r w:rsidRPr="001B09E6">
              <w:t>62.7</w:t>
            </w:r>
          </w:p>
        </w:tc>
        <w:tc>
          <w:tcPr>
            <w:tcW w:w="385" w:type="pct"/>
            <w:shd w:val="clear" w:color="auto" w:fill="auto"/>
            <w:noWrap/>
            <w:hideMark/>
          </w:tcPr>
          <w:p w14:paraId="1B395BCE" w14:textId="77777777" w:rsidR="00E45705" w:rsidRPr="001B09E6" w:rsidRDefault="00E45705" w:rsidP="00E45705">
            <w:pPr>
              <w:pStyle w:val="TableCellText"/>
              <w:spacing w:before="0" w:after="0"/>
            </w:pPr>
            <w:r w:rsidRPr="001B09E6">
              <w:t>62.9</w:t>
            </w:r>
          </w:p>
        </w:tc>
        <w:tc>
          <w:tcPr>
            <w:tcW w:w="385" w:type="pct"/>
            <w:shd w:val="clear" w:color="auto" w:fill="auto"/>
            <w:noWrap/>
            <w:hideMark/>
          </w:tcPr>
          <w:p w14:paraId="0283A4EA" w14:textId="77777777" w:rsidR="00E45705" w:rsidRPr="001B09E6" w:rsidRDefault="00E45705" w:rsidP="00E45705">
            <w:pPr>
              <w:pStyle w:val="TableCellText"/>
              <w:spacing w:before="0" w:after="0"/>
            </w:pPr>
            <w:r w:rsidRPr="001B09E6">
              <w:t>63.2</w:t>
            </w:r>
          </w:p>
        </w:tc>
        <w:tc>
          <w:tcPr>
            <w:tcW w:w="385" w:type="pct"/>
            <w:shd w:val="clear" w:color="auto" w:fill="auto"/>
            <w:noWrap/>
            <w:hideMark/>
          </w:tcPr>
          <w:p w14:paraId="0F5A4588" w14:textId="77777777" w:rsidR="00E45705" w:rsidRPr="001B09E6" w:rsidRDefault="00E45705" w:rsidP="00E45705">
            <w:pPr>
              <w:pStyle w:val="TableCellText"/>
              <w:spacing w:before="0" w:after="0"/>
            </w:pPr>
            <w:r w:rsidRPr="001B09E6">
              <w:t>62.7</w:t>
            </w:r>
          </w:p>
        </w:tc>
        <w:tc>
          <w:tcPr>
            <w:tcW w:w="385" w:type="pct"/>
            <w:shd w:val="clear" w:color="auto" w:fill="auto"/>
            <w:noWrap/>
            <w:hideMark/>
          </w:tcPr>
          <w:p w14:paraId="152A1F72" w14:textId="77777777" w:rsidR="00E45705" w:rsidRPr="001B09E6" w:rsidRDefault="00E45705" w:rsidP="00E45705">
            <w:pPr>
              <w:pStyle w:val="TableCellText"/>
              <w:spacing w:before="0" w:after="0"/>
            </w:pPr>
            <w:r w:rsidRPr="001B09E6">
              <w:t>63.5</w:t>
            </w:r>
          </w:p>
        </w:tc>
        <w:tc>
          <w:tcPr>
            <w:tcW w:w="385" w:type="pct"/>
            <w:shd w:val="clear" w:color="auto" w:fill="auto"/>
            <w:noWrap/>
            <w:hideMark/>
          </w:tcPr>
          <w:p w14:paraId="0C0502E7" w14:textId="77777777" w:rsidR="00E45705" w:rsidRPr="001B09E6" w:rsidRDefault="00E45705" w:rsidP="00E45705">
            <w:pPr>
              <w:pStyle w:val="TableCellText"/>
              <w:spacing w:before="0" w:after="0"/>
            </w:pPr>
            <w:r w:rsidRPr="001B09E6">
              <w:t>63.1</w:t>
            </w:r>
          </w:p>
        </w:tc>
        <w:tc>
          <w:tcPr>
            <w:tcW w:w="385" w:type="pct"/>
            <w:shd w:val="clear" w:color="auto" w:fill="auto"/>
            <w:noWrap/>
            <w:hideMark/>
          </w:tcPr>
          <w:p w14:paraId="374D0B05" w14:textId="77777777" w:rsidR="00E45705" w:rsidRPr="001B09E6" w:rsidRDefault="00E45705" w:rsidP="00E45705">
            <w:pPr>
              <w:pStyle w:val="TableCellText"/>
              <w:spacing w:before="0" w:after="0"/>
            </w:pPr>
            <w:r w:rsidRPr="001B09E6">
              <w:t>63.3</w:t>
            </w:r>
          </w:p>
        </w:tc>
        <w:tc>
          <w:tcPr>
            <w:tcW w:w="385" w:type="pct"/>
            <w:shd w:val="clear" w:color="auto" w:fill="auto"/>
            <w:noWrap/>
            <w:hideMark/>
          </w:tcPr>
          <w:p w14:paraId="21AC9403" w14:textId="77777777" w:rsidR="00E45705" w:rsidRPr="001B09E6" w:rsidRDefault="00E45705" w:rsidP="00E45705">
            <w:pPr>
              <w:pStyle w:val="TableCellText"/>
              <w:spacing w:before="0" w:after="0"/>
            </w:pPr>
            <w:r w:rsidRPr="001B09E6">
              <w:t>62.9</w:t>
            </w:r>
          </w:p>
        </w:tc>
        <w:tc>
          <w:tcPr>
            <w:tcW w:w="385" w:type="pct"/>
            <w:shd w:val="clear" w:color="auto" w:fill="auto"/>
            <w:noWrap/>
            <w:hideMark/>
          </w:tcPr>
          <w:p w14:paraId="74B6FEB8" w14:textId="77777777" w:rsidR="00E45705" w:rsidRPr="001B09E6" w:rsidRDefault="00E45705" w:rsidP="00E45705">
            <w:pPr>
              <w:pStyle w:val="TableCellText"/>
              <w:spacing w:before="0" w:after="0"/>
            </w:pPr>
            <w:r w:rsidRPr="001B09E6">
              <w:t>62.7</w:t>
            </w:r>
          </w:p>
        </w:tc>
        <w:tc>
          <w:tcPr>
            <w:tcW w:w="385" w:type="pct"/>
            <w:shd w:val="clear" w:color="auto" w:fill="auto"/>
            <w:noWrap/>
            <w:hideMark/>
          </w:tcPr>
          <w:p w14:paraId="2B56CB90" w14:textId="77777777" w:rsidR="00E45705" w:rsidRPr="001B09E6" w:rsidRDefault="00E45705" w:rsidP="00E45705">
            <w:pPr>
              <w:pStyle w:val="TableCellText"/>
              <w:spacing w:before="0" w:after="0"/>
            </w:pPr>
            <w:r w:rsidRPr="001B09E6">
              <w:t>63.7</w:t>
            </w:r>
          </w:p>
        </w:tc>
        <w:tc>
          <w:tcPr>
            <w:tcW w:w="385" w:type="pct"/>
            <w:shd w:val="clear" w:color="auto" w:fill="auto"/>
            <w:noWrap/>
            <w:hideMark/>
          </w:tcPr>
          <w:p w14:paraId="3BCC0A63" w14:textId="77777777" w:rsidR="00E45705" w:rsidRPr="001B09E6" w:rsidRDefault="00E45705" w:rsidP="00E45705">
            <w:pPr>
              <w:pStyle w:val="TableCellText"/>
              <w:spacing w:before="0" w:after="0"/>
            </w:pPr>
            <w:r w:rsidRPr="001B09E6">
              <w:t>65.6</w:t>
            </w:r>
          </w:p>
        </w:tc>
        <w:tc>
          <w:tcPr>
            <w:tcW w:w="384" w:type="pct"/>
            <w:shd w:val="clear" w:color="auto" w:fill="auto"/>
            <w:noWrap/>
            <w:hideMark/>
          </w:tcPr>
          <w:p w14:paraId="1DB73ED9" w14:textId="77777777" w:rsidR="00E45705" w:rsidRPr="001B09E6" w:rsidRDefault="00E45705" w:rsidP="00E45705">
            <w:pPr>
              <w:pStyle w:val="TableCellText"/>
              <w:spacing w:before="0" w:after="0"/>
            </w:pPr>
            <w:r w:rsidRPr="001B09E6">
              <w:t>66.8</w:t>
            </w:r>
          </w:p>
        </w:tc>
      </w:tr>
      <w:tr w:rsidR="00E45705" w:rsidRPr="001B09E6" w14:paraId="7EA8B1E9" w14:textId="77777777" w:rsidTr="00E45705">
        <w:trPr>
          <w:trHeight w:val="300"/>
        </w:trPr>
        <w:tc>
          <w:tcPr>
            <w:tcW w:w="381" w:type="pct"/>
            <w:shd w:val="clear" w:color="auto" w:fill="auto"/>
            <w:noWrap/>
            <w:hideMark/>
          </w:tcPr>
          <w:p w14:paraId="15443748" w14:textId="77777777" w:rsidR="00E45705" w:rsidRPr="001B09E6" w:rsidRDefault="00E45705" w:rsidP="00E45705">
            <w:pPr>
              <w:pStyle w:val="TableCellText"/>
              <w:spacing w:before="0" w:after="0"/>
            </w:pPr>
            <w:r w:rsidRPr="001B09E6">
              <w:t>18</w:t>
            </w:r>
          </w:p>
        </w:tc>
        <w:tc>
          <w:tcPr>
            <w:tcW w:w="385" w:type="pct"/>
            <w:shd w:val="clear" w:color="auto" w:fill="auto"/>
            <w:noWrap/>
            <w:hideMark/>
          </w:tcPr>
          <w:p w14:paraId="75098152" w14:textId="77777777" w:rsidR="00E45705" w:rsidRPr="001B09E6" w:rsidRDefault="00E45705" w:rsidP="00E45705">
            <w:pPr>
              <w:pStyle w:val="TableCellText"/>
              <w:spacing w:before="0" w:after="0"/>
            </w:pPr>
            <w:r w:rsidRPr="001B09E6">
              <w:t>12.7</w:t>
            </w:r>
          </w:p>
        </w:tc>
        <w:tc>
          <w:tcPr>
            <w:tcW w:w="385" w:type="pct"/>
            <w:shd w:val="clear" w:color="auto" w:fill="auto"/>
            <w:noWrap/>
            <w:hideMark/>
          </w:tcPr>
          <w:p w14:paraId="08B32186" w14:textId="77777777" w:rsidR="00E45705" w:rsidRPr="001B09E6" w:rsidRDefault="00E45705" w:rsidP="00E45705">
            <w:pPr>
              <w:pStyle w:val="TableCellText"/>
              <w:spacing w:before="0" w:after="0"/>
            </w:pPr>
            <w:r w:rsidRPr="001B09E6">
              <w:t>12.9</w:t>
            </w:r>
          </w:p>
        </w:tc>
        <w:tc>
          <w:tcPr>
            <w:tcW w:w="385" w:type="pct"/>
            <w:shd w:val="clear" w:color="auto" w:fill="auto"/>
            <w:noWrap/>
            <w:hideMark/>
          </w:tcPr>
          <w:p w14:paraId="5B19D989" w14:textId="77777777" w:rsidR="00E45705" w:rsidRPr="001B09E6" w:rsidRDefault="00E45705" w:rsidP="00E45705">
            <w:pPr>
              <w:pStyle w:val="TableCellText"/>
              <w:spacing w:before="0" w:after="0"/>
            </w:pPr>
            <w:r w:rsidRPr="001B09E6">
              <w:t>13.2</w:t>
            </w:r>
          </w:p>
        </w:tc>
        <w:tc>
          <w:tcPr>
            <w:tcW w:w="385" w:type="pct"/>
            <w:shd w:val="clear" w:color="auto" w:fill="auto"/>
            <w:noWrap/>
            <w:hideMark/>
          </w:tcPr>
          <w:p w14:paraId="09BB3E08" w14:textId="77777777" w:rsidR="00E45705" w:rsidRPr="001B09E6" w:rsidRDefault="00E45705" w:rsidP="00E45705">
            <w:pPr>
              <w:pStyle w:val="TableCellText"/>
              <w:spacing w:before="0" w:after="0"/>
            </w:pPr>
            <w:r w:rsidRPr="001B09E6">
              <w:t>13.2</w:t>
            </w:r>
          </w:p>
        </w:tc>
        <w:tc>
          <w:tcPr>
            <w:tcW w:w="385" w:type="pct"/>
            <w:shd w:val="clear" w:color="auto" w:fill="auto"/>
            <w:noWrap/>
            <w:hideMark/>
          </w:tcPr>
          <w:p w14:paraId="6F47638A" w14:textId="77777777" w:rsidR="00E45705" w:rsidRPr="001B09E6" w:rsidRDefault="00E45705" w:rsidP="00E45705">
            <w:pPr>
              <w:pStyle w:val="TableCellText"/>
              <w:spacing w:before="0" w:after="0"/>
            </w:pPr>
            <w:r w:rsidRPr="001B09E6">
              <w:t>13.3</w:t>
            </w:r>
          </w:p>
        </w:tc>
        <w:tc>
          <w:tcPr>
            <w:tcW w:w="385" w:type="pct"/>
            <w:shd w:val="clear" w:color="auto" w:fill="auto"/>
            <w:noWrap/>
            <w:hideMark/>
          </w:tcPr>
          <w:p w14:paraId="20C28C89" w14:textId="77777777" w:rsidR="00E45705" w:rsidRPr="001B09E6" w:rsidRDefault="00E45705" w:rsidP="00E45705">
            <w:pPr>
              <w:pStyle w:val="TableCellText"/>
              <w:spacing w:before="0" w:after="0"/>
            </w:pPr>
            <w:r w:rsidRPr="001B09E6">
              <w:t>13.3</w:t>
            </w:r>
          </w:p>
        </w:tc>
        <w:tc>
          <w:tcPr>
            <w:tcW w:w="385" w:type="pct"/>
            <w:shd w:val="clear" w:color="auto" w:fill="auto"/>
            <w:noWrap/>
            <w:hideMark/>
          </w:tcPr>
          <w:p w14:paraId="629630B8" w14:textId="77777777" w:rsidR="00E45705" w:rsidRPr="001B09E6" w:rsidRDefault="00E45705" w:rsidP="00E45705">
            <w:pPr>
              <w:pStyle w:val="TableCellText"/>
              <w:spacing w:before="0" w:after="0"/>
            </w:pPr>
            <w:r w:rsidRPr="001B09E6">
              <w:t>13.6</w:t>
            </w:r>
          </w:p>
        </w:tc>
        <w:tc>
          <w:tcPr>
            <w:tcW w:w="385" w:type="pct"/>
            <w:shd w:val="clear" w:color="auto" w:fill="auto"/>
            <w:noWrap/>
            <w:hideMark/>
          </w:tcPr>
          <w:p w14:paraId="36D7F197" w14:textId="77777777" w:rsidR="00E45705" w:rsidRPr="001B09E6" w:rsidRDefault="00E45705" w:rsidP="00E45705">
            <w:pPr>
              <w:pStyle w:val="TableCellText"/>
              <w:spacing w:before="0" w:after="0"/>
            </w:pPr>
            <w:r w:rsidRPr="001B09E6">
              <w:t>13.7</w:t>
            </w:r>
          </w:p>
        </w:tc>
        <w:tc>
          <w:tcPr>
            <w:tcW w:w="385" w:type="pct"/>
            <w:shd w:val="clear" w:color="auto" w:fill="auto"/>
            <w:noWrap/>
            <w:hideMark/>
          </w:tcPr>
          <w:p w14:paraId="155BF32B" w14:textId="77777777" w:rsidR="00E45705" w:rsidRPr="001B09E6" w:rsidRDefault="00E45705" w:rsidP="00E45705">
            <w:pPr>
              <w:pStyle w:val="TableCellText"/>
              <w:spacing w:before="0" w:after="0"/>
            </w:pPr>
            <w:r w:rsidRPr="001B09E6">
              <w:t>14.5</w:t>
            </w:r>
          </w:p>
        </w:tc>
        <w:tc>
          <w:tcPr>
            <w:tcW w:w="385" w:type="pct"/>
            <w:shd w:val="clear" w:color="auto" w:fill="auto"/>
            <w:noWrap/>
            <w:hideMark/>
          </w:tcPr>
          <w:p w14:paraId="038C6CC6" w14:textId="77777777" w:rsidR="00E45705" w:rsidRPr="001B09E6" w:rsidRDefault="00E45705" w:rsidP="00E45705">
            <w:pPr>
              <w:pStyle w:val="TableCellText"/>
              <w:spacing w:before="0" w:after="0"/>
            </w:pPr>
            <w:r w:rsidRPr="001B09E6">
              <w:t>14.6</w:t>
            </w:r>
          </w:p>
        </w:tc>
        <w:tc>
          <w:tcPr>
            <w:tcW w:w="385" w:type="pct"/>
            <w:shd w:val="clear" w:color="auto" w:fill="auto"/>
            <w:noWrap/>
            <w:hideMark/>
          </w:tcPr>
          <w:p w14:paraId="3D35AB97" w14:textId="77777777" w:rsidR="00E45705" w:rsidRPr="001B09E6" w:rsidRDefault="00E45705" w:rsidP="00E45705">
            <w:pPr>
              <w:pStyle w:val="TableCellText"/>
              <w:spacing w:before="0" w:after="0"/>
            </w:pPr>
            <w:r w:rsidRPr="001B09E6">
              <w:t>15.6</w:t>
            </w:r>
          </w:p>
        </w:tc>
        <w:tc>
          <w:tcPr>
            <w:tcW w:w="384" w:type="pct"/>
            <w:shd w:val="clear" w:color="auto" w:fill="auto"/>
            <w:noWrap/>
            <w:hideMark/>
          </w:tcPr>
          <w:p w14:paraId="4F049A85" w14:textId="77777777" w:rsidR="00E45705" w:rsidRPr="001B09E6" w:rsidRDefault="00E45705" w:rsidP="00E45705">
            <w:pPr>
              <w:pStyle w:val="TableCellText"/>
              <w:spacing w:before="0" w:after="0"/>
            </w:pPr>
            <w:r w:rsidRPr="001B09E6">
              <w:t>15.8</w:t>
            </w:r>
          </w:p>
        </w:tc>
      </w:tr>
      <w:tr w:rsidR="00E45705" w:rsidRPr="001B09E6" w14:paraId="61AB4510" w14:textId="77777777" w:rsidTr="00E45705">
        <w:trPr>
          <w:trHeight w:val="300"/>
        </w:trPr>
        <w:tc>
          <w:tcPr>
            <w:tcW w:w="381" w:type="pct"/>
            <w:shd w:val="clear" w:color="auto" w:fill="auto"/>
            <w:noWrap/>
            <w:hideMark/>
          </w:tcPr>
          <w:p w14:paraId="28BE306E" w14:textId="77777777" w:rsidR="00E45705" w:rsidRPr="001B09E6" w:rsidRDefault="00E45705" w:rsidP="00E45705">
            <w:pPr>
              <w:pStyle w:val="TableCellText"/>
              <w:spacing w:before="0" w:after="0"/>
            </w:pPr>
            <w:r w:rsidRPr="001B09E6">
              <w:t>19</w:t>
            </w:r>
          </w:p>
        </w:tc>
        <w:tc>
          <w:tcPr>
            <w:tcW w:w="385" w:type="pct"/>
            <w:shd w:val="clear" w:color="auto" w:fill="auto"/>
            <w:noWrap/>
            <w:hideMark/>
          </w:tcPr>
          <w:p w14:paraId="2354BE4F" w14:textId="77777777" w:rsidR="00E45705" w:rsidRPr="001B09E6" w:rsidRDefault="00E45705" w:rsidP="00E45705">
            <w:pPr>
              <w:pStyle w:val="TableCellText"/>
              <w:spacing w:before="0" w:after="0"/>
            </w:pPr>
            <w:r w:rsidRPr="001B09E6">
              <w:t>1.6</w:t>
            </w:r>
          </w:p>
        </w:tc>
        <w:tc>
          <w:tcPr>
            <w:tcW w:w="385" w:type="pct"/>
            <w:shd w:val="clear" w:color="auto" w:fill="auto"/>
            <w:noWrap/>
            <w:hideMark/>
          </w:tcPr>
          <w:p w14:paraId="0515A815" w14:textId="77777777" w:rsidR="00E45705" w:rsidRPr="001B09E6" w:rsidRDefault="00E45705" w:rsidP="00E45705">
            <w:pPr>
              <w:pStyle w:val="TableCellText"/>
              <w:spacing w:before="0" w:after="0"/>
            </w:pPr>
            <w:r w:rsidRPr="001B09E6">
              <w:t>1.7</w:t>
            </w:r>
          </w:p>
        </w:tc>
        <w:tc>
          <w:tcPr>
            <w:tcW w:w="385" w:type="pct"/>
            <w:shd w:val="clear" w:color="auto" w:fill="auto"/>
            <w:noWrap/>
            <w:hideMark/>
          </w:tcPr>
          <w:p w14:paraId="2ADDD6C4" w14:textId="77777777" w:rsidR="00E45705" w:rsidRPr="001B09E6" w:rsidRDefault="00E45705" w:rsidP="00E45705">
            <w:pPr>
              <w:pStyle w:val="TableCellText"/>
              <w:spacing w:before="0" w:after="0"/>
            </w:pPr>
            <w:r w:rsidRPr="001B09E6">
              <w:t>1.8</w:t>
            </w:r>
          </w:p>
        </w:tc>
        <w:tc>
          <w:tcPr>
            <w:tcW w:w="385" w:type="pct"/>
            <w:shd w:val="clear" w:color="auto" w:fill="auto"/>
            <w:noWrap/>
            <w:hideMark/>
          </w:tcPr>
          <w:p w14:paraId="1B84EC54" w14:textId="77777777" w:rsidR="00E45705" w:rsidRPr="001B09E6" w:rsidRDefault="00E45705" w:rsidP="00E45705">
            <w:pPr>
              <w:pStyle w:val="TableCellText"/>
              <w:spacing w:before="0" w:after="0"/>
            </w:pPr>
            <w:r w:rsidRPr="001B09E6">
              <w:t>1.9</w:t>
            </w:r>
          </w:p>
        </w:tc>
        <w:tc>
          <w:tcPr>
            <w:tcW w:w="385" w:type="pct"/>
            <w:shd w:val="clear" w:color="auto" w:fill="auto"/>
            <w:noWrap/>
            <w:hideMark/>
          </w:tcPr>
          <w:p w14:paraId="556B2529" w14:textId="77777777" w:rsidR="00E45705" w:rsidRPr="001B09E6" w:rsidRDefault="00E45705" w:rsidP="00E45705">
            <w:pPr>
              <w:pStyle w:val="TableCellText"/>
              <w:spacing w:before="0" w:after="0"/>
            </w:pPr>
            <w:r w:rsidRPr="001B09E6">
              <w:t>1.9</w:t>
            </w:r>
          </w:p>
        </w:tc>
        <w:tc>
          <w:tcPr>
            <w:tcW w:w="385" w:type="pct"/>
            <w:shd w:val="clear" w:color="auto" w:fill="auto"/>
            <w:noWrap/>
            <w:hideMark/>
          </w:tcPr>
          <w:p w14:paraId="0A7D7D26" w14:textId="77777777" w:rsidR="00E45705" w:rsidRPr="001B09E6" w:rsidRDefault="00E45705" w:rsidP="00E45705">
            <w:pPr>
              <w:pStyle w:val="TableCellText"/>
              <w:spacing w:before="0" w:after="0"/>
            </w:pPr>
            <w:r w:rsidRPr="001B09E6">
              <w:t>1.7</w:t>
            </w:r>
          </w:p>
        </w:tc>
        <w:tc>
          <w:tcPr>
            <w:tcW w:w="385" w:type="pct"/>
            <w:shd w:val="clear" w:color="auto" w:fill="auto"/>
            <w:noWrap/>
            <w:hideMark/>
          </w:tcPr>
          <w:p w14:paraId="0B36D9D3" w14:textId="77777777" w:rsidR="00E45705" w:rsidRPr="001B09E6" w:rsidRDefault="00E45705" w:rsidP="00E45705">
            <w:pPr>
              <w:pStyle w:val="TableCellText"/>
              <w:spacing w:before="0" w:after="0"/>
            </w:pPr>
            <w:r w:rsidRPr="001B09E6">
              <w:t>1.6</w:t>
            </w:r>
          </w:p>
        </w:tc>
        <w:tc>
          <w:tcPr>
            <w:tcW w:w="385" w:type="pct"/>
            <w:shd w:val="clear" w:color="auto" w:fill="auto"/>
            <w:noWrap/>
            <w:hideMark/>
          </w:tcPr>
          <w:p w14:paraId="524F1DE9" w14:textId="77777777" w:rsidR="00E45705" w:rsidRPr="001B09E6" w:rsidRDefault="00E45705" w:rsidP="00E45705">
            <w:pPr>
              <w:pStyle w:val="TableCellText"/>
              <w:spacing w:before="0" w:after="0"/>
            </w:pPr>
            <w:r w:rsidRPr="001B09E6">
              <w:t>1.5</w:t>
            </w:r>
          </w:p>
        </w:tc>
        <w:tc>
          <w:tcPr>
            <w:tcW w:w="385" w:type="pct"/>
            <w:shd w:val="clear" w:color="auto" w:fill="auto"/>
            <w:noWrap/>
            <w:hideMark/>
          </w:tcPr>
          <w:p w14:paraId="403B5E91" w14:textId="77777777" w:rsidR="00E45705" w:rsidRPr="001B09E6" w:rsidRDefault="00E45705" w:rsidP="00E45705">
            <w:pPr>
              <w:pStyle w:val="TableCellText"/>
              <w:spacing w:before="0" w:after="0"/>
            </w:pPr>
            <w:r w:rsidRPr="001B09E6">
              <w:t>1.7</w:t>
            </w:r>
          </w:p>
        </w:tc>
        <w:tc>
          <w:tcPr>
            <w:tcW w:w="385" w:type="pct"/>
            <w:shd w:val="clear" w:color="auto" w:fill="auto"/>
            <w:noWrap/>
            <w:hideMark/>
          </w:tcPr>
          <w:p w14:paraId="40A7C23C" w14:textId="77777777" w:rsidR="00E45705" w:rsidRPr="001B09E6" w:rsidRDefault="00E45705" w:rsidP="00E45705">
            <w:pPr>
              <w:pStyle w:val="TableCellText"/>
              <w:spacing w:before="0" w:after="0"/>
            </w:pPr>
            <w:r w:rsidRPr="001B09E6">
              <w:t>1.8</w:t>
            </w:r>
          </w:p>
        </w:tc>
        <w:tc>
          <w:tcPr>
            <w:tcW w:w="385" w:type="pct"/>
            <w:shd w:val="clear" w:color="auto" w:fill="auto"/>
            <w:noWrap/>
            <w:hideMark/>
          </w:tcPr>
          <w:p w14:paraId="7ED33E4D" w14:textId="77777777" w:rsidR="00E45705" w:rsidRPr="001B09E6" w:rsidRDefault="00E45705" w:rsidP="00E45705">
            <w:pPr>
              <w:pStyle w:val="TableCellText"/>
              <w:spacing w:before="0" w:after="0"/>
            </w:pPr>
            <w:r w:rsidRPr="001B09E6">
              <w:t>1.7</w:t>
            </w:r>
          </w:p>
        </w:tc>
        <w:tc>
          <w:tcPr>
            <w:tcW w:w="384" w:type="pct"/>
            <w:shd w:val="clear" w:color="auto" w:fill="auto"/>
            <w:noWrap/>
            <w:hideMark/>
          </w:tcPr>
          <w:p w14:paraId="090A0D42" w14:textId="77777777" w:rsidR="00E45705" w:rsidRPr="001B09E6" w:rsidRDefault="00E45705" w:rsidP="00E45705">
            <w:pPr>
              <w:pStyle w:val="TableCellText"/>
              <w:spacing w:before="0" w:after="0"/>
            </w:pPr>
            <w:r w:rsidRPr="001B09E6">
              <w:t>1.7</w:t>
            </w:r>
          </w:p>
        </w:tc>
      </w:tr>
    </w:tbl>
    <w:p w14:paraId="02855779" w14:textId="77777777" w:rsidR="00E45705" w:rsidRPr="001B09E6" w:rsidRDefault="00E45705" w:rsidP="00E45705">
      <w:pPr>
        <w:pStyle w:val="Tablenote"/>
      </w:pPr>
      <w:r w:rsidRPr="001B09E6">
        <w:t>Source: ABS, National Schools Statistics Collection cat. no..</w:t>
      </w:r>
    </w:p>
    <w:p w14:paraId="50797C92" w14:textId="77777777" w:rsidR="00E45705" w:rsidRDefault="00E45705" w:rsidP="00E45705">
      <w:pPr>
        <w:spacing w:line="380" w:lineRule="atLeast"/>
        <w:rPr>
          <w:rFonts w:eastAsiaTheme="majorEastAsia" w:cstheme="majorBidi"/>
          <w:b/>
          <w:bCs/>
          <w:color w:val="808080"/>
          <w:sz w:val="24"/>
        </w:rPr>
      </w:pPr>
      <w:bookmarkStart w:id="139" w:name="_Toc333918980"/>
      <w:r>
        <w:br w:type="page"/>
      </w:r>
    </w:p>
    <w:p w14:paraId="5FACCF0C" w14:textId="77777777" w:rsidR="00E45705" w:rsidRPr="001B09E6" w:rsidRDefault="00E45705" w:rsidP="00E45705">
      <w:pPr>
        <w:pStyle w:val="Heading3NoNumbering"/>
      </w:pPr>
      <w:r w:rsidRPr="001B09E6">
        <w:t>Table A2.3: Apparent grade progression rates</w:t>
      </w:r>
      <w:bookmarkEnd w:id="139"/>
    </w:p>
    <w:p w14:paraId="038FE052" w14:textId="77777777" w:rsidR="00E45705" w:rsidRPr="001B09E6" w:rsidRDefault="00E45705" w:rsidP="00E45705">
      <w:pPr>
        <w:pStyle w:val="TableHeading"/>
        <w:spacing w:before="112"/>
      </w:pPr>
      <w:r w:rsidRPr="001B09E6">
        <w:t>APPARENT PROGRESSION RATES, AUSTRALIA</w:t>
      </w:r>
    </w:p>
    <w:tbl>
      <w:tblPr>
        <w:tblW w:w="5000" w:type="pct"/>
        <w:tblLook w:val="04A0" w:firstRow="1" w:lastRow="0" w:firstColumn="1" w:lastColumn="0" w:noHBand="0" w:noVBand="1"/>
        <w:tblCaption w:val="Table A2.3: Apparent grade progression rates APPARENT PROGRESSION RATES, AUSTRALIA "/>
        <w:tblDescription w:val="Table A2.3: Apparent grade progression rates&#10;APPARENT PROGRESSION RATES, AUSTRALIA&#10;"/>
      </w:tblPr>
      <w:tblGrid>
        <w:gridCol w:w="1550"/>
        <w:gridCol w:w="1091"/>
        <w:gridCol w:w="1091"/>
        <w:gridCol w:w="1091"/>
        <w:gridCol w:w="1090"/>
        <w:gridCol w:w="1090"/>
        <w:gridCol w:w="1090"/>
        <w:gridCol w:w="1090"/>
        <w:gridCol w:w="1090"/>
        <w:gridCol w:w="1090"/>
        <w:gridCol w:w="1090"/>
        <w:gridCol w:w="1090"/>
        <w:gridCol w:w="1073"/>
      </w:tblGrid>
      <w:tr w:rsidR="00E45705" w:rsidRPr="001B09E6" w14:paraId="6F45447D" w14:textId="77777777" w:rsidTr="00E45705">
        <w:trPr>
          <w:trHeight w:val="300"/>
        </w:trPr>
        <w:tc>
          <w:tcPr>
            <w:tcW w:w="530" w:type="pct"/>
            <w:tcBorders>
              <w:top w:val="single" w:sz="4" w:space="0" w:color="auto"/>
              <w:left w:val="nil"/>
              <w:bottom w:val="single" w:sz="4" w:space="0" w:color="auto"/>
              <w:right w:val="nil"/>
            </w:tcBorders>
            <w:shd w:val="clear" w:color="auto" w:fill="auto"/>
            <w:noWrap/>
            <w:hideMark/>
          </w:tcPr>
          <w:p w14:paraId="419D5EEA"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Grade</w:t>
            </w:r>
          </w:p>
        </w:tc>
        <w:tc>
          <w:tcPr>
            <w:tcW w:w="373" w:type="pct"/>
            <w:tcBorders>
              <w:top w:val="single" w:sz="4" w:space="0" w:color="auto"/>
              <w:left w:val="nil"/>
              <w:bottom w:val="single" w:sz="4" w:space="0" w:color="auto"/>
              <w:right w:val="nil"/>
            </w:tcBorders>
            <w:shd w:val="clear" w:color="auto" w:fill="auto"/>
            <w:noWrap/>
            <w:hideMark/>
          </w:tcPr>
          <w:p w14:paraId="4D4F0888"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2000</w:t>
            </w:r>
          </w:p>
        </w:tc>
        <w:tc>
          <w:tcPr>
            <w:tcW w:w="373" w:type="pct"/>
            <w:tcBorders>
              <w:top w:val="single" w:sz="4" w:space="0" w:color="auto"/>
              <w:left w:val="nil"/>
              <w:bottom w:val="single" w:sz="4" w:space="0" w:color="auto"/>
              <w:right w:val="nil"/>
            </w:tcBorders>
            <w:shd w:val="clear" w:color="auto" w:fill="auto"/>
            <w:noWrap/>
            <w:hideMark/>
          </w:tcPr>
          <w:p w14:paraId="6C0714DB"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2001</w:t>
            </w:r>
          </w:p>
        </w:tc>
        <w:tc>
          <w:tcPr>
            <w:tcW w:w="373" w:type="pct"/>
            <w:tcBorders>
              <w:top w:val="single" w:sz="4" w:space="0" w:color="auto"/>
              <w:left w:val="nil"/>
              <w:bottom w:val="single" w:sz="4" w:space="0" w:color="auto"/>
              <w:right w:val="nil"/>
            </w:tcBorders>
            <w:shd w:val="clear" w:color="auto" w:fill="auto"/>
            <w:noWrap/>
            <w:hideMark/>
          </w:tcPr>
          <w:p w14:paraId="66B81263"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2002</w:t>
            </w:r>
          </w:p>
        </w:tc>
        <w:tc>
          <w:tcPr>
            <w:tcW w:w="373" w:type="pct"/>
            <w:tcBorders>
              <w:top w:val="single" w:sz="4" w:space="0" w:color="auto"/>
              <w:left w:val="nil"/>
              <w:bottom w:val="single" w:sz="4" w:space="0" w:color="auto"/>
              <w:right w:val="nil"/>
            </w:tcBorders>
            <w:shd w:val="clear" w:color="auto" w:fill="auto"/>
            <w:noWrap/>
            <w:hideMark/>
          </w:tcPr>
          <w:p w14:paraId="3EA6517B"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2003</w:t>
            </w:r>
          </w:p>
        </w:tc>
        <w:tc>
          <w:tcPr>
            <w:tcW w:w="373" w:type="pct"/>
            <w:tcBorders>
              <w:top w:val="single" w:sz="4" w:space="0" w:color="auto"/>
              <w:left w:val="nil"/>
              <w:bottom w:val="single" w:sz="4" w:space="0" w:color="auto"/>
              <w:right w:val="nil"/>
            </w:tcBorders>
            <w:shd w:val="clear" w:color="auto" w:fill="auto"/>
            <w:noWrap/>
            <w:hideMark/>
          </w:tcPr>
          <w:p w14:paraId="0D90BCA5"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2004</w:t>
            </w:r>
          </w:p>
        </w:tc>
        <w:tc>
          <w:tcPr>
            <w:tcW w:w="373" w:type="pct"/>
            <w:tcBorders>
              <w:top w:val="single" w:sz="4" w:space="0" w:color="auto"/>
              <w:left w:val="nil"/>
              <w:bottom w:val="single" w:sz="4" w:space="0" w:color="auto"/>
              <w:right w:val="nil"/>
            </w:tcBorders>
            <w:shd w:val="clear" w:color="auto" w:fill="auto"/>
            <w:noWrap/>
            <w:hideMark/>
          </w:tcPr>
          <w:p w14:paraId="04A1BB12"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2005</w:t>
            </w:r>
          </w:p>
        </w:tc>
        <w:tc>
          <w:tcPr>
            <w:tcW w:w="373" w:type="pct"/>
            <w:tcBorders>
              <w:top w:val="single" w:sz="4" w:space="0" w:color="auto"/>
              <w:left w:val="nil"/>
              <w:bottom w:val="single" w:sz="4" w:space="0" w:color="auto"/>
              <w:right w:val="nil"/>
            </w:tcBorders>
            <w:shd w:val="clear" w:color="auto" w:fill="auto"/>
            <w:noWrap/>
            <w:hideMark/>
          </w:tcPr>
          <w:p w14:paraId="4B924CB3"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2006</w:t>
            </w:r>
          </w:p>
        </w:tc>
        <w:tc>
          <w:tcPr>
            <w:tcW w:w="373" w:type="pct"/>
            <w:tcBorders>
              <w:top w:val="single" w:sz="4" w:space="0" w:color="auto"/>
              <w:left w:val="nil"/>
              <w:bottom w:val="single" w:sz="4" w:space="0" w:color="auto"/>
              <w:right w:val="nil"/>
            </w:tcBorders>
            <w:shd w:val="clear" w:color="auto" w:fill="auto"/>
            <w:noWrap/>
            <w:hideMark/>
          </w:tcPr>
          <w:p w14:paraId="46953A7B"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2007</w:t>
            </w:r>
          </w:p>
        </w:tc>
        <w:tc>
          <w:tcPr>
            <w:tcW w:w="373" w:type="pct"/>
            <w:tcBorders>
              <w:top w:val="single" w:sz="4" w:space="0" w:color="auto"/>
              <w:left w:val="nil"/>
              <w:bottom w:val="single" w:sz="4" w:space="0" w:color="auto"/>
              <w:right w:val="nil"/>
            </w:tcBorders>
            <w:shd w:val="clear" w:color="auto" w:fill="auto"/>
            <w:noWrap/>
            <w:hideMark/>
          </w:tcPr>
          <w:p w14:paraId="65F15726"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2008</w:t>
            </w:r>
          </w:p>
        </w:tc>
        <w:tc>
          <w:tcPr>
            <w:tcW w:w="373" w:type="pct"/>
            <w:tcBorders>
              <w:top w:val="single" w:sz="4" w:space="0" w:color="auto"/>
              <w:left w:val="nil"/>
              <w:bottom w:val="single" w:sz="4" w:space="0" w:color="auto"/>
              <w:right w:val="nil"/>
            </w:tcBorders>
            <w:shd w:val="clear" w:color="auto" w:fill="auto"/>
            <w:noWrap/>
            <w:hideMark/>
          </w:tcPr>
          <w:p w14:paraId="76A93E2B"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2009</w:t>
            </w:r>
          </w:p>
        </w:tc>
        <w:tc>
          <w:tcPr>
            <w:tcW w:w="373" w:type="pct"/>
            <w:tcBorders>
              <w:top w:val="single" w:sz="4" w:space="0" w:color="auto"/>
              <w:left w:val="nil"/>
              <w:bottom w:val="single" w:sz="4" w:space="0" w:color="auto"/>
              <w:right w:val="nil"/>
            </w:tcBorders>
            <w:shd w:val="clear" w:color="auto" w:fill="auto"/>
            <w:noWrap/>
            <w:hideMark/>
          </w:tcPr>
          <w:p w14:paraId="55C2F101"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2010</w:t>
            </w:r>
          </w:p>
        </w:tc>
        <w:tc>
          <w:tcPr>
            <w:tcW w:w="373" w:type="pct"/>
            <w:tcBorders>
              <w:top w:val="single" w:sz="4" w:space="0" w:color="auto"/>
              <w:left w:val="nil"/>
              <w:bottom w:val="single" w:sz="4" w:space="0" w:color="auto"/>
              <w:right w:val="nil"/>
            </w:tcBorders>
            <w:shd w:val="clear" w:color="auto" w:fill="auto"/>
            <w:noWrap/>
            <w:hideMark/>
          </w:tcPr>
          <w:p w14:paraId="32A49718" w14:textId="77777777" w:rsidR="00E45705" w:rsidRPr="001B09E6" w:rsidRDefault="00E45705" w:rsidP="00E45705">
            <w:pPr>
              <w:pStyle w:val="TableColumnHeading"/>
              <w:spacing w:before="0" w:after="0"/>
              <w:jc w:val="center"/>
              <w:rPr>
                <w:rFonts w:asciiTheme="minorHAnsi" w:hAnsiTheme="minorHAnsi"/>
                <w:szCs w:val="18"/>
                <w:lang w:eastAsia="en-AU"/>
              </w:rPr>
            </w:pPr>
            <w:r w:rsidRPr="001B09E6">
              <w:rPr>
                <w:rFonts w:asciiTheme="minorHAnsi" w:hAnsiTheme="minorHAnsi"/>
                <w:szCs w:val="18"/>
                <w:lang w:eastAsia="en-AU"/>
              </w:rPr>
              <w:t>2011</w:t>
            </w:r>
          </w:p>
        </w:tc>
      </w:tr>
      <w:tr w:rsidR="00E45705" w:rsidRPr="001B09E6" w14:paraId="69458DE4" w14:textId="77777777" w:rsidTr="00E45705">
        <w:trPr>
          <w:trHeight w:val="300"/>
        </w:trPr>
        <w:tc>
          <w:tcPr>
            <w:tcW w:w="530" w:type="pct"/>
            <w:tcBorders>
              <w:top w:val="single" w:sz="4" w:space="0" w:color="auto"/>
              <w:left w:val="nil"/>
              <w:bottom w:val="nil"/>
              <w:right w:val="nil"/>
            </w:tcBorders>
            <w:shd w:val="clear" w:color="auto" w:fill="auto"/>
            <w:noWrap/>
            <w:hideMark/>
          </w:tcPr>
          <w:p w14:paraId="4F616845" w14:textId="77777777" w:rsidR="00E45705" w:rsidRPr="001B09E6" w:rsidRDefault="00E45705" w:rsidP="00E45705">
            <w:pPr>
              <w:pStyle w:val="TableCellText"/>
              <w:spacing w:before="0" w:after="0"/>
              <w:jc w:val="center"/>
            </w:pPr>
            <w:r w:rsidRPr="001B09E6">
              <w:t>9 - 10</w:t>
            </w:r>
          </w:p>
        </w:tc>
        <w:tc>
          <w:tcPr>
            <w:tcW w:w="373" w:type="pct"/>
            <w:tcBorders>
              <w:top w:val="single" w:sz="4" w:space="0" w:color="auto"/>
              <w:left w:val="nil"/>
              <w:bottom w:val="nil"/>
              <w:right w:val="nil"/>
            </w:tcBorders>
            <w:shd w:val="clear" w:color="auto" w:fill="auto"/>
            <w:noWrap/>
            <w:hideMark/>
          </w:tcPr>
          <w:p w14:paraId="66E9F874" w14:textId="77777777" w:rsidR="00E45705" w:rsidRPr="001B09E6" w:rsidRDefault="00E45705" w:rsidP="00E45705">
            <w:pPr>
              <w:pStyle w:val="TableCellText"/>
              <w:spacing w:before="0" w:after="0"/>
              <w:jc w:val="center"/>
            </w:pPr>
            <w:r w:rsidRPr="001B09E6">
              <w:t>96.1</w:t>
            </w:r>
          </w:p>
        </w:tc>
        <w:tc>
          <w:tcPr>
            <w:tcW w:w="373" w:type="pct"/>
            <w:tcBorders>
              <w:top w:val="single" w:sz="4" w:space="0" w:color="auto"/>
              <w:left w:val="nil"/>
              <w:bottom w:val="nil"/>
              <w:right w:val="nil"/>
            </w:tcBorders>
            <w:shd w:val="clear" w:color="auto" w:fill="auto"/>
            <w:noWrap/>
            <w:hideMark/>
          </w:tcPr>
          <w:p w14:paraId="38ED6EBB" w14:textId="77777777" w:rsidR="00E45705" w:rsidRPr="001B09E6" w:rsidRDefault="00E45705" w:rsidP="00E45705">
            <w:pPr>
              <w:pStyle w:val="TableCellText"/>
              <w:spacing w:before="0" w:after="0"/>
              <w:jc w:val="center"/>
            </w:pPr>
            <w:r w:rsidRPr="001B09E6">
              <w:t>96.2</w:t>
            </w:r>
          </w:p>
        </w:tc>
        <w:tc>
          <w:tcPr>
            <w:tcW w:w="373" w:type="pct"/>
            <w:tcBorders>
              <w:top w:val="single" w:sz="4" w:space="0" w:color="auto"/>
              <w:left w:val="nil"/>
              <w:bottom w:val="nil"/>
              <w:right w:val="nil"/>
            </w:tcBorders>
            <w:shd w:val="clear" w:color="auto" w:fill="auto"/>
            <w:noWrap/>
            <w:hideMark/>
          </w:tcPr>
          <w:p w14:paraId="07BDC7B1" w14:textId="77777777" w:rsidR="00E45705" w:rsidRPr="001B09E6" w:rsidRDefault="00E45705" w:rsidP="00E45705">
            <w:pPr>
              <w:pStyle w:val="TableCellText"/>
              <w:spacing w:before="0" w:after="0"/>
              <w:jc w:val="center"/>
            </w:pPr>
            <w:r w:rsidRPr="001B09E6">
              <w:t>96.4</w:t>
            </w:r>
          </w:p>
        </w:tc>
        <w:tc>
          <w:tcPr>
            <w:tcW w:w="373" w:type="pct"/>
            <w:tcBorders>
              <w:top w:val="single" w:sz="4" w:space="0" w:color="auto"/>
              <w:left w:val="nil"/>
              <w:bottom w:val="nil"/>
              <w:right w:val="nil"/>
            </w:tcBorders>
            <w:shd w:val="clear" w:color="auto" w:fill="auto"/>
            <w:noWrap/>
            <w:hideMark/>
          </w:tcPr>
          <w:p w14:paraId="16A276EB" w14:textId="77777777" w:rsidR="00E45705" w:rsidRPr="001B09E6" w:rsidRDefault="00E45705" w:rsidP="00E45705">
            <w:pPr>
              <w:pStyle w:val="TableCellText"/>
              <w:spacing w:before="0" w:after="0"/>
              <w:jc w:val="center"/>
            </w:pPr>
            <w:r w:rsidRPr="001B09E6">
              <w:t>96.9</w:t>
            </w:r>
          </w:p>
        </w:tc>
        <w:tc>
          <w:tcPr>
            <w:tcW w:w="373" w:type="pct"/>
            <w:tcBorders>
              <w:top w:val="single" w:sz="4" w:space="0" w:color="auto"/>
              <w:left w:val="nil"/>
              <w:bottom w:val="nil"/>
              <w:right w:val="nil"/>
            </w:tcBorders>
            <w:shd w:val="clear" w:color="auto" w:fill="auto"/>
            <w:noWrap/>
            <w:hideMark/>
          </w:tcPr>
          <w:p w14:paraId="71B8CFE3" w14:textId="77777777" w:rsidR="00E45705" w:rsidRPr="001B09E6" w:rsidRDefault="00E45705" w:rsidP="00E45705">
            <w:pPr>
              <w:pStyle w:val="TableCellText"/>
              <w:spacing w:before="0" w:after="0"/>
              <w:jc w:val="center"/>
            </w:pPr>
            <w:r w:rsidRPr="001B09E6">
              <w:t>96.8</w:t>
            </w:r>
          </w:p>
        </w:tc>
        <w:tc>
          <w:tcPr>
            <w:tcW w:w="373" w:type="pct"/>
            <w:tcBorders>
              <w:top w:val="single" w:sz="4" w:space="0" w:color="auto"/>
              <w:left w:val="nil"/>
              <w:bottom w:val="nil"/>
              <w:right w:val="nil"/>
            </w:tcBorders>
            <w:shd w:val="clear" w:color="auto" w:fill="auto"/>
            <w:noWrap/>
            <w:hideMark/>
          </w:tcPr>
          <w:p w14:paraId="5A0C3259" w14:textId="77777777" w:rsidR="00E45705" w:rsidRPr="001B09E6" w:rsidRDefault="00E45705" w:rsidP="00E45705">
            <w:pPr>
              <w:pStyle w:val="TableCellText"/>
              <w:spacing w:before="0" w:after="0"/>
              <w:jc w:val="center"/>
            </w:pPr>
            <w:r w:rsidRPr="001B09E6">
              <w:t>96.6</w:t>
            </w:r>
          </w:p>
        </w:tc>
        <w:tc>
          <w:tcPr>
            <w:tcW w:w="373" w:type="pct"/>
            <w:tcBorders>
              <w:top w:val="single" w:sz="4" w:space="0" w:color="auto"/>
              <w:left w:val="nil"/>
              <w:bottom w:val="nil"/>
              <w:right w:val="nil"/>
            </w:tcBorders>
            <w:shd w:val="clear" w:color="auto" w:fill="auto"/>
            <w:noWrap/>
            <w:hideMark/>
          </w:tcPr>
          <w:p w14:paraId="20F455FA" w14:textId="77777777" w:rsidR="00E45705" w:rsidRPr="001B09E6" w:rsidRDefault="00E45705" w:rsidP="00E45705">
            <w:pPr>
              <w:pStyle w:val="TableCellText"/>
              <w:spacing w:before="0" w:after="0"/>
              <w:jc w:val="center"/>
            </w:pPr>
            <w:r w:rsidRPr="001B09E6">
              <w:t>97.0</w:t>
            </w:r>
          </w:p>
        </w:tc>
        <w:tc>
          <w:tcPr>
            <w:tcW w:w="373" w:type="pct"/>
            <w:tcBorders>
              <w:top w:val="single" w:sz="4" w:space="0" w:color="auto"/>
              <w:left w:val="nil"/>
              <w:bottom w:val="nil"/>
              <w:right w:val="nil"/>
            </w:tcBorders>
            <w:shd w:val="clear" w:color="auto" w:fill="auto"/>
            <w:noWrap/>
            <w:hideMark/>
          </w:tcPr>
          <w:p w14:paraId="589322E6" w14:textId="77777777" w:rsidR="00E45705" w:rsidRPr="001B09E6" w:rsidRDefault="00E45705" w:rsidP="00E45705">
            <w:pPr>
              <w:pStyle w:val="TableCellText"/>
              <w:spacing w:before="0" w:after="0"/>
              <w:jc w:val="center"/>
            </w:pPr>
            <w:r w:rsidRPr="001B09E6">
              <w:t>97.0</w:t>
            </w:r>
          </w:p>
        </w:tc>
        <w:tc>
          <w:tcPr>
            <w:tcW w:w="373" w:type="pct"/>
            <w:tcBorders>
              <w:top w:val="single" w:sz="4" w:space="0" w:color="auto"/>
              <w:left w:val="nil"/>
              <w:bottom w:val="nil"/>
              <w:right w:val="nil"/>
            </w:tcBorders>
            <w:shd w:val="clear" w:color="auto" w:fill="auto"/>
            <w:noWrap/>
            <w:hideMark/>
          </w:tcPr>
          <w:p w14:paraId="1FAEAB8C" w14:textId="77777777" w:rsidR="00E45705" w:rsidRPr="001B09E6" w:rsidRDefault="00E45705" w:rsidP="00E45705">
            <w:pPr>
              <w:pStyle w:val="TableCellText"/>
              <w:spacing w:before="0" w:after="0"/>
              <w:jc w:val="center"/>
            </w:pPr>
            <w:r w:rsidRPr="001B09E6">
              <w:t>97.1</w:t>
            </w:r>
          </w:p>
        </w:tc>
        <w:tc>
          <w:tcPr>
            <w:tcW w:w="373" w:type="pct"/>
            <w:tcBorders>
              <w:top w:val="single" w:sz="4" w:space="0" w:color="auto"/>
              <w:left w:val="nil"/>
              <w:bottom w:val="nil"/>
              <w:right w:val="nil"/>
            </w:tcBorders>
            <w:shd w:val="clear" w:color="auto" w:fill="auto"/>
            <w:noWrap/>
            <w:hideMark/>
          </w:tcPr>
          <w:p w14:paraId="0AF7D31C" w14:textId="77777777" w:rsidR="00E45705" w:rsidRPr="001B09E6" w:rsidRDefault="00E45705" w:rsidP="00E45705">
            <w:pPr>
              <w:pStyle w:val="TableCellText"/>
              <w:spacing w:before="0" w:after="0"/>
              <w:jc w:val="center"/>
            </w:pPr>
            <w:r w:rsidRPr="001B09E6">
              <w:t>96.9</w:t>
            </w:r>
          </w:p>
        </w:tc>
        <w:tc>
          <w:tcPr>
            <w:tcW w:w="373" w:type="pct"/>
            <w:tcBorders>
              <w:top w:val="single" w:sz="4" w:space="0" w:color="auto"/>
              <w:left w:val="nil"/>
              <w:bottom w:val="nil"/>
              <w:right w:val="nil"/>
            </w:tcBorders>
            <w:shd w:val="clear" w:color="auto" w:fill="auto"/>
            <w:noWrap/>
            <w:hideMark/>
          </w:tcPr>
          <w:p w14:paraId="606A83F4" w14:textId="77777777" w:rsidR="00E45705" w:rsidRPr="001B09E6" w:rsidRDefault="00E45705" w:rsidP="00E45705">
            <w:pPr>
              <w:pStyle w:val="TableCellText"/>
              <w:spacing w:before="0" w:after="0"/>
              <w:jc w:val="center"/>
            </w:pPr>
            <w:r w:rsidRPr="001B09E6">
              <w:t>98.1</w:t>
            </w:r>
          </w:p>
        </w:tc>
        <w:tc>
          <w:tcPr>
            <w:tcW w:w="373" w:type="pct"/>
            <w:tcBorders>
              <w:top w:val="single" w:sz="4" w:space="0" w:color="auto"/>
              <w:left w:val="nil"/>
              <w:bottom w:val="nil"/>
              <w:right w:val="nil"/>
            </w:tcBorders>
            <w:shd w:val="clear" w:color="auto" w:fill="auto"/>
            <w:noWrap/>
            <w:hideMark/>
          </w:tcPr>
          <w:p w14:paraId="71551CFA" w14:textId="77777777" w:rsidR="00E45705" w:rsidRPr="001B09E6" w:rsidRDefault="00E45705" w:rsidP="00E45705">
            <w:pPr>
              <w:pStyle w:val="TableCellText"/>
              <w:spacing w:before="0" w:after="0"/>
              <w:jc w:val="center"/>
            </w:pPr>
            <w:r w:rsidRPr="001B09E6">
              <w:t>98.7</w:t>
            </w:r>
          </w:p>
        </w:tc>
      </w:tr>
      <w:tr w:rsidR="00E45705" w:rsidRPr="001B09E6" w14:paraId="720B7F70" w14:textId="77777777" w:rsidTr="00E45705">
        <w:trPr>
          <w:trHeight w:val="300"/>
        </w:trPr>
        <w:tc>
          <w:tcPr>
            <w:tcW w:w="530" w:type="pct"/>
            <w:tcBorders>
              <w:top w:val="nil"/>
              <w:left w:val="nil"/>
              <w:bottom w:val="nil"/>
              <w:right w:val="nil"/>
            </w:tcBorders>
            <w:shd w:val="clear" w:color="auto" w:fill="auto"/>
            <w:noWrap/>
            <w:hideMark/>
          </w:tcPr>
          <w:p w14:paraId="2C615366" w14:textId="77777777" w:rsidR="00E45705" w:rsidRPr="001B09E6" w:rsidRDefault="00E45705" w:rsidP="00E45705">
            <w:pPr>
              <w:pStyle w:val="TableCellText"/>
              <w:spacing w:before="0" w:after="0"/>
              <w:jc w:val="center"/>
            </w:pPr>
            <w:r w:rsidRPr="001B09E6">
              <w:t>10 - 11</w:t>
            </w:r>
          </w:p>
        </w:tc>
        <w:tc>
          <w:tcPr>
            <w:tcW w:w="373" w:type="pct"/>
            <w:tcBorders>
              <w:top w:val="nil"/>
              <w:left w:val="nil"/>
              <w:bottom w:val="nil"/>
              <w:right w:val="nil"/>
            </w:tcBorders>
            <w:shd w:val="clear" w:color="auto" w:fill="auto"/>
            <w:noWrap/>
            <w:hideMark/>
          </w:tcPr>
          <w:p w14:paraId="2CC9354A" w14:textId="77777777" w:rsidR="00E45705" w:rsidRPr="001B09E6" w:rsidRDefault="00E45705" w:rsidP="00E45705">
            <w:pPr>
              <w:pStyle w:val="TableCellText"/>
              <w:spacing w:before="0" w:after="0"/>
              <w:jc w:val="center"/>
            </w:pPr>
            <w:r w:rsidRPr="001B09E6">
              <w:t>85.5</w:t>
            </w:r>
          </w:p>
        </w:tc>
        <w:tc>
          <w:tcPr>
            <w:tcW w:w="373" w:type="pct"/>
            <w:tcBorders>
              <w:top w:val="nil"/>
              <w:left w:val="nil"/>
              <w:bottom w:val="nil"/>
              <w:right w:val="nil"/>
            </w:tcBorders>
            <w:shd w:val="clear" w:color="auto" w:fill="auto"/>
            <w:noWrap/>
            <w:hideMark/>
          </w:tcPr>
          <w:p w14:paraId="3E0E2B6E" w14:textId="77777777" w:rsidR="00E45705" w:rsidRPr="001B09E6" w:rsidRDefault="00E45705" w:rsidP="00E45705">
            <w:pPr>
              <w:pStyle w:val="TableCellText"/>
              <w:spacing w:before="0" w:after="0"/>
              <w:jc w:val="center"/>
            </w:pPr>
            <w:r w:rsidRPr="001B09E6">
              <w:t>86.2</w:t>
            </w:r>
          </w:p>
        </w:tc>
        <w:tc>
          <w:tcPr>
            <w:tcW w:w="373" w:type="pct"/>
            <w:tcBorders>
              <w:top w:val="nil"/>
              <w:left w:val="nil"/>
              <w:bottom w:val="nil"/>
              <w:right w:val="nil"/>
            </w:tcBorders>
            <w:shd w:val="clear" w:color="auto" w:fill="auto"/>
            <w:noWrap/>
            <w:hideMark/>
          </w:tcPr>
          <w:p w14:paraId="40A4E2BE" w14:textId="77777777" w:rsidR="00E45705" w:rsidRPr="001B09E6" w:rsidRDefault="00E45705" w:rsidP="00E45705">
            <w:pPr>
              <w:pStyle w:val="TableCellText"/>
              <w:spacing w:before="0" w:after="0"/>
              <w:jc w:val="center"/>
            </w:pPr>
            <w:r w:rsidRPr="001B09E6">
              <w:t>86.7</w:t>
            </w:r>
          </w:p>
        </w:tc>
        <w:tc>
          <w:tcPr>
            <w:tcW w:w="373" w:type="pct"/>
            <w:tcBorders>
              <w:top w:val="nil"/>
              <w:left w:val="nil"/>
              <w:bottom w:val="nil"/>
              <w:right w:val="nil"/>
            </w:tcBorders>
            <w:shd w:val="clear" w:color="auto" w:fill="auto"/>
            <w:noWrap/>
            <w:hideMark/>
          </w:tcPr>
          <w:p w14:paraId="109B6D51" w14:textId="77777777" w:rsidR="00E45705" w:rsidRPr="001B09E6" w:rsidRDefault="00E45705" w:rsidP="00E45705">
            <w:pPr>
              <w:pStyle w:val="TableCellText"/>
              <w:spacing w:before="0" w:after="0"/>
              <w:jc w:val="center"/>
            </w:pPr>
            <w:r w:rsidRPr="001B09E6">
              <w:t>87.6</w:t>
            </w:r>
          </w:p>
        </w:tc>
        <w:tc>
          <w:tcPr>
            <w:tcW w:w="373" w:type="pct"/>
            <w:tcBorders>
              <w:top w:val="nil"/>
              <w:left w:val="nil"/>
              <w:bottom w:val="nil"/>
              <w:right w:val="nil"/>
            </w:tcBorders>
            <w:shd w:val="clear" w:color="auto" w:fill="auto"/>
            <w:noWrap/>
            <w:hideMark/>
          </w:tcPr>
          <w:p w14:paraId="35BD6B2F" w14:textId="77777777" w:rsidR="00E45705" w:rsidRPr="001B09E6" w:rsidRDefault="00E45705" w:rsidP="00E45705">
            <w:pPr>
              <w:pStyle w:val="TableCellText"/>
              <w:spacing w:before="0" w:after="0"/>
              <w:jc w:val="center"/>
            </w:pPr>
            <w:r w:rsidRPr="001B09E6">
              <w:t>87.1</w:t>
            </w:r>
          </w:p>
        </w:tc>
        <w:tc>
          <w:tcPr>
            <w:tcW w:w="373" w:type="pct"/>
            <w:tcBorders>
              <w:top w:val="nil"/>
              <w:left w:val="nil"/>
              <w:bottom w:val="nil"/>
              <w:right w:val="nil"/>
            </w:tcBorders>
            <w:shd w:val="clear" w:color="auto" w:fill="auto"/>
            <w:noWrap/>
            <w:hideMark/>
          </w:tcPr>
          <w:p w14:paraId="3EC5AABD" w14:textId="77777777" w:rsidR="00E45705" w:rsidRPr="001B09E6" w:rsidRDefault="00E45705" w:rsidP="00E45705">
            <w:pPr>
              <w:pStyle w:val="TableCellText"/>
              <w:spacing w:before="0" w:after="0"/>
              <w:jc w:val="center"/>
            </w:pPr>
            <w:r w:rsidRPr="001B09E6">
              <w:t>86.5</w:t>
            </w:r>
          </w:p>
        </w:tc>
        <w:tc>
          <w:tcPr>
            <w:tcW w:w="373" w:type="pct"/>
            <w:tcBorders>
              <w:top w:val="nil"/>
              <w:left w:val="nil"/>
              <w:bottom w:val="nil"/>
              <w:right w:val="nil"/>
            </w:tcBorders>
            <w:shd w:val="clear" w:color="auto" w:fill="auto"/>
            <w:noWrap/>
            <w:hideMark/>
          </w:tcPr>
          <w:p w14:paraId="4033E522" w14:textId="77777777" w:rsidR="00E45705" w:rsidRPr="001B09E6" w:rsidRDefault="00E45705" w:rsidP="00E45705">
            <w:pPr>
              <w:pStyle w:val="TableCellText"/>
              <w:spacing w:before="0" w:after="0"/>
              <w:jc w:val="center"/>
            </w:pPr>
            <w:r w:rsidRPr="001B09E6">
              <w:t>87.4</w:t>
            </w:r>
          </w:p>
        </w:tc>
        <w:tc>
          <w:tcPr>
            <w:tcW w:w="373" w:type="pct"/>
            <w:tcBorders>
              <w:top w:val="nil"/>
              <w:left w:val="nil"/>
              <w:bottom w:val="nil"/>
              <w:right w:val="nil"/>
            </w:tcBorders>
            <w:shd w:val="clear" w:color="auto" w:fill="auto"/>
            <w:noWrap/>
            <w:hideMark/>
          </w:tcPr>
          <w:p w14:paraId="21EA2657" w14:textId="77777777" w:rsidR="00E45705" w:rsidRPr="001B09E6" w:rsidRDefault="00E45705" w:rsidP="00E45705">
            <w:pPr>
              <w:pStyle w:val="TableCellText"/>
              <w:spacing w:before="0" w:after="0"/>
              <w:jc w:val="center"/>
            </w:pPr>
            <w:r w:rsidRPr="001B09E6">
              <w:t>87.0</w:t>
            </w:r>
          </w:p>
        </w:tc>
        <w:tc>
          <w:tcPr>
            <w:tcW w:w="373" w:type="pct"/>
            <w:tcBorders>
              <w:top w:val="nil"/>
              <w:left w:val="nil"/>
              <w:bottom w:val="nil"/>
              <w:right w:val="nil"/>
            </w:tcBorders>
            <w:shd w:val="clear" w:color="auto" w:fill="auto"/>
            <w:noWrap/>
            <w:hideMark/>
          </w:tcPr>
          <w:p w14:paraId="2ECD9B0B" w14:textId="77777777" w:rsidR="00E45705" w:rsidRPr="001B09E6" w:rsidRDefault="00E45705" w:rsidP="00E45705">
            <w:pPr>
              <w:pStyle w:val="TableCellText"/>
              <w:spacing w:before="0" w:after="0"/>
              <w:jc w:val="center"/>
            </w:pPr>
            <w:r w:rsidRPr="001B09E6">
              <w:t>86.6</w:t>
            </w:r>
          </w:p>
        </w:tc>
        <w:tc>
          <w:tcPr>
            <w:tcW w:w="373" w:type="pct"/>
            <w:tcBorders>
              <w:top w:val="nil"/>
              <w:left w:val="nil"/>
              <w:bottom w:val="nil"/>
              <w:right w:val="nil"/>
            </w:tcBorders>
            <w:shd w:val="clear" w:color="auto" w:fill="auto"/>
            <w:noWrap/>
            <w:hideMark/>
          </w:tcPr>
          <w:p w14:paraId="20C1BAC2" w14:textId="77777777" w:rsidR="00E45705" w:rsidRPr="001B09E6" w:rsidRDefault="00E45705" w:rsidP="00E45705">
            <w:pPr>
              <w:pStyle w:val="TableCellText"/>
              <w:spacing w:before="0" w:after="0"/>
              <w:jc w:val="center"/>
            </w:pPr>
            <w:r w:rsidRPr="001B09E6">
              <w:t>87.9</w:t>
            </w:r>
          </w:p>
        </w:tc>
        <w:tc>
          <w:tcPr>
            <w:tcW w:w="373" w:type="pct"/>
            <w:tcBorders>
              <w:top w:val="nil"/>
              <w:left w:val="nil"/>
              <w:bottom w:val="nil"/>
              <w:right w:val="nil"/>
            </w:tcBorders>
            <w:shd w:val="clear" w:color="auto" w:fill="auto"/>
            <w:noWrap/>
            <w:hideMark/>
          </w:tcPr>
          <w:p w14:paraId="43265C13" w14:textId="77777777" w:rsidR="00E45705" w:rsidRPr="001B09E6" w:rsidRDefault="00E45705" w:rsidP="00E45705">
            <w:pPr>
              <w:pStyle w:val="TableCellText"/>
              <w:spacing w:before="0" w:after="0"/>
              <w:jc w:val="center"/>
            </w:pPr>
            <w:r w:rsidRPr="001B09E6">
              <w:t>89.3</w:t>
            </w:r>
          </w:p>
        </w:tc>
        <w:tc>
          <w:tcPr>
            <w:tcW w:w="373" w:type="pct"/>
            <w:tcBorders>
              <w:top w:val="nil"/>
              <w:left w:val="nil"/>
              <w:bottom w:val="nil"/>
              <w:right w:val="nil"/>
            </w:tcBorders>
            <w:shd w:val="clear" w:color="auto" w:fill="auto"/>
            <w:noWrap/>
            <w:hideMark/>
          </w:tcPr>
          <w:p w14:paraId="31A71633" w14:textId="77777777" w:rsidR="00E45705" w:rsidRPr="001B09E6" w:rsidRDefault="00E45705" w:rsidP="00E45705">
            <w:pPr>
              <w:pStyle w:val="TableCellText"/>
              <w:spacing w:before="0" w:after="0"/>
              <w:jc w:val="center"/>
            </w:pPr>
            <w:r w:rsidRPr="001B09E6">
              <w:t>90.0</w:t>
            </w:r>
          </w:p>
        </w:tc>
      </w:tr>
      <w:tr w:rsidR="00E45705" w:rsidRPr="001B09E6" w14:paraId="3DD543BA" w14:textId="77777777" w:rsidTr="00E45705">
        <w:trPr>
          <w:trHeight w:val="300"/>
        </w:trPr>
        <w:tc>
          <w:tcPr>
            <w:tcW w:w="530" w:type="pct"/>
            <w:tcBorders>
              <w:top w:val="nil"/>
              <w:left w:val="nil"/>
              <w:bottom w:val="single" w:sz="4" w:space="0" w:color="auto"/>
              <w:right w:val="nil"/>
            </w:tcBorders>
            <w:shd w:val="clear" w:color="auto" w:fill="auto"/>
            <w:noWrap/>
            <w:hideMark/>
          </w:tcPr>
          <w:p w14:paraId="3E24CE85" w14:textId="77777777" w:rsidR="00E45705" w:rsidRPr="001B09E6" w:rsidRDefault="00E45705" w:rsidP="00E45705">
            <w:pPr>
              <w:pStyle w:val="TableCellText"/>
              <w:spacing w:before="0" w:after="0"/>
              <w:jc w:val="center"/>
            </w:pPr>
            <w:r w:rsidRPr="001B09E6">
              <w:t>11 - 12</w:t>
            </w:r>
          </w:p>
        </w:tc>
        <w:tc>
          <w:tcPr>
            <w:tcW w:w="373" w:type="pct"/>
            <w:tcBorders>
              <w:top w:val="nil"/>
              <w:left w:val="nil"/>
              <w:bottom w:val="single" w:sz="4" w:space="0" w:color="auto"/>
              <w:right w:val="nil"/>
            </w:tcBorders>
            <w:shd w:val="clear" w:color="auto" w:fill="auto"/>
            <w:noWrap/>
            <w:hideMark/>
          </w:tcPr>
          <w:p w14:paraId="25138E46" w14:textId="77777777" w:rsidR="00E45705" w:rsidRPr="001B09E6" w:rsidRDefault="00E45705" w:rsidP="00E45705">
            <w:pPr>
              <w:pStyle w:val="TableCellText"/>
              <w:spacing w:before="0" w:after="0"/>
              <w:jc w:val="center"/>
            </w:pPr>
            <w:r w:rsidRPr="001B09E6">
              <w:t>83.8</w:t>
            </w:r>
          </w:p>
        </w:tc>
        <w:tc>
          <w:tcPr>
            <w:tcW w:w="373" w:type="pct"/>
            <w:tcBorders>
              <w:top w:val="nil"/>
              <w:left w:val="nil"/>
              <w:bottom w:val="single" w:sz="4" w:space="0" w:color="auto"/>
              <w:right w:val="nil"/>
            </w:tcBorders>
            <w:shd w:val="clear" w:color="auto" w:fill="auto"/>
            <w:noWrap/>
            <w:hideMark/>
          </w:tcPr>
          <w:p w14:paraId="7A45D19E" w14:textId="77777777" w:rsidR="00E45705" w:rsidRPr="001B09E6" w:rsidRDefault="00E45705" w:rsidP="00E45705">
            <w:pPr>
              <w:pStyle w:val="TableCellText"/>
              <w:spacing w:before="0" w:after="0"/>
              <w:jc w:val="center"/>
            </w:pPr>
            <w:r w:rsidRPr="001B09E6">
              <w:t>84.9</w:t>
            </w:r>
          </w:p>
        </w:tc>
        <w:tc>
          <w:tcPr>
            <w:tcW w:w="373" w:type="pct"/>
            <w:tcBorders>
              <w:top w:val="nil"/>
              <w:left w:val="nil"/>
              <w:bottom w:val="single" w:sz="4" w:space="0" w:color="auto"/>
              <w:right w:val="nil"/>
            </w:tcBorders>
            <w:shd w:val="clear" w:color="auto" w:fill="auto"/>
            <w:noWrap/>
            <w:hideMark/>
          </w:tcPr>
          <w:p w14:paraId="63879175" w14:textId="77777777" w:rsidR="00E45705" w:rsidRPr="001B09E6" w:rsidRDefault="00E45705" w:rsidP="00E45705">
            <w:pPr>
              <w:pStyle w:val="TableCellText"/>
              <w:spacing w:before="0" w:after="0"/>
              <w:jc w:val="center"/>
            </w:pPr>
            <w:r w:rsidRPr="001B09E6">
              <w:t>85.4</w:t>
            </w:r>
          </w:p>
        </w:tc>
        <w:tc>
          <w:tcPr>
            <w:tcW w:w="373" w:type="pct"/>
            <w:tcBorders>
              <w:top w:val="nil"/>
              <w:left w:val="nil"/>
              <w:bottom w:val="single" w:sz="4" w:space="0" w:color="auto"/>
              <w:right w:val="nil"/>
            </w:tcBorders>
            <w:shd w:val="clear" w:color="auto" w:fill="auto"/>
            <w:noWrap/>
            <w:hideMark/>
          </w:tcPr>
          <w:p w14:paraId="62E42778" w14:textId="77777777" w:rsidR="00E45705" w:rsidRPr="001B09E6" w:rsidRDefault="00E45705" w:rsidP="00E45705">
            <w:pPr>
              <w:pStyle w:val="TableCellText"/>
              <w:spacing w:before="0" w:after="0"/>
              <w:jc w:val="center"/>
            </w:pPr>
            <w:r w:rsidRPr="001B09E6">
              <w:t>84.7</w:t>
            </w:r>
          </w:p>
        </w:tc>
        <w:tc>
          <w:tcPr>
            <w:tcW w:w="373" w:type="pct"/>
            <w:tcBorders>
              <w:top w:val="nil"/>
              <w:left w:val="nil"/>
              <w:bottom w:val="single" w:sz="4" w:space="0" w:color="auto"/>
              <w:right w:val="nil"/>
            </w:tcBorders>
            <w:shd w:val="clear" w:color="auto" w:fill="auto"/>
            <w:noWrap/>
            <w:hideMark/>
          </w:tcPr>
          <w:p w14:paraId="65CB0AFF" w14:textId="77777777" w:rsidR="00E45705" w:rsidRPr="001B09E6" w:rsidRDefault="00E45705" w:rsidP="00E45705">
            <w:pPr>
              <w:pStyle w:val="TableCellText"/>
              <w:spacing w:before="0" w:after="0"/>
              <w:jc w:val="center"/>
            </w:pPr>
            <w:r w:rsidRPr="001B09E6">
              <w:t>84.6</w:t>
            </w:r>
          </w:p>
        </w:tc>
        <w:tc>
          <w:tcPr>
            <w:tcW w:w="373" w:type="pct"/>
            <w:tcBorders>
              <w:top w:val="nil"/>
              <w:left w:val="nil"/>
              <w:bottom w:val="single" w:sz="4" w:space="0" w:color="auto"/>
              <w:right w:val="nil"/>
            </w:tcBorders>
            <w:shd w:val="clear" w:color="auto" w:fill="auto"/>
            <w:noWrap/>
            <w:hideMark/>
          </w:tcPr>
          <w:p w14:paraId="3971C1C3" w14:textId="77777777" w:rsidR="00E45705" w:rsidRPr="001B09E6" w:rsidRDefault="00E45705" w:rsidP="00E45705">
            <w:pPr>
              <w:pStyle w:val="TableCellText"/>
              <w:spacing w:before="0" w:after="0"/>
              <w:jc w:val="center"/>
            </w:pPr>
            <w:r w:rsidRPr="001B09E6">
              <w:t>84.4</w:t>
            </w:r>
          </w:p>
        </w:tc>
        <w:tc>
          <w:tcPr>
            <w:tcW w:w="373" w:type="pct"/>
            <w:tcBorders>
              <w:top w:val="nil"/>
              <w:left w:val="nil"/>
              <w:bottom w:val="single" w:sz="4" w:space="0" w:color="auto"/>
              <w:right w:val="nil"/>
            </w:tcBorders>
            <w:shd w:val="clear" w:color="auto" w:fill="auto"/>
            <w:noWrap/>
            <w:hideMark/>
          </w:tcPr>
          <w:p w14:paraId="5C23299C" w14:textId="77777777" w:rsidR="00E45705" w:rsidRPr="001B09E6" w:rsidRDefault="00E45705" w:rsidP="00E45705">
            <w:pPr>
              <w:pStyle w:val="TableCellText"/>
              <w:spacing w:before="0" w:after="0"/>
              <w:jc w:val="center"/>
            </w:pPr>
            <w:r w:rsidRPr="001B09E6">
              <w:t>84.6</w:t>
            </w:r>
          </w:p>
        </w:tc>
        <w:tc>
          <w:tcPr>
            <w:tcW w:w="373" w:type="pct"/>
            <w:tcBorders>
              <w:top w:val="nil"/>
              <w:left w:val="nil"/>
              <w:bottom w:val="single" w:sz="4" w:space="0" w:color="auto"/>
              <w:right w:val="nil"/>
            </w:tcBorders>
            <w:shd w:val="clear" w:color="auto" w:fill="auto"/>
            <w:noWrap/>
            <w:hideMark/>
          </w:tcPr>
          <w:p w14:paraId="4C00225C" w14:textId="77777777" w:rsidR="00E45705" w:rsidRPr="001B09E6" w:rsidRDefault="00E45705" w:rsidP="00E45705">
            <w:pPr>
              <w:pStyle w:val="TableCellText"/>
              <w:spacing w:before="0" w:after="0"/>
              <w:jc w:val="center"/>
            </w:pPr>
            <w:r w:rsidRPr="001B09E6">
              <w:t>82.9</w:t>
            </w:r>
          </w:p>
        </w:tc>
        <w:tc>
          <w:tcPr>
            <w:tcW w:w="373" w:type="pct"/>
            <w:tcBorders>
              <w:top w:val="nil"/>
              <w:left w:val="nil"/>
              <w:bottom w:val="single" w:sz="4" w:space="0" w:color="auto"/>
              <w:right w:val="nil"/>
            </w:tcBorders>
            <w:shd w:val="clear" w:color="auto" w:fill="auto"/>
            <w:noWrap/>
            <w:hideMark/>
          </w:tcPr>
          <w:p w14:paraId="3C32F159" w14:textId="77777777" w:rsidR="00E45705" w:rsidRPr="001B09E6" w:rsidRDefault="00E45705" w:rsidP="00E45705">
            <w:pPr>
              <w:pStyle w:val="TableCellText"/>
              <w:spacing w:before="0" w:after="0"/>
              <w:jc w:val="center"/>
            </w:pPr>
            <w:r w:rsidRPr="001B09E6">
              <w:t>82.6</w:t>
            </w:r>
          </w:p>
        </w:tc>
        <w:tc>
          <w:tcPr>
            <w:tcW w:w="373" w:type="pct"/>
            <w:tcBorders>
              <w:top w:val="nil"/>
              <w:left w:val="nil"/>
              <w:bottom w:val="single" w:sz="4" w:space="0" w:color="auto"/>
              <w:right w:val="nil"/>
            </w:tcBorders>
            <w:shd w:val="clear" w:color="auto" w:fill="auto"/>
            <w:noWrap/>
            <w:hideMark/>
          </w:tcPr>
          <w:p w14:paraId="0961B994" w14:textId="77777777" w:rsidR="00E45705" w:rsidRPr="001B09E6" w:rsidRDefault="00E45705" w:rsidP="00E45705">
            <w:pPr>
              <w:pStyle w:val="TableCellText"/>
              <w:spacing w:before="0" w:after="0"/>
              <w:jc w:val="center"/>
            </w:pPr>
            <w:r w:rsidRPr="001B09E6">
              <w:t>83.6</w:t>
            </w:r>
          </w:p>
        </w:tc>
        <w:tc>
          <w:tcPr>
            <w:tcW w:w="373" w:type="pct"/>
            <w:tcBorders>
              <w:top w:val="nil"/>
              <w:left w:val="nil"/>
              <w:bottom w:val="single" w:sz="4" w:space="0" w:color="auto"/>
              <w:right w:val="nil"/>
            </w:tcBorders>
            <w:shd w:val="clear" w:color="auto" w:fill="auto"/>
            <w:noWrap/>
            <w:hideMark/>
          </w:tcPr>
          <w:p w14:paraId="051918DE" w14:textId="77777777" w:rsidR="00E45705" w:rsidRPr="001B09E6" w:rsidRDefault="00E45705" w:rsidP="00E45705">
            <w:pPr>
              <w:pStyle w:val="TableCellText"/>
              <w:spacing w:before="0" w:after="0"/>
              <w:jc w:val="center"/>
            </w:pPr>
            <w:r w:rsidRPr="001B09E6">
              <w:t>84.3</w:t>
            </w:r>
          </w:p>
        </w:tc>
        <w:tc>
          <w:tcPr>
            <w:tcW w:w="373" w:type="pct"/>
            <w:tcBorders>
              <w:top w:val="nil"/>
              <w:left w:val="nil"/>
              <w:bottom w:val="single" w:sz="4" w:space="0" w:color="auto"/>
              <w:right w:val="nil"/>
            </w:tcBorders>
            <w:shd w:val="clear" w:color="auto" w:fill="auto"/>
            <w:noWrap/>
            <w:hideMark/>
          </w:tcPr>
          <w:p w14:paraId="2EDBB5AC" w14:textId="77777777" w:rsidR="00E45705" w:rsidRPr="001B09E6" w:rsidRDefault="00E45705" w:rsidP="00E45705">
            <w:pPr>
              <w:pStyle w:val="TableCellText"/>
              <w:spacing w:before="0" w:after="0"/>
              <w:jc w:val="center"/>
            </w:pPr>
            <w:r w:rsidRPr="001B09E6">
              <w:t>84.6</w:t>
            </w:r>
          </w:p>
        </w:tc>
      </w:tr>
    </w:tbl>
    <w:p w14:paraId="399411E9" w14:textId="77777777" w:rsidR="00E45705" w:rsidRPr="001B09E6" w:rsidRDefault="00E45705" w:rsidP="00E45705">
      <w:pPr>
        <w:pStyle w:val="Tablenote"/>
      </w:pPr>
      <w:r w:rsidRPr="001B09E6">
        <w:t>Source: Nation Schools Statistics Collection</w:t>
      </w:r>
    </w:p>
    <w:p w14:paraId="007FDB3C" w14:textId="77777777" w:rsidR="00E45705" w:rsidRPr="001B09E6" w:rsidRDefault="00E45705" w:rsidP="00E45705">
      <w:pPr>
        <w:pStyle w:val="Heading3NoNumbering"/>
        <w:rPr>
          <w:rFonts w:eastAsia="Times New Roman"/>
          <w:lang w:eastAsia="en-AU"/>
        </w:rPr>
      </w:pPr>
      <w:bookmarkStart w:id="140" w:name="_Toc333918981"/>
      <w:bookmarkStart w:id="141" w:name="_Toc192134393"/>
      <w:r w:rsidRPr="001B09E6">
        <w:rPr>
          <w:rFonts w:eastAsia="Times New Roman"/>
          <w:lang w:eastAsia="en-AU"/>
        </w:rPr>
        <w:t>Table A2.4 VET in Schools participation</w:t>
      </w:r>
      <w:bookmarkEnd w:id="140"/>
    </w:p>
    <w:p w14:paraId="440A3A21" w14:textId="77777777" w:rsidR="00E45705" w:rsidRPr="001B09E6" w:rsidRDefault="00E45705" w:rsidP="00E45705">
      <w:pPr>
        <w:pStyle w:val="TableHeading"/>
        <w:spacing w:before="112"/>
      </w:pPr>
      <w:r w:rsidRPr="001B09E6">
        <w:t>PERCENTAGE OF PERSONS AGED 15 TO 19 YEARS PARTICIPATING IN VET IN SCHOOLS BY SEX, 2005-2010</w:t>
      </w:r>
    </w:p>
    <w:tbl>
      <w:tblPr>
        <w:tblW w:w="5000" w:type="pct"/>
        <w:tblLook w:val="04A0" w:firstRow="1" w:lastRow="0" w:firstColumn="1" w:lastColumn="0" w:noHBand="0" w:noVBand="1"/>
        <w:tblCaption w:val="Table A2.4 VET in Schools participation PERCENTAGE OF PERSONS AGED 15 TO 19 YEARS PARTICIPATING IN VET IN SCHOOLS BY SEX, 2005-2010 "/>
        <w:tblDescription w:val="Table A2.4 VET in Schools participation&#10;PERCENTAGE OF PERSONS AGED 15 TO 19 YEARS PARTICIPATING IN VET IN SCHOOLS BY SEX, 2005-2010&#10;"/>
      </w:tblPr>
      <w:tblGrid>
        <w:gridCol w:w="2813"/>
        <w:gridCol w:w="1968"/>
        <w:gridCol w:w="1967"/>
        <w:gridCol w:w="1967"/>
        <w:gridCol w:w="1967"/>
        <w:gridCol w:w="1967"/>
        <w:gridCol w:w="1967"/>
      </w:tblGrid>
      <w:tr w:rsidR="00E45705" w:rsidRPr="001B09E6" w14:paraId="72B37CA8" w14:textId="77777777" w:rsidTr="00E45705">
        <w:trPr>
          <w:trHeight w:val="300"/>
        </w:trPr>
        <w:tc>
          <w:tcPr>
            <w:tcW w:w="962" w:type="pct"/>
            <w:tcBorders>
              <w:top w:val="single" w:sz="4" w:space="0" w:color="auto"/>
              <w:left w:val="nil"/>
              <w:bottom w:val="single" w:sz="4" w:space="0" w:color="auto"/>
              <w:right w:val="nil"/>
            </w:tcBorders>
            <w:shd w:val="clear" w:color="auto" w:fill="auto"/>
            <w:noWrap/>
            <w:vAlign w:val="bottom"/>
            <w:hideMark/>
          </w:tcPr>
          <w:p w14:paraId="5764D9B5" w14:textId="77777777" w:rsidR="00E45705" w:rsidRPr="001B09E6" w:rsidRDefault="00E45705" w:rsidP="00E45705">
            <w:pPr>
              <w:pStyle w:val="TableColumnHeading"/>
              <w:spacing w:before="0" w:after="0"/>
              <w:ind w:left="0" w:right="0"/>
              <w:jc w:val="right"/>
              <w:rPr>
                <w:lang w:eastAsia="en-AU"/>
              </w:rPr>
            </w:pPr>
            <w:r w:rsidRPr="001B09E6">
              <w:rPr>
                <w:lang w:eastAsia="en-AU"/>
              </w:rPr>
              <w:t> </w:t>
            </w:r>
          </w:p>
        </w:tc>
        <w:tc>
          <w:tcPr>
            <w:tcW w:w="673" w:type="pct"/>
            <w:tcBorders>
              <w:top w:val="single" w:sz="4" w:space="0" w:color="auto"/>
              <w:left w:val="nil"/>
              <w:bottom w:val="nil"/>
              <w:right w:val="nil"/>
            </w:tcBorders>
            <w:shd w:val="clear" w:color="auto" w:fill="auto"/>
            <w:noWrap/>
            <w:vAlign w:val="bottom"/>
            <w:hideMark/>
          </w:tcPr>
          <w:p w14:paraId="5300D243" w14:textId="77777777" w:rsidR="00E45705" w:rsidRPr="001B09E6" w:rsidRDefault="00E45705" w:rsidP="00E45705">
            <w:pPr>
              <w:pStyle w:val="TableColumnHeading"/>
              <w:spacing w:before="0" w:after="0"/>
              <w:ind w:left="0" w:right="0"/>
              <w:jc w:val="right"/>
              <w:rPr>
                <w:lang w:eastAsia="en-AU"/>
              </w:rPr>
            </w:pPr>
            <w:r w:rsidRPr="001B09E6">
              <w:rPr>
                <w:lang w:eastAsia="en-AU"/>
              </w:rPr>
              <w:t>2005</w:t>
            </w:r>
          </w:p>
        </w:tc>
        <w:tc>
          <w:tcPr>
            <w:tcW w:w="673" w:type="pct"/>
            <w:tcBorders>
              <w:top w:val="single" w:sz="4" w:space="0" w:color="auto"/>
              <w:left w:val="nil"/>
              <w:bottom w:val="nil"/>
              <w:right w:val="nil"/>
            </w:tcBorders>
            <w:shd w:val="clear" w:color="auto" w:fill="auto"/>
            <w:noWrap/>
            <w:vAlign w:val="bottom"/>
            <w:hideMark/>
          </w:tcPr>
          <w:p w14:paraId="618F488D" w14:textId="77777777" w:rsidR="00E45705" w:rsidRPr="001B09E6" w:rsidRDefault="00E45705" w:rsidP="00E45705">
            <w:pPr>
              <w:pStyle w:val="TableColumnHeading"/>
              <w:spacing w:before="0" w:after="0"/>
              <w:ind w:left="0" w:right="0"/>
              <w:jc w:val="right"/>
              <w:rPr>
                <w:lang w:eastAsia="en-AU"/>
              </w:rPr>
            </w:pPr>
            <w:r w:rsidRPr="001B09E6">
              <w:rPr>
                <w:lang w:eastAsia="en-AU"/>
              </w:rPr>
              <w:t>2006</w:t>
            </w:r>
          </w:p>
        </w:tc>
        <w:tc>
          <w:tcPr>
            <w:tcW w:w="673" w:type="pct"/>
            <w:tcBorders>
              <w:top w:val="single" w:sz="4" w:space="0" w:color="auto"/>
              <w:left w:val="nil"/>
              <w:bottom w:val="nil"/>
              <w:right w:val="nil"/>
            </w:tcBorders>
            <w:shd w:val="clear" w:color="auto" w:fill="auto"/>
            <w:noWrap/>
            <w:vAlign w:val="bottom"/>
            <w:hideMark/>
          </w:tcPr>
          <w:p w14:paraId="50DF3EDC" w14:textId="77777777" w:rsidR="00E45705" w:rsidRPr="001B09E6" w:rsidRDefault="00E45705" w:rsidP="00E45705">
            <w:pPr>
              <w:pStyle w:val="TableColumnHeading"/>
              <w:spacing w:before="0" w:after="0"/>
              <w:ind w:left="0" w:right="0"/>
              <w:jc w:val="right"/>
              <w:rPr>
                <w:lang w:eastAsia="en-AU"/>
              </w:rPr>
            </w:pPr>
            <w:r w:rsidRPr="001B09E6">
              <w:rPr>
                <w:lang w:eastAsia="en-AU"/>
              </w:rPr>
              <w:t>2007</w:t>
            </w:r>
          </w:p>
        </w:tc>
        <w:tc>
          <w:tcPr>
            <w:tcW w:w="673" w:type="pct"/>
            <w:tcBorders>
              <w:top w:val="single" w:sz="4" w:space="0" w:color="auto"/>
              <w:left w:val="nil"/>
              <w:bottom w:val="nil"/>
              <w:right w:val="nil"/>
            </w:tcBorders>
            <w:shd w:val="clear" w:color="auto" w:fill="auto"/>
            <w:noWrap/>
            <w:vAlign w:val="bottom"/>
            <w:hideMark/>
          </w:tcPr>
          <w:p w14:paraId="1F7B5E82" w14:textId="77777777" w:rsidR="00E45705" w:rsidRPr="001B09E6" w:rsidRDefault="00E45705" w:rsidP="00E45705">
            <w:pPr>
              <w:pStyle w:val="TableColumnHeading"/>
              <w:spacing w:before="0" w:after="0"/>
              <w:ind w:left="0" w:right="0"/>
              <w:jc w:val="right"/>
              <w:rPr>
                <w:lang w:eastAsia="en-AU"/>
              </w:rPr>
            </w:pPr>
            <w:r w:rsidRPr="001B09E6">
              <w:rPr>
                <w:lang w:eastAsia="en-AU"/>
              </w:rPr>
              <w:t>2008</w:t>
            </w:r>
          </w:p>
        </w:tc>
        <w:tc>
          <w:tcPr>
            <w:tcW w:w="673" w:type="pct"/>
            <w:tcBorders>
              <w:top w:val="single" w:sz="4" w:space="0" w:color="auto"/>
              <w:left w:val="nil"/>
              <w:bottom w:val="nil"/>
              <w:right w:val="nil"/>
            </w:tcBorders>
            <w:shd w:val="clear" w:color="auto" w:fill="auto"/>
            <w:noWrap/>
            <w:vAlign w:val="bottom"/>
            <w:hideMark/>
          </w:tcPr>
          <w:p w14:paraId="5AE559DF" w14:textId="77777777" w:rsidR="00E45705" w:rsidRPr="001B09E6" w:rsidRDefault="00E45705" w:rsidP="00E45705">
            <w:pPr>
              <w:pStyle w:val="TableColumnHeading"/>
              <w:spacing w:before="0" w:after="0"/>
              <w:ind w:left="0" w:right="0"/>
              <w:jc w:val="right"/>
              <w:rPr>
                <w:lang w:eastAsia="en-AU"/>
              </w:rPr>
            </w:pPr>
            <w:r w:rsidRPr="001B09E6">
              <w:rPr>
                <w:lang w:eastAsia="en-AU"/>
              </w:rPr>
              <w:t>2009</w:t>
            </w:r>
          </w:p>
        </w:tc>
        <w:tc>
          <w:tcPr>
            <w:tcW w:w="673" w:type="pct"/>
            <w:tcBorders>
              <w:top w:val="single" w:sz="4" w:space="0" w:color="auto"/>
              <w:left w:val="nil"/>
              <w:bottom w:val="nil"/>
              <w:right w:val="nil"/>
            </w:tcBorders>
            <w:shd w:val="clear" w:color="auto" w:fill="auto"/>
            <w:noWrap/>
            <w:vAlign w:val="bottom"/>
            <w:hideMark/>
          </w:tcPr>
          <w:p w14:paraId="2BB5A624" w14:textId="77777777" w:rsidR="00E45705" w:rsidRPr="001B09E6" w:rsidRDefault="00E45705" w:rsidP="00E45705">
            <w:pPr>
              <w:pStyle w:val="TableColumnHeading"/>
              <w:spacing w:before="0" w:after="0"/>
              <w:ind w:left="0" w:right="0"/>
              <w:jc w:val="right"/>
              <w:rPr>
                <w:lang w:eastAsia="en-AU"/>
              </w:rPr>
            </w:pPr>
            <w:r w:rsidRPr="001B09E6">
              <w:rPr>
                <w:lang w:eastAsia="en-AU"/>
              </w:rPr>
              <w:t>2010</w:t>
            </w:r>
          </w:p>
        </w:tc>
      </w:tr>
      <w:tr w:rsidR="00E45705" w:rsidRPr="001B09E6" w14:paraId="33728469" w14:textId="77777777" w:rsidTr="00E45705">
        <w:trPr>
          <w:trHeight w:val="300"/>
        </w:trPr>
        <w:tc>
          <w:tcPr>
            <w:tcW w:w="962" w:type="pct"/>
            <w:tcBorders>
              <w:top w:val="nil"/>
              <w:left w:val="nil"/>
              <w:bottom w:val="nil"/>
              <w:right w:val="nil"/>
            </w:tcBorders>
            <w:shd w:val="clear" w:color="auto" w:fill="auto"/>
            <w:noWrap/>
            <w:vAlign w:val="bottom"/>
            <w:hideMark/>
          </w:tcPr>
          <w:p w14:paraId="6AC2211B" w14:textId="77777777" w:rsidR="00E45705" w:rsidRPr="001B09E6" w:rsidRDefault="00E45705" w:rsidP="00E45705">
            <w:pPr>
              <w:pStyle w:val="TableCellText"/>
              <w:spacing w:before="0" w:after="0"/>
              <w:ind w:left="0" w:right="0"/>
              <w:rPr>
                <w:lang w:eastAsia="en-AU"/>
              </w:rPr>
            </w:pPr>
            <w:r w:rsidRPr="001B09E6">
              <w:rPr>
                <w:lang w:eastAsia="en-AU"/>
              </w:rPr>
              <w:t>Males</w:t>
            </w:r>
          </w:p>
        </w:tc>
        <w:tc>
          <w:tcPr>
            <w:tcW w:w="673" w:type="pct"/>
            <w:tcBorders>
              <w:top w:val="single" w:sz="4" w:space="0" w:color="auto"/>
              <w:left w:val="nil"/>
              <w:bottom w:val="nil"/>
              <w:right w:val="nil"/>
            </w:tcBorders>
            <w:shd w:val="clear" w:color="auto" w:fill="auto"/>
            <w:noWrap/>
            <w:vAlign w:val="bottom"/>
            <w:hideMark/>
          </w:tcPr>
          <w:p w14:paraId="347CEE30" w14:textId="77777777" w:rsidR="00E45705" w:rsidRPr="001B09E6" w:rsidRDefault="00E45705" w:rsidP="00E45705">
            <w:pPr>
              <w:pStyle w:val="TableCellText"/>
              <w:spacing w:before="0" w:after="0"/>
              <w:ind w:left="0" w:right="0"/>
              <w:jc w:val="right"/>
              <w:rPr>
                <w:lang w:eastAsia="en-AU"/>
              </w:rPr>
            </w:pPr>
            <w:r w:rsidRPr="001B09E6">
              <w:rPr>
                <w:lang w:eastAsia="en-AU"/>
              </w:rPr>
              <w:t>12.3%</w:t>
            </w:r>
          </w:p>
        </w:tc>
        <w:tc>
          <w:tcPr>
            <w:tcW w:w="673" w:type="pct"/>
            <w:tcBorders>
              <w:top w:val="single" w:sz="4" w:space="0" w:color="auto"/>
              <w:left w:val="nil"/>
              <w:bottom w:val="nil"/>
              <w:right w:val="nil"/>
            </w:tcBorders>
            <w:shd w:val="clear" w:color="auto" w:fill="auto"/>
            <w:noWrap/>
            <w:vAlign w:val="bottom"/>
            <w:hideMark/>
          </w:tcPr>
          <w:p w14:paraId="37CA7810" w14:textId="77777777" w:rsidR="00E45705" w:rsidRPr="001B09E6" w:rsidRDefault="00E45705" w:rsidP="00E45705">
            <w:pPr>
              <w:pStyle w:val="TableCellText"/>
              <w:spacing w:before="0" w:after="0"/>
              <w:ind w:left="0" w:right="0"/>
              <w:jc w:val="right"/>
              <w:rPr>
                <w:lang w:eastAsia="en-AU"/>
              </w:rPr>
            </w:pPr>
            <w:r w:rsidRPr="001B09E6">
              <w:rPr>
                <w:lang w:eastAsia="en-AU"/>
              </w:rPr>
              <w:t>11.8%</w:t>
            </w:r>
          </w:p>
        </w:tc>
        <w:tc>
          <w:tcPr>
            <w:tcW w:w="673" w:type="pct"/>
            <w:tcBorders>
              <w:top w:val="single" w:sz="4" w:space="0" w:color="auto"/>
              <w:left w:val="nil"/>
              <w:bottom w:val="nil"/>
              <w:right w:val="nil"/>
            </w:tcBorders>
            <w:shd w:val="clear" w:color="auto" w:fill="auto"/>
            <w:noWrap/>
            <w:vAlign w:val="bottom"/>
            <w:hideMark/>
          </w:tcPr>
          <w:p w14:paraId="6D6CC25F" w14:textId="77777777" w:rsidR="00E45705" w:rsidRPr="001B09E6" w:rsidRDefault="00E45705" w:rsidP="00E45705">
            <w:pPr>
              <w:pStyle w:val="TableCellText"/>
              <w:spacing w:before="0" w:after="0"/>
              <w:ind w:left="0" w:right="0"/>
              <w:jc w:val="right"/>
              <w:rPr>
                <w:lang w:eastAsia="en-AU"/>
              </w:rPr>
            </w:pPr>
            <w:r w:rsidRPr="001B09E6">
              <w:rPr>
                <w:lang w:eastAsia="en-AU"/>
              </w:rPr>
              <w:t>11.6%</w:t>
            </w:r>
          </w:p>
        </w:tc>
        <w:tc>
          <w:tcPr>
            <w:tcW w:w="673" w:type="pct"/>
            <w:tcBorders>
              <w:top w:val="single" w:sz="4" w:space="0" w:color="auto"/>
              <w:left w:val="nil"/>
              <w:bottom w:val="nil"/>
              <w:right w:val="nil"/>
            </w:tcBorders>
            <w:shd w:val="clear" w:color="auto" w:fill="auto"/>
            <w:noWrap/>
            <w:vAlign w:val="bottom"/>
            <w:hideMark/>
          </w:tcPr>
          <w:p w14:paraId="00699813" w14:textId="77777777" w:rsidR="00E45705" w:rsidRPr="001B09E6" w:rsidRDefault="00E45705" w:rsidP="00E45705">
            <w:pPr>
              <w:pStyle w:val="TableCellText"/>
              <w:spacing w:before="0" w:after="0"/>
              <w:ind w:left="0" w:right="0"/>
              <w:jc w:val="right"/>
              <w:rPr>
                <w:lang w:eastAsia="en-AU"/>
              </w:rPr>
            </w:pPr>
            <w:r w:rsidRPr="001B09E6">
              <w:rPr>
                <w:lang w:eastAsia="en-AU"/>
              </w:rPr>
              <w:t>14.0%</w:t>
            </w:r>
          </w:p>
        </w:tc>
        <w:tc>
          <w:tcPr>
            <w:tcW w:w="673" w:type="pct"/>
            <w:tcBorders>
              <w:top w:val="single" w:sz="4" w:space="0" w:color="auto"/>
              <w:left w:val="nil"/>
              <w:bottom w:val="nil"/>
              <w:right w:val="nil"/>
            </w:tcBorders>
            <w:shd w:val="clear" w:color="auto" w:fill="auto"/>
            <w:noWrap/>
            <w:vAlign w:val="bottom"/>
            <w:hideMark/>
          </w:tcPr>
          <w:p w14:paraId="6DFBB132" w14:textId="77777777" w:rsidR="00E45705" w:rsidRPr="001B09E6" w:rsidRDefault="00E45705" w:rsidP="00E45705">
            <w:pPr>
              <w:pStyle w:val="TableCellText"/>
              <w:spacing w:before="0" w:after="0"/>
              <w:ind w:left="0" w:right="0"/>
              <w:jc w:val="right"/>
              <w:rPr>
                <w:lang w:eastAsia="en-AU"/>
              </w:rPr>
            </w:pPr>
            <w:r w:rsidRPr="001B09E6">
              <w:rPr>
                <w:lang w:eastAsia="en-AU"/>
              </w:rPr>
              <w:t>14.6%</w:t>
            </w:r>
          </w:p>
        </w:tc>
        <w:tc>
          <w:tcPr>
            <w:tcW w:w="673" w:type="pct"/>
            <w:tcBorders>
              <w:top w:val="single" w:sz="4" w:space="0" w:color="auto"/>
              <w:left w:val="nil"/>
              <w:bottom w:val="nil"/>
              <w:right w:val="nil"/>
            </w:tcBorders>
            <w:shd w:val="clear" w:color="auto" w:fill="auto"/>
            <w:noWrap/>
            <w:vAlign w:val="bottom"/>
            <w:hideMark/>
          </w:tcPr>
          <w:p w14:paraId="6BC9B004" w14:textId="77777777" w:rsidR="00E45705" w:rsidRPr="001B09E6" w:rsidRDefault="00E45705" w:rsidP="00E45705">
            <w:pPr>
              <w:pStyle w:val="TableCellText"/>
              <w:spacing w:before="0" w:after="0"/>
              <w:ind w:left="0" w:right="0"/>
              <w:jc w:val="right"/>
              <w:rPr>
                <w:lang w:eastAsia="en-AU"/>
              </w:rPr>
            </w:pPr>
            <w:r w:rsidRPr="001B09E6">
              <w:rPr>
                <w:lang w:eastAsia="en-AU"/>
              </w:rPr>
              <w:t>15.1%</w:t>
            </w:r>
          </w:p>
        </w:tc>
      </w:tr>
      <w:tr w:rsidR="00E45705" w:rsidRPr="001B09E6" w14:paraId="4249EE28" w14:textId="77777777" w:rsidTr="00E45705">
        <w:trPr>
          <w:trHeight w:val="300"/>
        </w:trPr>
        <w:tc>
          <w:tcPr>
            <w:tcW w:w="962" w:type="pct"/>
            <w:tcBorders>
              <w:top w:val="nil"/>
              <w:left w:val="nil"/>
              <w:bottom w:val="nil"/>
              <w:right w:val="nil"/>
            </w:tcBorders>
            <w:shd w:val="clear" w:color="auto" w:fill="auto"/>
            <w:noWrap/>
            <w:vAlign w:val="bottom"/>
            <w:hideMark/>
          </w:tcPr>
          <w:p w14:paraId="4B4E8CD5" w14:textId="77777777" w:rsidR="00E45705" w:rsidRPr="001B09E6" w:rsidRDefault="00E45705" w:rsidP="00E45705">
            <w:pPr>
              <w:pStyle w:val="TableCellText"/>
              <w:spacing w:before="0" w:after="0"/>
              <w:ind w:left="0" w:right="0"/>
              <w:rPr>
                <w:lang w:eastAsia="en-AU"/>
              </w:rPr>
            </w:pPr>
            <w:r w:rsidRPr="001B09E6">
              <w:rPr>
                <w:lang w:eastAsia="en-AU"/>
              </w:rPr>
              <w:t>Females</w:t>
            </w:r>
          </w:p>
        </w:tc>
        <w:tc>
          <w:tcPr>
            <w:tcW w:w="673" w:type="pct"/>
            <w:tcBorders>
              <w:top w:val="nil"/>
              <w:left w:val="nil"/>
              <w:bottom w:val="nil"/>
              <w:right w:val="nil"/>
            </w:tcBorders>
            <w:shd w:val="clear" w:color="auto" w:fill="auto"/>
            <w:noWrap/>
            <w:vAlign w:val="bottom"/>
            <w:hideMark/>
          </w:tcPr>
          <w:p w14:paraId="1F7D954F" w14:textId="77777777" w:rsidR="00E45705" w:rsidRPr="001B09E6" w:rsidRDefault="00E45705" w:rsidP="00E45705">
            <w:pPr>
              <w:pStyle w:val="TableCellText"/>
              <w:spacing w:before="0" w:after="0"/>
              <w:ind w:left="0" w:right="0"/>
              <w:jc w:val="right"/>
              <w:rPr>
                <w:lang w:eastAsia="en-AU"/>
              </w:rPr>
            </w:pPr>
            <w:r w:rsidRPr="001B09E6">
              <w:rPr>
                <w:lang w:eastAsia="en-AU"/>
              </w:rPr>
              <w:t>12.6%</w:t>
            </w:r>
          </w:p>
        </w:tc>
        <w:tc>
          <w:tcPr>
            <w:tcW w:w="673" w:type="pct"/>
            <w:tcBorders>
              <w:top w:val="nil"/>
              <w:left w:val="nil"/>
              <w:bottom w:val="nil"/>
              <w:right w:val="nil"/>
            </w:tcBorders>
            <w:shd w:val="clear" w:color="auto" w:fill="auto"/>
            <w:noWrap/>
            <w:vAlign w:val="bottom"/>
            <w:hideMark/>
          </w:tcPr>
          <w:p w14:paraId="2FD5A794" w14:textId="77777777" w:rsidR="00E45705" w:rsidRPr="001B09E6" w:rsidRDefault="00E45705" w:rsidP="00E45705">
            <w:pPr>
              <w:pStyle w:val="TableCellText"/>
              <w:spacing w:before="0" w:after="0"/>
              <w:ind w:left="0" w:right="0"/>
              <w:jc w:val="right"/>
              <w:rPr>
                <w:lang w:eastAsia="en-AU"/>
              </w:rPr>
            </w:pPr>
            <w:r w:rsidRPr="001B09E6">
              <w:rPr>
                <w:lang w:eastAsia="en-AU"/>
              </w:rPr>
              <w:t>11.8%</w:t>
            </w:r>
          </w:p>
        </w:tc>
        <w:tc>
          <w:tcPr>
            <w:tcW w:w="673" w:type="pct"/>
            <w:tcBorders>
              <w:top w:val="nil"/>
              <w:left w:val="nil"/>
              <w:bottom w:val="nil"/>
              <w:right w:val="nil"/>
            </w:tcBorders>
            <w:shd w:val="clear" w:color="auto" w:fill="auto"/>
            <w:noWrap/>
            <w:vAlign w:val="bottom"/>
            <w:hideMark/>
          </w:tcPr>
          <w:p w14:paraId="328AB53A" w14:textId="77777777" w:rsidR="00E45705" w:rsidRPr="001B09E6" w:rsidRDefault="00E45705" w:rsidP="00E45705">
            <w:pPr>
              <w:pStyle w:val="TableCellText"/>
              <w:spacing w:before="0" w:after="0"/>
              <w:ind w:left="0" w:right="0"/>
              <w:jc w:val="right"/>
              <w:rPr>
                <w:lang w:eastAsia="en-AU"/>
              </w:rPr>
            </w:pPr>
            <w:r w:rsidRPr="001B09E6">
              <w:rPr>
                <w:lang w:eastAsia="en-AU"/>
              </w:rPr>
              <w:t>11.8%</w:t>
            </w:r>
          </w:p>
        </w:tc>
        <w:tc>
          <w:tcPr>
            <w:tcW w:w="673" w:type="pct"/>
            <w:tcBorders>
              <w:top w:val="nil"/>
              <w:left w:val="nil"/>
              <w:bottom w:val="nil"/>
              <w:right w:val="nil"/>
            </w:tcBorders>
            <w:shd w:val="clear" w:color="auto" w:fill="auto"/>
            <w:noWrap/>
            <w:vAlign w:val="bottom"/>
            <w:hideMark/>
          </w:tcPr>
          <w:p w14:paraId="0E575175" w14:textId="77777777" w:rsidR="00E45705" w:rsidRPr="001B09E6" w:rsidRDefault="00E45705" w:rsidP="00E45705">
            <w:pPr>
              <w:pStyle w:val="TableCellText"/>
              <w:spacing w:before="0" w:after="0"/>
              <w:ind w:left="0" w:right="0"/>
              <w:jc w:val="right"/>
              <w:rPr>
                <w:lang w:eastAsia="en-AU"/>
              </w:rPr>
            </w:pPr>
            <w:r w:rsidRPr="001B09E6">
              <w:rPr>
                <w:lang w:eastAsia="en-AU"/>
              </w:rPr>
              <w:t>14.3%</w:t>
            </w:r>
          </w:p>
        </w:tc>
        <w:tc>
          <w:tcPr>
            <w:tcW w:w="673" w:type="pct"/>
            <w:tcBorders>
              <w:top w:val="nil"/>
              <w:left w:val="nil"/>
              <w:bottom w:val="nil"/>
              <w:right w:val="nil"/>
            </w:tcBorders>
            <w:shd w:val="clear" w:color="auto" w:fill="auto"/>
            <w:noWrap/>
            <w:vAlign w:val="bottom"/>
            <w:hideMark/>
          </w:tcPr>
          <w:p w14:paraId="46DCB1BF" w14:textId="77777777" w:rsidR="00E45705" w:rsidRPr="001B09E6" w:rsidRDefault="00E45705" w:rsidP="00E45705">
            <w:pPr>
              <w:pStyle w:val="TableCellText"/>
              <w:spacing w:before="0" w:after="0"/>
              <w:ind w:left="0" w:right="0"/>
              <w:jc w:val="right"/>
              <w:rPr>
                <w:lang w:eastAsia="en-AU"/>
              </w:rPr>
            </w:pPr>
            <w:r w:rsidRPr="001B09E6">
              <w:rPr>
                <w:lang w:eastAsia="en-AU"/>
              </w:rPr>
              <w:t>14.3%</w:t>
            </w:r>
          </w:p>
        </w:tc>
        <w:tc>
          <w:tcPr>
            <w:tcW w:w="673" w:type="pct"/>
            <w:tcBorders>
              <w:top w:val="nil"/>
              <w:left w:val="nil"/>
              <w:bottom w:val="nil"/>
              <w:right w:val="nil"/>
            </w:tcBorders>
            <w:shd w:val="clear" w:color="auto" w:fill="auto"/>
            <w:noWrap/>
            <w:vAlign w:val="bottom"/>
            <w:hideMark/>
          </w:tcPr>
          <w:p w14:paraId="1B9BC7BA" w14:textId="77777777" w:rsidR="00E45705" w:rsidRPr="001B09E6" w:rsidRDefault="00E45705" w:rsidP="00E45705">
            <w:pPr>
              <w:pStyle w:val="TableCellText"/>
              <w:spacing w:before="0" w:after="0"/>
              <w:ind w:left="0" w:right="0"/>
              <w:jc w:val="right"/>
              <w:rPr>
                <w:lang w:eastAsia="en-AU"/>
              </w:rPr>
            </w:pPr>
            <w:r w:rsidRPr="001B09E6">
              <w:rPr>
                <w:lang w:eastAsia="en-AU"/>
              </w:rPr>
              <w:t>14.3%</w:t>
            </w:r>
          </w:p>
        </w:tc>
      </w:tr>
      <w:tr w:rsidR="00E45705" w:rsidRPr="001B09E6" w14:paraId="713833A7" w14:textId="77777777" w:rsidTr="00E45705">
        <w:trPr>
          <w:trHeight w:val="300"/>
        </w:trPr>
        <w:tc>
          <w:tcPr>
            <w:tcW w:w="962" w:type="pct"/>
            <w:tcBorders>
              <w:top w:val="nil"/>
              <w:left w:val="nil"/>
              <w:bottom w:val="single" w:sz="4" w:space="0" w:color="auto"/>
              <w:right w:val="nil"/>
            </w:tcBorders>
            <w:shd w:val="clear" w:color="auto" w:fill="auto"/>
            <w:noWrap/>
            <w:vAlign w:val="bottom"/>
            <w:hideMark/>
          </w:tcPr>
          <w:p w14:paraId="2942483A" w14:textId="77777777" w:rsidR="00E45705" w:rsidRPr="001B09E6" w:rsidRDefault="00E45705" w:rsidP="00E45705">
            <w:pPr>
              <w:pStyle w:val="TableCellText"/>
              <w:spacing w:before="0" w:after="0"/>
              <w:ind w:left="0" w:right="0"/>
              <w:rPr>
                <w:lang w:eastAsia="en-AU"/>
              </w:rPr>
            </w:pPr>
            <w:r w:rsidRPr="001B09E6">
              <w:rPr>
                <w:lang w:eastAsia="en-AU"/>
              </w:rPr>
              <w:t>Persons</w:t>
            </w:r>
          </w:p>
        </w:tc>
        <w:tc>
          <w:tcPr>
            <w:tcW w:w="673" w:type="pct"/>
            <w:tcBorders>
              <w:top w:val="nil"/>
              <w:left w:val="nil"/>
              <w:bottom w:val="single" w:sz="4" w:space="0" w:color="auto"/>
              <w:right w:val="nil"/>
            </w:tcBorders>
            <w:shd w:val="clear" w:color="auto" w:fill="auto"/>
            <w:noWrap/>
            <w:vAlign w:val="bottom"/>
            <w:hideMark/>
          </w:tcPr>
          <w:p w14:paraId="6ED9AEC9" w14:textId="77777777" w:rsidR="00E45705" w:rsidRPr="001B09E6" w:rsidRDefault="00E45705" w:rsidP="00E45705">
            <w:pPr>
              <w:pStyle w:val="TableCellText"/>
              <w:spacing w:before="0" w:after="0"/>
              <w:ind w:left="0" w:right="0"/>
              <w:jc w:val="right"/>
              <w:rPr>
                <w:lang w:eastAsia="en-AU"/>
              </w:rPr>
            </w:pPr>
            <w:r w:rsidRPr="001B09E6">
              <w:rPr>
                <w:lang w:eastAsia="en-AU"/>
              </w:rPr>
              <w:t>12.5%</w:t>
            </w:r>
          </w:p>
        </w:tc>
        <w:tc>
          <w:tcPr>
            <w:tcW w:w="673" w:type="pct"/>
            <w:tcBorders>
              <w:top w:val="nil"/>
              <w:left w:val="nil"/>
              <w:bottom w:val="single" w:sz="4" w:space="0" w:color="auto"/>
              <w:right w:val="nil"/>
            </w:tcBorders>
            <w:shd w:val="clear" w:color="auto" w:fill="auto"/>
            <w:noWrap/>
            <w:vAlign w:val="bottom"/>
            <w:hideMark/>
          </w:tcPr>
          <w:p w14:paraId="30134D6E" w14:textId="77777777" w:rsidR="00E45705" w:rsidRPr="001B09E6" w:rsidRDefault="00E45705" w:rsidP="00E45705">
            <w:pPr>
              <w:pStyle w:val="TableCellText"/>
              <w:spacing w:before="0" w:after="0"/>
              <w:ind w:left="0" w:right="0"/>
              <w:jc w:val="right"/>
              <w:rPr>
                <w:lang w:eastAsia="en-AU"/>
              </w:rPr>
            </w:pPr>
            <w:r w:rsidRPr="001B09E6">
              <w:rPr>
                <w:lang w:eastAsia="en-AU"/>
              </w:rPr>
              <w:t>11.8%</w:t>
            </w:r>
          </w:p>
        </w:tc>
        <w:tc>
          <w:tcPr>
            <w:tcW w:w="673" w:type="pct"/>
            <w:tcBorders>
              <w:top w:val="nil"/>
              <w:left w:val="nil"/>
              <w:bottom w:val="single" w:sz="4" w:space="0" w:color="auto"/>
              <w:right w:val="nil"/>
            </w:tcBorders>
            <w:shd w:val="clear" w:color="auto" w:fill="auto"/>
            <w:noWrap/>
            <w:vAlign w:val="bottom"/>
            <w:hideMark/>
          </w:tcPr>
          <w:p w14:paraId="6F8E4AE7" w14:textId="77777777" w:rsidR="00E45705" w:rsidRPr="001B09E6" w:rsidRDefault="00E45705" w:rsidP="00E45705">
            <w:pPr>
              <w:pStyle w:val="TableCellText"/>
              <w:spacing w:before="0" w:after="0"/>
              <w:ind w:left="0" w:right="0"/>
              <w:jc w:val="right"/>
              <w:rPr>
                <w:lang w:eastAsia="en-AU"/>
              </w:rPr>
            </w:pPr>
            <w:r w:rsidRPr="001B09E6">
              <w:rPr>
                <w:lang w:eastAsia="en-AU"/>
              </w:rPr>
              <w:t>11.7%</w:t>
            </w:r>
          </w:p>
        </w:tc>
        <w:tc>
          <w:tcPr>
            <w:tcW w:w="673" w:type="pct"/>
            <w:tcBorders>
              <w:top w:val="nil"/>
              <w:left w:val="nil"/>
              <w:bottom w:val="single" w:sz="4" w:space="0" w:color="auto"/>
              <w:right w:val="nil"/>
            </w:tcBorders>
            <w:shd w:val="clear" w:color="auto" w:fill="auto"/>
            <w:noWrap/>
            <w:vAlign w:val="bottom"/>
            <w:hideMark/>
          </w:tcPr>
          <w:p w14:paraId="40DC66DF" w14:textId="77777777" w:rsidR="00E45705" w:rsidRPr="001B09E6" w:rsidRDefault="00E45705" w:rsidP="00E45705">
            <w:pPr>
              <w:pStyle w:val="TableCellText"/>
              <w:spacing w:before="0" w:after="0"/>
              <w:ind w:left="0" w:right="0"/>
              <w:jc w:val="right"/>
              <w:rPr>
                <w:lang w:eastAsia="en-AU"/>
              </w:rPr>
            </w:pPr>
            <w:r w:rsidRPr="001B09E6">
              <w:rPr>
                <w:lang w:eastAsia="en-AU"/>
              </w:rPr>
              <w:t>14.1%</w:t>
            </w:r>
          </w:p>
        </w:tc>
        <w:tc>
          <w:tcPr>
            <w:tcW w:w="673" w:type="pct"/>
            <w:tcBorders>
              <w:top w:val="nil"/>
              <w:left w:val="nil"/>
              <w:bottom w:val="single" w:sz="4" w:space="0" w:color="auto"/>
              <w:right w:val="nil"/>
            </w:tcBorders>
            <w:shd w:val="clear" w:color="auto" w:fill="auto"/>
            <w:noWrap/>
            <w:vAlign w:val="bottom"/>
            <w:hideMark/>
          </w:tcPr>
          <w:p w14:paraId="626342AA" w14:textId="77777777" w:rsidR="00E45705" w:rsidRPr="001B09E6" w:rsidRDefault="00E45705" w:rsidP="00E45705">
            <w:pPr>
              <w:pStyle w:val="TableCellText"/>
              <w:spacing w:before="0" w:after="0"/>
              <w:ind w:left="0" w:right="0"/>
              <w:jc w:val="right"/>
              <w:rPr>
                <w:lang w:eastAsia="en-AU"/>
              </w:rPr>
            </w:pPr>
            <w:r w:rsidRPr="001B09E6">
              <w:rPr>
                <w:lang w:eastAsia="en-AU"/>
              </w:rPr>
              <w:t>14.5%</w:t>
            </w:r>
          </w:p>
        </w:tc>
        <w:tc>
          <w:tcPr>
            <w:tcW w:w="673" w:type="pct"/>
            <w:tcBorders>
              <w:top w:val="nil"/>
              <w:left w:val="nil"/>
              <w:bottom w:val="single" w:sz="4" w:space="0" w:color="auto"/>
              <w:right w:val="nil"/>
            </w:tcBorders>
            <w:shd w:val="clear" w:color="auto" w:fill="auto"/>
            <w:noWrap/>
            <w:vAlign w:val="bottom"/>
            <w:hideMark/>
          </w:tcPr>
          <w:p w14:paraId="150162CE" w14:textId="77777777" w:rsidR="00E45705" w:rsidRPr="001B09E6" w:rsidRDefault="00E45705" w:rsidP="00E45705">
            <w:pPr>
              <w:pStyle w:val="TableCellText"/>
              <w:spacing w:before="0" w:after="0"/>
              <w:ind w:left="0" w:right="0"/>
              <w:jc w:val="right"/>
              <w:rPr>
                <w:lang w:eastAsia="en-AU"/>
              </w:rPr>
            </w:pPr>
            <w:r w:rsidRPr="001B09E6">
              <w:rPr>
                <w:lang w:eastAsia="en-AU"/>
              </w:rPr>
              <w:t>14.7%</w:t>
            </w:r>
          </w:p>
        </w:tc>
      </w:tr>
    </w:tbl>
    <w:p w14:paraId="14227E10" w14:textId="77777777" w:rsidR="00E45705" w:rsidRPr="001B09E6" w:rsidRDefault="00E45705" w:rsidP="00E45705">
      <w:pPr>
        <w:pStyle w:val="Tablenote"/>
        <w:rPr>
          <w:lang w:eastAsia="en-AU"/>
        </w:rPr>
      </w:pPr>
      <w:r w:rsidRPr="001B09E6">
        <w:rPr>
          <w:lang w:eastAsia="en-AU"/>
        </w:rPr>
        <w:t>Source: National VET in Schools Collection, ABS Population by Age and Sex 3201.0</w:t>
      </w:r>
    </w:p>
    <w:p w14:paraId="0A4AF0FA" w14:textId="77777777" w:rsidR="00E45705" w:rsidRPr="001B09E6" w:rsidRDefault="00E45705" w:rsidP="00E45705">
      <w:pPr>
        <w:pStyle w:val="TableHeading"/>
        <w:keepNext/>
        <w:spacing w:before="112"/>
      </w:pPr>
      <w:r w:rsidRPr="001B09E6">
        <w:t>PERCENTAGE OF PERSONS AGED 15-19 YEARS PARTICIPATING IN VET IN SCHOOLS BY SEX, EXCLUDING QUEENSLAND, 2005-10</w:t>
      </w:r>
    </w:p>
    <w:tbl>
      <w:tblPr>
        <w:tblW w:w="5000" w:type="pct"/>
        <w:tblLook w:val="04A0" w:firstRow="1" w:lastRow="0" w:firstColumn="1" w:lastColumn="0" w:noHBand="0" w:noVBand="1"/>
        <w:tblCaption w:val="PERCENTAGE OF PERSONS AGED 15-19 YEARS PARTICIPATING IN VET IN SCHOOLS BY SEX, EXCLUDING QUEENSLAND, 2005-10 "/>
        <w:tblDescription w:val="PERCENTAGE OF PERSONS AGED 15-19 YEARS PARTICIPATING IN VET IN SCHOOLS BY SEX, EXCLUDING QUEENSLAND, 2005-10&#10;"/>
      </w:tblPr>
      <w:tblGrid>
        <w:gridCol w:w="2813"/>
        <w:gridCol w:w="1968"/>
        <w:gridCol w:w="1967"/>
        <w:gridCol w:w="1967"/>
        <w:gridCol w:w="1967"/>
        <w:gridCol w:w="1967"/>
        <w:gridCol w:w="1967"/>
      </w:tblGrid>
      <w:tr w:rsidR="00E45705" w:rsidRPr="001B09E6" w14:paraId="684BBD3B" w14:textId="77777777" w:rsidTr="00E45705">
        <w:trPr>
          <w:trHeight w:val="315"/>
        </w:trPr>
        <w:tc>
          <w:tcPr>
            <w:tcW w:w="962" w:type="pct"/>
            <w:tcBorders>
              <w:top w:val="single" w:sz="8" w:space="0" w:color="auto"/>
              <w:left w:val="nil"/>
              <w:bottom w:val="single" w:sz="8" w:space="0" w:color="auto"/>
              <w:right w:val="nil"/>
            </w:tcBorders>
            <w:shd w:val="clear" w:color="auto" w:fill="auto"/>
            <w:noWrap/>
            <w:hideMark/>
          </w:tcPr>
          <w:p w14:paraId="780B4D08" w14:textId="77777777" w:rsidR="00E45705" w:rsidRPr="001B09E6" w:rsidRDefault="00E45705" w:rsidP="00E45705">
            <w:pPr>
              <w:pStyle w:val="TableColumnHeading"/>
              <w:spacing w:before="0" w:after="0"/>
              <w:ind w:left="0" w:right="0"/>
              <w:jc w:val="center"/>
              <w:rPr>
                <w:lang w:eastAsia="en-AU"/>
              </w:rPr>
            </w:pPr>
          </w:p>
        </w:tc>
        <w:tc>
          <w:tcPr>
            <w:tcW w:w="673" w:type="pct"/>
            <w:tcBorders>
              <w:top w:val="single" w:sz="8" w:space="0" w:color="auto"/>
              <w:left w:val="nil"/>
              <w:bottom w:val="nil"/>
              <w:right w:val="nil"/>
            </w:tcBorders>
            <w:shd w:val="clear" w:color="auto" w:fill="auto"/>
            <w:noWrap/>
            <w:hideMark/>
          </w:tcPr>
          <w:p w14:paraId="64971E2C" w14:textId="77777777" w:rsidR="00E45705" w:rsidRPr="001B09E6" w:rsidRDefault="00E45705" w:rsidP="00E45705">
            <w:pPr>
              <w:pStyle w:val="TableColumnHeading"/>
              <w:spacing w:before="0" w:after="0"/>
              <w:ind w:left="0" w:right="0"/>
              <w:jc w:val="center"/>
              <w:rPr>
                <w:lang w:eastAsia="en-AU"/>
              </w:rPr>
            </w:pPr>
            <w:r w:rsidRPr="001B09E6">
              <w:rPr>
                <w:lang w:eastAsia="en-AU"/>
              </w:rPr>
              <w:t>2005</w:t>
            </w:r>
          </w:p>
        </w:tc>
        <w:tc>
          <w:tcPr>
            <w:tcW w:w="673" w:type="pct"/>
            <w:tcBorders>
              <w:top w:val="single" w:sz="8" w:space="0" w:color="auto"/>
              <w:left w:val="nil"/>
              <w:bottom w:val="nil"/>
              <w:right w:val="nil"/>
            </w:tcBorders>
            <w:shd w:val="clear" w:color="auto" w:fill="auto"/>
            <w:noWrap/>
            <w:hideMark/>
          </w:tcPr>
          <w:p w14:paraId="146D57FA" w14:textId="77777777" w:rsidR="00E45705" w:rsidRPr="001B09E6" w:rsidRDefault="00E45705" w:rsidP="00E45705">
            <w:pPr>
              <w:pStyle w:val="TableColumnHeading"/>
              <w:spacing w:before="0" w:after="0"/>
              <w:ind w:left="0" w:right="0"/>
              <w:jc w:val="center"/>
              <w:rPr>
                <w:lang w:eastAsia="en-AU"/>
              </w:rPr>
            </w:pPr>
            <w:r w:rsidRPr="001B09E6">
              <w:rPr>
                <w:lang w:eastAsia="en-AU"/>
              </w:rPr>
              <w:t>2006</w:t>
            </w:r>
          </w:p>
        </w:tc>
        <w:tc>
          <w:tcPr>
            <w:tcW w:w="673" w:type="pct"/>
            <w:tcBorders>
              <w:top w:val="single" w:sz="8" w:space="0" w:color="auto"/>
              <w:left w:val="nil"/>
              <w:bottom w:val="nil"/>
              <w:right w:val="nil"/>
            </w:tcBorders>
            <w:shd w:val="clear" w:color="auto" w:fill="auto"/>
            <w:noWrap/>
            <w:hideMark/>
          </w:tcPr>
          <w:p w14:paraId="41D4CB11" w14:textId="77777777" w:rsidR="00E45705" w:rsidRPr="001B09E6" w:rsidRDefault="00E45705" w:rsidP="00E45705">
            <w:pPr>
              <w:pStyle w:val="TableColumnHeading"/>
              <w:spacing w:before="0" w:after="0"/>
              <w:ind w:left="0" w:right="0"/>
              <w:jc w:val="center"/>
              <w:rPr>
                <w:lang w:eastAsia="en-AU"/>
              </w:rPr>
            </w:pPr>
            <w:r w:rsidRPr="001B09E6">
              <w:rPr>
                <w:lang w:eastAsia="en-AU"/>
              </w:rPr>
              <w:t>2007</w:t>
            </w:r>
          </w:p>
        </w:tc>
        <w:tc>
          <w:tcPr>
            <w:tcW w:w="673" w:type="pct"/>
            <w:tcBorders>
              <w:top w:val="single" w:sz="8" w:space="0" w:color="auto"/>
              <w:left w:val="nil"/>
              <w:bottom w:val="nil"/>
              <w:right w:val="nil"/>
            </w:tcBorders>
            <w:shd w:val="clear" w:color="auto" w:fill="auto"/>
            <w:noWrap/>
            <w:hideMark/>
          </w:tcPr>
          <w:p w14:paraId="1B7F1C53" w14:textId="77777777" w:rsidR="00E45705" w:rsidRPr="001B09E6" w:rsidRDefault="00E45705" w:rsidP="00E45705">
            <w:pPr>
              <w:pStyle w:val="TableColumnHeading"/>
              <w:spacing w:before="0" w:after="0"/>
              <w:ind w:left="0" w:right="0"/>
              <w:jc w:val="center"/>
              <w:rPr>
                <w:lang w:eastAsia="en-AU"/>
              </w:rPr>
            </w:pPr>
            <w:r w:rsidRPr="001B09E6">
              <w:rPr>
                <w:lang w:eastAsia="en-AU"/>
              </w:rPr>
              <w:t>2008</w:t>
            </w:r>
          </w:p>
        </w:tc>
        <w:tc>
          <w:tcPr>
            <w:tcW w:w="673" w:type="pct"/>
            <w:tcBorders>
              <w:top w:val="single" w:sz="8" w:space="0" w:color="auto"/>
              <w:left w:val="nil"/>
              <w:bottom w:val="nil"/>
              <w:right w:val="nil"/>
            </w:tcBorders>
            <w:shd w:val="clear" w:color="auto" w:fill="auto"/>
            <w:noWrap/>
            <w:hideMark/>
          </w:tcPr>
          <w:p w14:paraId="766E6B20" w14:textId="77777777" w:rsidR="00E45705" w:rsidRPr="001B09E6" w:rsidRDefault="00E45705" w:rsidP="00E45705">
            <w:pPr>
              <w:pStyle w:val="TableColumnHeading"/>
              <w:spacing w:before="0" w:after="0"/>
              <w:ind w:left="0" w:right="0"/>
              <w:jc w:val="center"/>
              <w:rPr>
                <w:lang w:eastAsia="en-AU"/>
              </w:rPr>
            </w:pPr>
            <w:r w:rsidRPr="001B09E6">
              <w:rPr>
                <w:lang w:eastAsia="en-AU"/>
              </w:rPr>
              <w:t>2009</w:t>
            </w:r>
          </w:p>
        </w:tc>
        <w:tc>
          <w:tcPr>
            <w:tcW w:w="673" w:type="pct"/>
            <w:tcBorders>
              <w:top w:val="single" w:sz="8" w:space="0" w:color="auto"/>
              <w:left w:val="nil"/>
              <w:bottom w:val="nil"/>
              <w:right w:val="nil"/>
            </w:tcBorders>
            <w:shd w:val="clear" w:color="auto" w:fill="auto"/>
            <w:noWrap/>
            <w:hideMark/>
          </w:tcPr>
          <w:p w14:paraId="051095B4" w14:textId="77777777" w:rsidR="00E45705" w:rsidRPr="001B09E6" w:rsidRDefault="00E45705" w:rsidP="00E45705">
            <w:pPr>
              <w:pStyle w:val="TableColumnHeading"/>
              <w:spacing w:before="0" w:after="0"/>
              <w:ind w:left="0" w:right="0"/>
              <w:jc w:val="center"/>
              <w:rPr>
                <w:lang w:eastAsia="en-AU"/>
              </w:rPr>
            </w:pPr>
            <w:r w:rsidRPr="001B09E6">
              <w:rPr>
                <w:lang w:eastAsia="en-AU"/>
              </w:rPr>
              <w:t>2010</w:t>
            </w:r>
          </w:p>
        </w:tc>
      </w:tr>
      <w:tr w:rsidR="00E45705" w:rsidRPr="001B09E6" w14:paraId="5E0430D9" w14:textId="77777777" w:rsidTr="00E45705">
        <w:trPr>
          <w:trHeight w:val="300"/>
        </w:trPr>
        <w:tc>
          <w:tcPr>
            <w:tcW w:w="962" w:type="pct"/>
            <w:tcBorders>
              <w:top w:val="nil"/>
              <w:left w:val="nil"/>
              <w:bottom w:val="nil"/>
              <w:right w:val="nil"/>
            </w:tcBorders>
            <w:shd w:val="clear" w:color="auto" w:fill="auto"/>
            <w:noWrap/>
            <w:hideMark/>
          </w:tcPr>
          <w:p w14:paraId="3CA76C08" w14:textId="77777777" w:rsidR="00E45705" w:rsidRPr="001B09E6" w:rsidRDefault="00E45705" w:rsidP="00E45705">
            <w:pPr>
              <w:pStyle w:val="TableCellText"/>
              <w:spacing w:before="0" w:after="0"/>
              <w:ind w:left="0" w:right="0"/>
              <w:jc w:val="center"/>
              <w:rPr>
                <w:lang w:eastAsia="en-AU"/>
              </w:rPr>
            </w:pPr>
            <w:r w:rsidRPr="001B09E6">
              <w:rPr>
                <w:lang w:eastAsia="en-AU"/>
              </w:rPr>
              <w:t>Males</w:t>
            </w:r>
          </w:p>
        </w:tc>
        <w:tc>
          <w:tcPr>
            <w:tcW w:w="673" w:type="pct"/>
            <w:tcBorders>
              <w:top w:val="single" w:sz="8" w:space="0" w:color="auto"/>
              <w:left w:val="nil"/>
              <w:bottom w:val="nil"/>
              <w:right w:val="nil"/>
            </w:tcBorders>
            <w:shd w:val="clear" w:color="auto" w:fill="auto"/>
            <w:noWrap/>
            <w:hideMark/>
          </w:tcPr>
          <w:p w14:paraId="7DE84273" w14:textId="77777777" w:rsidR="00E45705" w:rsidRPr="001B09E6" w:rsidRDefault="00E45705" w:rsidP="00E45705">
            <w:pPr>
              <w:pStyle w:val="TableCellText"/>
              <w:spacing w:before="0" w:after="0"/>
              <w:ind w:left="0" w:right="0"/>
              <w:jc w:val="center"/>
              <w:rPr>
                <w:lang w:eastAsia="en-AU"/>
              </w:rPr>
            </w:pPr>
            <w:r w:rsidRPr="001B09E6">
              <w:rPr>
                <w:lang w:eastAsia="en-AU"/>
              </w:rPr>
              <w:t>11.7</w:t>
            </w:r>
          </w:p>
        </w:tc>
        <w:tc>
          <w:tcPr>
            <w:tcW w:w="673" w:type="pct"/>
            <w:tcBorders>
              <w:top w:val="single" w:sz="8" w:space="0" w:color="auto"/>
              <w:left w:val="nil"/>
              <w:bottom w:val="nil"/>
              <w:right w:val="nil"/>
            </w:tcBorders>
            <w:shd w:val="clear" w:color="auto" w:fill="auto"/>
            <w:noWrap/>
            <w:hideMark/>
          </w:tcPr>
          <w:p w14:paraId="524A23EC" w14:textId="77777777" w:rsidR="00E45705" w:rsidRPr="001B09E6" w:rsidRDefault="00E45705" w:rsidP="00E45705">
            <w:pPr>
              <w:pStyle w:val="TableCellText"/>
              <w:spacing w:before="0" w:after="0"/>
              <w:ind w:left="0" w:right="0"/>
              <w:jc w:val="center"/>
              <w:rPr>
                <w:lang w:eastAsia="en-AU"/>
              </w:rPr>
            </w:pPr>
            <w:r w:rsidRPr="001B09E6">
              <w:rPr>
                <w:lang w:eastAsia="en-AU"/>
              </w:rPr>
              <w:t>11.1</w:t>
            </w:r>
          </w:p>
        </w:tc>
        <w:tc>
          <w:tcPr>
            <w:tcW w:w="673" w:type="pct"/>
            <w:tcBorders>
              <w:top w:val="single" w:sz="8" w:space="0" w:color="auto"/>
              <w:left w:val="nil"/>
              <w:bottom w:val="nil"/>
              <w:right w:val="nil"/>
            </w:tcBorders>
            <w:shd w:val="clear" w:color="auto" w:fill="auto"/>
            <w:noWrap/>
            <w:hideMark/>
          </w:tcPr>
          <w:p w14:paraId="0150EF2D" w14:textId="77777777" w:rsidR="00E45705" w:rsidRPr="001B09E6" w:rsidRDefault="00E45705" w:rsidP="00E45705">
            <w:pPr>
              <w:pStyle w:val="TableCellText"/>
              <w:spacing w:before="0" w:after="0"/>
              <w:ind w:left="0" w:right="0"/>
              <w:jc w:val="center"/>
              <w:rPr>
                <w:lang w:eastAsia="en-AU"/>
              </w:rPr>
            </w:pPr>
            <w:r w:rsidRPr="001B09E6">
              <w:rPr>
                <w:lang w:eastAsia="en-AU"/>
              </w:rPr>
              <w:t>11.0</w:t>
            </w:r>
          </w:p>
        </w:tc>
        <w:tc>
          <w:tcPr>
            <w:tcW w:w="673" w:type="pct"/>
            <w:tcBorders>
              <w:top w:val="single" w:sz="8" w:space="0" w:color="auto"/>
              <w:left w:val="nil"/>
              <w:bottom w:val="nil"/>
              <w:right w:val="nil"/>
            </w:tcBorders>
            <w:shd w:val="clear" w:color="auto" w:fill="auto"/>
            <w:noWrap/>
            <w:hideMark/>
          </w:tcPr>
          <w:p w14:paraId="18F44E0B" w14:textId="77777777" w:rsidR="00E45705" w:rsidRPr="001B09E6" w:rsidRDefault="00E45705" w:rsidP="00E45705">
            <w:pPr>
              <w:pStyle w:val="TableCellText"/>
              <w:spacing w:before="0" w:after="0"/>
              <w:ind w:left="0" w:right="0"/>
              <w:jc w:val="center"/>
              <w:rPr>
                <w:lang w:eastAsia="en-AU"/>
              </w:rPr>
            </w:pPr>
            <w:r w:rsidRPr="001B09E6">
              <w:rPr>
                <w:lang w:eastAsia="en-AU"/>
              </w:rPr>
              <w:t>11.5</w:t>
            </w:r>
          </w:p>
        </w:tc>
        <w:tc>
          <w:tcPr>
            <w:tcW w:w="673" w:type="pct"/>
            <w:tcBorders>
              <w:top w:val="single" w:sz="8" w:space="0" w:color="auto"/>
              <w:left w:val="nil"/>
              <w:bottom w:val="nil"/>
              <w:right w:val="nil"/>
            </w:tcBorders>
            <w:shd w:val="clear" w:color="auto" w:fill="auto"/>
            <w:noWrap/>
            <w:hideMark/>
          </w:tcPr>
          <w:p w14:paraId="6F62B46A" w14:textId="77777777" w:rsidR="00E45705" w:rsidRPr="001B09E6" w:rsidRDefault="00E45705" w:rsidP="00E45705">
            <w:pPr>
              <w:pStyle w:val="TableCellText"/>
              <w:spacing w:before="0" w:after="0"/>
              <w:ind w:left="0" w:right="0"/>
              <w:jc w:val="center"/>
              <w:rPr>
                <w:lang w:eastAsia="en-AU"/>
              </w:rPr>
            </w:pPr>
            <w:r w:rsidRPr="001B09E6">
              <w:rPr>
                <w:lang w:eastAsia="en-AU"/>
              </w:rPr>
              <w:t>11.9</w:t>
            </w:r>
          </w:p>
        </w:tc>
        <w:tc>
          <w:tcPr>
            <w:tcW w:w="673" w:type="pct"/>
            <w:tcBorders>
              <w:top w:val="single" w:sz="8" w:space="0" w:color="auto"/>
              <w:left w:val="nil"/>
              <w:bottom w:val="nil"/>
              <w:right w:val="nil"/>
            </w:tcBorders>
            <w:shd w:val="clear" w:color="auto" w:fill="auto"/>
            <w:noWrap/>
            <w:hideMark/>
          </w:tcPr>
          <w:p w14:paraId="38B04998" w14:textId="77777777" w:rsidR="00E45705" w:rsidRPr="001B09E6" w:rsidRDefault="00E45705" w:rsidP="00E45705">
            <w:pPr>
              <w:pStyle w:val="TableCellText"/>
              <w:spacing w:before="0" w:after="0"/>
              <w:ind w:left="0" w:right="0"/>
              <w:jc w:val="center"/>
              <w:rPr>
                <w:lang w:eastAsia="en-AU"/>
              </w:rPr>
            </w:pPr>
            <w:r w:rsidRPr="001B09E6">
              <w:rPr>
                <w:lang w:eastAsia="en-AU"/>
              </w:rPr>
              <w:t>12.7</w:t>
            </w:r>
          </w:p>
        </w:tc>
      </w:tr>
      <w:tr w:rsidR="00E45705" w:rsidRPr="001B09E6" w14:paraId="2BC87287" w14:textId="77777777" w:rsidTr="00E45705">
        <w:trPr>
          <w:trHeight w:val="300"/>
        </w:trPr>
        <w:tc>
          <w:tcPr>
            <w:tcW w:w="962" w:type="pct"/>
            <w:tcBorders>
              <w:top w:val="nil"/>
              <w:left w:val="nil"/>
              <w:bottom w:val="nil"/>
              <w:right w:val="nil"/>
            </w:tcBorders>
            <w:shd w:val="clear" w:color="auto" w:fill="auto"/>
            <w:noWrap/>
            <w:hideMark/>
          </w:tcPr>
          <w:p w14:paraId="61D2CC7F" w14:textId="77777777" w:rsidR="00E45705" w:rsidRPr="001B09E6" w:rsidRDefault="00E45705" w:rsidP="00E45705">
            <w:pPr>
              <w:pStyle w:val="TableCellText"/>
              <w:spacing w:before="0" w:after="0"/>
              <w:ind w:left="0" w:right="0"/>
              <w:jc w:val="center"/>
              <w:rPr>
                <w:lang w:eastAsia="en-AU"/>
              </w:rPr>
            </w:pPr>
            <w:r w:rsidRPr="001B09E6">
              <w:rPr>
                <w:lang w:eastAsia="en-AU"/>
              </w:rPr>
              <w:t>Females</w:t>
            </w:r>
          </w:p>
        </w:tc>
        <w:tc>
          <w:tcPr>
            <w:tcW w:w="673" w:type="pct"/>
            <w:tcBorders>
              <w:top w:val="nil"/>
              <w:left w:val="nil"/>
              <w:bottom w:val="nil"/>
              <w:right w:val="nil"/>
            </w:tcBorders>
            <w:shd w:val="clear" w:color="auto" w:fill="auto"/>
            <w:noWrap/>
            <w:hideMark/>
          </w:tcPr>
          <w:p w14:paraId="6EFC11E7" w14:textId="77777777" w:rsidR="00E45705" w:rsidRPr="001B09E6" w:rsidRDefault="00E45705" w:rsidP="00E45705">
            <w:pPr>
              <w:pStyle w:val="TableCellText"/>
              <w:spacing w:before="0" w:after="0"/>
              <w:ind w:left="0" w:right="0"/>
              <w:jc w:val="center"/>
              <w:rPr>
                <w:lang w:eastAsia="en-AU"/>
              </w:rPr>
            </w:pPr>
            <w:r w:rsidRPr="001B09E6">
              <w:rPr>
                <w:lang w:eastAsia="en-AU"/>
              </w:rPr>
              <w:t>11.8</w:t>
            </w:r>
          </w:p>
        </w:tc>
        <w:tc>
          <w:tcPr>
            <w:tcW w:w="673" w:type="pct"/>
            <w:tcBorders>
              <w:top w:val="nil"/>
              <w:left w:val="nil"/>
              <w:bottom w:val="nil"/>
              <w:right w:val="nil"/>
            </w:tcBorders>
            <w:shd w:val="clear" w:color="auto" w:fill="auto"/>
            <w:noWrap/>
            <w:hideMark/>
          </w:tcPr>
          <w:p w14:paraId="5747CF17" w14:textId="77777777" w:rsidR="00E45705" w:rsidRPr="001B09E6" w:rsidRDefault="00E45705" w:rsidP="00E45705">
            <w:pPr>
              <w:pStyle w:val="TableCellText"/>
              <w:spacing w:before="0" w:after="0"/>
              <w:ind w:left="0" w:right="0"/>
              <w:jc w:val="center"/>
              <w:rPr>
                <w:lang w:eastAsia="en-AU"/>
              </w:rPr>
            </w:pPr>
            <w:r w:rsidRPr="001B09E6">
              <w:rPr>
                <w:lang w:eastAsia="en-AU"/>
              </w:rPr>
              <w:t>11.0</w:t>
            </w:r>
          </w:p>
        </w:tc>
        <w:tc>
          <w:tcPr>
            <w:tcW w:w="673" w:type="pct"/>
            <w:tcBorders>
              <w:top w:val="nil"/>
              <w:left w:val="nil"/>
              <w:bottom w:val="nil"/>
              <w:right w:val="nil"/>
            </w:tcBorders>
            <w:shd w:val="clear" w:color="auto" w:fill="auto"/>
            <w:noWrap/>
            <w:hideMark/>
          </w:tcPr>
          <w:p w14:paraId="78E08F13" w14:textId="77777777" w:rsidR="00E45705" w:rsidRPr="001B09E6" w:rsidRDefault="00E45705" w:rsidP="00E45705">
            <w:pPr>
              <w:pStyle w:val="TableCellText"/>
              <w:spacing w:before="0" w:after="0"/>
              <w:ind w:left="0" w:right="0"/>
              <w:jc w:val="center"/>
              <w:rPr>
                <w:lang w:eastAsia="en-AU"/>
              </w:rPr>
            </w:pPr>
            <w:r w:rsidRPr="001B09E6">
              <w:rPr>
                <w:lang w:eastAsia="en-AU"/>
              </w:rPr>
              <w:t>10.9</w:t>
            </w:r>
          </w:p>
        </w:tc>
        <w:tc>
          <w:tcPr>
            <w:tcW w:w="673" w:type="pct"/>
            <w:tcBorders>
              <w:top w:val="nil"/>
              <w:left w:val="nil"/>
              <w:bottom w:val="nil"/>
              <w:right w:val="nil"/>
            </w:tcBorders>
            <w:shd w:val="clear" w:color="auto" w:fill="auto"/>
            <w:noWrap/>
            <w:hideMark/>
          </w:tcPr>
          <w:p w14:paraId="59DDD76B" w14:textId="77777777" w:rsidR="00E45705" w:rsidRPr="001B09E6" w:rsidRDefault="00E45705" w:rsidP="00E45705">
            <w:pPr>
              <w:pStyle w:val="TableCellText"/>
              <w:spacing w:before="0" w:after="0"/>
              <w:ind w:left="0" w:right="0"/>
              <w:jc w:val="center"/>
              <w:rPr>
                <w:lang w:eastAsia="en-AU"/>
              </w:rPr>
            </w:pPr>
            <w:r w:rsidRPr="001B09E6">
              <w:rPr>
                <w:lang w:eastAsia="en-AU"/>
              </w:rPr>
              <w:t>11.6</w:t>
            </w:r>
          </w:p>
        </w:tc>
        <w:tc>
          <w:tcPr>
            <w:tcW w:w="673" w:type="pct"/>
            <w:tcBorders>
              <w:top w:val="nil"/>
              <w:left w:val="nil"/>
              <w:bottom w:val="nil"/>
              <w:right w:val="nil"/>
            </w:tcBorders>
            <w:shd w:val="clear" w:color="auto" w:fill="auto"/>
            <w:noWrap/>
            <w:hideMark/>
          </w:tcPr>
          <w:p w14:paraId="2E9E061A" w14:textId="77777777" w:rsidR="00E45705" w:rsidRPr="001B09E6" w:rsidRDefault="00E45705" w:rsidP="00E45705">
            <w:pPr>
              <w:pStyle w:val="TableCellText"/>
              <w:spacing w:before="0" w:after="0"/>
              <w:ind w:left="0" w:right="0"/>
              <w:jc w:val="center"/>
              <w:rPr>
                <w:lang w:eastAsia="en-AU"/>
              </w:rPr>
            </w:pPr>
            <w:r w:rsidRPr="001B09E6">
              <w:rPr>
                <w:lang w:eastAsia="en-AU"/>
              </w:rPr>
              <w:t>11.3</w:t>
            </w:r>
          </w:p>
        </w:tc>
        <w:tc>
          <w:tcPr>
            <w:tcW w:w="673" w:type="pct"/>
            <w:tcBorders>
              <w:top w:val="nil"/>
              <w:left w:val="nil"/>
              <w:bottom w:val="nil"/>
              <w:right w:val="nil"/>
            </w:tcBorders>
            <w:shd w:val="clear" w:color="auto" w:fill="auto"/>
            <w:noWrap/>
            <w:hideMark/>
          </w:tcPr>
          <w:p w14:paraId="7F5CF24D" w14:textId="77777777" w:rsidR="00E45705" w:rsidRPr="001B09E6" w:rsidRDefault="00E45705" w:rsidP="00E45705">
            <w:pPr>
              <w:pStyle w:val="TableCellText"/>
              <w:spacing w:before="0" w:after="0"/>
              <w:ind w:left="0" w:right="0"/>
              <w:jc w:val="center"/>
              <w:rPr>
                <w:lang w:eastAsia="en-AU"/>
              </w:rPr>
            </w:pPr>
            <w:r w:rsidRPr="001B09E6">
              <w:rPr>
                <w:lang w:eastAsia="en-AU"/>
              </w:rPr>
              <w:t>11.9</w:t>
            </w:r>
          </w:p>
        </w:tc>
      </w:tr>
      <w:tr w:rsidR="00E45705" w:rsidRPr="001B09E6" w14:paraId="22DABA19" w14:textId="77777777" w:rsidTr="00E45705">
        <w:trPr>
          <w:trHeight w:val="315"/>
        </w:trPr>
        <w:tc>
          <w:tcPr>
            <w:tcW w:w="962" w:type="pct"/>
            <w:tcBorders>
              <w:top w:val="nil"/>
              <w:left w:val="nil"/>
              <w:bottom w:val="single" w:sz="8" w:space="0" w:color="auto"/>
              <w:right w:val="nil"/>
            </w:tcBorders>
            <w:shd w:val="clear" w:color="auto" w:fill="auto"/>
            <w:noWrap/>
            <w:hideMark/>
          </w:tcPr>
          <w:p w14:paraId="43DE76F1" w14:textId="77777777" w:rsidR="00E45705" w:rsidRPr="001B09E6" w:rsidRDefault="00E45705" w:rsidP="00E45705">
            <w:pPr>
              <w:pStyle w:val="TableCellText"/>
              <w:spacing w:before="0" w:after="0"/>
              <w:ind w:left="0" w:right="0"/>
              <w:jc w:val="center"/>
              <w:rPr>
                <w:lang w:eastAsia="en-AU"/>
              </w:rPr>
            </w:pPr>
            <w:r w:rsidRPr="001B09E6">
              <w:rPr>
                <w:lang w:eastAsia="en-AU"/>
              </w:rPr>
              <w:t>Persons</w:t>
            </w:r>
          </w:p>
        </w:tc>
        <w:tc>
          <w:tcPr>
            <w:tcW w:w="673" w:type="pct"/>
            <w:tcBorders>
              <w:top w:val="nil"/>
              <w:left w:val="nil"/>
              <w:bottom w:val="single" w:sz="8" w:space="0" w:color="auto"/>
              <w:right w:val="nil"/>
            </w:tcBorders>
            <w:shd w:val="clear" w:color="auto" w:fill="auto"/>
            <w:noWrap/>
            <w:hideMark/>
          </w:tcPr>
          <w:p w14:paraId="4885C37B" w14:textId="77777777" w:rsidR="00E45705" w:rsidRPr="001B09E6" w:rsidRDefault="00E45705" w:rsidP="00E45705">
            <w:pPr>
              <w:pStyle w:val="TableCellText"/>
              <w:spacing w:before="0" w:after="0"/>
              <w:ind w:left="0" w:right="0"/>
              <w:jc w:val="center"/>
              <w:rPr>
                <w:lang w:eastAsia="en-AU"/>
              </w:rPr>
            </w:pPr>
            <w:r w:rsidRPr="001B09E6">
              <w:rPr>
                <w:lang w:eastAsia="en-AU"/>
              </w:rPr>
              <w:t>11.7</w:t>
            </w:r>
          </w:p>
        </w:tc>
        <w:tc>
          <w:tcPr>
            <w:tcW w:w="673" w:type="pct"/>
            <w:tcBorders>
              <w:top w:val="nil"/>
              <w:left w:val="nil"/>
              <w:bottom w:val="single" w:sz="8" w:space="0" w:color="auto"/>
              <w:right w:val="nil"/>
            </w:tcBorders>
            <w:shd w:val="clear" w:color="auto" w:fill="auto"/>
            <w:noWrap/>
            <w:hideMark/>
          </w:tcPr>
          <w:p w14:paraId="4EA92DE9" w14:textId="77777777" w:rsidR="00E45705" w:rsidRPr="001B09E6" w:rsidRDefault="00E45705" w:rsidP="00E45705">
            <w:pPr>
              <w:pStyle w:val="TableCellText"/>
              <w:spacing w:before="0" w:after="0"/>
              <w:ind w:left="0" w:right="0"/>
              <w:jc w:val="center"/>
              <w:rPr>
                <w:lang w:eastAsia="en-AU"/>
              </w:rPr>
            </w:pPr>
            <w:r w:rsidRPr="001B09E6">
              <w:rPr>
                <w:lang w:eastAsia="en-AU"/>
              </w:rPr>
              <w:t>11.0</w:t>
            </w:r>
          </w:p>
        </w:tc>
        <w:tc>
          <w:tcPr>
            <w:tcW w:w="673" w:type="pct"/>
            <w:tcBorders>
              <w:top w:val="nil"/>
              <w:left w:val="nil"/>
              <w:bottom w:val="single" w:sz="8" w:space="0" w:color="auto"/>
              <w:right w:val="nil"/>
            </w:tcBorders>
            <w:shd w:val="clear" w:color="auto" w:fill="auto"/>
            <w:noWrap/>
            <w:hideMark/>
          </w:tcPr>
          <w:p w14:paraId="4B531085" w14:textId="77777777" w:rsidR="00E45705" w:rsidRPr="001B09E6" w:rsidRDefault="00E45705" w:rsidP="00E45705">
            <w:pPr>
              <w:pStyle w:val="TableCellText"/>
              <w:spacing w:before="0" w:after="0"/>
              <w:ind w:left="0" w:right="0"/>
              <w:jc w:val="center"/>
              <w:rPr>
                <w:lang w:eastAsia="en-AU"/>
              </w:rPr>
            </w:pPr>
            <w:r w:rsidRPr="001B09E6">
              <w:rPr>
                <w:lang w:eastAsia="en-AU"/>
              </w:rPr>
              <w:t>10.9</w:t>
            </w:r>
          </w:p>
        </w:tc>
        <w:tc>
          <w:tcPr>
            <w:tcW w:w="673" w:type="pct"/>
            <w:tcBorders>
              <w:top w:val="nil"/>
              <w:left w:val="nil"/>
              <w:bottom w:val="single" w:sz="8" w:space="0" w:color="auto"/>
              <w:right w:val="nil"/>
            </w:tcBorders>
            <w:shd w:val="clear" w:color="auto" w:fill="auto"/>
            <w:noWrap/>
            <w:hideMark/>
          </w:tcPr>
          <w:p w14:paraId="4CADA617" w14:textId="77777777" w:rsidR="00E45705" w:rsidRPr="001B09E6" w:rsidRDefault="00E45705" w:rsidP="00E45705">
            <w:pPr>
              <w:pStyle w:val="TableCellText"/>
              <w:spacing w:before="0" w:after="0"/>
              <w:ind w:left="0" w:right="0"/>
              <w:jc w:val="center"/>
              <w:rPr>
                <w:lang w:eastAsia="en-AU"/>
              </w:rPr>
            </w:pPr>
            <w:r w:rsidRPr="001B09E6">
              <w:rPr>
                <w:lang w:eastAsia="en-AU"/>
              </w:rPr>
              <w:t>11.5</w:t>
            </w:r>
          </w:p>
        </w:tc>
        <w:tc>
          <w:tcPr>
            <w:tcW w:w="673" w:type="pct"/>
            <w:tcBorders>
              <w:top w:val="nil"/>
              <w:left w:val="nil"/>
              <w:bottom w:val="single" w:sz="8" w:space="0" w:color="auto"/>
              <w:right w:val="nil"/>
            </w:tcBorders>
            <w:shd w:val="clear" w:color="auto" w:fill="auto"/>
            <w:noWrap/>
            <w:hideMark/>
          </w:tcPr>
          <w:p w14:paraId="3CC9B026" w14:textId="77777777" w:rsidR="00E45705" w:rsidRPr="001B09E6" w:rsidRDefault="00E45705" w:rsidP="00E45705">
            <w:pPr>
              <w:pStyle w:val="TableCellText"/>
              <w:spacing w:before="0" w:after="0"/>
              <w:ind w:left="0" w:right="0"/>
              <w:jc w:val="center"/>
              <w:rPr>
                <w:lang w:eastAsia="en-AU"/>
              </w:rPr>
            </w:pPr>
            <w:r w:rsidRPr="001B09E6">
              <w:rPr>
                <w:lang w:eastAsia="en-AU"/>
              </w:rPr>
              <w:t>11.6</w:t>
            </w:r>
          </w:p>
        </w:tc>
        <w:tc>
          <w:tcPr>
            <w:tcW w:w="673" w:type="pct"/>
            <w:tcBorders>
              <w:top w:val="nil"/>
              <w:left w:val="nil"/>
              <w:bottom w:val="single" w:sz="8" w:space="0" w:color="auto"/>
              <w:right w:val="nil"/>
            </w:tcBorders>
            <w:shd w:val="clear" w:color="auto" w:fill="auto"/>
            <w:noWrap/>
            <w:hideMark/>
          </w:tcPr>
          <w:p w14:paraId="20777BF2" w14:textId="77777777" w:rsidR="00E45705" w:rsidRPr="001B09E6" w:rsidRDefault="00E45705" w:rsidP="00E45705">
            <w:pPr>
              <w:pStyle w:val="TableCellText"/>
              <w:spacing w:before="0" w:after="0"/>
              <w:ind w:left="0" w:right="0"/>
              <w:jc w:val="center"/>
              <w:rPr>
                <w:lang w:eastAsia="en-AU"/>
              </w:rPr>
            </w:pPr>
            <w:r w:rsidRPr="001B09E6">
              <w:rPr>
                <w:lang w:eastAsia="en-AU"/>
              </w:rPr>
              <w:t>12.4</w:t>
            </w:r>
          </w:p>
        </w:tc>
      </w:tr>
    </w:tbl>
    <w:p w14:paraId="3C2219FD" w14:textId="77777777" w:rsidR="00E45705" w:rsidRPr="001B09E6" w:rsidRDefault="00E45705" w:rsidP="00E45705">
      <w:pPr>
        <w:pStyle w:val="Tablenote"/>
        <w:rPr>
          <w:lang w:eastAsia="en-AU"/>
        </w:rPr>
      </w:pPr>
      <w:r w:rsidRPr="001B09E6">
        <w:rPr>
          <w:lang w:eastAsia="en-AU"/>
        </w:rPr>
        <w:t>Source: National VET in Schools Collection, ABS Population by Age and Sex 3201.0</w:t>
      </w:r>
    </w:p>
    <w:p w14:paraId="034BCEA3" w14:textId="77777777" w:rsidR="00E45705" w:rsidRPr="001B09E6" w:rsidRDefault="00E45705" w:rsidP="00E45705">
      <w:pPr>
        <w:pStyle w:val="Heading3NoNumbering"/>
      </w:pPr>
      <w:bookmarkStart w:id="142" w:name="_Toc333918982"/>
      <w:r w:rsidRPr="001B09E6">
        <w:t>Table A2.5: VET participation</w:t>
      </w:r>
      <w:bookmarkEnd w:id="141"/>
      <w:bookmarkEnd w:id="142"/>
    </w:p>
    <w:p w14:paraId="0E4300E2" w14:textId="77777777" w:rsidR="00E45705" w:rsidRPr="001B09E6" w:rsidRDefault="00E45705" w:rsidP="00E45705">
      <w:pPr>
        <w:pStyle w:val="TableHeading"/>
        <w:spacing w:before="112"/>
      </w:pPr>
      <w:r w:rsidRPr="001B09E6">
        <w:t>Percentage of persons aged 15-24 enrolled in VET, 2002-11, excluding those attending school and those who completed Year 12</w:t>
      </w:r>
    </w:p>
    <w:tbl>
      <w:tblPr>
        <w:tblW w:w="5000" w:type="pct"/>
        <w:tblLook w:val="04A0" w:firstRow="1" w:lastRow="0" w:firstColumn="1" w:lastColumn="0" w:noHBand="0" w:noVBand="1"/>
        <w:tblCaption w:val="Table A2.5: VET participation Percentage of persons aged 15-24 enrolled in VET, 2002-11, excluding those attending school and those who completed Year 12 "/>
        <w:tblDescription w:val="Table A2.5: VET participation&#10;Percentage of persons aged 15-24 enrolled in VET, 2002-11, excluding those attending school and those who completed Year 12&#10;"/>
      </w:tblPr>
      <w:tblGrid>
        <w:gridCol w:w="2208"/>
        <w:gridCol w:w="1243"/>
        <w:gridCol w:w="1243"/>
        <w:gridCol w:w="1242"/>
        <w:gridCol w:w="1242"/>
        <w:gridCol w:w="1242"/>
        <w:gridCol w:w="1242"/>
        <w:gridCol w:w="1242"/>
        <w:gridCol w:w="1242"/>
        <w:gridCol w:w="1242"/>
        <w:gridCol w:w="1228"/>
      </w:tblGrid>
      <w:tr w:rsidR="00E45705" w:rsidRPr="001B09E6" w14:paraId="6B36D142" w14:textId="77777777" w:rsidTr="00E45705">
        <w:trPr>
          <w:trHeight w:val="225"/>
        </w:trPr>
        <w:tc>
          <w:tcPr>
            <w:tcW w:w="755" w:type="pct"/>
            <w:tcBorders>
              <w:top w:val="single" w:sz="4" w:space="0" w:color="auto"/>
              <w:left w:val="nil"/>
              <w:bottom w:val="single" w:sz="4" w:space="0" w:color="auto"/>
            </w:tcBorders>
            <w:shd w:val="clear" w:color="auto" w:fill="auto"/>
            <w:noWrap/>
            <w:hideMark/>
          </w:tcPr>
          <w:p w14:paraId="3B85A463" w14:textId="77777777" w:rsidR="00E45705" w:rsidRPr="001B09E6" w:rsidRDefault="00E45705" w:rsidP="00E45705">
            <w:pPr>
              <w:pStyle w:val="TableColumnHeading"/>
              <w:spacing w:before="0" w:after="0"/>
              <w:ind w:left="0" w:right="0"/>
              <w:jc w:val="center"/>
              <w:rPr>
                <w:lang w:eastAsia="en-AU"/>
              </w:rPr>
            </w:pPr>
          </w:p>
        </w:tc>
        <w:tc>
          <w:tcPr>
            <w:tcW w:w="425" w:type="pct"/>
            <w:tcBorders>
              <w:top w:val="single" w:sz="4" w:space="0" w:color="auto"/>
              <w:bottom w:val="single" w:sz="4" w:space="0" w:color="auto"/>
            </w:tcBorders>
            <w:shd w:val="clear" w:color="auto" w:fill="auto"/>
            <w:noWrap/>
            <w:hideMark/>
          </w:tcPr>
          <w:p w14:paraId="110042FC" w14:textId="77777777" w:rsidR="00E45705" w:rsidRPr="001B09E6" w:rsidRDefault="00E45705" w:rsidP="00E45705">
            <w:pPr>
              <w:pStyle w:val="TableColumnHeading"/>
              <w:spacing w:before="0" w:after="0"/>
              <w:ind w:left="0" w:right="0"/>
              <w:jc w:val="center"/>
              <w:rPr>
                <w:lang w:eastAsia="en-AU"/>
              </w:rPr>
            </w:pPr>
            <w:r w:rsidRPr="001B09E6">
              <w:rPr>
                <w:lang w:eastAsia="en-AU"/>
              </w:rPr>
              <w:t>2002</w:t>
            </w:r>
          </w:p>
        </w:tc>
        <w:tc>
          <w:tcPr>
            <w:tcW w:w="425" w:type="pct"/>
            <w:tcBorders>
              <w:top w:val="single" w:sz="4" w:space="0" w:color="auto"/>
              <w:bottom w:val="single" w:sz="4" w:space="0" w:color="auto"/>
            </w:tcBorders>
            <w:shd w:val="clear" w:color="auto" w:fill="auto"/>
            <w:noWrap/>
            <w:hideMark/>
          </w:tcPr>
          <w:p w14:paraId="521668EE" w14:textId="77777777" w:rsidR="00E45705" w:rsidRPr="001B09E6" w:rsidRDefault="00E45705" w:rsidP="00E45705">
            <w:pPr>
              <w:pStyle w:val="TableColumnHeading"/>
              <w:spacing w:before="0" w:after="0"/>
              <w:ind w:left="0" w:right="0"/>
              <w:jc w:val="center"/>
              <w:rPr>
                <w:lang w:eastAsia="en-AU"/>
              </w:rPr>
            </w:pPr>
            <w:r w:rsidRPr="001B09E6">
              <w:rPr>
                <w:lang w:eastAsia="en-AU"/>
              </w:rPr>
              <w:t>2003</w:t>
            </w:r>
          </w:p>
        </w:tc>
        <w:tc>
          <w:tcPr>
            <w:tcW w:w="425" w:type="pct"/>
            <w:tcBorders>
              <w:top w:val="single" w:sz="4" w:space="0" w:color="auto"/>
              <w:bottom w:val="single" w:sz="4" w:space="0" w:color="auto"/>
            </w:tcBorders>
            <w:shd w:val="clear" w:color="auto" w:fill="auto"/>
            <w:noWrap/>
            <w:hideMark/>
          </w:tcPr>
          <w:p w14:paraId="40C452D2" w14:textId="77777777" w:rsidR="00E45705" w:rsidRPr="001B09E6" w:rsidRDefault="00E45705" w:rsidP="00E45705">
            <w:pPr>
              <w:pStyle w:val="TableColumnHeading"/>
              <w:spacing w:before="0" w:after="0"/>
              <w:ind w:left="0" w:right="0"/>
              <w:jc w:val="center"/>
              <w:rPr>
                <w:lang w:eastAsia="en-AU"/>
              </w:rPr>
            </w:pPr>
            <w:r w:rsidRPr="001B09E6">
              <w:rPr>
                <w:lang w:eastAsia="en-AU"/>
              </w:rPr>
              <w:t>2004</w:t>
            </w:r>
          </w:p>
        </w:tc>
        <w:tc>
          <w:tcPr>
            <w:tcW w:w="425" w:type="pct"/>
            <w:tcBorders>
              <w:top w:val="single" w:sz="4" w:space="0" w:color="auto"/>
              <w:bottom w:val="single" w:sz="4" w:space="0" w:color="auto"/>
            </w:tcBorders>
            <w:shd w:val="clear" w:color="auto" w:fill="auto"/>
            <w:noWrap/>
            <w:hideMark/>
          </w:tcPr>
          <w:p w14:paraId="46AA0C65" w14:textId="77777777" w:rsidR="00E45705" w:rsidRPr="001B09E6" w:rsidRDefault="00E45705" w:rsidP="00E45705">
            <w:pPr>
              <w:pStyle w:val="TableColumnHeading"/>
              <w:spacing w:before="0" w:after="0"/>
              <w:ind w:left="0" w:right="0"/>
              <w:jc w:val="center"/>
              <w:rPr>
                <w:lang w:eastAsia="en-AU"/>
              </w:rPr>
            </w:pPr>
            <w:r w:rsidRPr="001B09E6">
              <w:rPr>
                <w:lang w:eastAsia="en-AU"/>
              </w:rPr>
              <w:t>2005</w:t>
            </w:r>
          </w:p>
        </w:tc>
        <w:tc>
          <w:tcPr>
            <w:tcW w:w="425" w:type="pct"/>
            <w:tcBorders>
              <w:top w:val="single" w:sz="4" w:space="0" w:color="auto"/>
              <w:bottom w:val="single" w:sz="4" w:space="0" w:color="auto"/>
            </w:tcBorders>
            <w:shd w:val="clear" w:color="auto" w:fill="auto"/>
            <w:noWrap/>
            <w:hideMark/>
          </w:tcPr>
          <w:p w14:paraId="04AA4AD3" w14:textId="77777777" w:rsidR="00E45705" w:rsidRPr="001B09E6" w:rsidRDefault="00E45705" w:rsidP="00E45705">
            <w:pPr>
              <w:pStyle w:val="TableColumnHeading"/>
              <w:spacing w:before="0" w:after="0"/>
              <w:ind w:left="0" w:right="0"/>
              <w:jc w:val="center"/>
              <w:rPr>
                <w:lang w:eastAsia="en-AU"/>
              </w:rPr>
            </w:pPr>
            <w:r w:rsidRPr="001B09E6">
              <w:rPr>
                <w:lang w:eastAsia="en-AU"/>
              </w:rPr>
              <w:t>2006</w:t>
            </w:r>
          </w:p>
        </w:tc>
        <w:tc>
          <w:tcPr>
            <w:tcW w:w="425" w:type="pct"/>
            <w:tcBorders>
              <w:top w:val="single" w:sz="4" w:space="0" w:color="auto"/>
              <w:bottom w:val="single" w:sz="4" w:space="0" w:color="auto"/>
            </w:tcBorders>
            <w:shd w:val="clear" w:color="auto" w:fill="auto"/>
            <w:noWrap/>
            <w:hideMark/>
          </w:tcPr>
          <w:p w14:paraId="140522BF" w14:textId="77777777" w:rsidR="00E45705" w:rsidRPr="001B09E6" w:rsidRDefault="00E45705" w:rsidP="00E45705">
            <w:pPr>
              <w:pStyle w:val="TableColumnHeading"/>
              <w:spacing w:before="0" w:after="0"/>
              <w:ind w:left="0" w:right="0"/>
              <w:jc w:val="center"/>
              <w:rPr>
                <w:lang w:eastAsia="en-AU"/>
              </w:rPr>
            </w:pPr>
            <w:r w:rsidRPr="001B09E6">
              <w:rPr>
                <w:lang w:eastAsia="en-AU"/>
              </w:rPr>
              <w:t>2007</w:t>
            </w:r>
          </w:p>
        </w:tc>
        <w:tc>
          <w:tcPr>
            <w:tcW w:w="425" w:type="pct"/>
            <w:tcBorders>
              <w:top w:val="single" w:sz="4" w:space="0" w:color="auto"/>
              <w:bottom w:val="single" w:sz="4" w:space="0" w:color="auto"/>
            </w:tcBorders>
            <w:shd w:val="clear" w:color="auto" w:fill="auto"/>
            <w:noWrap/>
            <w:hideMark/>
          </w:tcPr>
          <w:p w14:paraId="2412C5AA" w14:textId="77777777" w:rsidR="00E45705" w:rsidRPr="001B09E6" w:rsidRDefault="00E45705" w:rsidP="00E45705">
            <w:pPr>
              <w:pStyle w:val="TableColumnHeading"/>
              <w:spacing w:before="0" w:after="0"/>
              <w:ind w:left="0" w:right="0"/>
              <w:jc w:val="center"/>
              <w:rPr>
                <w:lang w:eastAsia="en-AU"/>
              </w:rPr>
            </w:pPr>
            <w:r w:rsidRPr="001B09E6">
              <w:rPr>
                <w:lang w:eastAsia="en-AU"/>
              </w:rPr>
              <w:t>2008</w:t>
            </w:r>
          </w:p>
        </w:tc>
        <w:tc>
          <w:tcPr>
            <w:tcW w:w="425" w:type="pct"/>
            <w:tcBorders>
              <w:top w:val="single" w:sz="4" w:space="0" w:color="auto"/>
              <w:bottom w:val="single" w:sz="4" w:space="0" w:color="auto"/>
            </w:tcBorders>
            <w:shd w:val="clear" w:color="auto" w:fill="auto"/>
            <w:noWrap/>
            <w:hideMark/>
          </w:tcPr>
          <w:p w14:paraId="7F35E126" w14:textId="77777777" w:rsidR="00E45705" w:rsidRPr="001B09E6" w:rsidRDefault="00E45705" w:rsidP="00E45705">
            <w:pPr>
              <w:pStyle w:val="TableColumnHeading"/>
              <w:spacing w:before="0" w:after="0"/>
              <w:ind w:left="0" w:right="0"/>
              <w:jc w:val="center"/>
              <w:rPr>
                <w:lang w:eastAsia="en-AU"/>
              </w:rPr>
            </w:pPr>
            <w:r w:rsidRPr="001B09E6">
              <w:rPr>
                <w:lang w:eastAsia="en-AU"/>
              </w:rPr>
              <w:t>2009</w:t>
            </w:r>
          </w:p>
        </w:tc>
        <w:tc>
          <w:tcPr>
            <w:tcW w:w="425" w:type="pct"/>
            <w:tcBorders>
              <w:top w:val="single" w:sz="4" w:space="0" w:color="auto"/>
              <w:bottom w:val="single" w:sz="4" w:space="0" w:color="auto"/>
            </w:tcBorders>
            <w:shd w:val="clear" w:color="auto" w:fill="auto"/>
            <w:noWrap/>
            <w:hideMark/>
          </w:tcPr>
          <w:p w14:paraId="510B5934" w14:textId="77777777" w:rsidR="00E45705" w:rsidRPr="001B09E6" w:rsidRDefault="00E45705" w:rsidP="00E45705">
            <w:pPr>
              <w:pStyle w:val="TableColumnHeading"/>
              <w:spacing w:before="0" w:after="0"/>
              <w:ind w:left="0" w:right="0"/>
              <w:jc w:val="center"/>
              <w:rPr>
                <w:lang w:eastAsia="en-AU"/>
              </w:rPr>
            </w:pPr>
            <w:r w:rsidRPr="001B09E6">
              <w:rPr>
                <w:lang w:eastAsia="en-AU"/>
              </w:rPr>
              <w:t>2010</w:t>
            </w:r>
          </w:p>
        </w:tc>
        <w:tc>
          <w:tcPr>
            <w:tcW w:w="420" w:type="pct"/>
            <w:tcBorders>
              <w:top w:val="single" w:sz="4" w:space="0" w:color="auto"/>
              <w:bottom w:val="single" w:sz="4" w:space="0" w:color="auto"/>
              <w:right w:val="nil"/>
            </w:tcBorders>
            <w:shd w:val="clear" w:color="auto" w:fill="auto"/>
            <w:noWrap/>
            <w:hideMark/>
          </w:tcPr>
          <w:p w14:paraId="3B69F708" w14:textId="77777777" w:rsidR="00E45705" w:rsidRPr="001B09E6" w:rsidRDefault="00E45705" w:rsidP="00E45705">
            <w:pPr>
              <w:pStyle w:val="TableColumnHeading"/>
              <w:spacing w:before="0" w:after="0"/>
              <w:ind w:left="0" w:right="0"/>
              <w:jc w:val="center"/>
              <w:rPr>
                <w:lang w:eastAsia="en-AU"/>
              </w:rPr>
            </w:pPr>
            <w:r w:rsidRPr="001B09E6">
              <w:rPr>
                <w:lang w:eastAsia="en-AU"/>
              </w:rPr>
              <w:t>2011</w:t>
            </w:r>
          </w:p>
        </w:tc>
      </w:tr>
      <w:tr w:rsidR="00E45705" w:rsidRPr="001B09E6" w14:paraId="0A1D9D74" w14:textId="77777777" w:rsidTr="00E45705">
        <w:trPr>
          <w:trHeight w:val="225"/>
        </w:trPr>
        <w:tc>
          <w:tcPr>
            <w:tcW w:w="755" w:type="pct"/>
            <w:tcBorders>
              <w:top w:val="single" w:sz="4" w:space="0" w:color="auto"/>
              <w:left w:val="nil"/>
              <w:bottom w:val="nil"/>
              <w:right w:val="nil"/>
            </w:tcBorders>
            <w:shd w:val="clear" w:color="auto" w:fill="auto"/>
            <w:noWrap/>
            <w:hideMark/>
          </w:tcPr>
          <w:p w14:paraId="3106CBA3" w14:textId="77777777" w:rsidR="00E45705" w:rsidRPr="001B09E6" w:rsidRDefault="00E45705" w:rsidP="00E45705">
            <w:pPr>
              <w:pStyle w:val="TableCellText"/>
              <w:spacing w:before="0" w:after="0"/>
              <w:ind w:left="0" w:right="0"/>
              <w:jc w:val="center"/>
              <w:rPr>
                <w:lang w:eastAsia="en-AU"/>
              </w:rPr>
            </w:pPr>
            <w:r w:rsidRPr="001B09E6">
              <w:rPr>
                <w:lang w:eastAsia="en-AU"/>
              </w:rPr>
              <w:t>Age 15 to 19</w:t>
            </w:r>
          </w:p>
        </w:tc>
        <w:tc>
          <w:tcPr>
            <w:tcW w:w="425" w:type="pct"/>
            <w:tcBorders>
              <w:top w:val="single" w:sz="4" w:space="0" w:color="auto"/>
              <w:left w:val="nil"/>
              <w:bottom w:val="nil"/>
              <w:right w:val="nil"/>
            </w:tcBorders>
            <w:shd w:val="clear" w:color="auto" w:fill="auto"/>
            <w:noWrap/>
            <w:hideMark/>
          </w:tcPr>
          <w:p w14:paraId="6CBEED07" w14:textId="77777777" w:rsidR="00E45705" w:rsidRPr="001B09E6" w:rsidRDefault="00E45705" w:rsidP="00E45705">
            <w:pPr>
              <w:pStyle w:val="TableCellText"/>
              <w:spacing w:before="0" w:after="0"/>
              <w:ind w:left="0" w:right="0"/>
              <w:jc w:val="center"/>
            </w:pPr>
            <w:r w:rsidRPr="001B09E6">
              <w:t>12.7</w:t>
            </w:r>
          </w:p>
        </w:tc>
        <w:tc>
          <w:tcPr>
            <w:tcW w:w="425" w:type="pct"/>
            <w:tcBorders>
              <w:top w:val="single" w:sz="4" w:space="0" w:color="auto"/>
              <w:left w:val="nil"/>
              <w:bottom w:val="nil"/>
              <w:right w:val="nil"/>
            </w:tcBorders>
            <w:shd w:val="clear" w:color="auto" w:fill="auto"/>
            <w:noWrap/>
            <w:hideMark/>
          </w:tcPr>
          <w:p w14:paraId="739803F3" w14:textId="77777777" w:rsidR="00E45705" w:rsidRPr="001B09E6" w:rsidRDefault="00E45705" w:rsidP="00E45705">
            <w:pPr>
              <w:pStyle w:val="TableCellText"/>
              <w:spacing w:before="0" w:after="0"/>
              <w:ind w:left="0" w:right="0"/>
              <w:jc w:val="center"/>
            </w:pPr>
            <w:r w:rsidRPr="001B09E6">
              <w:t>12.3</w:t>
            </w:r>
          </w:p>
        </w:tc>
        <w:tc>
          <w:tcPr>
            <w:tcW w:w="425" w:type="pct"/>
            <w:tcBorders>
              <w:top w:val="single" w:sz="4" w:space="0" w:color="auto"/>
              <w:left w:val="nil"/>
              <w:bottom w:val="nil"/>
              <w:right w:val="nil"/>
            </w:tcBorders>
            <w:shd w:val="clear" w:color="auto" w:fill="auto"/>
            <w:noWrap/>
            <w:hideMark/>
          </w:tcPr>
          <w:p w14:paraId="29DC7C63" w14:textId="77777777" w:rsidR="00E45705" w:rsidRPr="001B09E6" w:rsidRDefault="00E45705" w:rsidP="00E45705">
            <w:pPr>
              <w:pStyle w:val="TableCellText"/>
              <w:spacing w:before="0" w:after="0"/>
              <w:ind w:left="0" w:right="0"/>
              <w:jc w:val="center"/>
            </w:pPr>
            <w:r w:rsidRPr="001B09E6">
              <w:t>12.0</w:t>
            </w:r>
          </w:p>
        </w:tc>
        <w:tc>
          <w:tcPr>
            <w:tcW w:w="425" w:type="pct"/>
            <w:tcBorders>
              <w:top w:val="single" w:sz="4" w:space="0" w:color="auto"/>
              <w:left w:val="nil"/>
              <w:bottom w:val="nil"/>
              <w:right w:val="nil"/>
            </w:tcBorders>
            <w:shd w:val="clear" w:color="auto" w:fill="auto"/>
            <w:noWrap/>
            <w:hideMark/>
          </w:tcPr>
          <w:p w14:paraId="0A9CA63A" w14:textId="77777777" w:rsidR="00E45705" w:rsidRPr="001B09E6" w:rsidRDefault="00E45705" w:rsidP="00E45705">
            <w:pPr>
              <w:pStyle w:val="TableCellText"/>
              <w:spacing w:before="0" w:after="0"/>
              <w:ind w:left="0" w:right="0"/>
              <w:jc w:val="center"/>
            </w:pPr>
            <w:r w:rsidRPr="001B09E6">
              <w:t>12.3</w:t>
            </w:r>
          </w:p>
        </w:tc>
        <w:tc>
          <w:tcPr>
            <w:tcW w:w="425" w:type="pct"/>
            <w:tcBorders>
              <w:top w:val="single" w:sz="4" w:space="0" w:color="auto"/>
              <w:left w:val="nil"/>
              <w:bottom w:val="nil"/>
              <w:right w:val="nil"/>
            </w:tcBorders>
            <w:shd w:val="clear" w:color="auto" w:fill="auto"/>
            <w:noWrap/>
            <w:hideMark/>
          </w:tcPr>
          <w:p w14:paraId="36A1C4C1" w14:textId="77777777" w:rsidR="00E45705" w:rsidRPr="001B09E6" w:rsidRDefault="00E45705" w:rsidP="00E45705">
            <w:pPr>
              <w:pStyle w:val="TableCellText"/>
              <w:spacing w:before="0" w:after="0"/>
              <w:ind w:left="0" w:right="0"/>
              <w:jc w:val="center"/>
            </w:pPr>
            <w:r w:rsidRPr="001B09E6">
              <w:t>12.3</w:t>
            </w:r>
          </w:p>
        </w:tc>
        <w:tc>
          <w:tcPr>
            <w:tcW w:w="425" w:type="pct"/>
            <w:tcBorders>
              <w:top w:val="single" w:sz="4" w:space="0" w:color="auto"/>
              <w:left w:val="nil"/>
              <w:bottom w:val="nil"/>
              <w:right w:val="nil"/>
            </w:tcBorders>
            <w:shd w:val="clear" w:color="auto" w:fill="auto"/>
            <w:noWrap/>
            <w:hideMark/>
          </w:tcPr>
          <w:p w14:paraId="7705F71A" w14:textId="77777777" w:rsidR="00E45705" w:rsidRPr="001B09E6" w:rsidRDefault="00E45705" w:rsidP="00E45705">
            <w:pPr>
              <w:pStyle w:val="TableCellText"/>
              <w:spacing w:before="0" w:after="0"/>
              <w:ind w:left="0" w:right="0"/>
              <w:jc w:val="center"/>
            </w:pPr>
            <w:r w:rsidRPr="001B09E6">
              <w:t>11.9</w:t>
            </w:r>
          </w:p>
        </w:tc>
        <w:tc>
          <w:tcPr>
            <w:tcW w:w="425" w:type="pct"/>
            <w:tcBorders>
              <w:top w:val="single" w:sz="4" w:space="0" w:color="auto"/>
              <w:left w:val="nil"/>
              <w:bottom w:val="nil"/>
              <w:right w:val="nil"/>
            </w:tcBorders>
            <w:shd w:val="clear" w:color="auto" w:fill="auto"/>
            <w:noWrap/>
            <w:hideMark/>
          </w:tcPr>
          <w:p w14:paraId="3AE59C3A" w14:textId="77777777" w:rsidR="00E45705" w:rsidRPr="001B09E6" w:rsidRDefault="00E45705" w:rsidP="00E45705">
            <w:pPr>
              <w:pStyle w:val="TableCellText"/>
              <w:spacing w:before="0" w:after="0"/>
              <w:ind w:left="0" w:right="0"/>
              <w:jc w:val="center"/>
            </w:pPr>
            <w:r w:rsidRPr="001B09E6">
              <w:t>11.7</w:t>
            </w:r>
          </w:p>
        </w:tc>
        <w:tc>
          <w:tcPr>
            <w:tcW w:w="425" w:type="pct"/>
            <w:tcBorders>
              <w:top w:val="single" w:sz="4" w:space="0" w:color="auto"/>
              <w:left w:val="nil"/>
              <w:bottom w:val="nil"/>
              <w:right w:val="nil"/>
            </w:tcBorders>
            <w:shd w:val="clear" w:color="auto" w:fill="auto"/>
            <w:noWrap/>
            <w:hideMark/>
          </w:tcPr>
          <w:p w14:paraId="15A7399C" w14:textId="77777777" w:rsidR="00E45705" w:rsidRPr="001B09E6" w:rsidRDefault="00E45705" w:rsidP="00E45705">
            <w:pPr>
              <w:pStyle w:val="TableCellText"/>
              <w:spacing w:before="0" w:after="0"/>
              <w:ind w:left="0" w:right="0"/>
              <w:jc w:val="center"/>
            </w:pPr>
            <w:r w:rsidRPr="001B09E6">
              <w:t>11.5</w:t>
            </w:r>
          </w:p>
        </w:tc>
        <w:tc>
          <w:tcPr>
            <w:tcW w:w="425" w:type="pct"/>
            <w:tcBorders>
              <w:top w:val="single" w:sz="4" w:space="0" w:color="auto"/>
              <w:left w:val="nil"/>
              <w:bottom w:val="nil"/>
              <w:right w:val="nil"/>
            </w:tcBorders>
            <w:shd w:val="clear" w:color="auto" w:fill="auto"/>
            <w:noWrap/>
            <w:hideMark/>
          </w:tcPr>
          <w:p w14:paraId="4B59D5A9" w14:textId="77777777" w:rsidR="00E45705" w:rsidRPr="001B09E6" w:rsidRDefault="00E45705" w:rsidP="00E45705">
            <w:pPr>
              <w:pStyle w:val="TableCellText"/>
              <w:spacing w:before="0" w:after="0"/>
              <w:ind w:left="0" w:right="0"/>
              <w:jc w:val="center"/>
            </w:pPr>
            <w:r w:rsidRPr="001B09E6">
              <w:t>11.6</w:t>
            </w:r>
          </w:p>
        </w:tc>
        <w:tc>
          <w:tcPr>
            <w:tcW w:w="420" w:type="pct"/>
            <w:tcBorders>
              <w:top w:val="single" w:sz="4" w:space="0" w:color="auto"/>
              <w:left w:val="nil"/>
              <w:bottom w:val="nil"/>
              <w:right w:val="nil"/>
            </w:tcBorders>
            <w:shd w:val="clear" w:color="auto" w:fill="auto"/>
            <w:noWrap/>
            <w:hideMark/>
          </w:tcPr>
          <w:p w14:paraId="506692E1" w14:textId="77777777" w:rsidR="00E45705" w:rsidRPr="001B09E6" w:rsidRDefault="00E45705" w:rsidP="00E45705">
            <w:pPr>
              <w:pStyle w:val="TableCellText"/>
              <w:spacing w:before="0" w:after="0"/>
              <w:ind w:left="0" w:right="0"/>
              <w:jc w:val="center"/>
            </w:pPr>
            <w:r w:rsidRPr="001B09E6">
              <w:t>12.2</w:t>
            </w:r>
          </w:p>
        </w:tc>
      </w:tr>
      <w:tr w:rsidR="00E45705" w:rsidRPr="001B09E6" w14:paraId="19057C65" w14:textId="77777777" w:rsidTr="00E45705">
        <w:trPr>
          <w:trHeight w:val="225"/>
        </w:trPr>
        <w:tc>
          <w:tcPr>
            <w:tcW w:w="755" w:type="pct"/>
            <w:tcBorders>
              <w:top w:val="nil"/>
              <w:left w:val="nil"/>
              <w:bottom w:val="nil"/>
              <w:right w:val="nil"/>
            </w:tcBorders>
            <w:shd w:val="clear" w:color="auto" w:fill="auto"/>
            <w:noWrap/>
            <w:hideMark/>
          </w:tcPr>
          <w:p w14:paraId="2D2E2B35" w14:textId="77777777" w:rsidR="00E45705" w:rsidRPr="001B09E6" w:rsidRDefault="00E45705" w:rsidP="00E45705">
            <w:pPr>
              <w:pStyle w:val="TableCellText"/>
              <w:spacing w:before="0" w:after="0"/>
              <w:ind w:left="0" w:right="0"/>
              <w:jc w:val="center"/>
              <w:rPr>
                <w:lang w:eastAsia="en-AU"/>
              </w:rPr>
            </w:pPr>
            <w:r w:rsidRPr="001B09E6">
              <w:rPr>
                <w:lang w:eastAsia="en-AU"/>
              </w:rPr>
              <w:t>Age 20 to 24</w:t>
            </w:r>
          </w:p>
        </w:tc>
        <w:tc>
          <w:tcPr>
            <w:tcW w:w="425" w:type="pct"/>
            <w:tcBorders>
              <w:top w:val="nil"/>
              <w:left w:val="nil"/>
              <w:bottom w:val="nil"/>
              <w:right w:val="nil"/>
            </w:tcBorders>
            <w:shd w:val="clear" w:color="auto" w:fill="auto"/>
            <w:noWrap/>
            <w:hideMark/>
          </w:tcPr>
          <w:p w14:paraId="5F3C4F58" w14:textId="77777777" w:rsidR="00E45705" w:rsidRPr="001B09E6" w:rsidRDefault="00E45705" w:rsidP="00E45705">
            <w:pPr>
              <w:pStyle w:val="TableCellText"/>
              <w:spacing w:before="0" w:after="0"/>
              <w:ind w:left="0" w:right="0"/>
              <w:jc w:val="center"/>
            </w:pPr>
            <w:r w:rsidRPr="001B09E6">
              <w:t>9.7</w:t>
            </w:r>
          </w:p>
        </w:tc>
        <w:tc>
          <w:tcPr>
            <w:tcW w:w="425" w:type="pct"/>
            <w:tcBorders>
              <w:top w:val="nil"/>
              <w:left w:val="nil"/>
              <w:bottom w:val="nil"/>
              <w:right w:val="nil"/>
            </w:tcBorders>
            <w:shd w:val="clear" w:color="auto" w:fill="auto"/>
            <w:noWrap/>
            <w:hideMark/>
          </w:tcPr>
          <w:p w14:paraId="27BCBA90" w14:textId="77777777" w:rsidR="00E45705" w:rsidRPr="001B09E6" w:rsidRDefault="00E45705" w:rsidP="00E45705">
            <w:pPr>
              <w:pStyle w:val="TableCellText"/>
              <w:spacing w:before="0" w:after="0"/>
              <w:ind w:left="0" w:right="0"/>
              <w:jc w:val="center"/>
            </w:pPr>
            <w:r w:rsidRPr="001B09E6">
              <w:t>9.7</w:t>
            </w:r>
          </w:p>
        </w:tc>
        <w:tc>
          <w:tcPr>
            <w:tcW w:w="425" w:type="pct"/>
            <w:tcBorders>
              <w:top w:val="nil"/>
              <w:left w:val="nil"/>
              <w:bottom w:val="nil"/>
              <w:right w:val="nil"/>
            </w:tcBorders>
            <w:shd w:val="clear" w:color="auto" w:fill="auto"/>
            <w:noWrap/>
            <w:hideMark/>
          </w:tcPr>
          <w:p w14:paraId="0E4DE6C1" w14:textId="77777777" w:rsidR="00E45705" w:rsidRPr="001B09E6" w:rsidRDefault="00E45705" w:rsidP="00E45705">
            <w:pPr>
              <w:pStyle w:val="TableCellText"/>
              <w:spacing w:before="0" w:after="0"/>
              <w:ind w:left="0" w:right="0"/>
              <w:jc w:val="center"/>
            </w:pPr>
            <w:r w:rsidRPr="001B09E6">
              <w:t>9.0</w:t>
            </w:r>
          </w:p>
        </w:tc>
        <w:tc>
          <w:tcPr>
            <w:tcW w:w="425" w:type="pct"/>
            <w:tcBorders>
              <w:top w:val="nil"/>
              <w:left w:val="nil"/>
              <w:bottom w:val="nil"/>
              <w:right w:val="nil"/>
            </w:tcBorders>
            <w:shd w:val="clear" w:color="auto" w:fill="auto"/>
            <w:noWrap/>
            <w:hideMark/>
          </w:tcPr>
          <w:p w14:paraId="5D9A35AE" w14:textId="77777777" w:rsidR="00E45705" w:rsidRPr="001B09E6" w:rsidRDefault="00E45705" w:rsidP="00E45705">
            <w:pPr>
              <w:pStyle w:val="TableCellText"/>
              <w:spacing w:before="0" w:after="0"/>
              <w:ind w:left="0" w:right="0"/>
              <w:jc w:val="center"/>
            </w:pPr>
            <w:r w:rsidRPr="001B09E6">
              <w:t>8.9</w:t>
            </w:r>
          </w:p>
        </w:tc>
        <w:tc>
          <w:tcPr>
            <w:tcW w:w="425" w:type="pct"/>
            <w:tcBorders>
              <w:top w:val="nil"/>
              <w:left w:val="nil"/>
              <w:bottom w:val="nil"/>
              <w:right w:val="nil"/>
            </w:tcBorders>
            <w:shd w:val="clear" w:color="auto" w:fill="auto"/>
            <w:noWrap/>
            <w:hideMark/>
          </w:tcPr>
          <w:p w14:paraId="000A3D90" w14:textId="77777777" w:rsidR="00E45705" w:rsidRPr="001B09E6" w:rsidRDefault="00E45705" w:rsidP="00E45705">
            <w:pPr>
              <w:pStyle w:val="TableCellText"/>
              <w:spacing w:before="0" w:after="0"/>
              <w:ind w:left="0" w:right="0"/>
              <w:jc w:val="center"/>
            </w:pPr>
            <w:r w:rsidRPr="001B09E6">
              <w:t>8.7</w:t>
            </w:r>
          </w:p>
        </w:tc>
        <w:tc>
          <w:tcPr>
            <w:tcW w:w="425" w:type="pct"/>
            <w:tcBorders>
              <w:top w:val="nil"/>
              <w:left w:val="nil"/>
              <w:bottom w:val="nil"/>
              <w:right w:val="nil"/>
            </w:tcBorders>
            <w:shd w:val="clear" w:color="auto" w:fill="auto"/>
            <w:noWrap/>
            <w:hideMark/>
          </w:tcPr>
          <w:p w14:paraId="23E87FA0" w14:textId="77777777" w:rsidR="00E45705" w:rsidRPr="001B09E6" w:rsidRDefault="00E45705" w:rsidP="00E45705">
            <w:pPr>
              <w:pStyle w:val="TableCellText"/>
              <w:spacing w:before="0" w:after="0"/>
              <w:ind w:left="0" w:right="0"/>
              <w:jc w:val="center"/>
            </w:pPr>
            <w:r w:rsidRPr="001B09E6">
              <w:t>8.1</w:t>
            </w:r>
          </w:p>
        </w:tc>
        <w:tc>
          <w:tcPr>
            <w:tcW w:w="425" w:type="pct"/>
            <w:tcBorders>
              <w:top w:val="nil"/>
              <w:left w:val="nil"/>
              <w:bottom w:val="nil"/>
              <w:right w:val="nil"/>
            </w:tcBorders>
            <w:shd w:val="clear" w:color="auto" w:fill="auto"/>
            <w:noWrap/>
            <w:hideMark/>
          </w:tcPr>
          <w:p w14:paraId="2974ED74" w14:textId="77777777" w:rsidR="00E45705" w:rsidRPr="001B09E6" w:rsidRDefault="00E45705" w:rsidP="00E45705">
            <w:pPr>
              <w:pStyle w:val="TableCellText"/>
              <w:spacing w:before="0" w:after="0"/>
              <w:ind w:left="0" w:right="0"/>
              <w:jc w:val="center"/>
            </w:pPr>
            <w:r w:rsidRPr="001B09E6">
              <w:t>7.4</w:t>
            </w:r>
          </w:p>
        </w:tc>
        <w:tc>
          <w:tcPr>
            <w:tcW w:w="425" w:type="pct"/>
            <w:tcBorders>
              <w:top w:val="nil"/>
              <w:left w:val="nil"/>
              <w:bottom w:val="nil"/>
              <w:right w:val="nil"/>
            </w:tcBorders>
            <w:shd w:val="clear" w:color="auto" w:fill="auto"/>
            <w:noWrap/>
            <w:hideMark/>
          </w:tcPr>
          <w:p w14:paraId="05C63178" w14:textId="77777777" w:rsidR="00E45705" w:rsidRPr="001B09E6" w:rsidRDefault="00E45705" w:rsidP="00E45705">
            <w:pPr>
              <w:pStyle w:val="TableCellText"/>
              <w:spacing w:before="0" w:after="0"/>
              <w:ind w:left="0" w:right="0"/>
              <w:jc w:val="center"/>
            </w:pPr>
            <w:r w:rsidRPr="001B09E6">
              <w:t>7.4</w:t>
            </w:r>
          </w:p>
        </w:tc>
        <w:tc>
          <w:tcPr>
            <w:tcW w:w="425" w:type="pct"/>
            <w:tcBorders>
              <w:top w:val="nil"/>
              <w:left w:val="nil"/>
              <w:bottom w:val="nil"/>
              <w:right w:val="nil"/>
            </w:tcBorders>
            <w:shd w:val="clear" w:color="auto" w:fill="auto"/>
            <w:noWrap/>
            <w:hideMark/>
          </w:tcPr>
          <w:p w14:paraId="1F647029" w14:textId="77777777" w:rsidR="00E45705" w:rsidRPr="001B09E6" w:rsidRDefault="00E45705" w:rsidP="00E45705">
            <w:pPr>
              <w:pStyle w:val="TableCellText"/>
              <w:spacing w:before="0" w:after="0"/>
              <w:ind w:left="0" w:right="0"/>
              <w:jc w:val="center"/>
            </w:pPr>
            <w:r w:rsidRPr="001B09E6">
              <w:t>7.8</w:t>
            </w:r>
          </w:p>
        </w:tc>
        <w:tc>
          <w:tcPr>
            <w:tcW w:w="420" w:type="pct"/>
            <w:tcBorders>
              <w:top w:val="nil"/>
              <w:left w:val="nil"/>
              <w:bottom w:val="nil"/>
              <w:right w:val="nil"/>
            </w:tcBorders>
            <w:shd w:val="clear" w:color="auto" w:fill="auto"/>
            <w:noWrap/>
            <w:hideMark/>
          </w:tcPr>
          <w:p w14:paraId="6B2F84C5" w14:textId="77777777" w:rsidR="00E45705" w:rsidRPr="001B09E6" w:rsidRDefault="00E45705" w:rsidP="00E45705">
            <w:pPr>
              <w:pStyle w:val="TableCellText"/>
              <w:spacing w:before="0" w:after="0"/>
              <w:ind w:left="0" w:right="0"/>
              <w:jc w:val="center"/>
            </w:pPr>
            <w:r w:rsidRPr="001B09E6">
              <w:t>8.1</w:t>
            </w:r>
          </w:p>
        </w:tc>
      </w:tr>
      <w:tr w:rsidR="00E45705" w:rsidRPr="001B09E6" w14:paraId="0EFE9C7C" w14:textId="77777777" w:rsidTr="00E45705">
        <w:trPr>
          <w:trHeight w:val="225"/>
        </w:trPr>
        <w:tc>
          <w:tcPr>
            <w:tcW w:w="755" w:type="pct"/>
            <w:tcBorders>
              <w:top w:val="nil"/>
              <w:left w:val="nil"/>
              <w:bottom w:val="single" w:sz="4" w:space="0" w:color="auto"/>
              <w:right w:val="nil"/>
            </w:tcBorders>
            <w:shd w:val="clear" w:color="auto" w:fill="auto"/>
            <w:noWrap/>
            <w:hideMark/>
          </w:tcPr>
          <w:p w14:paraId="0281E7DE" w14:textId="77777777" w:rsidR="00E45705" w:rsidRPr="001B09E6" w:rsidRDefault="00E45705" w:rsidP="00E45705">
            <w:pPr>
              <w:pStyle w:val="TableCellText"/>
              <w:spacing w:before="0" w:after="0"/>
              <w:ind w:left="0" w:right="0"/>
              <w:jc w:val="center"/>
              <w:rPr>
                <w:lang w:eastAsia="en-AU"/>
              </w:rPr>
            </w:pPr>
            <w:r w:rsidRPr="001B09E6">
              <w:rPr>
                <w:lang w:eastAsia="en-AU"/>
              </w:rPr>
              <w:t>Age 16 to 17</w:t>
            </w:r>
          </w:p>
        </w:tc>
        <w:tc>
          <w:tcPr>
            <w:tcW w:w="425" w:type="pct"/>
            <w:tcBorders>
              <w:top w:val="nil"/>
              <w:left w:val="nil"/>
              <w:bottom w:val="single" w:sz="4" w:space="0" w:color="auto"/>
              <w:right w:val="nil"/>
            </w:tcBorders>
            <w:shd w:val="clear" w:color="auto" w:fill="auto"/>
            <w:noWrap/>
            <w:hideMark/>
          </w:tcPr>
          <w:p w14:paraId="4CA8D377" w14:textId="77777777" w:rsidR="00E45705" w:rsidRPr="001B09E6" w:rsidRDefault="00E45705" w:rsidP="00E45705">
            <w:pPr>
              <w:pStyle w:val="TableCellText"/>
              <w:spacing w:before="0" w:after="0"/>
              <w:ind w:left="0" w:right="0"/>
              <w:jc w:val="center"/>
            </w:pPr>
            <w:r w:rsidRPr="001B09E6">
              <w:t>13.4</w:t>
            </w:r>
          </w:p>
        </w:tc>
        <w:tc>
          <w:tcPr>
            <w:tcW w:w="425" w:type="pct"/>
            <w:tcBorders>
              <w:top w:val="nil"/>
              <w:left w:val="nil"/>
              <w:bottom w:val="single" w:sz="4" w:space="0" w:color="auto"/>
              <w:right w:val="nil"/>
            </w:tcBorders>
            <w:shd w:val="clear" w:color="auto" w:fill="auto"/>
            <w:noWrap/>
            <w:hideMark/>
          </w:tcPr>
          <w:p w14:paraId="03C54F55" w14:textId="77777777" w:rsidR="00E45705" w:rsidRPr="001B09E6" w:rsidRDefault="00E45705" w:rsidP="00E45705">
            <w:pPr>
              <w:pStyle w:val="TableCellText"/>
              <w:spacing w:before="0" w:after="0"/>
              <w:ind w:left="0" w:right="0"/>
              <w:jc w:val="center"/>
            </w:pPr>
            <w:r w:rsidRPr="001B09E6">
              <w:t>12.8</w:t>
            </w:r>
          </w:p>
        </w:tc>
        <w:tc>
          <w:tcPr>
            <w:tcW w:w="425" w:type="pct"/>
            <w:tcBorders>
              <w:top w:val="nil"/>
              <w:left w:val="nil"/>
              <w:bottom w:val="single" w:sz="4" w:space="0" w:color="auto"/>
              <w:right w:val="nil"/>
            </w:tcBorders>
            <w:shd w:val="clear" w:color="auto" w:fill="auto"/>
            <w:noWrap/>
            <w:hideMark/>
          </w:tcPr>
          <w:p w14:paraId="438124DA" w14:textId="77777777" w:rsidR="00E45705" w:rsidRPr="001B09E6" w:rsidRDefault="00E45705" w:rsidP="00E45705">
            <w:pPr>
              <w:pStyle w:val="TableCellText"/>
              <w:spacing w:before="0" w:after="0"/>
              <w:ind w:left="0" w:right="0"/>
              <w:jc w:val="center"/>
            </w:pPr>
            <w:r w:rsidRPr="001B09E6">
              <w:t>12.5</w:t>
            </w:r>
          </w:p>
        </w:tc>
        <w:tc>
          <w:tcPr>
            <w:tcW w:w="425" w:type="pct"/>
            <w:tcBorders>
              <w:top w:val="nil"/>
              <w:left w:val="nil"/>
              <w:bottom w:val="single" w:sz="4" w:space="0" w:color="auto"/>
              <w:right w:val="nil"/>
            </w:tcBorders>
            <w:shd w:val="clear" w:color="auto" w:fill="auto"/>
            <w:noWrap/>
            <w:hideMark/>
          </w:tcPr>
          <w:p w14:paraId="4C6FA925" w14:textId="77777777" w:rsidR="00E45705" w:rsidRPr="001B09E6" w:rsidRDefault="00E45705" w:rsidP="00E45705">
            <w:pPr>
              <w:pStyle w:val="TableCellText"/>
              <w:spacing w:before="0" w:after="0"/>
              <w:ind w:left="0" w:right="0"/>
              <w:jc w:val="center"/>
            </w:pPr>
            <w:r w:rsidRPr="001B09E6">
              <w:t>12.7</w:t>
            </w:r>
          </w:p>
        </w:tc>
        <w:tc>
          <w:tcPr>
            <w:tcW w:w="425" w:type="pct"/>
            <w:tcBorders>
              <w:top w:val="nil"/>
              <w:left w:val="nil"/>
              <w:bottom w:val="single" w:sz="4" w:space="0" w:color="auto"/>
              <w:right w:val="nil"/>
            </w:tcBorders>
            <w:shd w:val="clear" w:color="auto" w:fill="auto"/>
            <w:noWrap/>
            <w:hideMark/>
          </w:tcPr>
          <w:p w14:paraId="72B8C422" w14:textId="77777777" w:rsidR="00E45705" w:rsidRPr="001B09E6" w:rsidRDefault="00E45705" w:rsidP="00E45705">
            <w:pPr>
              <w:pStyle w:val="TableCellText"/>
              <w:spacing w:before="0" w:after="0"/>
              <w:ind w:left="0" w:right="0"/>
              <w:jc w:val="center"/>
            </w:pPr>
            <w:r w:rsidRPr="001B09E6">
              <w:t>12.9</w:t>
            </w:r>
          </w:p>
        </w:tc>
        <w:tc>
          <w:tcPr>
            <w:tcW w:w="425" w:type="pct"/>
            <w:tcBorders>
              <w:top w:val="nil"/>
              <w:left w:val="nil"/>
              <w:bottom w:val="single" w:sz="4" w:space="0" w:color="auto"/>
              <w:right w:val="nil"/>
            </w:tcBorders>
            <w:shd w:val="clear" w:color="auto" w:fill="auto"/>
            <w:noWrap/>
            <w:hideMark/>
          </w:tcPr>
          <w:p w14:paraId="3549486F" w14:textId="77777777" w:rsidR="00E45705" w:rsidRPr="001B09E6" w:rsidRDefault="00E45705" w:rsidP="00E45705">
            <w:pPr>
              <w:pStyle w:val="TableCellText"/>
              <w:spacing w:before="0" w:after="0"/>
              <w:ind w:left="0" w:right="0"/>
              <w:jc w:val="center"/>
            </w:pPr>
            <w:r w:rsidRPr="001B09E6">
              <w:t>12.7</w:t>
            </w:r>
          </w:p>
        </w:tc>
        <w:tc>
          <w:tcPr>
            <w:tcW w:w="425" w:type="pct"/>
            <w:tcBorders>
              <w:top w:val="nil"/>
              <w:left w:val="nil"/>
              <w:bottom w:val="single" w:sz="4" w:space="0" w:color="auto"/>
              <w:right w:val="nil"/>
            </w:tcBorders>
            <w:shd w:val="clear" w:color="auto" w:fill="auto"/>
            <w:noWrap/>
            <w:hideMark/>
          </w:tcPr>
          <w:p w14:paraId="576C9C5F" w14:textId="77777777" w:rsidR="00E45705" w:rsidRPr="001B09E6" w:rsidRDefault="00E45705" w:rsidP="00E45705">
            <w:pPr>
              <w:pStyle w:val="TableCellText"/>
              <w:spacing w:before="0" w:after="0"/>
              <w:ind w:left="0" w:right="0"/>
              <w:jc w:val="center"/>
            </w:pPr>
            <w:r w:rsidRPr="001B09E6">
              <w:t>12.8</w:t>
            </w:r>
          </w:p>
        </w:tc>
        <w:tc>
          <w:tcPr>
            <w:tcW w:w="425" w:type="pct"/>
            <w:tcBorders>
              <w:top w:val="nil"/>
              <w:left w:val="nil"/>
              <w:bottom w:val="single" w:sz="4" w:space="0" w:color="auto"/>
              <w:right w:val="nil"/>
            </w:tcBorders>
            <w:shd w:val="clear" w:color="auto" w:fill="auto"/>
            <w:noWrap/>
            <w:hideMark/>
          </w:tcPr>
          <w:p w14:paraId="7CB7BE60" w14:textId="77777777" w:rsidR="00E45705" w:rsidRPr="001B09E6" w:rsidRDefault="00E45705" w:rsidP="00E45705">
            <w:pPr>
              <w:pStyle w:val="TableCellText"/>
              <w:spacing w:before="0" w:after="0"/>
              <w:ind w:left="0" w:right="0"/>
              <w:jc w:val="center"/>
            </w:pPr>
            <w:r w:rsidRPr="001B09E6">
              <w:t>12.4</w:t>
            </w:r>
          </w:p>
        </w:tc>
        <w:tc>
          <w:tcPr>
            <w:tcW w:w="425" w:type="pct"/>
            <w:tcBorders>
              <w:top w:val="nil"/>
              <w:left w:val="nil"/>
              <w:bottom w:val="single" w:sz="4" w:space="0" w:color="auto"/>
              <w:right w:val="nil"/>
            </w:tcBorders>
            <w:shd w:val="clear" w:color="auto" w:fill="auto"/>
            <w:noWrap/>
            <w:hideMark/>
          </w:tcPr>
          <w:p w14:paraId="300F6F39" w14:textId="77777777" w:rsidR="00E45705" w:rsidRPr="001B09E6" w:rsidRDefault="00E45705" w:rsidP="00E45705">
            <w:pPr>
              <w:pStyle w:val="TableCellText"/>
              <w:spacing w:before="0" w:after="0"/>
              <w:ind w:left="0" w:right="0"/>
              <w:jc w:val="center"/>
            </w:pPr>
            <w:r w:rsidRPr="001B09E6">
              <w:t>12.0</w:t>
            </w:r>
          </w:p>
        </w:tc>
        <w:tc>
          <w:tcPr>
            <w:tcW w:w="420" w:type="pct"/>
            <w:tcBorders>
              <w:top w:val="nil"/>
              <w:left w:val="nil"/>
              <w:bottom w:val="single" w:sz="4" w:space="0" w:color="auto"/>
              <w:right w:val="nil"/>
            </w:tcBorders>
            <w:shd w:val="clear" w:color="auto" w:fill="auto"/>
            <w:noWrap/>
            <w:hideMark/>
          </w:tcPr>
          <w:p w14:paraId="5B2AAB68" w14:textId="77777777" w:rsidR="00E45705" w:rsidRPr="001B09E6" w:rsidRDefault="00E45705" w:rsidP="00E45705">
            <w:pPr>
              <w:pStyle w:val="TableCellText"/>
              <w:spacing w:before="0" w:after="0"/>
              <w:ind w:left="0" w:right="0"/>
              <w:jc w:val="center"/>
            </w:pPr>
            <w:r w:rsidRPr="001B09E6">
              <w:t>12.5</w:t>
            </w:r>
          </w:p>
        </w:tc>
      </w:tr>
    </w:tbl>
    <w:p w14:paraId="58C60382" w14:textId="77777777" w:rsidR="00E45705" w:rsidRPr="001B09E6" w:rsidRDefault="00E45705" w:rsidP="00E45705">
      <w:pPr>
        <w:pStyle w:val="Tablenote"/>
        <w:rPr>
          <w:lang w:eastAsia="en-AU"/>
        </w:rPr>
      </w:pPr>
      <w:r w:rsidRPr="001B09E6">
        <w:rPr>
          <w:lang w:eastAsia="en-AU"/>
        </w:rPr>
        <w:t>Source: National VET Provider Collection, ABS Population by Age and Sex 3201.0</w:t>
      </w:r>
    </w:p>
    <w:p w14:paraId="3F81707D" w14:textId="77777777" w:rsidR="00E45705" w:rsidRPr="001B09E6" w:rsidRDefault="00E45705" w:rsidP="00525C08">
      <w:pPr>
        <w:pStyle w:val="TableHeading"/>
        <w:spacing w:before="112" w:line="240" w:lineRule="exact"/>
      </w:pPr>
      <w:r w:rsidRPr="001B09E6">
        <w:t>Percentage of 15 to 19 year olds enrolled in VET by highest current qualification level, 2002-10, excluding those attending school and those who have completed Year 12</w:t>
      </w:r>
    </w:p>
    <w:tbl>
      <w:tblPr>
        <w:tblW w:w="5000" w:type="pct"/>
        <w:tblLook w:val="04A0" w:firstRow="1" w:lastRow="0" w:firstColumn="1" w:lastColumn="0" w:noHBand="0" w:noVBand="1"/>
        <w:tblCaption w:val="Percentage of 15 to 19 year olds enrolled in VET by highest current qualification level, 2002-10, excluding those attending school and those who have completed Year 12 "/>
        <w:tblDescription w:val="Percentage of 15 to 19 year olds enrolled in VET by highest current qualification level, 2002-10, excluding those attending school and those who have completed Year 12&#10;"/>
      </w:tblPr>
      <w:tblGrid>
        <w:gridCol w:w="4067"/>
        <w:gridCol w:w="919"/>
        <w:gridCol w:w="1070"/>
        <w:gridCol w:w="1070"/>
        <w:gridCol w:w="1070"/>
        <w:gridCol w:w="1070"/>
        <w:gridCol w:w="1070"/>
        <w:gridCol w:w="1070"/>
        <w:gridCol w:w="1070"/>
        <w:gridCol w:w="1070"/>
        <w:gridCol w:w="1070"/>
      </w:tblGrid>
      <w:tr w:rsidR="00E45705" w:rsidRPr="001B09E6" w14:paraId="3D776704" w14:textId="77777777" w:rsidTr="00E45705">
        <w:trPr>
          <w:trHeight w:val="225"/>
        </w:trPr>
        <w:tc>
          <w:tcPr>
            <w:tcW w:w="1391" w:type="pct"/>
            <w:tcBorders>
              <w:top w:val="single" w:sz="4" w:space="0" w:color="auto"/>
              <w:left w:val="nil"/>
              <w:bottom w:val="single" w:sz="4" w:space="0" w:color="auto"/>
            </w:tcBorders>
            <w:shd w:val="clear" w:color="auto" w:fill="auto"/>
            <w:noWrap/>
            <w:hideMark/>
          </w:tcPr>
          <w:p w14:paraId="63C53237" w14:textId="77777777" w:rsidR="00E45705" w:rsidRPr="001B09E6" w:rsidRDefault="00E45705" w:rsidP="00E45705">
            <w:pPr>
              <w:pStyle w:val="TableColumnHeading"/>
              <w:spacing w:before="0" w:after="0"/>
              <w:ind w:left="0" w:right="0"/>
            </w:pPr>
          </w:p>
        </w:tc>
        <w:tc>
          <w:tcPr>
            <w:tcW w:w="314" w:type="pct"/>
            <w:tcBorders>
              <w:top w:val="single" w:sz="4" w:space="0" w:color="auto"/>
              <w:bottom w:val="single" w:sz="4" w:space="0" w:color="auto"/>
            </w:tcBorders>
            <w:shd w:val="clear" w:color="auto" w:fill="auto"/>
            <w:noWrap/>
            <w:hideMark/>
          </w:tcPr>
          <w:p w14:paraId="1F245AC6" w14:textId="77777777" w:rsidR="00E45705" w:rsidRPr="001B09E6" w:rsidRDefault="00E45705" w:rsidP="00E45705">
            <w:pPr>
              <w:pStyle w:val="TableColumnHeading"/>
              <w:spacing w:before="0" w:after="0"/>
              <w:ind w:left="0" w:right="0"/>
            </w:pPr>
            <w:r w:rsidRPr="001B09E6">
              <w:t>2002</w:t>
            </w:r>
          </w:p>
        </w:tc>
        <w:tc>
          <w:tcPr>
            <w:tcW w:w="366" w:type="pct"/>
            <w:tcBorders>
              <w:top w:val="single" w:sz="4" w:space="0" w:color="auto"/>
              <w:bottom w:val="single" w:sz="4" w:space="0" w:color="auto"/>
            </w:tcBorders>
            <w:shd w:val="clear" w:color="auto" w:fill="auto"/>
            <w:noWrap/>
            <w:hideMark/>
          </w:tcPr>
          <w:p w14:paraId="50BB1BE5" w14:textId="77777777" w:rsidR="00E45705" w:rsidRPr="001B09E6" w:rsidRDefault="00E45705" w:rsidP="00E45705">
            <w:pPr>
              <w:pStyle w:val="TableColumnHeading"/>
              <w:spacing w:before="0" w:after="0"/>
              <w:ind w:left="0" w:right="0"/>
            </w:pPr>
            <w:r w:rsidRPr="001B09E6">
              <w:t>2003</w:t>
            </w:r>
          </w:p>
        </w:tc>
        <w:tc>
          <w:tcPr>
            <w:tcW w:w="366" w:type="pct"/>
            <w:tcBorders>
              <w:top w:val="single" w:sz="4" w:space="0" w:color="auto"/>
              <w:bottom w:val="single" w:sz="4" w:space="0" w:color="auto"/>
            </w:tcBorders>
            <w:shd w:val="clear" w:color="auto" w:fill="auto"/>
            <w:noWrap/>
            <w:hideMark/>
          </w:tcPr>
          <w:p w14:paraId="352A0259" w14:textId="77777777" w:rsidR="00E45705" w:rsidRPr="001B09E6" w:rsidRDefault="00E45705" w:rsidP="00E45705">
            <w:pPr>
              <w:pStyle w:val="TableColumnHeading"/>
              <w:spacing w:before="0" w:after="0"/>
              <w:ind w:left="0" w:right="0"/>
            </w:pPr>
            <w:r w:rsidRPr="001B09E6">
              <w:t>2004</w:t>
            </w:r>
          </w:p>
        </w:tc>
        <w:tc>
          <w:tcPr>
            <w:tcW w:w="366" w:type="pct"/>
            <w:tcBorders>
              <w:top w:val="single" w:sz="4" w:space="0" w:color="auto"/>
              <w:bottom w:val="single" w:sz="4" w:space="0" w:color="auto"/>
            </w:tcBorders>
            <w:shd w:val="clear" w:color="auto" w:fill="auto"/>
            <w:noWrap/>
            <w:hideMark/>
          </w:tcPr>
          <w:p w14:paraId="27A8E83A" w14:textId="77777777" w:rsidR="00E45705" w:rsidRPr="001B09E6" w:rsidRDefault="00E45705" w:rsidP="00E45705">
            <w:pPr>
              <w:pStyle w:val="TableColumnHeading"/>
              <w:spacing w:before="0" w:after="0"/>
              <w:ind w:left="0" w:right="0"/>
            </w:pPr>
            <w:r w:rsidRPr="001B09E6">
              <w:t>2005</w:t>
            </w:r>
          </w:p>
        </w:tc>
        <w:tc>
          <w:tcPr>
            <w:tcW w:w="366" w:type="pct"/>
            <w:tcBorders>
              <w:top w:val="single" w:sz="4" w:space="0" w:color="auto"/>
              <w:bottom w:val="single" w:sz="4" w:space="0" w:color="auto"/>
            </w:tcBorders>
            <w:shd w:val="clear" w:color="auto" w:fill="auto"/>
            <w:noWrap/>
            <w:hideMark/>
          </w:tcPr>
          <w:p w14:paraId="15E1AF06" w14:textId="77777777" w:rsidR="00E45705" w:rsidRPr="001B09E6" w:rsidRDefault="00E45705" w:rsidP="00E45705">
            <w:pPr>
              <w:pStyle w:val="TableColumnHeading"/>
              <w:spacing w:before="0" w:after="0"/>
              <w:ind w:left="0" w:right="0"/>
            </w:pPr>
            <w:r w:rsidRPr="001B09E6">
              <w:t>2006</w:t>
            </w:r>
          </w:p>
        </w:tc>
        <w:tc>
          <w:tcPr>
            <w:tcW w:w="366" w:type="pct"/>
            <w:tcBorders>
              <w:top w:val="single" w:sz="4" w:space="0" w:color="auto"/>
              <w:bottom w:val="single" w:sz="4" w:space="0" w:color="auto"/>
            </w:tcBorders>
            <w:shd w:val="clear" w:color="auto" w:fill="auto"/>
            <w:noWrap/>
            <w:hideMark/>
          </w:tcPr>
          <w:p w14:paraId="0E042444" w14:textId="77777777" w:rsidR="00E45705" w:rsidRPr="001B09E6" w:rsidRDefault="00E45705" w:rsidP="00E45705">
            <w:pPr>
              <w:pStyle w:val="TableColumnHeading"/>
              <w:spacing w:before="0" w:after="0"/>
              <w:ind w:left="0" w:right="0"/>
            </w:pPr>
            <w:r w:rsidRPr="001B09E6">
              <w:t>2007</w:t>
            </w:r>
          </w:p>
        </w:tc>
        <w:tc>
          <w:tcPr>
            <w:tcW w:w="366" w:type="pct"/>
            <w:tcBorders>
              <w:top w:val="single" w:sz="4" w:space="0" w:color="auto"/>
              <w:bottom w:val="single" w:sz="4" w:space="0" w:color="auto"/>
            </w:tcBorders>
            <w:shd w:val="clear" w:color="auto" w:fill="auto"/>
            <w:noWrap/>
            <w:hideMark/>
          </w:tcPr>
          <w:p w14:paraId="4FF00930" w14:textId="77777777" w:rsidR="00E45705" w:rsidRPr="001B09E6" w:rsidRDefault="00E45705" w:rsidP="00E45705">
            <w:pPr>
              <w:pStyle w:val="TableColumnHeading"/>
              <w:spacing w:before="0" w:after="0"/>
              <w:ind w:left="0" w:right="0"/>
            </w:pPr>
            <w:r w:rsidRPr="001B09E6">
              <w:t>2008</w:t>
            </w:r>
          </w:p>
        </w:tc>
        <w:tc>
          <w:tcPr>
            <w:tcW w:w="366" w:type="pct"/>
            <w:tcBorders>
              <w:top w:val="single" w:sz="4" w:space="0" w:color="auto"/>
              <w:bottom w:val="single" w:sz="4" w:space="0" w:color="auto"/>
            </w:tcBorders>
            <w:shd w:val="clear" w:color="auto" w:fill="auto"/>
            <w:noWrap/>
            <w:hideMark/>
          </w:tcPr>
          <w:p w14:paraId="469D5107" w14:textId="77777777" w:rsidR="00E45705" w:rsidRPr="001B09E6" w:rsidRDefault="00E45705" w:rsidP="00E45705">
            <w:pPr>
              <w:pStyle w:val="TableColumnHeading"/>
              <w:spacing w:before="0" w:after="0"/>
              <w:ind w:left="0" w:right="0"/>
            </w:pPr>
            <w:r w:rsidRPr="001B09E6">
              <w:t>2009</w:t>
            </w:r>
          </w:p>
        </w:tc>
        <w:tc>
          <w:tcPr>
            <w:tcW w:w="366" w:type="pct"/>
            <w:tcBorders>
              <w:top w:val="single" w:sz="4" w:space="0" w:color="auto"/>
              <w:bottom w:val="single" w:sz="4" w:space="0" w:color="auto"/>
            </w:tcBorders>
            <w:shd w:val="clear" w:color="auto" w:fill="auto"/>
            <w:noWrap/>
            <w:hideMark/>
          </w:tcPr>
          <w:p w14:paraId="1C3A442D" w14:textId="77777777" w:rsidR="00E45705" w:rsidRPr="001B09E6" w:rsidRDefault="00E45705" w:rsidP="00E45705">
            <w:pPr>
              <w:pStyle w:val="TableColumnHeading"/>
              <w:spacing w:before="0" w:after="0"/>
              <w:ind w:left="0" w:right="0"/>
            </w:pPr>
            <w:r w:rsidRPr="001B09E6">
              <w:t>2010</w:t>
            </w:r>
          </w:p>
        </w:tc>
        <w:tc>
          <w:tcPr>
            <w:tcW w:w="366" w:type="pct"/>
            <w:tcBorders>
              <w:top w:val="single" w:sz="4" w:space="0" w:color="auto"/>
              <w:bottom w:val="single" w:sz="4" w:space="0" w:color="auto"/>
              <w:right w:val="nil"/>
            </w:tcBorders>
            <w:shd w:val="clear" w:color="auto" w:fill="auto"/>
            <w:noWrap/>
            <w:hideMark/>
          </w:tcPr>
          <w:p w14:paraId="02562288" w14:textId="77777777" w:rsidR="00E45705" w:rsidRPr="001B09E6" w:rsidRDefault="00E45705" w:rsidP="00E45705">
            <w:pPr>
              <w:pStyle w:val="TableColumnHeading"/>
              <w:spacing w:before="0" w:after="0"/>
              <w:ind w:left="0" w:right="0"/>
            </w:pPr>
            <w:r w:rsidRPr="001B09E6">
              <w:t>2011</w:t>
            </w:r>
          </w:p>
        </w:tc>
      </w:tr>
      <w:tr w:rsidR="00E45705" w:rsidRPr="001B09E6" w14:paraId="53155EAD" w14:textId="77777777" w:rsidTr="00E45705">
        <w:trPr>
          <w:trHeight w:val="225"/>
        </w:trPr>
        <w:tc>
          <w:tcPr>
            <w:tcW w:w="1391" w:type="pct"/>
            <w:tcBorders>
              <w:top w:val="single" w:sz="4" w:space="0" w:color="auto"/>
              <w:left w:val="nil"/>
              <w:bottom w:val="nil"/>
              <w:right w:val="nil"/>
            </w:tcBorders>
            <w:shd w:val="clear" w:color="auto" w:fill="auto"/>
            <w:noWrap/>
            <w:hideMark/>
          </w:tcPr>
          <w:p w14:paraId="28B7D35B" w14:textId="77777777" w:rsidR="00E45705" w:rsidRPr="001B09E6" w:rsidRDefault="00E45705" w:rsidP="00E45705">
            <w:pPr>
              <w:pStyle w:val="TableCellText"/>
              <w:spacing w:before="0" w:after="0"/>
              <w:ind w:left="0" w:right="0"/>
            </w:pPr>
            <w:r w:rsidRPr="001B09E6">
              <w:t>Certificate III and above</w:t>
            </w:r>
          </w:p>
        </w:tc>
        <w:tc>
          <w:tcPr>
            <w:tcW w:w="314" w:type="pct"/>
            <w:tcBorders>
              <w:top w:val="single" w:sz="4" w:space="0" w:color="auto"/>
              <w:left w:val="nil"/>
              <w:bottom w:val="nil"/>
              <w:right w:val="nil"/>
            </w:tcBorders>
            <w:shd w:val="clear" w:color="auto" w:fill="auto"/>
            <w:noWrap/>
            <w:hideMark/>
          </w:tcPr>
          <w:p w14:paraId="2F341ECE" w14:textId="77777777" w:rsidR="00E45705" w:rsidRPr="001B09E6" w:rsidRDefault="00E45705" w:rsidP="00E45705">
            <w:pPr>
              <w:pStyle w:val="TableCellText"/>
              <w:spacing w:before="0" w:after="0"/>
              <w:ind w:left="0" w:right="0"/>
            </w:pPr>
            <w:r w:rsidRPr="001B09E6">
              <w:t>5.9</w:t>
            </w:r>
          </w:p>
        </w:tc>
        <w:tc>
          <w:tcPr>
            <w:tcW w:w="366" w:type="pct"/>
            <w:tcBorders>
              <w:top w:val="single" w:sz="4" w:space="0" w:color="auto"/>
              <w:left w:val="nil"/>
              <w:bottom w:val="nil"/>
              <w:right w:val="nil"/>
            </w:tcBorders>
            <w:shd w:val="clear" w:color="auto" w:fill="auto"/>
            <w:noWrap/>
            <w:hideMark/>
          </w:tcPr>
          <w:p w14:paraId="7D8E8904" w14:textId="77777777" w:rsidR="00E45705" w:rsidRPr="001B09E6" w:rsidRDefault="00E45705" w:rsidP="00E45705">
            <w:pPr>
              <w:pStyle w:val="TableCellText"/>
              <w:spacing w:before="0" w:after="0"/>
              <w:ind w:left="0" w:right="0"/>
            </w:pPr>
            <w:r w:rsidRPr="001B09E6">
              <w:t>5.9</w:t>
            </w:r>
          </w:p>
        </w:tc>
        <w:tc>
          <w:tcPr>
            <w:tcW w:w="366" w:type="pct"/>
            <w:tcBorders>
              <w:top w:val="single" w:sz="4" w:space="0" w:color="auto"/>
              <w:left w:val="nil"/>
              <w:bottom w:val="nil"/>
              <w:right w:val="nil"/>
            </w:tcBorders>
            <w:shd w:val="clear" w:color="auto" w:fill="auto"/>
            <w:noWrap/>
            <w:hideMark/>
          </w:tcPr>
          <w:p w14:paraId="602B69E5" w14:textId="77777777" w:rsidR="00E45705" w:rsidRPr="001B09E6" w:rsidRDefault="00E45705" w:rsidP="00E45705">
            <w:pPr>
              <w:pStyle w:val="TableCellText"/>
              <w:spacing w:before="0" w:after="0"/>
              <w:ind w:left="0" w:right="0"/>
            </w:pPr>
            <w:r w:rsidRPr="001B09E6">
              <w:t>6.1</w:t>
            </w:r>
          </w:p>
        </w:tc>
        <w:tc>
          <w:tcPr>
            <w:tcW w:w="366" w:type="pct"/>
            <w:tcBorders>
              <w:top w:val="single" w:sz="4" w:space="0" w:color="auto"/>
              <w:left w:val="nil"/>
              <w:bottom w:val="nil"/>
              <w:right w:val="nil"/>
            </w:tcBorders>
            <w:shd w:val="clear" w:color="auto" w:fill="auto"/>
            <w:noWrap/>
            <w:hideMark/>
          </w:tcPr>
          <w:p w14:paraId="7C8A5160" w14:textId="77777777" w:rsidR="00E45705" w:rsidRPr="001B09E6" w:rsidRDefault="00E45705" w:rsidP="00E45705">
            <w:pPr>
              <w:pStyle w:val="TableCellText"/>
              <w:spacing w:before="0" w:after="0"/>
              <w:ind w:left="0" w:right="0"/>
            </w:pPr>
            <w:r w:rsidRPr="001B09E6">
              <w:t>6.5</w:t>
            </w:r>
          </w:p>
        </w:tc>
        <w:tc>
          <w:tcPr>
            <w:tcW w:w="366" w:type="pct"/>
            <w:tcBorders>
              <w:top w:val="single" w:sz="4" w:space="0" w:color="auto"/>
              <w:left w:val="nil"/>
              <w:bottom w:val="nil"/>
              <w:right w:val="nil"/>
            </w:tcBorders>
            <w:shd w:val="clear" w:color="auto" w:fill="auto"/>
            <w:noWrap/>
            <w:hideMark/>
          </w:tcPr>
          <w:p w14:paraId="6160D240" w14:textId="77777777" w:rsidR="00E45705" w:rsidRPr="001B09E6" w:rsidRDefault="00E45705" w:rsidP="00E45705">
            <w:pPr>
              <w:pStyle w:val="TableCellText"/>
              <w:spacing w:before="0" w:after="0"/>
              <w:ind w:left="0" w:right="0"/>
            </w:pPr>
            <w:r w:rsidRPr="001B09E6">
              <w:t>6.8</w:t>
            </w:r>
          </w:p>
        </w:tc>
        <w:tc>
          <w:tcPr>
            <w:tcW w:w="366" w:type="pct"/>
            <w:tcBorders>
              <w:top w:val="single" w:sz="4" w:space="0" w:color="auto"/>
              <w:left w:val="nil"/>
              <w:bottom w:val="nil"/>
              <w:right w:val="nil"/>
            </w:tcBorders>
            <w:shd w:val="clear" w:color="auto" w:fill="auto"/>
            <w:noWrap/>
            <w:hideMark/>
          </w:tcPr>
          <w:p w14:paraId="5A6EBD30" w14:textId="77777777" w:rsidR="00E45705" w:rsidRPr="001B09E6" w:rsidRDefault="00E45705" w:rsidP="00E45705">
            <w:pPr>
              <w:pStyle w:val="TableCellText"/>
              <w:spacing w:before="0" w:after="0"/>
              <w:ind w:left="0" w:right="0"/>
            </w:pPr>
            <w:r w:rsidRPr="001B09E6">
              <w:t>6.7</w:t>
            </w:r>
          </w:p>
        </w:tc>
        <w:tc>
          <w:tcPr>
            <w:tcW w:w="366" w:type="pct"/>
            <w:tcBorders>
              <w:top w:val="single" w:sz="4" w:space="0" w:color="auto"/>
              <w:left w:val="nil"/>
              <w:bottom w:val="nil"/>
              <w:right w:val="nil"/>
            </w:tcBorders>
            <w:shd w:val="clear" w:color="auto" w:fill="auto"/>
            <w:noWrap/>
            <w:hideMark/>
          </w:tcPr>
          <w:p w14:paraId="655CAF67" w14:textId="77777777" w:rsidR="00E45705" w:rsidRPr="001B09E6" w:rsidRDefault="00E45705" w:rsidP="00E45705">
            <w:pPr>
              <w:pStyle w:val="TableCellText"/>
              <w:spacing w:before="0" w:after="0"/>
              <w:ind w:left="0" w:right="0"/>
            </w:pPr>
            <w:r w:rsidRPr="001B09E6">
              <w:t>6.8</w:t>
            </w:r>
          </w:p>
        </w:tc>
        <w:tc>
          <w:tcPr>
            <w:tcW w:w="366" w:type="pct"/>
            <w:tcBorders>
              <w:top w:val="single" w:sz="4" w:space="0" w:color="auto"/>
              <w:left w:val="nil"/>
              <w:bottom w:val="nil"/>
              <w:right w:val="nil"/>
            </w:tcBorders>
            <w:shd w:val="clear" w:color="auto" w:fill="auto"/>
            <w:noWrap/>
            <w:hideMark/>
          </w:tcPr>
          <w:p w14:paraId="2FC201DF" w14:textId="77777777" w:rsidR="00E45705" w:rsidRPr="001B09E6" w:rsidRDefault="00E45705" w:rsidP="00E45705">
            <w:pPr>
              <w:pStyle w:val="TableCellText"/>
              <w:spacing w:before="0" w:after="0"/>
              <w:ind w:left="0" w:right="0"/>
            </w:pPr>
            <w:r w:rsidRPr="001B09E6">
              <w:t>6.8</w:t>
            </w:r>
          </w:p>
        </w:tc>
        <w:tc>
          <w:tcPr>
            <w:tcW w:w="366" w:type="pct"/>
            <w:tcBorders>
              <w:top w:val="single" w:sz="4" w:space="0" w:color="auto"/>
              <w:left w:val="nil"/>
              <w:bottom w:val="nil"/>
              <w:right w:val="nil"/>
            </w:tcBorders>
            <w:shd w:val="clear" w:color="auto" w:fill="auto"/>
            <w:noWrap/>
            <w:hideMark/>
          </w:tcPr>
          <w:p w14:paraId="40CEA0BA" w14:textId="77777777" w:rsidR="00E45705" w:rsidRPr="001B09E6" w:rsidRDefault="00E45705" w:rsidP="00E45705">
            <w:pPr>
              <w:pStyle w:val="TableCellText"/>
              <w:spacing w:before="0" w:after="0"/>
              <w:ind w:left="0" w:right="0"/>
            </w:pPr>
            <w:r w:rsidRPr="001B09E6">
              <w:t>6.9</w:t>
            </w:r>
          </w:p>
        </w:tc>
        <w:tc>
          <w:tcPr>
            <w:tcW w:w="366" w:type="pct"/>
            <w:tcBorders>
              <w:top w:val="single" w:sz="4" w:space="0" w:color="auto"/>
              <w:left w:val="nil"/>
              <w:bottom w:val="nil"/>
              <w:right w:val="nil"/>
            </w:tcBorders>
            <w:shd w:val="clear" w:color="auto" w:fill="auto"/>
            <w:noWrap/>
            <w:hideMark/>
          </w:tcPr>
          <w:p w14:paraId="51F8DBCE" w14:textId="77777777" w:rsidR="00E45705" w:rsidRPr="001B09E6" w:rsidRDefault="00E45705" w:rsidP="00E45705">
            <w:pPr>
              <w:pStyle w:val="TableCellText"/>
              <w:spacing w:before="0" w:after="0"/>
              <w:ind w:left="0" w:right="0"/>
            </w:pPr>
            <w:r w:rsidRPr="001B09E6">
              <w:t>7.5</w:t>
            </w:r>
          </w:p>
        </w:tc>
      </w:tr>
      <w:tr w:rsidR="00E45705" w:rsidRPr="001B09E6" w14:paraId="1BDAEC6A" w14:textId="77777777" w:rsidTr="00E45705">
        <w:trPr>
          <w:trHeight w:val="225"/>
        </w:trPr>
        <w:tc>
          <w:tcPr>
            <w:tcW w:w="1391" w:type="pct"/>
            <w:tcBorders>
              <w:top w:val="nil"/>
              <w:left w:val="nil"/>
              <w:bottom w:val="nil"/>
              <w:right w:val="nil"/>
            </w:tcBorders>
            <w:shd w:val="clear" w:color="auto" w:fill="auto"/>
            <w:noWrap/>
            <w:hideMark/>
          </w:tcPr>
          <w:p w14:paraId="75DE01D0" w14:textId="77777777" w:rsidR="00E45705" w:rsidRPr="001B09E6" w:rsidRDefault="00E45705" w:rsidP="00E45705">
            <w:pPr>
              <w:pStyle w:val="TableCellText"/>
              <w:spacing w:before="0" w:after="0"/>
              <w:ind w:left="0" w:right="0"/>
            </w:pPr>
            <w:r w:rsidRPr="001B09E6">
              <w:t>Certificate II</w:t>
            </w:r>
          </w:p>
        </w:tc>
        <w:tc>
          <w:tcPr>
            <w:tcW w:w="314" w:type="pct"/>
            <w:tcBorders>
              <w:top w:val="nil"/>
              <w:left w:val="nil"/>
              <w:bottom w:val="nil"/>
              <w:right w:val="nil"/>
            </w:tcBorders>
            <w:shd w:val="clear" w:color="auto" w:fill="auto"/>
            <w:noWrap/>
            <w:hideMark/>
          </w:tcPr>
          <w:p w14:paraId="60F88923" w14:textId="77777777" w:rsidR="00E45705" w:rsidRPr="001B09E6" w:rsidRDefault="00E45705" w:rsidP="00E45705">
            <w:pPr>
              <w:pStyle w:val="TableCellText"/>
              <w:spacing w:before="0" w:after="0"/>
              <w:ind w:left="0" w:right="0"/>
            </w:pPr>
            <w:r w:rsidRPr="001B09E6">
              <w:t>3.2</w:t>
            </w:r>
          </w:p>
        </w:tc>
        <w:tc>
          <w:tcPr>
            <w:tcW w:w="366" w:type="pct"/>
            <w:tcBorders>
              <w:top w:val="nil"/>
              <w:left w:val="nil"/>
              <w:bottom w:val="nil"/>
              <w:right w:val="nil"/>
            </w:tcBorders>
            <w:shd w:val="clear" w:color="auto" w:fill="auto"/>
            <w:noWrap/>
            <w:hideMark/>
          </w:tcPr>
          <w:p w14:paraId="39B1F83B" w14:textId="77777777" w:rsidR="00E45705" w:rsidRPr="001B09E6" w:rsidRDefault="00E45705" w:rsidP="00E45705">
            <w:pPr>
              <w:pStyle w:val="TableCellText"/>
              <w:spacing w:before="0" w:after="0"/>
              <w:ind w:left="0" w:right="0"/>
            </w:pPr>
            <w:r w:rsidRPr="001B09E6">
              <w:t>2.9</w:t>
            </w:r>
          </w:p>
        </w:tc>
        <w:tc>
          <w:tcPr>
            <w:tcW w:w="366" w:type="pct"/>
            <w:tcBorders>
              <w:top w:val="nil"/>
              <w:left w:val="nil"/>
              <w:bottom w:val="nil"/>
              <w:right w:val="nil"/>
            </w:tcBorders>
            <w:shd w:val="clear" w:color="auto" w:fill="auto"/>
            <w:noWrap/>
            <w:hideMark/>
          </w:tcPr>
          <w:p w14:paraId="7B8CB437" w14:textId="77777777" w:rsidR="00E45705" w:rsidRPr="001B09E6" w:rsidRDefault="00E45705" w:rsidP="00E45705">
            <w:pPr>
              <w:pStyle w:val="TableCellText"/>
              <w:spacing w:before="0" w:after="0"/>
              <w:ind w:left="0" w:right="0"/>
            </w:pPr>
            <w:r w:rsidRPr="001B09E6">
              <w:t>2.7</w:t>
            </w:r>
          </w:p>
        </w:tc>
        <w:tc>
          <w:tcPr>
            <w:tcW w:w="366" w:type="pct"/>
            <w:tcBorders>
              <w:top w:val="nil"/>
              <w:left w:val="nil"/>
              <w:bottom w:val="nil"/>
              <w:right w:val="nil"/>
            </w:tcBorders>
            <w:shd w:val="clear" w:color="auto" w:fill="auto"/>
            <w:noWrap/>
            <w:hideMark/>
          </w:tcPr>
          <w:p w14:paraId="5FEA9871" w14:textId="77777777" w:rsidR="00E45705" w:rsidRPr="001B09E6" w:rsidRDefault="00E45705" w:rsidP="00E45705">
            <w:pPr>
              <w:pStyle w:val="TableCellText"/>
              <w:spacing w:before="0" w:after="0"/>
              <w:ind w:left="0" w:right="0"/>
            </w:pPr>
            <w:r w:rsidRPr="001B09E6">
              <w:t>2.5</w:t>
            </w:r>
          </w:p>
        </w:tc>
        <w:tc>
          <w:tcPr>
            <w:tcW w:w="366" w:type="pct"/>
            <w:tcBorders>
              <w:top w:val="nil"/>
              <w:left w:val="nil"/>
              <w:bottom w:val="nil"/>
              <w:right w:val="nil"/>
            </w:tcBorders>
            <w:shd w:val="clear" w:color="auto" w:fill="auto"/>
            <w:noWrap/>
            <w:hideMark/>
          </w:tcPr>
          <w:p w14:paraId="45E707A2" w14:textId="77777777" w:rsidR="00E45705" w:rsidRPr="001B09E6" w:rsidRDefault="00E45705" w:rsidP="00E45705">
            <w:pPr>
              <w:pStyle w:val="TableCellText"/>
              <w:spacing w:before="0" w:after="0"/>
              <w:ind w:left="0" w:right="0"/>
            </w:pPr>
            <w:r w:rsidRPr="001B09E6">
              <w:t>2.5</w:t>
            </w:r>
          </w:p>
        </w:tc>
        <w:tc>
          <w:tcPr>
            <w:tcW w:w="366" w:type="pct"/>
            <w:tcBorders>
              <w:top w:val="nil"/>
              <w:left w:val="nil"/>
              <w:bottom w:val="nil"/>
              <w:right w:val="nil"/>
            </w:tcBorders>
            <w:shd w:val="clear" w:color="auto" w:fill="auto"/>
            <w:noWrap/>
            <w:hideMark/>
          </w:tcPr>
          <w:p w14:paraId="4B1CB0DC" w14:textId="77777777" w:rsidR="00E45705" w:rsidRPr="001B09E6" w:rsidRDefault="00E45705" w:rsidP="00E45705">
            <w:pPr>
              <w:pStyle w:val="TableCellText"/>
              <w:spacing w:before="0" w:after="0"/>
              <w:ind w:left="0" w:right="0"/>
            </w:pPr>
            <w:r w:rsidRPr="001B09E6">
              <w:t>2.4</w:t>
            </w:r>
          </w:p>
        </w:tc>
        <w:tc>
          <w:tcPr>
            <w:tcW w:w="366" w:type="pct"/>
            <w:tcBorders>
              <w:top w:val="nil"/>
              <w:left w:val="nil"/>
              <w:bottom w:val="nil"/>
              <w:right w:val="nil"/>
            </w:tcBorders>
            <w:shd w:val="clear" w:color="auto" w:fill="auto"/>
            <w:noWrap/>
            <w:hideMark/>
          </w:tcPr>
          <w:p w14:paraId="26B9CE0D" w14:textId="77777777" w:rsidR="00E45705" w:rsidRPr="001B09E6" w:rsidRDefault="00E45705" w:rsidP="00E45705">
            <w:pPr>
              <w:pStyle w:val="TableCellText"/>
              <w:spacing w:before="0" w:after="0"/>
              <w:ind w:left="0" w:right="0"/>
            </w:pPr>
            <w:r w:rsidRPr="001B09E6">
              <w:t>2.3</w:t>
            </w:r>
          </w:p>
        </w:tc>
        <w:tc>
          <w:tcPr>
            <w:tcW w:w="366" w:type="pct"/>
            <w:tcBorders>
              <w:top w:val="nil"/>
              <w:left w:val="nil"/>
              <w:bottom w:val="nil"/>
              <w:right w:val="nil"/>
            </w:tcBorders>
            <w:shd w:val="clear" w:color="auto" w:fill="auto"/>
            <w:noWrap/>
            <w:hideMark/>
          </w:tcPr>
          <w:p w14:paraId="4122924D" w14:textId="77777777" w:rsidR="00E45705" w:rsidRPr="001B09E6" w:rsidRDefault="00E45705" w:rsidP="00E45705">
            <w:pPr>
              <w:pStyle w:val="TableCellText"/>
              <w:spacing w:before="0" w:after="0"/>
              <w:ind w:left="0" w:right="0"/>
            </w:pPr>
            <w:r w:rsidRPr="001B09E6">
              <w:t>2.4</w:t>
            </w:r>
          </w:p>
        </w:tc>
        <w:tc>
          <w:tcPr>
            <w:tcW w:w="366" w:type="pct"/>
            <w:tcBorders>
              <w:top w:val="nil"/>
              <w:left w:val="nil"/>
              <w:bottom w:val="nil"/>
              <w:right w:val="nil"/>
            </w:tcBorders>
            <w:shd w:val="clear" w:color="auto" w:fill="auto"/>
            <w:noWrap/>
            <w:hideMark/>
          </w:tcPr>
          <w:p w14:paraId="66537C0C" w14:textId="77777777" w:rsidR="00E45705" w:rsidRPr="001B09E6" w:rsidRDefault="00E45705" w:rsidP="00E45705">
            <w:pPr>
              <w:pStyle w:val="TableCellText"/>
              <w:spacing w:before="0" w:after="0"/>
              <w:ind w:left="0" w:right="0"/>
            </w:pPr>
            <w:r w:rsidRPr="001B09E6">
              <w:t>2.7</w:t>
            </w:r>
          </w:p>
        </w:tc>
        <w:tc>
          <w:tcPr>
            <w:tcW w:w="366" w:type="pct"/>
            <w:tcBorders>
              <w:top w:val="nil"/>
              <w:left w:val="nil"/>
              <w:bottom w:val="nil"/>
              <w:right w:val="nil"/>
            </w:tcBorders>
            <w:shd w:val="clear" w:color="auto" w:fill="auto"/>
            <w:noWrap/>
            <w:hideMark/>
          </w:tcPr>
          <w:p w14:paraId="2BCABDAA" w14:textId="77777777" w:rsidR="00E45705" w:rsidRPr="001B09E6" w:rsidRDefault="00E45705" w:rsidP="00E45705">
            <w:pPr>
              <w:pStyle w:val="TableCellText"/>
              <w:spacing w:before="0" w:after="0"/>
              <w:ind w:left="0" w:right="0"/>
            </w:pPr>
            <w:r w:rsidRPr="001B09E6">
              <w:t>2.9</w:t>
            </w:r>
          </w:p>
        </w:tc>
      </w:tr>
      <w:tr w:rsidR="00E45705" w:rsidRPr="001B09E6" w14:paraId="135900C4" w14:textId="77777777" w:rsidTr="00E45705">
        <w:trPr>
          <w:trHeight w:val="225"/>
        </w:trPr>
        <w:tc>
          <w:tcPr>
            <w:tcW w:w="1391" w:type="pct"/>
            <w:tcBorders>
              <w:top w:val="nil"/>
              <w:left w:val="nil"/>
              <w:bottom w:val="single" w:sz="4" w:space="0" w:color="auto"/>
              <w:right w:val="nil"/>
            </w:tcBorders>
            <w:shd w:val="clear" w:color="auto" w:fill="auto"/>
            <w:noWrap/>
            <w:hideMark/>
          </w:tcPr>
          <w:p w14:paraId="38AC6730" w14:textId="77777777" w:rsidR="00E45705" w:rsidRPr="001B09E6" w:rsidRDefault="00E45705" w:rsidP="00E45705">
            <w:pPr>
              <w:pStyle w:val="TableCellText"/>
              <w:spacing w:before="0" w:after="0"/>
              <w:ind w:left="0" w:right="0"/>
            </w:pPr>
            <w:r w:rsidRPr="001B09E6">
              <w:t>Certificate I  and  Non AQF qualifications</w:t>
            </w:r>
          </w:p>
        </w:tc>
        <w:tc>
          <w:tcPr>
            <w:tcW w:w="314" w:type="pct"/>
            <w:tcBorders>
              <w:top w:val="nil"/>
              <w:left w:val="nil"/>
              <w:bottom w:val="single" w:sz="4" w:space="0" w:color="auto"/>
              <w:right w:val="nil"/>
            </w:tcBorders>
            <w:shd w:val="clear" w:color="auto" w:fill="auto"/>
            <w:noWrap/>
            <w:hideMark/>
          </w:tcPr>
          <w:p w14:paraId="48FF7D9F" w14:textId="77777777" w:rsidR="00E45705" w:rsidRPr="001B09E6" w:rsidRDefault="00E45705" w:rsidP="00E45705">
            <w:pPr>
              <w:pStyle w:val="TableCellText"/>
              <w:spacing w:before="0" w:after="0"/>
              <w:ind w:left="0" w:right="0"/>
            </w:pPr>
            <w:r w:rsidRPr="001B09E6">
              <w:t>3.6</w:t>
            </w:r>
          </w:p>
        </w:tc>
        <w:tc>
          <w:tcPr>
            <w:tcW w:w="366" w:type="pct"/>
            <w:tcBorders>
              <w:top w:val="nil"/>
              <w:left w:val="nil"/>
              <w:bottom w:val="single" w:sz="4" w:space="0" w:color="auto"/>
              <w:right w:val="nil"/>
            </w:tcBorders>
            <w:shd w:val="clear" w:color="auto" w:fill="auto"/>
            <w:noWrap/>
            <w:hideMark/>
          </w:tcPr>
          <w:p w14:paraId="0C8306CB" w14:textId="77777777" w:rsidR="00E45705" w:rsidRPr="001B09E6" w:rsidRDefault="00E45705" w:rsidP="00E45705">
            <w:pPr>
              <w:pStyle w:val="TableCellText"/>
              <w:spacing w:before="0" w:after="0"/>
              <w:ind w:left="0" w:right="0"/>
            </w:pPr>
            <w:r w:rsidRPr="001B09E6">
              <w:t>3.5</w:t>
            </w:r>
          </w:p>
        </w:tc>
        <w:tc>
          <w:tcPr>
            <w:tcW w:w="366" w:type="pct"/>
            <w:tcBorders>
              <w:top w:val="nil"/>
              <w:left w:val="nil"/>
              <w:bottom w:val="single" w:sz="4" w:space="0" w:color="auto"/>
              <w:right w:val="nil"/>
            </w:tcBorders>
            <w:shd w:val="clear" w:color="auto" w:fill="auto"/>
            <w:noWrap/>
            <w:hideMark/>
          </w:tcPr>
          <w:p w14:paraId="19A85EE8" w14:textId="77777777" w:rsidR="00E45705" w:rsidRPr="001B09E6" w:rsidRDefault="00E45705" w:rsidP="00E45705">
            <w:pPr>
              <w:pStyle w:val="TableCellText"/>
              <w:spacing w:before="0" w:after="0"/>
              <w:ind w:left="0" w:right="0"/>
            </w:pPr>
            <w:r w:rsidRPr="001B09E6">
              <w:t>3.2</w:t>
            </w:r>
          </w:p>
        </w:tc>
        <w:tc>
          <w:tcPr>
            <w:tcW w:w="366" w:type="pct"/>
            <w:tcBorders>
              <w:top w:val="nil"/>
              <w:left w:val="nil"/>
              <w:bottom w:val="single" w:sz="4" w:space="0" w:color="auto"/>
              <w:right w:val="nil"/>
            </w:tcBorders>
            <w:shd w:val="clear" w:color="auto" w:fill="auto"/>
            <w:noWrap/>
            <w:hideMark/>
          </w:tcPr>
          <w:p w14:paraId="6B4DB6DB" w14:textId="77777777" w:rsidR="00E45705" w:rsidRPr="001B09E6" w:rsidRDefault="00E45705" w:rsidP="00E45705">
            <w:pPr>
              <w:pStyle w:val="TableCellText"/>
              <w:spacing w:before="0" w:after="0"/>
              <w:ind w:left="0" w:right="0"/>
            </w:pPr>
            <w:r w:rsidRPr="001B09E6">
              <w:t>3.3</w:t>
            </w:r>
          </w:p>
        </w:tc>
        <w:tc>
          <w:tcPr>
            <w:tcW w:w="366" w:type="pct"/>
            <w:tcBorders>
              <w:top w:val="nil"/>
              <w:left w:val="nil"/>
              <w:bottom w:val="single" w:sz="4" w:space="0" w:color="auto"/>
              <w:right w:val="nil"/>
            </w:tcBorders>
            <w:shd w:val="clear" w:color="auto" w:fill="auto"/>
            <w:noWrap/>
            <w:hideMark/>
          </w:tcPr>
          <w:p w14:paraId="1F6CE1D4" w14:textId="77777777" w:rsidR="00E45705" w:rsidRPr="001B09E6" w:rsidRDefault="00E45705" w:rsidP="00E45705">
            <w:pPr>
              <w:pStyle w:val="TableCellText"/>
              <w:spacing w:before="0" w:after="0"/>
              <w:ind w:left="0" w:right="0"/>
            </w:pPr>
            <w:r w:rsidRPr="001B09E6">
              <w:t>3.1</w:t>
            </w:r>
          </w:p>
        </w:tc>
        <w:tc>
          <w:tcPr>
            <w:tcW w:w="366" w:type="pct"/>
            <w:tcBorders>
              <w:top w:val="nil"/>
              <w:left w:val="nil"/>
              <w:bottom w:val="single" w:sz="4" w:space="0" w:color="auto"/>
              <w:right w:val="nil"/>
            </w:tcBorders>
            <w:shd w:val="clear" w:color="auto" w:fill="auto"/>
            <w:noWrap/>
            <w:hideMark/>
          </w:tcPr>
          <w:p w14:paraId="2F2035A4" w14:textId="77777777" w:rsidR="00E45705" w:rsidRPr="001B09E6" w:rsidRDefault="00E45705" w:rsidP="00E45705">
            <w:pPr>
              <w:pStyle w:val="TableCellText"/>
              <w:spacing w:before="0" w:after="0"/>
              <w:ind w:left="0" w:right="0"/>
            </w:pPr>
            <w:r w:rsidRPr="001B09E6">
              <w:t>2.8</w:t>
            </w:r>
          </w:p>
        </w:tc>
        <w:tc>
          <w:tcPr>
            <w:tcW w:w="366" w:type="pct"/>
            <w:tcBorders>
              <w:top w:val="nil"/>
              <w:left w:val="nil"/>
              <w:bottom w:val="single" w:sz="4" w:space="0" w:color="auto"/>
              <w:right w:val="nil"/>
            </w:tcBorders>
            <w:shd w:val="clear" w:color="auto" w:fill="auto"/>
            <w:noWrap/>
            <w:hideMark/>
          </w:tcPr>
          <w:p w14:paraId="01B6B431" w14:textId="77777777" w:rsidR="00E45705" w:rsidRPr="001B09E6" w:rsidRDefault="00E45705" w:rsidP="00E45705">
            <w:pPr>
              <w:pStyle w:val="TableCellText"/>
              <w:spacing w:before="0" w:after="0"/>
              <w:ind w:left="0" w:right="0"/>
            </w:pPr>
            <w:r w:rsidRPr="001B09E6">
              <w:t>2.6</w:t>
            </w:r>
          </w:p>
        </w:tc>
        <w:tc>
          <w:tcPr>
            <w:tcW w:w="366" w:type="pct"/>
            <w:tcBorders>
              <w:top w:val="nil"/>
              <w:left w:val="nil"/>
              <w:bottom w:val="single" w:sz="4" w:space="0" w:color="auto"/>
              <w:right w:val="nil"/>
            </w:tcBorders>
            <w:shd w:val="clear" w:color="auto" w:fill="auto"/>
            <w:noWrap/>
            <w:hideMark/>
          </w:tcPr>
          <w:p w14:paraId="592B6695" w14:textId="77777777" w:rsidR="00E45705" w:rsidRPr="001B09E6" w:rsidRDefault="00E45705" w:rsidP="00E45705">
            <w:pPr>
              <w:pStyle w:val="TableCellText"/>
              <w:spacing w:before="0" w:after="0"/>
              <w:ind w:left="0" w:right="0"/>
            </w:pPr>
            <w:r w:rsidRPr="001B09E6">
              <w:t>2.3</w:t>
            </w:r>
          </w:p>
        </w:tc>
        <w:tc>
          <w:tcPr>
            <w:tcW w:w="366" w:type="pct"/>
            <w:tcBorders>
              <w:top w:val="nil"/>
              <w:left w:val="nil"/>
              <w:bottom w:val="single" w:sz="4" w:space="0" w:color="auto"/>
              <w:right w:val="nil"/>
            </w:tcBorders>
            <w:shd w:val="clear" w:color="auto" w:fill="auto"/>
            <w:noWrap/>
            <w:hideMark/>
          </w:tcPr>
          <w:p w14:paraId="710B5777" w14:textId="77777777" w:rsidR="00E45705" w:rsidRPr="001B09E6" w:rsidRDefault="00E45705" w:rsidP="00E45705">
            <w:pPr>
              <w:pStyle w:val="TableCellText"/>
              <w:spacing w:before="0" w:after="0"/>
              <w:ind w:left="0" w:right="0"/>
            </w:pPr>
            <w:r w:rsidRPr="001B09E6">
              <w:t>1.9</w:t>
            </w:r>
          </w:p>
        </w:tc>
        <w:tc>
          <w:tcPr>
            <w:tcW w:w="366" w:type="pct"/>
            <w:tcBorders>
              <w:top w:val="nil"/>
              <w:left w:val="nil"/>
              <w:bottom w:val="single" w:sz="4" w:space="0" w:color="auto"/>
              <w:right w:val="nil"/>
            </w:tcBorders>
            <w:shd w:val="clear" w:color="auto" w:fill="auto"/>
            <w:noWrap/>
            <w:hideMark/>
          </w:tcPr>
          <w:p w14:paraId="5B27724E" w14:textId="77777777" w:rsidR="00E45705" w:rsidRPr="001B09E6" w:rsidRDefault="00E45705" w:rsidP="00E45705">
            <w:pPr>
              <w:pStyle w:val="TableCellText"/>
              <w:spacing w:before="0" w:after="0"/>
              <w:ind w:left="0" w:right="0"/>
            </w:pPr>
            <w:r w:rsidRPr="001B09E6">
              <w:t>1.9</w:t>
            </w:r>
          </w:p>
        </w:tc>
      </w:tr>
    </w:tbl>
    <w:p w14:paraId="587F1E4B" w14:textId="77777777" w:rsidR="00E45705" w:rsidRPr="001B09E6" w:rsidRDefault="00E45705" w:rsidP="00E45705">
      <w:pPr>
        <w:pStyle w:val="Tablenote"/>
        <w:rPr>
          <w:lang w:eastAsia="en-AU"/>
        </w:rPr>
      </w:pPr>
      <w:r w:rsidRPr="001B09E6">
        <w:rPr>
          <w:lang w:eastAsia="en-AU"/>
        </w:rPr>
        <w:t>Source: National VET Provider Collection, ABS Population by Age and Sex 3201.0</w:t>
      </w:r>
    </w:p>
    <w:p w14:paraId="1FB9FAD7" w14:textId="77777777" w:rsidR="00E45705" w:rsidRPr="001B09E6" w:rsidRDefault="00E45705" w:rsidP="00525C08">
      <w:pPr>
        <w:pStyle w:val="TableHeading"/>
        <w:spacing w:before="112" w:line="240" w:lineRule="exact"/>
      </w:pPr>
      <w:r w:rsidRPr="001B09E6">
        <w:t>Percentage of 20 to 24 year olds enrolled in VET by highest current qualification level, 2002-10, excluding those attending school and those who have completed Year 12</w:t>
      </w:r>
    </w:p>
    <w:tbl>
      <w:tblPr>
        <w:tblW w:w="5000" w:type="pct"/>
        <w:tblLook w:val="04A0" w:firstRow="1" w:lastRow="0" w:firstColumn="1" w:lastColumn="0" w:noHBand="0" w:noVBand="1"/>
        <w:tblCaption w:val="Percentage of 20 to 24 year olds enrolled in VET by highest current qualification level, 2002-10, excluding those attending school and those who have completed Year 12 "/>
        <w:tblDescription w:val="Percentage of 20 to 24 year olds enrolled in VET by highest current qualification level, 2002-10, excluding those attending school and those who have completed Year 12&#10;"/>
      </w:tblPr>
      <w:tblGrid>
        <w:gridCol w:w="4182"/>
        <w:gridCol w:w="1043"/>
        <w:gridCol w:w="1043"/>
        <w:gridCol w:w="1043"/>
        <w:gridCol w:w="1044"/>
        <w:gridCol w:w="1044"/>
        <w:gridCol w:w="1044"/>
        <w:gridCol w:w="1044"/>
        <w:gridCol w:w="1044"/>
        <w:gridCol w:w="1044"/>
        <w:gridCol w:w="1041"/>
      </w:tblGrid>
      <w:tr w:rsidR="00E45705" w:rsidRPr="001B09E6" w14:paraId="5C66BBA5" w14:textId="77777777" w:rsidTr="00E45705">
        <w:trPr>
          <w:trHeight w:val="225"/>
        </w:trPr>
        <w:tc>
          <w:tcPr>
            <w:tcW w:w="1431" w:type="pct"/>
            <w:tcBorders>
              <w:top w:val="single" w:sz="4" w:space="0" w:color="auto"/>
              <w:left w:val="nil"/>
              <w:bottom w:val="single" w:sz="4" w:space="0" w:color="auto"/>
            </w:tcBorders>
            <w:shd w:val="clear" w:color="auto" w:fill="auto"/>
            <w:noWrap/>
            <w:hideMark/>
          </w:tcPr>
          <w:p w14:paraId="3CD8CA8B" w14:textId="77777777" w:rsidR="00E45705" w:rsidRPr="001B09E6" w:rsidRDefault="00E45705" w:rsidP="00E45705">
            <w:pPr>
              <w:pStyle w:val="TableColumnHeading"/>
              <w:spacing w:before="0" w:after="0"/>
              <w:ind w:left="0" w:right="0"/>
            </w:pPr>
          </w:p>
        </w:tc>
        <w:tc>
          <w:tcPr>
            <w:tcW w:w="357" w:type="pct"/>
            <w:tcBorders>
              <w:top w:val="single" w:sz="4" w:space="0" w:color="auto"/>
              <w:bottom w:val="single" w:sz="4" w:space="0" w:color="auto"/>
            </w:tcBorders>
            <w:shd w:val="clear" w:color="auto" w:fill="auto"/>
            <w:noWrap/>
            <w:hideMark/>
          </w:tcPr>
          <w:p w14:paraId="63DF186D" w14:textId="77777777" w:rsidR="00E45705" w:rsidRPr="001B09E6" w:rsidRDefault="00E45705" w:rsidP="00E45705">
            <w:pPr>
              <w:pStyle w:val="TableColumnHeading"/>
              <w:spacing w:before="0" w:after="0"/>
              <w:ind w:left="0" w:right="0"/>
            </w:pPr>
            <w:r w:rsidRPr="001B09E6">
              <w:t>2002</w:t>
            </w:r>
          </w:p>
        </w:tc>
        <w:tc>
          <w:tcPr>
            <w:tcW w:w="357" w:type="pct"/>
            <w:tcBorders>
              <w:top w:val="single" w:sz="4" w:space="0" w:color="auto"/>
              <w:bottom w:val="single" w:sz="4" w:space="0" w:color="auto"/>
            </w:tcBorders>
            <w:shd w:val="clear" w:color="auto" w:fill="auto"/>
            <w:noWrap/>
            <w:hideMark/>
          </w:tcPr>
          <w:p w14:paraId="00B8F6F3" w14:textId="77777777" w:rsidR="00E45705" w:rsidRPr="001B09E6" w:rsidRDefault="00E45705" w:rsidP="00E45705">
            <w:pPr>
              <w:pStyle w:val="TableColumnHeading"/>
              <w:spacing w:before="0" w:after="0"/>
              <w:ind w:left="0" w:right="0"/>
            </w:pPr>
            <w:r w:rsidRPr="001B09E6">
              <w:t>2003</w:t>
            </w:r>
          </w:p>
        </w:tc>
        <w:tc>
          <w:tcPr>
            <w:tcW w:w="357" w:type="pct"/>
            <w:tcBorders>
              <w:top w:val="single" w:sz="4" w:space="0" w:color="auto"/>
              <w:bottom w:val="single" w:sz="4" w:space="0" w:color="auto"/>
            </w:tcBorders>
            <w:shd w:val="clear" w:color="auto" w:fill="auto"/>
            <w:noWrap/>
            <w:hideMark/>
          </w:tcPr>
          <w:p w14:paraId="52E68A97" w14:textId="77777777" w:rsidR="00E45705" w:rsidRPr="001B09E6" w:rsidRDefault="00E45705" w:rsidP="00E45705">
            <w:pPr>
              <w:pStyle w:val="TableColumnHeading"/>
              <w:spacing w:before="0" w:after="0"/>
              <w:ind w:left="0" w:right="0"/>
            </w:pPr>
            <w:r w:rsidRPr="001B09E6">
              <w:t>2004</w:t>
            </w:r>
          </w:p>
        </w:tc>
        <w:tc>
          <w:tcPr>
            <w:tcW w:w="357" w:type="pct"/>
            <w:tcBorders>
              <w:top w:val="single" w:sz="4" w:space="0" w:color="auto"/>
              <w:bottom w:val="single" w:sz="4" w:space="0" w:color="auto"/>
            </w:tcBorders>
            <w:shd w:val="clear" w:color="auto" w:fill="auto"/>
            <w:noWrap/>
            <w:hideMark/>
          </w:tcPr>
          <w:p w14:paraId="715F932D" w14:textId="77777777" w:rsidR="00E45705" w:rsidRPr="001B09E6" w:rsidRDefault="00E45705" w:rsidP="00E45705">
            <w:pPr>
              <w:pStyle w:val="TableColumnHeading"/>
              <w:spacing w:before="0" w:after="0"/>
              <w:ind w:left="0" w:right="0"/>
            </w:pPr>
            <w:r w:rsidRPr="001B09E6">
              <w:t>2005</w:t>
            </w:r>
          </w:p>
        </w:tc>
        <w:tc>
          <w:tcPr>
            <w:tcW w:w="357" w:type="pct"/>
            <w:tcBorders>
              <w:top w:val="single" w:sz="4" w:space="0" w:color="auto"/>
              <w:bottom w:val="single" w:sz="4" w:space="0" w:color="auto"/>
            </w:tcBorders>
            <w:shd w:val="clear" w:color="auto" w:fill="auto"/>
            <w:noWrap/>
            <w:hideMark/>
          </w:tcPr>
          <w:p w14:paraId="7A9E2639" w14:textId="77777777" w:rsidR="00E45705" w:rsidRPr="001B09E6" w:rsidRDefault="00E45705" w:rsidP="00E45705">
            <w:pPr>
              <w:pStyle w:val="TableColumnHeading"/>
              <w:spacing w:before="0" w:after="0"/>
              <w:ind w:left="0" w:right="0"/>
            </w:pPr>
            <w:r w:rsidRPr="001B09E6">
              <w:t>2006</w:t>
            </w:r>
          </w:p>
        </w:tc>
        <w:tc>
          <w:tcPr>
            <w:tcW w:w="357" w:type="pct"/>
            <w:tcBorders>
              <w:top w:val="single" w:sz="4" w:space="0" w:color="auto"/>
              <w:bottom w:val="single" w:sz="4" w:space="0" w:color="auto"/>
            </w:tcBorders>
            <w:shd w:val="clear" w:color="auto" w:fill="auto"/>
            <w:noWrap/>
            <w:hideMark/>
          </w:tcPr>
          <w:p w14:paraId="202D42BC" w14:textId="77777777" w:rsidR="00E45705" w:rsidRPr="001B09E6" w:rsidRDefault="00E45705" w:rsidP="00E45705">
            <w:pPr>
              <w:pStyle w:val="TableColumnHeading"/>
              <w:spacing w:before="0" w:after="0"/>
              <w:ind w:left="0" w:right="0"/>
            </w:pPr>
            <w:r w:rsidRPr="001B09E6">
              <w:t>2007</w:t>
            </w:r>
          </w:p>
        </w:tc>
        <w:tc>
          <w:tcPr>
            <w:tcW w:w="357" w:type="pct"/>
            <w:tcBorders>
              <w:top w:val="single" w:sz="4" w:space="0" w:color="auto"/>
              <w:bottom w:val="single" w:sz="4" w:space="0" w:color="auto"/>
            </w:tcBorders>
            <w:shd w:val="clear" w:color="auto" w:fill="auto"/>
            <w:noWrap/>
            <w:hideMark/>
          </w:tcPr>
          <w:p w14:paraId="0365DAAD" w14:textId="77777777" w:rsidR="00E45705" w:rsidRPr="001B09E6" w:rsidRDefault="00E45705" w:rsidP="00E45705">
            <w:pPr>
              <w:pStyle w:val="TableColumnHeading"/>
              <w:spacing w:before="0" w:after="0"/>
              <w:ind w:left="0" w:right="0"/>
            </w:pPr>
            <w:r w:rsidRPr="001B09E6">
              <w:t>2008</w:t>
            </w:r>
          </w:p>
        </w:tc>
        <w:tc>
          <w:tcPr>
            <w:tcW w:w="357" w:type="pct"/>
            <w:tcBorders>
              <w:top w:val="single" w:sz="4" w:space="0" w:color="auto"/>
              <w:bottom w:val="single" w:sz="4" w:space="0" w:color="auto"/>
            </w:tcBorders>
            <w:shd w:val="clear" w:color="auto" w:fill="auto"/>
            <w:noWrap/>
            <w:hideMark/>
          </w:tcPr>
          <w:p w14:paraId="7582D10C" w14:textId="77777777" w:rsidR="00E45705" w:rsidRPr="001B09E6" w:rsidRDefault="00E45705" w:rsidP="00E45705">
            <w:pPr>
              <w:pStyle w:val="TableColumnHeading"/>
              <w:spacing w:before="0" w:after="0"/>
              <w:ind w:left="0" w:right="0"/>
            </w:pPr>
            <w:r w:rsidRPr="001B09E6">
              <w:t>2009</w:t>
            </w:r>
          </w:p>
        </w:tc>
        <w:tc>
          <w:tcPr>
            <w:tcW w:w="357" w:type="pct"/>
            <w:tcBorders>
              <w:top w:val="single" w:sz="4" w:space="0" w:color="auto"/>
              <w:bottom w:val="single" w:sz="4" w:space="0" w:color="auto"/>
            </w:tcBorders>
            <w:shd w:val="clear" w:color="auto" w:fill="auto"/>
            <w:noWrap/>
            <w:hideMark/>
          </w:tcPr>
          <w:p w14:paraId="369AAE06" w14:textId="77777777" w:rsidR="00E45705" w:rsidRPr="001B09E6" w:rsidRDefault="00E45705" w:rsidP="00E45705">
            <w:pPr>
              <w:pStyle w:val="TableColumnHeading"/>
              <w:spacing w:before="0" w:after="0"/>
              <w:ind w:left="0" w:right="0"/>
            </w:pPr>
            <w:r w:rsidRPr="001B09E6">
              <w:t>2010</w:t>
            </w:r>
          </w:p>
        </w:tc>
        <w:tc>
          <w:tcPr>
            <w:tcW w:w="357" w:type="pct"/>
            <w:tcBorders>
              <w:top w:val="single" w:sz="4" w:space="0" w:color="auto"/>
              <w:bottom w:val="single" w:sz="4" w:space="0" w:color="auto"/>
              <w:right w:val="nil"/>
            </w:tcBorders>
            <w:shd w:val="clear" w:color="auto" w:fill="auto"/>
            <w:noWrap/>
            <w:hideMark/>
          </w:tcPr>
          <w:p w14:paraId="6712EEF9" w14:textId="77777777" w:rsidR="00E45705" w:rsidRPr="001B09E6" w:rsidRDefault="00E45705" w:rsidP="00E45705">
            <w:pPr>
              <w:pStyle w:val="TableColumnHeading"/>
              <w:spacing w:before="0" w:after="0"/>
              <w:ind w:left="0" w:right="0"/>
            </w:pPr>
            <w:r w:rsidRPr="001B09E6">
              <w:t>2011</w:t>
            </w:r>
          </w:p>
        </w:tc>
      </w:tr>
      <w:tr w:rsidR="00E45705" w:rsidRPr="001B09E6" w14:paraId="03FD8767" w14:textId="77777777" w:rsidTr="00E45705">
        <w:trPr>
          <w:trHeight w:val="225"/>
        </w:trPr>
        <w:tc>
          <w:tcPr>
            <w:tcW w:w="1431" w:type="pct"/>
            <w:tcBorders>
              <w:top w:val="single" w:sz="4" w:space="0" w:color="auto"/>
              <w:left w:val="nil"/>
              <w:bottom w:val="nil"/>
              <w:right w:val="nil"/>
            </w:tcBorders>
            <w:shd w:val="clear" w:color="auto" w:fill="auto"/>
            <w:noWrap/>
            <w:hideMark/>
          </w:tcPr>
          <w:p w14:paraId="6C398613" w14:textId="77777777" w:rsidR="00E45705" w:rsidRPr="001B09E6" w:rsidRDefault="00E45705" w:rsidP="00E45705">
            <w:pPr>
              <w:pStyle w:val="TableCellText"/>
              <w:spacing w:before="0" w:after="0"/>
              <w:ind w:left="0" w:right="0"/>
              <w:rPr>
                <w:lang w:eastAsia="en-AU"/>
              </w:rPr>
            </w:pPr>
            <w:r w:rsidRPr="001B09E6">
              <w:rPr>
                <w:lang w:eastAsia="en-AU"/>
              </w:rPr>
              <w:t>Certificate III and above</w:t>
            </w:r>
          </w:p>
        </w:tc>
        <w:tc>
          <w:tcPr>
            <w:tcW w:w="357" w:type="pct"/>
            <w:tcBorders>
              <w:top w:val="single" w:sz="4" w:space="0" w:color="auto"/>
              <w:left w:val="nil"/>
              <w:bottom w:val="nil"/>
              <w:right w:val="nil"/>
            </w:tcBorders>
            <w:shd w:val="clear" w:color="auto" w:fill="auto"/>
            <w:noWrap/>
            <w:hideMark/>
          </w:tcPr>
          <w:p w14:paraId="75D97EA3" w14:textId="77777777" w:rsidR="00E45705" w:rsidRPr="001B09E6" w:rsidRDefault="00E45705" w:rsidP="00E45705">
            <w:pPr>
              <w:pStyle w:val="TableCellText"/>
              <w:spacing w:before="0" w:after="0"/>
              <w:ind w:left="0" w:right="0"/>
            </w:pPr>
            <w:r w:rsidRPr="001B09E6">
              <w:t>4.9</w:t>
            </w:r>
          </w:p>
        </w:tc>
        <w:tc>
          <w:tcPr>
            <w:tcW w:w="357" w:type="pct"/>
            <w:tcBorders>
              <w:top w:val="single" w:sz="4" w:space="0" w:color="auto"/>
              <w:left w:val="nil"/>
              <w:bottom w:val="nil"/>
              <w:right w:val="nil"/>
            </w:tcBorders>
            <w:shd w:val="clear" w:color="auto" w:fill="auto"/>
            <w:noWrap/>
            <w:hideMark/>
          </w:tcPr>
          <w:p w14:paraId="33DC173F" w14:textId="77777777" w:rsidR="00E45705" w:rsidRPr="001B09E6" w:rsidRDefault="00E45705" w:rsidP="00E45705">
            <w:pPr>
              <w:pStyle w:val="TableCellText"/>
              <w:spacing w:before="0" w:after="0"/>
              <w:ind w:left="0" w:right="0"/>
            </w:pPr>
            <w:r w:rsidRPr="001B09E6">
              <w:t>5.0</w:t>
            </w:r>
          </w:p>
        </w:tc>
        <w:tc>
          <w:tcPr>
            <w:tcW w:w="357" w:type="pct"/>
            <w:tcBorders>
              <w:top w:val="single" w:sz="4" w:space="0" w:color="auto"/>
              <w:left w:val="nil"/>
              <w:bottom w:val="nil"/>
              <w:right w:val="nil"/>
            </w:tcBorders>
            <w:shd w:val="clear" w:color="auto" w:fill="auto"/>
            <w:noWrap/>
            <w:hideMark/>
          </w:tcPr>
          <w:p w14:paraId="1D74923F" w14:textId="77777777" w:rsidR="00E45705" w:rsidRPr="001B09E6" w:rsidRDefault="00E45705" w:rsidP="00E45705">
            <w:pPr>
              <w:pStyle w:val="TableCellText"/>
              <w:spacing w:before="0" w:after="0"/>
              <w:ind w:left="0" w:right="0"/>
            </w:pPr>
            <w:r w:rsidRPr="001B09E6">
              <w:t>4.9</w:t>
            </w:r>
          </w:p>
        </w:tc>
        <w:tc>
          <w:tcPr>
            <w:tcW w:w="357" w:type="pct"/>
            <w:tcBorders>
              <w:top w:val="single" w:sz="4" w:space="0" w:color="auto"/>
              <w:left w:val="nil"/>
              <w:bottom w:val="nil"/>
              <w:right w:val="nil"/>
            </w:tcBorders>
            <w:shd w:val="clear" w:color="auto" w:fill="auto"/>
            <w:noWrap/>
            <w:hideMark/>
          </w:tcPr>
          <w:p w14:paraId="1C1B43DF" w14:textId="77777777" w:rsidR="00E45705" w:rsidRPr="001B09E6" w:rsidRDefault="00E45705" w:rsidP="00E45705">
            <w:pPr>
              <w:pStyle w:val="TableCellText"/>
              <w:spacing w:before="0" w:after="0"/>
              <w:ind w:left="0" w:right="0"/>
            </w:pPr>
            <w:r w:rsidRPr="001B09E6">
              <w:t>4.9</w:t>
            </w:r>
          </w:p>
        </w:tc>
        <w:tc>
          <w:tcPr>
            <w:tcW w:w="357" w:type="pct"/>
            <w:tcBorders>
              <w:top w:val="single" w:sz="4" w:space="0" w:color="auto"/>
              <w:left w:val="nil"/>
              <w:bottom w:val="nil"/>
              <w:right w:val="nil"/>
            </w:tcBorders>
            <w:shd w:val="clear" w:color="auto" w:fill="auto"/>
            <w:noWrap/>
            <w:hideMark/>
          </w:tcPr>
          <w:p w14:paraId="5D077257" w14:textId="77777777" w:rsidR="00E45705" w:rsidRPr="001B09E6" w:rsidRDefault="00E45705" w:rsidP="00E45705">
            <w:pPr>
              <w:pStyle w:val="TableCellText"/>
              <w:spacing w:before="0" w:after="0"/>
              <w:ind w:left="0" w:right="0"/>
            </w:pPr>
            <w:r w:rsidRPr="001B09E6">
              <w:t>5.1</w:t>
            </w:r>
          </w:p>
        </w:tc>
        <w:tc>
          <w:tcPr>
            <w:tcW w:w="357" w:type="pct"/>
            <w:tcBorders>
              <w:top w:val="single" w:sz="4" w:space="0" w:color="auto"/>
              <w:left w:val="nil"/>
              <w:bottom w:val="nil"/>
              <w:right w:val="nil"/>
            </w:tcBorders>
            <w:shd w:val="clear" w:color="auto" w:fill="auto"/>
            <w:noWrap/>
            <w:hideMark/>
          </w:tcPr>
          <w:p w14:paraId="01BA5385" w14:textId="77777777" w:rsidR="00E45705" w:rsidRPr="001B09E6" w:rsidRDefault="00E45705" w:rsidP="00E45705">
            <w:pPr>
              <w:pStyle w:val="TableCellText"/>
              <w:spacing w:before="0" w:after="0"/>
              <w:ind w:left="0" w:right="0"/>
            </w:pPr>
            <w:r w:rsidRPr="001B09E6">
              <w:t>4.8</w:t>
            </w:r>
          </w:p>
        </w:tc>
        <w:tc>
          <w:tcPr>
            <w:tcW w:w="357" w:type="pct"/>
            <w:tcBorders>
              <w:top w:val="single" w:sz="4" w:space="0" w:color="auto"/>
              <w:left w:val="nil"/>
              <w:bottom w:val="nil"/>
              <w:right w:val="nil"/>
            </w:tcBorders>
            <w:shd w:val="clear" w:color="auto" w:fill="auto"/>
            <w:noWrap/>
            <w:hideMark/>
          </w:tcPr>
          <w:p w14:paraId="6422B59C" w14:textId="77777777" w:rsidR="00E45705" w:rsidRPr="001B09E6" w:rsidRDefault="00E45705" w:rsidP="00E45705">
            <w:pPr>
              <w:pStyle w:val="TableCellText"/>
              <w:spacing w:before="0" w:after="0"/>
              <w:ind w:left="0" w:right="0"/>
            </w:pPr>
            <w:r w:rsidRPr="001B09E6">
              <w:t>4.4</w:t>
            </w:r>
          </w:p>
        </w:tc>
        <w:tc>
          <w:tcPr>
            <w:tcW w:w="357" w:type="pct"/>
            <w:tcBorders>
              <w:top w:val="single" w:sz="4" w:space="0" w:color="auto"/>
              <w:left w:val="nil"/>
              <w:bottom w:val="nil"/>
              <w:right w:val="nil"/>
            </w:tcBorders>
            <w:shd w:val="clear" w:color="auto" w:fill="auto"/>
            <w:noWrap/>
            <w:hideMark/>
          </w:tcPr>
          <w:p w14:paraId="229E0688" w14:textId="77777777" w:rsidR="00E45705" w:rsidRPr="001B09E6" w:rsidRDefault="00E45705" w:rsidP="00E45705">
            <w:pPr>
              <w:pStyle w:val="TableCellText"/>
              <w:spacing w:before="0" w:after="0"/>
              <w:ind w:left="0" w:right="0"/>
            </w:pPr>
            <w:r w:rsidRPr="001B09E6">
              <w:t>4.6</w:t>
            </w:r>
          </w:p>
        </w:tc>
        <w:tc>
          <w:tcPr>
            <w:tcW w:w="357" w:type="pct"/>
            <w:tcBorders>
              <w:top w:val="single" w:sz="4" w:space="0" w:color="auto"/>
              <w:left w:val="nil"/>
              <w:bottom w:val="nil"/>
              <w:right w:val="nil"/>
            </w:tcBorders>
            <w:shd w:val="clear" w:color="auto" w:fill="auto"/>
            <w:noWrap/>
            <w:hideMark/>
          </w:tcPr>
          <w:p w14:paraId="236D4641" w14:textId="77777777" w:rsidR="00E45705" w:rsidRPr="001B09E6" w:rsidRDefault="00E45705" w:rsidP="00E45705">
            <w:pPr>
              <w:pStyle w:val="TableCellText"/>
              <w:spacing w:before="0" w:after="0"/>
              <w:ind w:left="0" w:right="0"/>
            </w:pPr>
            <w:r w:rsidRPr="001B09E6">
              <w:t>5.0</w:t>
            </w:r>
          </w:p>
        </w:tc>
        <w:tc>
          <w:tcPr>
            <w:tcW w:w="357" w:type="pct"/>
            <w:tcBorders>
              <w:top w:val="single" w:sz="4" w:space="0" w:color="auto"/>
              <w:left w:val="nil"/>
              <w:bottom w:val="nil"/>
              <w:right w:val="nil"/>
            </w:tcBorders>
            <w:shd w:val="clear" w:color="auto" w:fill="auto"/>
            <w:noWrap/>
            <w:hideMark/>
          </w:tcPr>
          <w:p w14:paraId="322D03F4" w14:textId="77777777" w:rsidR="00E45705" w:rsidRPr="001B09E6" w:rsidRDefault="00E45705" w:rsidP="00E45705">
            <w:pPr>
              <w:pStyle w:val="TableCellText"/>
              <w:spacing w:before="0" w:after="0"/>
              <w:ind w:left="0" w:right="0"/>
            </w:pPr>
            <w:r w:rsidRPr="001B09E6">
              <w:t>5.5</w:t>
            </w:r>
          </w:p>
        </w:tc>
      </w:tr>
      <w:tr w:rsidR="00E45705" w:rsidRPr="001B09E6" w14:paraId="5B3A3A81" w14:textId="77777777" w:rsidTr="00E45705">
        <w:trPr>
          <w:trHeight w:val="225"/>
        </w:trPr>
        <w:tc>
          <w:tcPr>
            <w:tcW w:w="1431" w:type="pct"/>
            <w:tcBorders>
              <w:top w:val="nil"/>
              <w:left w:val="nil"/>
              <w:bottom w:val="nil"/>
              <w:right w:val="nil"/>
            </w:tcBorders>
            <w:shd w:val="clear" w:color="auto" w:fill="auto"/>
            <w:noWrap/>
            <w:hideMark/>
          </w:tcPr>
          <w:p w14:paraId="30403324" w14:textId="77777777" w:rsidR="00E45705" w:rsidRPr="001B09E6" w:rsidRDefault="00E45705" w:rsidP="00E45705">
            <w:pPr>
              <w:pStyle w:val="TableCellText"/>
              <w:spacing w:before="0" w:after="0"/>
              <w:ind w:left="0" w:right="0"/>
              <w:rPr>
                <w:lang w:eastAsia="en-AU"/>
              </w:rPr>
            </w:pPr>
            <w:r w:rsidRPr="001B09E6">
              <w:rPr>
                <w:lang w:eastAsia="en-AU"/>
              </w:rPr>
              <w:t>Certificate II</w:t>
            </w:r>
          </w:p>
        </w:tc>
        <w:tc>
          <w:tcPr>
            <w:tcW w:w="357" w:type="pct"/>
            <w:tcBorders>
              <w:top w:val="nil"/>
              <w:left w:val="nil"/>
              <w:bottom w:val="nil"/>
              <w:right w:val="nil"/>
            </w:tcBorders>
            <w:shd w:val="clear" w:color="auto" w:fill="auto"/>
            <w:noWrap/>
            <w:hideMark/>
          </w:tcPr>
          <w:p w14:paraId="29F6B2D0" w14:textId="77777777" w:rsidR="00E45705" w:rsidRPr="001B09E6" w:rsidRDefault="00E45705" w:rsidP="00E45705">
            <w:pPr>
              <w:pStyle w:val="TableCellText"/>
              <w:spacing w:before="0" w:after="0"/>
              <w:ind w:left="0" w:right="0"/>
            </w:pPr>
            <w:r w:rsidRPr="001B09E6">
              <w:t>1.7</w:t>
            </w:r>
          </w:p>
        </w:tc>
        <w:tc>
          <w:tcPr>
            <w:tcW w:w="357" w:type="pct"/>
            <w:tcBorders>
              <w:top w:val="nil"/>
              <w:left w:val="nil"/>
              <w:bottom w:val="nil"/>
              <w:right w:val="nil"/>
            </w:tcBorders>
            <w:shd w:val="clear" w:color="auto" w:fill="auto"/>
            <w:noWrap/>
            <w:hideMark/>
          </w:tcPr>
          <w:p w14:paraId="78369B05" w14:textId="77777777" w:rsidR="00E45705" w:rsidRPr="001B09E6" w:rsidRDefault="00E45705" w:rsidP="00E45705">
            <w:pPr>
              <w:pStyle w:val="TableCellText"/>
              <w:spacing w:before="0" w:after="0"/>
              <w:ind w:left="0" w:right="0"/>
            </w:pPr>
            <w:r w:rsidRPr="001B09E6">
              <w:t>1.5</w:t>
            </w:r>
          </w:p>
        </w:tc>
        <w:tc>
          <w:tcPr>
            <w:tcW w:w="357" w:type="pct"/>
            <w:tcBorders>
              <w:top w:val="nil"/>
              <w:left w:val="nil"/>
              <w:bottom w:val="nil"/>
              <w:right w:val="nil"/>
            </w:tcBorders>
            <w:shd w:val="clear" w:color="auto" w:fill="auto"/>
            <w:noWrap/>
            <w:hideMark/>
          </w:tcPr>
          <w:p w14:paraId="61E5F744" w14:textId="77777777" w:rsidR="00E45705" w:rsidRPr="001B09E6" w:rsidRDefault="00E45705" w:rsidP="00E45705">
            <w:pPr>
              <w:pStyle w:val="TableCellText"/>
              <w:spacing w:before="0" w:after="0"/>
              <w:ind w:left="0" w:right="0"/>
            </w:pPr>
            <w:r w:rsidRPr="001B09E6">
              <w:t>1.4</w:t>
            </w:r>
          </w:p>
        </w:tc>
        <w:tc>
          <w:tcPr>
            <w:tcW w:w="357" w:type="pct"/>
            <w:tcBorders>
              <w:top w:val="nil"/>
              <w:left w:val="nil"/>
              <w:bottom w:val="nil"/>
              <w:right w:val="nil"/>
            </w:tcBorders>
            <w:shd w:val="clear" w:color="auto" w:fill="auto"/>
            <w:noWrap/>
            <w:hideMark/>
          </w:tcPr>
          <w:p w14:paraId="4E4BCDA2" w14:textId="77777777" w:rsidR="00E45705" w:rsidRPr="001B09E6" w:rsidRDefault="00E45705" w:rsidP="00E45705">
            <w:pPr>
              <w:pStyle w:val="TableCellText"/>
              <w:spacing w:before="0" w:after="0"/>
              <w:ind w:left="0" w:right="0"/>
            </w:pPr>
            <w:r w:rsidRPr="001B09E6">
              <w:t>1.2</w:t>
            </w:r>
          </w:p>
        </w:tc>
        <w:tc>
          <w:tcPr>
            <w:tcW w:w="357" w:type="pct"/>
            <w:tcBorders>
              <w:top w:val="nil"/>
              <w:left w:val="nil"/>
              <w:bottom w:val="nil"/>
              <w:right w:val="nil"/>
            </w:tcBorders>
            <w:shd w:val="clear" w:color="auto" w:fill="auto"/>
            <w:noWrap/>
            <w:hideMark/>
          </w:tcPr>
          <w:p w14:paraId="4D1CA933" w14:textId="77777777" w:rsidR="00E45705" w:rsidRPr="001B09E6" w:rsidRDefault="00E45705" w:rsidP="00E45705">
            <w:pPr>
              <w:pStyle w:val="TableCellText"/>
              <w:spacing w:before="0" w:after="0"/>
              <w:ind w:left="0" w:right="0"/>
            </w:pPr>
            <w:r w:rsidRPr="001B09E6">
              <w:t>1.2</w:t>
            </w:r>
          </w:p>
        </w:tc>
        <w:tc>
          <w:tcPr>
            <w:tcW w:w="357" w:type="pct"/>
            <w:tcBorders>
              <w:top w:val="nil"/>
              <w:left w:val="nil"/>
              <w:bottom w:val="nil"/>
              <w:right w:val="nil"/>
            </w:tcBorders>
            <w:shd w:val="clear" w:color="auto" w:fill="auto"/>
            <w:noWrap/>
            <w:hideMark/>
          </w:tcPr>
          <w:p w14:paraId="5F93F233" w14:textId="77777777" w:rsidR="00E45705" w:rsidRPr="001B09E6" w:rsidRDefault="00E45705" w:rsidP="00E45705">
            <w:pPr>
              <w:pStyle w:val="TableCellText"/>
              <w:spacing w:before="0" w:after="0"/>
              <w:ind w:left="0" w:right="0"/>
            </w:pPr>
            <w:r w:rsidRPr="001B09E6">
              <w:t>1.0</w:t>
            </w:r>
          </w:p>
        </w:tc>
        <w:tc>
          <w:tcPr>
            <w:tcW w:w="357" w:type="pct"/>
            <w:tcBorders>
              <w:top w:val="nil"/>
              <w:left w:val="nil"/>
              <w:bottom w:val="nil"/>
              <w:right w:val="nil"/>
            </w:tcBorders>
            <w:shd w:val="clear" w:color="auto" w:fill="auto"/>
            <w:noWrap/>
            <w:hideMark/>
          </w:tcPr>
          <w:p w14:paraId="49BF8537" w14:textId="77777777" w:rsidR="00E45705" w:rsidRPr="001B09E6" w:rsidRDefault="00E45705" w:rsidP="00E45705">
            <w:pPr>
              <w:pStyle w:val="TableCellText"/>
              <w:spacing w:before="0" w:after="0"/>
              <w:ind w:left="0" w:right="0"/>
            </w:pPr>
            <w:r w:rsidRPr="001B09E6">
              <w:t>1.0</w:t>
            </w:r>
          </w:p>
        </w:tc>
        <w:tc>
          <w:tcPr>
            <w:tcW w:w="357" w:type="pct"/>
            <w:tcBorders>
              <w:top w:val="nil"/>
              <w:left w:val="nil"/>
              <w:bottom w:val="nil"/>
              <w:right w:val="nil"/>
            </w:tcBorders>
            <w:shd w:val="clear" w:color="auto" w:fill="auto"/>
            <w:noWrap/>
            <w:hideMark/>
          </w:tcPr>
          <w:p w14:paraId="53665E07" w14:textId="77777777" w:rsidR="00E45705" w:rsidRPr="001B09E6" w:rsidRDefault="00E45705" w:rsidP="00E45705">
            <w:pPr>
              <w:pStyle w:val="TableCellText"/>
              <w:spacing w:before="0" w:after="0"/>
              <w:ind w:left="0" w:right="0"/>
            </w:pPr>
            <w:r w:rsidRPr="001B09E6">
              <w:t>1.1</w:t>
            </w:r>
          </w:p>
        </w:tc>
        <w:tc>
          <w:tcPr>
            <w:tcW w:w="357" w:type="pct"/>
            <w:tcBorders>
              <w:top w:val="nil"/>
              <w:left w:val="nil"/>
              <w:bottom w:val="nil"/>
              <w:right w:val="nil"/>
            </w:tcBorders>
            <w:shd w:val="clear" w:color="auto" w:fill="auto"/>
            <w:noWrap/>
            <w:hideMark/>
          </w:tcPr>
          <w:p w14:paraId="19322496" w14:textId="77777777" w:rsidR="00E45705" w:rsidRPr="001B09E6" w:rsidRDefault="00E45705" w:rsidP="00E45705">
            <w:pPr>
              <w:pStyle w:val="TableCellText"/>
              <w:spacing w:before="0" w:after="0"/>
              <w:ind w:left="0" w:right="0"/>
            </w:pPr>
            <w:r w:rsidRPr="001B09E6">
              <w:t>1.2</w:t>
            </w:r>
          </w:p>
        </w:tc>
        <w:tc>
          <w:tcPr>
            <w:tcW w:w="357" w:type="pct"/>
            <w:tcBorders>
              <w:top w:val="nil"/>
              <w:left w:val="nil"/>
              <w:bottom w:val="nil"/>
              <w:right w:val="nil"/>
            </w:tcBorders>
            <w:shd w:val="clear" w:color="auto" w:fill="auto"/>
            <w:noWrap/>
            <w:hideMark/>
          </w:tcPr>
          <w:p w14:paraId="33B25381" w14:textId="77777777" w:rsidR="00E45705" w:rsidRPr="001B09E6" w:rsidRDefault="00E45705" w:rsidP="00E45705">
            <w:pPr>
              <w:pStyle w:val="TableCellText"/>
              <w:spacing w:before="0" w:after="0"/>
              <w:ind w:left="0" w:right="0"/>
            </w:pPr>
            <w:r w:rsidRPr="001B09E6">
              <w:t>1.2</w:t>
            </w:r>
          </w:p>
        </w:tc>
      </w:tr>
      <w:tr w:rsidR="00E45705" w:rsidRPr="001B09E6" w14:paraId="4D42AB11" w14:textId="77777777" w:rsidTr="00E45705">
        <w:trPr>
          <w:trHeight w:val="225"/>
        </w:trPr>
        <w:tc>
          <w:tcPr>
            <w:tcW w:w="1431" w:type="pct"/>
            <w:tcBorders>
              <w:top w:val="nil"/>
              <w:left w:val="nil"/>
              <w:bottom w:val="single" w:sz="4" w:space="0" w:color="auto"/>
              <w:right w:val="nil"/>
            </w:tcBorders>
            <w:shd w:val="clear" w:color="auto" w:fill="auto"/>
            <w:noWrap/>
            <w:hideMark/>
          </w:tcPr>
          <w:p w14:paraId="63E33B02" w14:textId="77777777" w:rsidR="00E45705" w:rsidRPr="001B09E6" w:rsidRDefault="00E45705" w:rsidP="00E45705">
            <w:pPr>
              <w:pStyle w:val="TableCellText"/>
              <w:spacing w:before="0" w:after="0"/>
              <w:ind w:left="0" w:right="0"/>
              <w:rPr>
                <w:lang w:eastAsia="en-AU"/>
              </w:rPr>
            </w:pPr>
            <w:r w:rsidRPr="001B09E6">
              <w:rPr>
                <w:lang w:eastAsia="en-AU"/>
              </w:rPr>
              <w:t>Certificate I and - Non AQF qualification</w:t>
            </w:r>
          </w:p>
        </w:tc>
        <w:tc>
          <w:tcPr>
            <w:tcW w:w="357" w:type="pct"/>
            <w:tcBorders>
              <w:top w:val="nil"/>
              <w:left w:val="nil"/>
              <w:bottom w:val="single" w:sz="4" w:space="0" w:color="auto"/>
              <w:right w:val="nil"/>
            </w:tcBorders>
            <w:shd w:val="clear" w:color="auto" w:fill="auto"/>
            <w:noWrap/>
            <w:hideMark/>
          </w:tcPr>
          <w:p w14:paraId="1F5B94E5" w14:textId="77777777" w:rsidR="00E45705" w:rsidRPr="001B09E6" w:rsidRDefault="00E45705" w:rsidP="00E45705">
            <w:pPr>
              <w:pStyle w:val="TableCellText"/>
              <w:spacing w:before="0" w:after="0"/>
              <w:ind w:left="0" w:right="0"/>
            </w:pPr>
            <w:r w:rsidRPr="001B09E6">
              <w:t>3.1</w:t>
            </w:r>
          </w:p>
        </w:tc>
        <w:tc>
          <w:tcPr>
            <w:tcW w:w="357" w:type="pct"/>
            <w:tcBorders>
              <w:top w:val="nil"/>
              <w:left w:val="nil"/>
              <w:bottom w:val="single" w:sz="4" w:space="0" w:color="auto"/>
              <w:right w:val="nil"/>
            </w:tcBorders>
            <w:shd w:val="clear" w:color="auto" w:fill="auto"/>
            <w:noWrap/>
            <w:hideMark/>
          </w:tcPr>
          <w:p w14:paraId="176BCE84" w14:textId="77777777" w:rsidR="00E45705" w:rsidRPr="001B09E6" w:rsidRDefault="00E45705" w:rsidP="00E45705">
            <w:pPr>
              <w:pStyle w:val="TableCellText"/>
              <w:spacing w:before="0" w:after="0"/>
              <w:ind w:left="0" w:right="0"/>
            </w:pPr>
            <w:r w:rsidRPr="001B09E6">
              <w:t>3.1</w:t>
            </w:r>
          </w:p>
        </w:tc>
        <w:tc>
          <w:tcPr>
            <w:tcW w:w="357" w:type="pct"/>
            <w:tcBorders>
              <w:top w:val="nil"/>
              <w:left w:val="nil"/>
              <w:bottom w:val="single" w:sz="4" w:space="0" w:color="auto"/>
              <w:right w:val="nil"/>
            </w:tcBorders>
            <w:shd w:val="clear" w:color="auto" w:fill="auto"/>
            <w:noWrap/>
            <w:hideMark/>
          </w:tcPr>
          <w:p w14:paraId="1DDE4FB5" w14:textId="77777777" w:rsidR="00E45705" w:rsidRPr="001B09E6" w:rsidRDefault="00E45705" w:rsidP="00E45705">
            <w:pPr>
              <w:pStyle w:val="TableCellText"/>
              <w:spacing w:before="0" w:after="0"/>
              <w:ind w:left="0" w:right="0"/>
            </w:pPr>
            <w:r w:rsidRPr="001B09E6">
              <w:t>2.7</w:t>
            </w:r>
          </w:p>
        </w:tc>
        <w:tc>
          <w:tcPr>
            <w:tcW w:w="357" w:type="pct"/>
            <w:tcBorders>
              <w:top w:val="nil"/>
              <w:left w:val="nil"/>
              <w:bottom w:val="single" w:sz="4" w:space="0" w:color="auto"/>
              <w:right w:val="nil"/>
            </w:tcBorders>
            <w:shd w:val="clear" w:color="auto" w:fill="auto"/>
            <w:noWrap/>
            <w:hideMark/>
          </w:tcPr>
          <w:p w14:paraId="74A49D9B" w14:textId="77777777" w:rsidR="00E45705" w:rsidRPr="001B09E6" w:rsidRDefault="00E45705" w:rsidP="00E45705">
            <w:pPr>
              <w:pStyle w:val="TableCellText"/>
              <w:spacing w:before="0" w:after="0"/>
              <w:ind w:left="0" w:right="0"/>
            </w:pPr>
            <w:r w:rsidRPr="001B09E6">
              <w:t>2.7</w:t>
            </w:r>
          </w:p>
        </w:tc>
        <w:tc>
          <w:tcPr>
            <w:tcW w:w="357" w:type="pct"/>
            <w:tcBorders>
              <w:top w:val="nil"/>
              <w:left w:val="nil"/>
              <w:bottom w:val="single" w:sz="4" w:space="0" w:color="auto"/>
              <w:right w:val="nil"/>
            </w:tcBorders>
            <w:shd w:val="clear" w:color="auto" w:fill="auto"/>
            <w:noWrap/>
            <w:hideMark/>
          </w:tcPr>
          <w:p w14:paraId="6A3F2EC1" w14:textId="77777777" w:rsidR="00E45705" w:rsidRPr="001B09E6" w:rsidRDefault="00E45705" w:rsidP="00E45705">
            <w:pPr>
              <w:pStyle w:val="TableCellText"/>
              <w:spacing w:before="0" w:after="0"/>
              <w:ind w:left="0" w:right="0"/>
            </w:pPr>
            <w:r w:rsidRPr="001B09E6">
              <w:t>2.4</w:t>
            </w:r>
          </w:p>
        </w:tc>
        <w:tc>
          <w:tcPr>
            <w:tcW w:w="357" w:type="pct"/>
            <w:tcBorders>
              <w:top w:val="nil"/>
              <w:left w:val="nil"/>
              <w:bottom w:val="single" w:sz="4" w:space="0" w:color="auto"/>
              <w:right w:val="nil"/>
            </w:tcBorders>
            <w:shd w:val="clear" w:color="auto" w:fill="auto"/>
            <w:noWrap/>
            <w:hideMark/>
          </w:tcPr>
          <w:p w14:paraId="14F18E3D" w14:textId="77777777" w:rsidR="00E45705" w:rsidRPr="001B09E6" w:rsidRDefault="00E45705" w:rsidP="00E45705">
            <w:pPr>
              <w:pStyle w:val="TableCellText"/>
              <w:spacing w:before="0" w:after="0"/>
              <w:ind w:left="0" w:right="0"/>
            </w:pPr>
            <w:r w:rsidRPr="001B09E6">
              <w:t>2.3</w:t>
            </w:r>
          </w:p>
        </w:tc>
        <w:tc>
          <w:tcPr>
            <w:tcW w:w="357" w:type="pct"/>
            <w:tcBorders>
              <w:top w:val="nil"/>
              <w:left w:val="nil"/>
              <w:bottom w:val="single" w:sz="4" w:space="0" w:color="auto"/>
              <w:right w:val="nil"/>
            </w:tcBorders>
            <w:shd w:val="clear" w:color="auto" w:fill="auto"/>
            <w:noWrap/>
            <w:hideMark/>
          </w:tcPr>
          <w:p w14:paraId="11EA71C3" w14:textId="77777777" w:rsidR="00E45705" w:rsidRPr="001B09E6" w:rsidRDefault="00E45705" w:rsidP="00E45705">
            <w:pPr>
              <w:pStyle w:val="TableCellText"/>
              <w:spacing w:before="0" w:after="0"/>
              <w:ind w:left="0" w:right="0"/>
            </w:pPr>
            <w:r w:rsidRPr="001B09E6">
              <w:t>2.1</w:t>
            </w:r>
          </w:p>
        </w:tc>
        <w:tc>
          <w:tcPr>
            <w:tcW w:w="357" w:type="pct"/>
            <w:tcBorders>
              <w:top w:val="nil"/>
              <w:left w:val="nil"/>
              <w:bottom w:val="single" w:sz="4" w:space="0" w:color="auto"/>
              <w:right w:val="nil"/>
            </w:tcBorders>
            <w:shd w:val="clear" w:color="auto" w:fill="auto"/>
            <w:noWrap/>
            <w:hideMark/>
          </w:tcPr>
          <w:p w14:paraId="6A1AF0C6" w14:textId="77777777" w:rsidR="00E45705" w:rsidRPr="001B09E6" w:rsidRDefault="00E45705" w:rsidP="00E45705">
            <w:pPr>
              <w:pStyle w:val="TableCellText"/>
              <w:spacing w:before="0" w:after="0"/>
              <w:ind w:left="0" w:right="0"/>
            </w:pPr>
            <w:r w:rsidRPr="001B09E6">
              <w:t>1.7</w:t>
            </w:r>
          </w:p>
        </w:tc>
        <w:tc>
          <w:tcPr>
            <w:tcW w:w="357" w:type="pct"/>
            <w:tcBorders>
              <w:top w:val="nil"/>
              <w:left w:val="nil"/>
              <w:bottom w:val="single" w:sz="4" w:space="0" w:color="auto"/>
              <w:right w:val="nil"/>
            </w:tcBorders>
            <w:shd w:val="clear" w:color="auto" w:fill="auto"/>
            <w:noWrap/>
            <w:hideMark/>
          </w:tcPr>
          <w:p w14:paraId="2693B8D8" w14:textId="77777777" w:rsidR="00E45705" w:rsidRPr="001B09E6" w:rsidRDefault="00E45705" w:rsidP="00E45705">
            <w:pPr>
              <w:pStyle w:val="TableCellText"/>
              <w:spacing w:before="0" w:after="0"/>
              <w:ind w:left="0" w:right="0"/>
            </w:pPr>
            <w:r w:rsidRPr="001B09E6">
              <w:t>1.6</w:t>
            </w:r>
          </w:p>
        </w:tc>
        <w:tc>
          <w:tcPr>
            <w:tcW w:w="357" w:type="pct"/>
            <w:tcBorders>
              <w:top w:val="nil"/>
              <w:left w:val="nil"/>
              <w:bottom w:val="single" w:sz="4" w:space="0" w:color="auto"/>
              <w:right w:val="nil"/>
            </w:tcBorders>
            <w:shd w:val="clear" w:color="auto" w:fill="auto"/>
            <w:noWrap/>
            <w:hideMark/>
          </w:tcPr>
          <w:p w14:paraId="0C26F2F0" w14:textId="77777777" w:rsidR="00E45705" w:rsidRPr="001B09E6" w:rsidRDefault="00E45705" w:rsidP="00E45705">
            <w:pPr>
              <w:pStyle w:val="TableCellText"/>
              <w:spacing w:before="0" w:after="0"/>
              <w:ind w:left="0" w:right="0"/>
            </w:pPr>
            <w:r w:rsidRPr="001B09E6">
              <w:t>1.4</w:t>
            </w:r>
          </w:p>
        </w:tc>
      </w:tr>
    </w:tbl>
    <w:p w14:paraId="11A988C4" w14:textId="77777777" w:rsidR="00E45705" w:rsidRPr="001B09E6" w:rsidRDefault="00E45705" w:rsidP="00E45705">
      <w:pPr>
        <w:pStyle w:val="Tablenote"/>
      </w:pPr>
      <w:r w:rsidRPr="001B09E6">
        <w:rPr>
          <w:lang w:eastAsia="en-AU"/>
        </w:rPr>
        <w:t>Source: National VET Provider Collection, ABS Population by Age and Sex 3201.0</w:t>
      </w:r>
    </w:p>
    <w:p w14:paraId="2FF075A9" w14:textId="77777777" w:rsidR="00E45705" w:rsidRPr="001B09E6" w:rsidRDefault="00E45705" w:rsidP="00E45705">
      <w:pPr>
        <w:pStyle w:val="Heading3NoNumbering"/>
      </w:pPr>
      <w:bookmarkStart w:id="143" w:name="_Toc192134394"/>
      <w:bookmarkStart w:id="144" w:name="_Toc333918983"/>
      <w:r w:rsidRPr="001B09E6">
        <w:t>Table A2.6: Higher education participation</w:t>
      </w:r>
      <w:bookmarkEnd w:id="143"/>
      <w:bookmarkEnd w:id="144"/>
    </w:p>
    <w:p w14:paraId="36DE9F8C" w14:textId="77777777" w:rsidR="00E45705" w:rsidRPr="001B09E6" w:rsidRDefault="00E45705" w:rsidP="00525C08">
      <w:pPr>
        <w:pStyle w:val="TableHeading"/>
        <w:spacing w:before="112" w:line="240" w:lineRule="exact"/>
      </w:pPr>
      <w:r w:rsidRPr="001B09E6">
        <w:t>Percentage of 18 to 24 year olds enrolled in Higher Education</w:t>
      </w:r>
    </w:p>
    <w:tbl>
      <w:tblPr>
        <w:tblW w:w="5000" w:type="pct"/>
        <w:tblLook w:val="04A0" w:firstRow="1" w:lastRow="0" w:firstColumn="1" w:lastColumn="0" w:noHBand="0" w:noVBand="1"/>
        <w:tblCaption w:val="Table A2.6: Higher education participation Percentage of 18 to 24 year olds enrolled in Higher Education "/>
        <w:tblDescription w:val="Table A2.6: Higher education participation&#10;Percentage of 18 to 24 year olds enrolled in Higher Education&#10;"/>
      </w:tblPr>
      <w:tblGrid>
        <w:gridCol w:w="2435"/>
        <w:gridCol w:w="2435"/>
        <w:gridCol w:w="2438"/>
        <w:gridCol w:w="2435"/>
        <w:gridCol w:w="2435"/>
        <w:gridCol w:w="2438"/>
      </w:tblGrid>
      <w:tr w:rsidR="00E45705" w:rsidRPr="001B09E6" w14:paraId="0393C7AA" w14:textId="77777777" w:rsidTr="00E45705">
        <w:trPr>
          <w:trHeight w:val="300"/>
        </w:trPr>
        <w:tc>
          <w:tcPr>
            <w:tcW w:w="833" w:type="pct"/>
            <w:tcBorders>
              <w:top w:val="single" w:sz="4" w:space="0" w:color="auto"/>
              <w:bottom w:val="single" w:sz="4" w:space="0" w:color="auto"/>
            </w:tcBorders>
            <w:shd w:val="clear" w:color="auto" w:fill="auto"/>
            <w:noWrap/>
            <w:vAlign w:val="bottom"/>
            <w:hideMark/>
          </w:tcPr>
          <w:p w14:paraId="159B9ED2" w14:textId="77777777" w:rsidR="00E45705" w:rsidRPr="001B09E6" w:rsidRDefault="00E45705" w:rsidP="00E45705">
            <w:pPr>
              <w:pStyle w:val="TableColumnHeading"/>
              <w:spacing w:before="0" w:after="0"/>
              <w:ind w:left="0" w:right="0"/>
              <w:rPr>
                <w:lang w:eastAsia="en-AU"/>
              </w:rPr>
            </w:pPr>
            <w:r w:rsidRPr="001B09E6">
              <w:rPr>
                <w:lang w:eastAsia="en-AU"/>
              </w:rPr>
              <w:t xml:space="preserve">2006 </w:t>
            </w:r>
          </w:p>
          <w:p w14:paraId="0E28936B" w14:textId="77777777" w:rsidR="00E45705" w:rsidRPr="001B09E6" w:rsidRDefault="00E45705" w:rsidP="00E45705">
            <w:pPr>
              <w:pStyle w:val="TableColumnHeading"/>
              <w:spacing w:before="0" w:after="0"/>
              <w:ind w:left="0" w:right="0"/>
              <w:rPr>
                <w:lang w:eastAsia="en-AU"/>
              </w:rPr>
            </w:pPr>
            <w:r w:rsidRPr="001B09E6">
              <w:rPr>
                <w:lang w:eastAsia="en-AU"/>
              </w:rPr>
              <w:t>Percent</w:t>
            </w:r>
          </w:p>
        </w:tc>
        <w:tc>
          <w:tcPr>
            <w:tcW w:w="833" w:type="pct"/>
            <w:tcBorders>
              <w:top w:val="single" w:sz="4" w:space="0" w:color="auto"/>
              <w:bottom w:val="single" w:sz="4" w:space="0" w:color="auto"/>
            </w:tcBorders>
            <w:shd w:val="clear" w:color="auto" w:fill="auto"/>
            <w:noWrap/>
            <w:vAlign w:val="bottom"/>
            <w:hideMark/>
          </w:tcPr>
          <w:p w14:paraId="45AC1B08" w14:textId="77777777" w:rsidR="00E45705" w:rsidRPr="001B09E6" w:rsidRDefault="00E45705" w:rsidP="00E45705">
            <w:pPr>
              <w:pStyle w:val="TableColumnHeading"/>
              <w:spacing w:before="0" w:after="0"/>
              <w:ind w:left="0" w:right="0"/>
              <w:rPr>
                <w:lang w:eastAsia="en-AU"/>
              </w:rPr>
            </w:pPr>
            <w:r w:rsidRPr="001B09E6">
              <w:rPr>
                <w:lang w:eastAsia="en-AU"/>
              </w:rPr>
              <w:t xml:space="preserve">2007 </w:t>
            </w:r>
          </w:p>
          <w:p w14:paraId="7695CD5B" w14:textId="77777777" w:rsidR="00E45705" w:rsidRPr="001B09E6" w:rsidRDefault="00E45705" w:rsidP="00E45705">
            <w:pPr>
              <w:pStyle w:val="TableColumnHeading"/>
              <w:spacing w:before="0" w:after="0"/>
              <w:ind w:left="0" w:right="0"/>
              <w:rPr>
                <w:lang w:eastAsia="en-AU"/>
              </w:rPr>
            </w:pPr>
            <w:r w:rsidRPr="001B09E6">
              <w:rPr>
                <w:lang w:eastAsia="en-AU"/>
              </w:rPr>
              <w:t>Percent</w:t>
            </w:r>
          </w:p>
        </w:tc>
        <w:tc>
          <w:tcPr>
            <w:tcW w:w="834" w:type="pct"/>
            <w:tcBorders>
              <w:top w:val="single" w:sz="4" w:space="0" w:color="auto"/>
              <w:bottom w:val="single" w:sz="4" w:space="0" w:color="auto"/>
            </w:tcBorders>
            <w:shd w:val="clear" w:color="auto" w:fill="auto"/>
            <w:noWrap/>
            <w:vAlign w:val="bottom"/>
            <w:hideMark/>
          </w:tcPr>
          <w:p w14:paraId="6BF418E3" w14:textId="77777777" w:rsidR="00E45705" w:rsidRPr="001B09E6" w:rsidRDefault="00E45705" w:rsidP="00E45705">
            <w:pPr>
              <w:pStyle w:val="TableColumnHeading"/>
              <w:spacing w:before="0" w:after="0"/>
              <w:ind w:left="0" w:right="0"/>
              <w:rPr>
                <w:lang w:eastAsia="en-AU"/>
              </w:rPr>
            </w:pPr>
            <w:r w:rsidRPr="001B09E6">
              <w:rPr>
                <w:lang w:eastAsia="en-AU"/>
              </w:rPr>
              <w:t xml:space="preserve">2008 </w:t>
            </w:r>
          </w:p>
          <w:p w14:paraId="0E6BADFC" w14:textId="77777777" w:rsidR="00E45705" w:rsidRPr="001B09E6" w:rsidRDefault="00E45705" w:rsidP="00E45705">
            <w:pPr>
              <w:pStyle w:val="TableColumnHeading"/>
              <w:spacing w:before="0" w:after="0"/>
              <w:ind w:left="0" w:right="0"/>
              <w:rPr>
                <w:lang w:eastAsia="en-AU"/>
              </w:rPr>
            </w:pPr>
            <w:r w:rsidRPr="001B09E6">
              <w:rPr>
                <w:lang w:eastAsia="en-AU"/>
              </w:rPr>
              <w:t>Percent</w:t>
            </w:r>
          </w:p>
        </w:tc>
        <w:tc>
          <w:tcPr>
            <w:tcW w:w="833" w:type="pct"/>
            <w:tcBorders>
              <w:top w:val="single" w:sz="4" w:space="0" w:color="auto"/>
              <w:bottom w:val="single" w:sz="4" w:space="0" w:color="auto"/>
            </w:tcBorders>
            <w:shd w:val="clear" w:color="auto" w:fill="auto"/>
            <w:noWrap/>
            <w:vAlign w:val="bottom"/>
            <w:hideMark/>
          </w:tcPr>
          <w:p w14:paraId="53FE5737" w14:textId="77777777" w:rsidR="00E45705" w:rsidRPr="001B09E6" w:rsidRDefault="00E45705" w:rsidP="00E45705">
            <w:pPr>
              <w:pStyle w:val="TableColumnHeading"/>
              <w:spacing w:before="0" w:after="0"/>
              <w:ind w:left="0" w:right="0"/>
              <w:rPr>
                <w:lang w:eastAsia="en-AU"/>
              </w:rPr>
            </w:pPr>
            <w:r w:rsidRPr="001B09E6">
              <w:rPr>
                <w:lang w:eastAsia="en-AU"/>
              </w:rPr>
              <w:t xml:space="preserve">2009 </w:t>
            </w:r>
          </w:p>
          <w:p w14:paraId="5F64BB6F" w14:textId="77777777" w:rsidR="00E45705" w:rsidRPr="001B09E6" w:rsidRDefault="00E45705" w:rsidP="00E45705">
            <w:pPr>
              <w:pStyle w:val="TableColumnHeading"/>
              <w:spacing w:before="0" w:after="0"/>
              <w:ind w:left="0" w:right="0"/>
              <w:rPr>
                <w:lang w:eastAsia="en-AU"/>
              </w:rPr>
            </w:pPr>
            <w:r w:rsidRPr="001B09E6">
              <w:rPr>
                <w:lang w:eastAsia="en-AU"/>
              </w:rPr>
              <w:t>Percent</w:t>
            </w:r>
          </w:p>
        </w:tc>
        <w:tc>
          <w:tcPr>
            <w:tcW w:w="833" w:type="pct"/>
            <w:tcBorders>
              <w:top w:val="single" w:sz="4" w:space="0" w:color="auto"/>
              <w:bottom w:val="single" w:sz="4" w:space="0" w:color="auto"/>
            </w:tcBorders>
            <w:shd w:val="clear" w:color="auto" w:fill="auto"/>
            <w:noWrap/>
            <w:vAlign w:val="bottom"/>
            <w:hideMark/>
          </w:tcPr>
          <w:p w14:paraId="36778517" w14:textId="77777777" w:rsidR="00E45705" w:rsidRPr="001B09E6" w:rsidRDefault="00E45705" w:rsidP="00E45705">
            <w:pPr>
              <w:pStyle w:val="TableColumnHeading"/>
              <w:spacing w:before="0" w:after="0"/>
              <w:ind w:left="0" w:right="0"/>
              <w:rPr>
                <w:lang w:eastAsia="en-AU"/>
              </w:rPr>
            </w:pPr>
            <w:r w:rsidRPr="001B09E6">
              <w:rPr>
                <w:lang w:eastAsia="en-AU"/>
              </w:rPr>
              <w:t xml:space="preserve">2010 </w:t>
            </w:r>
          </w:p>
          <w:p w14:paraId="22398F2F" w14:textId="77777777" w:rsidR="00E45705" w:rsidRPr="001B09E6" w:rsidRDefault="00E45705" w:rsidP="00E45705">
            <w:pPr>
              <w:pStyle w:val="TableColumnHeading"/>
              <w:spacing w:before="0" w:after="0"/>
              <w:ind w:left="0" w:right="0"/>
              <w:rPr>
                <w:lang w:eastAsia="en-AU"/>
              </w:rPr>
            </w:pPr>
            <w:r w:rsidRPr="001B09E6">
              <w:rPr>
                <w:lang w:eastAsia="en-AU"/>
              </w:rPr>
              <w:t>Percent</w:t>
            </w:r>
          </w:p>
        </w:tc>
        <w:tc>
          <w:tcPr>
            <w:tcW w:w="834" w:type="pct"/>
            <w:tcBorders>
              <w:top w:val="single" w:sz="4" w:space="0" w:color="auto"/>
              <w:bottom w:val="single" w:sz="4" w:space="0" w:color="auto"/>
            </w:tcBorders>
            <w:shd w:val="clear" w:color="auto" w:fill="auto"/>
            <w:hideMark/>
          </w:tcPr>
          <w:p w14:paraId="1536D106" w14:textId="77777777" w:rsidR="00E45705" w:rsidRPr="001B09E6" w:rsidRDefault="00E45705" w:rsidP="00E45705">
            <w:pPr>
              <w:pStyle w:val="TableColumnHeading"/>
              <w:spacing w:before="0" w:after="0"/>
              <w:ind w:left="0" w:right="0"/>
              <w:rPr>
                <w:lang w:eastAsia="en-AU"/>
              </w:rPr>
            </w:pPr>
            <w:r w:rsidRPr="001B09E6">
              <w:rPr>
                <w:lang w:eastAsia="en-AU"/>
              </w:rPr>
              <w:t xml:space="preserve">2011 </w:t>
            </w:r>
          </w:p>
          <w:p w14:paraId="72FD8993" w14:textId="77777777" w:rsidR="00E45705" w:rsidRPr="001B09E6" w:rsidRDefault="00E45705" w:rsidP="00E45705">
            <w:pPr>
              <w:pStyle w:val="TableColumnHeading"/>
              <w:spacing w:before="0" w:after="0"/>
              <w:ind w:left="0" w:right="0"/>
              <w:rPr>
                <w:lang w:eastAsia="en-AU"/>
              </w:rPr>
            </w:pPr>
            <w:r w:rsidRPr="001B09E6">
              <w:rPr>
                <w:lang w:eastAsia="en-AU"/>
              </w:rPr>
              <w:t>Percent</w:t>
            </w:r>
          </w:p>
        </w:tc>
      </w:tr>
      <w:tr w:rsidR="00E45705" w:rsidRPr="001B09E6" w14:paraId="02BDF65B" w14:textId="77777777" w:rsidTr="00E45705">
        <w:trPr>
          <w:trHeight w:val="300"/>
        </w:trPr>
        <w:tc>
          <w:tcPr>
            <w:tcW w:w="833" w:type="pct"/>
            <w:tcBorders>
              <w:top w:val="single" w:sz="4" w:space="0" w:color="auto"/>
              <w:bottom w:val="single" w:sz="4" w:space="0" w:color="auto"/>
            </w:tcBorders>
            <w:shd w:val="clear" w:color="auto" w:fill="auto"/>
            <w:noWrap/>
            <w:vAlign w:val="bottom"/>
            <w:hideMark/>
          </w:tcPr>
          <w:p w14:paraId="575F7097" w14:textId="77777777" w:rsidR="00E45705" w:rsidRPr="001B09E6" w:rsidRDefault="00E45705" w:rsidP="00E45705">
            <w:pPr>
              <w:pStyle w:val="TableCellText"/>
              <w:spacing w:before="0" w:after="0"/>
              <w:ind w:left="0" w:right="0"/>
              <w:rPr>
                <w:lang w:eastAsia="en-AU"/>
              </w:rPr>
            </w:pPr>
            <w:r w:rsidRPr="001B09E6">
              <w:rPr>
                <w:lang w:eastAsia="en-AU"/>
              </w:rPr>
              <w:t>27.5</w:t>
            </w:r>
          </w:p>
        </w:tc>
        <w:tc>
          <w:tcPr>
            <w:tcW w:w="833" w:type="pct"/>
            <w:tcBorders>
              <w:top w:val="single" w:sz="4" w:space="0" w:color="auto"/>
              <w:bottom w:val="single" w:sz="4" w:space="0" w:color="auto"/>
            </w:tcBorders>
            <w:shd w:val="clear" w:color="auto" w:fill="auto"/>
            <w:noWrap/>
            <w:vAlign w:val="bottom"/>
            <w:hideMark/>
          </w:tcPr>
          <w:p w14:paraId="036F34AA" w14:textId="77777777" w:rsidR="00E45705" w:rsidRPr="001B09E6" w:rsidRDefault="00E45705" w:rsidP="00E45705">
            <w:pPr>
              <w:pStyle w:val="TableCellText"/>
              <w:spacing w:before="0" w:after="0"/>
              <w:ind w:left="0" w:right="0"/>
              <w:rPr>
                <w:lang w:eastAsia="en-AU"/>
              </w:rPr>
            </w:pPr>
            <w:r w:rsidRPr="001B09E6">
              <w:rPr>
                <w:lang w:eastAsia="en-AU"/>
              </w:rPr>
              <w:t>28.5</w:t>
            </w:r>
          </w:p>
        </w:tc>
        <w:tc>
          <w:tcPr>
            <w:tcW w:w="834" w:type="pct"/>
            <w:tcBorders>
              <w:top w:val="single" w:sz="4" w:space="0" w:color="auto"/>
              <w:bottom w:val="single" w:sz="4" w:space="0" w:color="auto"/>
            </w:tcBorders>
            <w:shd w:val="clear" w:color="auto" w:fill="auto"/>
            <w:noWrap/>
            <w:vAlign w:val="bottom"/>
            <w:hideMark/>
          </w:tcPr>
          <w:p w14:paraId="5C440F22" w14:textId="77777777" w:rsidR="00E45705" w:rsidRPr="001B09E6" w:rsidRDefault="00E45705" w:rsidP="00E45705">
            <w:pPr>
              <w:pStyle w:val="TableCellText"/>
              <w:spacing w:before="0" w:after="0"/>
              <w:ind w:left="0" w:right="0"/>
              <w:rPr>
                <w:lang w:eastAsia="en-AU"/>
              </w:rPr>
            </w:pPr>
            <w:r w:rsidRPr="001B09E6">
              <w:rPr>
                <w:lang w:eastAsia="en-AU"/>
              </w:rPr>
              <w:t>28.9</w:t>
            </w:r>
          </w:p>
        </w:tc>
        <w:tc>
          <w:tcPr>
            <w:tcW w:w="833" w:type="pct"/>
            <w:tcBorders>
              <w:top w:val="single" w:sz="4" w:space="0" w:color="auto"/>
              <w:bottom w:val="single" w:sz="4" w:space="0" w:color="auto"/>
            </w:tcBorders>
            <w:shd w:val="clear" w:color="auto" w:fill="auto"/>
            <w:noWrap/>
            <w:vAlign w:val="bottom"/>
            <w:hideMark/>
          </w:tcPr>
          <w:p w14:paraId="3A058017" w14:textId="77777777" w:rsidR="00E45705" w:rsidRPr="001B09E6" w:rsidRDefault="00E45705" w:rsidP="00E45705">
            <w:pPr>
              <w:pStyle w:val="TableCellText"/>
              <w:spacing w:before="0" w:after="0"/>
              <w:ind w:left="0" w:right="0"/>
              <w:rPr>
                <w:lang w:eastAsia="en-AU"/>
              </w:rPr>
            </w:pPr>
            <w:r w:rsidRPr="001B09E6">
              <w:rPr>
                <w:lang w:eastAsia="en-AU"/>
              </w:rPr>
              <w:t>30.0</w:t>
            </w:r>
          </w:p>
        </w:tc>
        <w:tc>
          <w:tcPr>
            <w:tcW w:w="833" w:type="pct"/>
            <w:tcBorders>
              <w:top w:val="single" w:sz="4" w:space="0" w:color="auto"/>
              <w:bottom w:val="single" w:sz="4" w:space="0" w:color="auto"/>
            </w:tcBorders>
            <w:shd w:val="clear" w:color="auto" w:fill="auto"/>
            <w:noWrap/>
            <w:vAlign w:val="bottom"/>
            <w:hideMark/>
          </w:tcPr>
          <w:p w14:paraId="000FCC0D" w14:textId="77777777" w:rsidR="00E45705" w:rsidRPr="001B09E6" w:rsidRDefault="00E45705" w:rsidP="00E45705">
            <w:pPr>
              <w:pStyle w:val="TableCellText"/>
              <w:spacing w:before="0" w:after="0"/>
              <w:ind w:left="0" w:right="0"/>
              <w:rPr>
                <w:lang w:eastAsia="en-AU"/>
              </w:rPr>
            </w:pPr>
            <w:r w:rsidRPr="001B09E6">
              <w:rPr>
                <w:lang w:eastAsia="en-AU"/>
              </w:rPr>
              <w:t>31.2</w:t>
            </w:r>
          </w:p>
        </w:tc>
        <w:tc>
          <w:tcPr>
            <w:tcW w:w="834" w:type="pct"/>
            <w:tcBorders>
              <w:top w:val="single" w:sz="4" w:space="0" w:color="auto"/>
              <w:bottom w:val="single" w:sz="4" w:space="0" w:color="auto"/>
            </w:tcBorders>
            <w:shd w:val="clear" w:color="auto" w:fill="auto"/>
            <w:vAlign w:val="bottom"/>
            <w:hideMark/>
          </w:tcPr>
          <w:p w14:paraId="7913AC17" w14:textId="77777777" w:rsidR="00E45705" w:rsidRPr="001B09E6" w:rsidRDefault="00E45705" w:rsidP="00E45705">
            <w:pPr>
              <w:pStyle w:val="TableCellText"/>
              <w:spacing w:before="0" w:after="0"/>
              <w:ind w:left="0" w:right="0"/>
              <w:rPr>
                <w:lang w:eastAsia="en-AU"/>
              </w:rPr>
            </w:pPr>
            <w:r w:rsidRPr="001B09E6">
              <w:rPr>
                <w:lang w:eastAsia="en-AU"/>
              </w:rPr>
              <w:t>33.0</w:t>
            </w:r>
          </w:p>
        </w:tc>
      </w:tr>
      <w:tr w:rsidR="00E45705" w:rsidRPr="001B09E6" w14:paraId="4C6E7B1E" w14:textId="77777777" w:rsidTr="00E45705">
        <w:trPr>
          <w:trHeight w:val="300"/>
        </w:trPr>
        <w:tc>
          <w:tcPr>
            <w:tcW w:w="5000" w:type="pct"/>
            <w:gridSpan w:val="6"/>
            <w:tcBorders>
              <w:top w:val="nil"/>
              <w:left w:val="nil"/>
              <w:bottom w:val="nil"/>
              <w:right w:val="nil"/>
            </w:tcBorders>
            <w:shd w:val="clear" w:color="auto" w:fill="auto"/>
            <w:noWrap/>
            <w:vAlign w:val="bottom"/>
            <w:hideMark/>
          </w:tcPr>
          <w:p w14:paraId="4CA0B5E2" w14:textId="77777777" w:rsidR="00E45705" w:rsidRPr="001B09E6" w:rsidRDefault="00E45705" w:rsidP="00E45705">
            <w:pPr>
              <w:pStyle w:val="Tablenote"/>
              <w:rPr>
                <w:lang w:eastAsia="en-AU"/>
              </w:rPr>
            </w:pPr>
            <w:r w:rsidRPr="001B09E6">
              <w:rPr>
                <w:lang w:eastAsia="en-AU"/>
              </w:rPr>
              <w:t>Source: DEEWR Higher Education Statistics Collection, ABS Australian Demographic Statistics 3101.0</w:t>
            </w:r>
          </w:p>
        </w:tc>
      </w:tr>
    </w:tbl>
    <w:p w14:paraId="4575FA7A" w14:textId="77777777" w:rsidR="00E45705" w:rsidRPr="00525C08" w:rsidRDefault="00E45705" w:rsidP="00525C08">
      <w:pPr>
        <w:pStyle w:val="Heading2NoNumbering"/>
        <w:spacing w:before="120"/>
      </w:pPr>
      <w:bookmarkStart w:id="145" w:name="_Toc192134395"/>
      <w:bookmarkStart w:id="146" w:name="_Toc333918984"/>
      <w:bookmarkStart w:id="147" w:name="_Toc219347268"/>
      <w:r w:rsidRPr="00525C08">
        <w:t>Participation – Indigenous</w:t>
      </w:r>
      <w:bookmarkEnd w:id="145"/>
      <w:bookmarkEnd w:id="146"/>
      <w:bookmarkEnd w:id="147"/>
    </w:p>
    <w:p w14:paraId="5A16E639" w14:textId="77777777" w:rsidR="00E45705" w:rsidRPr="00525C08" w:rsidRDefault="00E45705" w:rsidP="00E45705">
      <w:pPr>
        <w:pStyle w:val="Heading3NoNumbering"/>
      </w:pPr>
      <w:bookmarkStart w:id="148" w:name="_Toc333918985"/>
      <w:r w:rsidRPr="00525C08">
        <w:t>Table A2.7: Indigenous participation</w:t>
      </w:r>
      <w:bookmarkEnd w:id="148"/>
    </w:p>
    <w:p w14:paraId="3B8AF29F" w14:textId="4356C6D4" w:rsidR="00525C08" w:rsidRDefault="00F06CAD" w:rsidP="00525C08">
      <w:pPr>
        <w:pStyle w:val="TableHeading"/>
        <w:spacing w:before="112" w:line="240" w:lineRule="exact"/>
      </w:pPr>
      <w:r>
        <w:t>Participation Rates 15-19 Year Olds By Indigenous Status, 2006 and 2011</w:t>
      </w:r>
    </w:p>
    <w:tbl>
      <w:tblPr>
        <w:tblStyle w:val="DandoloTableCentred"/>
        <w:tblW w:w="9639" w:type="dxa"/>
        <w:tblLook w:val="04A0" w:firstRow="1" w:lastRow="0" w:firstColumn="1" w:lastColumn="0" w:noHBand="0" w:noVBand="1"/>
        <w:tblCaption w:val="Table A2.7: Indigenous participation Participation Rates 15-19 Year Olds By Indigenous Status, 2006 and 2011 "/>
        <w:tblDescription w:val="Table A2.7: Indigenous participation&#10;Participation Rates 15-19 Year Olds By Indigenous Status, 2006 and 2011&#10;"/>
      </w:tblPr>
      <w:tblGrid>
        <w:gridCol w:w="1988"/>
        <w:gridCol w:w="1275"/>
        <w:gridCol w:w="1275"/>
        <w:gridCol w:w="1275"/>
        <w:gridCol w:w="1275"/>
        <w:gridCol w:w="1275"/>
        <w:gridCol w:w="1276"/>
      </w:tblGrid>
      <w:tr w:rsidR="00644AA6" w:rsidRPr="00525C08" w14:paraId="6F68B714" w14:textId="77777777" w:rsidTr="00F06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7753F8CE" w14:textId="77777777" w:rsidR="00644AA6" w:rsidRPr="00525C08" w:rsidRDefault="00644AA6" w:rsidP="00F06CAD">
            <w:pPr>
              <w:pStyle w:val="TableColumnHeading"/>
              <w:spacing w:before="0" w:after="0"/>
              <w:ind w:left="0" w:right="0"/>
              <w:rPr>
                <w:b/>
              </w:rPr>
            </w:pPr>
            <w:r w:rsidRPr="00525C08">
              <w:rPr>
                <w:b/>
              </w:rPr>
              <w:t>Institution type</w:t>
            </w:r>
          </w:p>
        </w:tc>
        <w:tc>
          <w:tcPr>
            <w:tcW w:w="2550" w:type="dxa"/>
            <w:gridSpan w:val="2"/>
          </w:tcPr>
          <w:p w14:paraId="6B7CE4C1" w14:textId="77777777" w:rsidR="00644AA6" w:rsidRPr="00525C08" w:rsidRDefault="00644AA6" w:rsidP="00F06CAD">
            <w:pPr>
              <w:pStyle w:val="TableColumnHeading"/>
              <w:spacing w:before="0" w:after="0"/>
              <w:ind w:left="0" w:right="0"/>
              <w:cnfStyle w:val="100000000000" w:firstRow="1" w:lastRow="0" w:firstColumn="0" w:lastColumn="0" w:oddVBand="0" w:evenVBand="0" w:oddHBand="0" w:evenHBand="0" w:firstRowFirstColumn="0" w:firstRowLastColumn="0" w:lastRowFirstColumn="0" w:lastRowLastColumn="0"/>
            </w:pPr>
            <w:r w:rsidRPr="00525C08">
              <w:t>Participation rate 2006</w:t>
            </w:r>
          </w:p>
        </w:tc>
        <w:tc>
          <w:tcPr>
            <w:tcW w:w="2550" w:type="dxa"/>
            <w:gridSpan w:val="2"/>
          </w:tcPr>
          <w:p w14:paraId="3160ABF0" w14:textId="77777777" w:rsidR="00644AA6" w:rsidRPr="00525C08" w:rsidRDefault="00644AA6" w:rsidP="00F06CAD">
            <w:pPr>
              <w:pStyle w:val="TableColumnHeading"/>
              <w:spacing w:before="0" w:after="0"/>
              <w:ind w:left="0" w:right="0"/>
              <w:cnfStyle w:val="100000000000" w:firstRow="1" w:lastRow="0" w:firstColumn="0" w:lastColumn="0" w:oddVBand="0" w:evenVBand="0" w:oddHBand="0" w:evenHBand="0" w:firstRowFirstColumn="0" w:firstRowLastColumn="0" w:lastRowFirstColumn="0" w:lastRowLastColumn="0"/>
            </w:pPr>
            <w:r w:rsidRPr="00525C08">
              <w:t>Participation rate 2011</w:t>
            </w:r>
          </w:p>
        </w:tc>
        <w:tc>
          <w:tcPr>
            <w:tcW w:w="2551" w:type="dxa"/>
            <w:gridSpan w:val="2"/>
          </w:tcPr>
          <w:p w14:paraId="64B0D859" w14:textId="77777777" w:rsidR="00644AA6" w:rsidRPr="00525C08" w:rsidRDefault="00644AA6" w:rsidP="00F06CAD">
            <w:pPr>
              <w:pStyle w:val="TableColumnHeading"/>
              <w:spacing w:before="0" w:after="0"/>
              <w:ind w:left="0" w:right="0"/>
              <w:cnfStyle w:val="100000000000" w:firstRow="1" w:lastRow="0" w:firstColumn="0" w:lastColumn="0" w:oddVBand="0" w:evenVBand="0" w:oddHBand="0" w:evenHBand="0" w:firstRowFirstColumn="0" w:firstRowLastColumn="0" w:lastRowFirstColumn="0" w:lastRowLastColumn="0"/>
            </w:pPr>
            <w:r w:rsidRPr="00525C08">
              <w:t>Percentage point change (2006-2011)</w:t>
            </w:r>
          </w:p>
        </w:tc>
      </w:tr>
      <w:tr w:rsidR="00644AA6" w:rsidRPr="00525C08" w14:paraId="21724854" w14:textId="77777777" w:rsidTr="00F06CAD">
        <w:tc>
          <w:tcPr>
            <w:cnfStyle w:val="001000000000" w:firstRow="0" w:lastRow="0" w:firstColumn="1" w:lastColumn="0" w:oddVBand="0" w:evenVBand="0" w:oddHBand="0" w:evenHBand="0" w:firstRowFirstColumn="0" w:firstRowLastColumn="0" w:lastRowFirstColumn="0" w:lastRowLastColumn="0"/>
            <w:tcW w:w="1988" w:type="dxa"/>
          </w:tcPr>
          <w:p w14:paraId="1F4477EC" w14:textId="77777777" w:rsidR="00644AA6" w:rsidRPr="00525C08" w:rsidRDefault="00644AA6" w:rsidP="00F06CAD">
            <w:pPr>
              <w:pStyle w:val="TableCellText"/>
              <w:spacing w:before="0" w:after="0"/>
              <w:ind w:left="0" w:right="0"/>
              <w:rPr>
                <w:b w:val="0"/>
              </w:rPr>
            </w:pPr>
          </w:p>
        </w:tc>
        <w:tc>
          <w:tcPr>
            <w:tcW w:w="2550" w:type="dxa"/>
            <w:gridSpan w:val="2"/>
          </w:tcPr>
          <w:p w14:paraId="20B963BD"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Indigenous        Non-Indigenous</w:t>
            </w:r>
          </w:p>
        </w:tc>
        <w:tc>
          <w:tcPr>
            <w:tcW w:w="2550" w:type="dxa"/>
            <w:gridSpan w:val="2"/>
          </w:tcPr>
          <w:p w14:paraId="03341CAF"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Indigenous        Non-Indigenous</w:t>
            </w:r>
          </w:p>
        </w:tc>
        <w:tc>
          <w:tcPr>
            <w:tcW w:w="2551" w:type="dxa"/>
            <w:gridSpan w:val="2"/>
          </w:tcPr>
          <w:p w14:paraId="013D22F2"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Indigenous        Non-Indigenous</w:t>
            </w:r>
          </w:p>
        </w:tc>
      </w:tr>
      <w:tr w:rsidR="00644AA6" w:rsidRPr="00525C08" w14:paraId="2E5ADE2C" w14:textId="77777777" w:rsidTr="00F06CAD">
        <w:tc>
          <w:tcPr>
            <w:cnfStyle w:val="001000000000" w:firstRow="0" w:lastRow="0" w:firstColumn="1" w:lastColumn="0" w:oddVBand="0" w:evenVBand="0" w:oddHBand="0" w:evenHBand="0" w:firstRowFirstColumn="0" w:firstRowLastColumn="0" w:lastRowFirstColumn="0" w:lastRowLastColumn="0"/>
            <w:tcW w:w="1988" w:type="dxa"/>
          </w:tcPr>
          <w:p w14:paraId="384D81A5" w14:textId="77777777" w:rsidR="00644AA6" w:rsidRPr="00525C08" w:rsidRDefault="00644AA6" w:rsidP="00F06CAD">
            <w:pPr>
              <w:pStyle w:val="TableCellText"/>
              <w:spacing w:before="0" w:after="0"/>
              <w:ind w:left="0" w:right="0"/>
              <w:rPr>
                <w:b w:val="0"/>
              </w:rPr>
            </w:pPr>
            <w:r w:rsidRPr="00525C08">
              <w:rPr>
                <w:b w:val="0"/>
              </w:rPr>
              <w:t>Secondary school</w:t>
            </w:r>
          </w:p>
        </w:tc>
        <w:tc>
          <w:tcPr>
            <w:tcW w:w="1275" w:type="dxa"/>
            <w:vAlign w:val="bottom"/>
          </w:tcPr>
          <w:p w14:paraId="10737A69"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35.9</w:t>
            </w:r>
          </w:p>
        </w:tc>
        <w:tc>
          <w:tcPr>
            <w:tcW w:w="1275" w:type="dxa"/>
            <w:vAlign w:val="bottom"/>
          </w:tcPr>
          <w:p w14:paraId="392BD9AC"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51.2</w:t>
            </w:r>
          </w:p>
        </w:tc>
        <w:tc>
          <w:tcPr>
            <w:tcW w:w="1275" w:type="dxa"/>
            <w:vAlign w:val="bottom"/>
          </w:tcPr>
          <w:p w14:paraId="624A78EB"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41.1</w:t>
            </w:r>
          </w:p>
        </w:tc>
        <w:tc>
          <w:tcPr>
            <w:tcW w:w="1275" w:type="dxa"/>
            <w:vAlign w:val="bottom"/>
          </w:tcPr>
          <w:p w14:paraId="5E0DBC9D"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53.0</w:t>
            </w:r>
          </w:p>
        </w:tc>
        <w:tc>
          <w:tcPr>
            <w:tcW w:w="1275" w:type="dxa"/>
            <w:vAlign w:val="bottom"/>
          </w:tcPr>
          <w:p w14:paraId="5009CCCB"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5.1</w:t>
            </w:r>
          </w:p>
        </w:tc>
        <w:tc>
          <w:tcPr>
            <w:tcW w:w="1276" w:type="dxa"/>
            <w:vAlign w:val="bottom"/>
          </w:tcPr>
          <w:p w14:paraId="230267F5"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1.8</w:t>
            </w:r>
          </w:p>
        </w:tc>
      </w:tr>
      <w:tr w:rsidR="00644AA6" w:rsidRPr="00525C08" w14:paraId="20BFC3B3" w14:textId="77777777" w:rsidTr="00F06CAD">
        <w:tc>
          <w:tcPr>
            <w:cnfStyle w:val="001000000000" w:firstRow="0" w:lastRow="0" w:firstColumn="1" w:lastColumn="0" w:oddVBand="0" w:evenVBand="0" w:oddHBand="0" w:evenHBand="0" w:firstRowFirstColumn="0" w:firstRowLastColumn="0" w:lastRowFirstColumn="0" w:lastRowLastColumn="0"/>
            <w:tcW w:w="1988" w:type="dxa"/>
          </w:tcPr>
          <w:p w14:paraId="6F0A125A" w14:textId="77777777" w:rsidR="00644AA6" w:rsidRPr="00525C08" w:rsidRDefault="00644AA6" w:rsidP="00F06CAD">
            <w:pPr>
              <w:pStyle w:val="TableCellText"/>
              <w:spacing w:before="0" w:after="0"/>
              <w:ind w:left="0" w:right="0"/>
              <w:rPr>
                <w:b w:val="0"/>
              </w:rPr>
            </w:pPr>
            <w:r w:rsidRPr="00525C08">
              <w:rPr>
                <w:b w:val="0"/>
              </w:rPr>
              <w:t>VET</w:t>
            </w:r>
          </w:p>
        </w:tc>
        <w:tc>
          <w:tcPr>
            <w:tcW w:w="1275" w:type="dxa"/>
            <w:vAlign w:val="bottom"/>
          </w:tcPr>
          <w:p w14:paraId="706EF4C3"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6.4</w:t>
            </w:r>
          </w:p>
        </w:tc>
        <w:tc>
          <w:tcPr>
            <w:tcW w:w="1275" w:type="dxa"/>
            <w:vAlign w:val="bottom"/>
          </w:tcPr>
          <w:p w14:paraId="6BB0D699"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8.5</w:t>
            </w:r>
          </w:p>
        </w:tc>
        <w:tc>
          <w:tcPr>
            <w:tcW w:w="1275" w:type="dxa"/>
            <w:vAlign w:val="bottom"/>
          </w:tcPr>
          <w:p w14:paraId="7A258BDD"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7.0</w:t>
            </w:r>
          </w:p>
        </w:tc>
        <w:tc>
          <w:tcPr>
            <w:tcW w:w="1275" w:type="dxa"/>
            <w:vAlign w:val="bottom"/>
          </w:tcPr>
          <w:p w14:paraId="0D7386DD"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7.9</w:t>
            </w:r>
          </w:p>
        </w:tc>
        <w:tc>
          <w:tcPr>
            <w:tcW w:w="1275" w:type="dxa"/>
            <w:vAlign w:val="bottom"/>
          </w:tcPr>
          <w:p w14:paraId="24097D37"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0.6</w:t>
            </w:r>
          </w:p>
        </w:tc>
        <w:tc>
          <w:tcPr>
            <w:tcW w:w="1276" w:type="dxa"/>
            <w:vAlign w:val="bottom"/>
          </w:tcPr>
          <w:p w14:paraId="1B1571E9"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-0.6</w:t>
            </w:r>
          </w:p>
        </w:tc>
      </w:tr>
      <w:tr w:rsidR="00644AA6" w:rsidRPr="00525C08" w14:paraId="7D2B3B83" w14:textId="77777777" w:rsidTr="00F06CAD">
        <w:tc>
          <w:tcPr>
            <w:cnfStyle w:val="001000000000" w:firstRow="0" w:lastRow="0" w:firstColumn="1" w:lastColumn="0" w:oddVBand="0" w:evenVBand="0" w:oddHBand="0" w:evenHBand="0" w:firstRowFirstColumn="0" w:firstRowLastColumn="0" w:lastRowFirstColumn="0" w:lastRowLastColumn="0"/>
            <w:tcW w:w="1988" w:type="dxa"/>
          </w:tcPr>
          <w:p w14:paraId="77C36B83" w14:textId="77777777" w:rsidR="00644AA6" w:rsidRPr="00525C08" w:rsidRDefault="00644AA6" w:rsidP="00F06CAD">
            <w:pPr>
              <w:pStyle w:val="TableCellText"/>
              <w:spacing w:before="0" w:after="0"/>
              <w:ind w:left="0" w:right="0"/>
              <w:rPr>
                <w:b w:val="0"/>
              </w:rPr>
            </w:pPr>
            <w:r w:rsidRPr="00525C08">
              <w:rPr>
                <w:b w:val="0"/>
              </w:rPr>
              <w:t>University</w:t>
            </w:r>
          </w:p>
        </w:tc>
        <w:tc>
          <w:tcPr>
            <w:tcW w:w="1275" w:type="dxa"/>
            <w:vAlign w:val="bottom"/>
          </w:tcPr>
          <w:p w14:paraId="1F00775B"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2.1</w:t>
            </w:r>
          </w:p>
        </w:tc>
        <w:tc>
          <w:tcPr>
            <w:tcW w:w="1275" w:type="dxa"/>
            <w:vAlign w:val="bottom"/>
          </w:tcPr>
          <w:p w14:paraId="6FEF8DC9"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11.1</w:t>
            </w:r>
          </w:p>
        </w:tc>
        <w:tc>
          <w:tcPr>
            <w:tcW w:w="1275" w:type="dxa"/>
            <w:vAlign w:val="bottom"/>
          </w:tcPr>
          <w:p w14:paraId="541F4CE8"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2.9</w:t>
            </w:r>
          </w:p>
        </w:tc>
        <w:tc>
          <w:tcPr>
            <w:tcW w:w="1275" w:type="dxa"/>
            <w:vAlign w:val="bottom"/>
          </w:tcPr>
          <w:p w14:paraId="4FD647E8"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13.1</w:t>
            </w:r>
          </w:p>
        </w:tc>
        <w:tc>
          <w:tcPr>
            <w:tcW w:w="1275" w:type="dxa"/>
            <w:vAlign w:val="bottom"/>
          </w:tcPr>
          <w:p w14:paraId="6A917123"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0.8</w:t>
            </w:r>
          </w:p>
        </w:tc>
        <w:tc>
          <w:tcPr>
            <w:tcW w:w="1276" w:type="dxa"/>
            <w:vAlign w:val="bottom"/>
          </w:tcPr>
          <w:p w14:paraId="68AE2E18"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1.9</w:t>
            </w:r>
          </w:p>
        </w:tc>
      </w:tr>
      <w:tr w:rsidR="00644AA6" w:rsidRPr="00525C08" w14:paraId="46ED3A85" w14:textId="77777777" w:rsidTr="00F06CAD">
        <w:tc>
          <w:tcPr>
            <w:cnfStyle w:val="001000000000" w:firstRow="0" w:lastRow="0" w:firstColumn="1" w:lastColumn="0" w:oddVBand="0" w:evenVBand="0" w:oddHBand="0" w:evenHBand="0" w:firstRowFirstColumn="0" w:firstRowLastColumn="0" w:lastRowFirstColumn="0" w:lastRowLastColumn="0"/>
            <w:tcW w:w="1988" w:type="dxa"/>
          </w:tcPr>
          <w:p w14:paraId="7E9706E6" w14:textId="77777777" w:rsidR="00644AA6" w:rsidRPr="00525C08" w:rsidRDefault="00644AA6" w:rsidP="00F06CAD">
            <w:pPr>
              <w:pStyle w:val="TableCellText"/>
              <w:spacing w:before="0" w:after="0"/>
              <w:ind w:left="0" w:right="0"/>
              <w:rPr>
                <w:b w:val="0"/>
              </w:rPr>
            </w:pPr>
            <w:r w:rsidRPr="00525C08">
              <w:rPr>
                <w:b w:val="0"/>
              </w:rPr>
              <w:t>Other</w:t>
            </w:r>
          </w:p>
        </w:tc>
        <w:tc>
          <w:tcPr>
            <w:tcW w:w="1275" w:type="dxa"/>
            <w:vAlign w:val="bottom"/>
          </w:tcPr>
          <w:p w14:paraId="02F09E91"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1.1</w:t>
            </w:r>
          </w:p>
        </w:tc>
        <w:tc>
          <w:tcPr>
            <w:tcW w:w="1275" w:type="dxa"/>
            <w:vAlign w:val="bottom"/>
          </w:tcPr>
          <w:p w14:paraId="63FFE1A3"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1.1</w:t>
            </w:r>
          </w:p>
        </w:tc>
        <w:tc>
          <w:tcPr>
            <w:tcW w:w="1275" w:type="dxa"/>
            <w:vAlign w:val="bottom"/>
          </w:tcPr>
          <w:p w14:paraId="6A801690"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1.2</w:t>
            </w:r>
          </w:p>
        </w:tc>
        <w:tc>
          <w:tcPr>
            <w:tcW w:w="1275" w:type="dxa"/>
            <w:vAlign w:val="bottom"/>
          </w:tcPr>
          <w:p w14:paraId="4EEE75D1"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1.1</w:t>
            </w:r>
          </w:p>
        </w:tc>
        <w:tc>
          <w:tcPr>
            <w:tcW w:w="1275" w:type="dxa"/>
            <w:vAlign w:val="bottom"/>
          </w:tcPr>
          <w:p w14:paraId="2D2AB529"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0.1</w:t>
            </w:r>
          </w:p>
        </w:tc>
        <w:tc>
          <w:tcPr>
            <w:tcW w:w="1276" w:type="dxa"/>
            <w:vAlign w:val="bottom"/>
          </w:tcPr>
          <w:p w14:paraId="5A749E64"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0.1</w:t>
            </w:r>
          </w:p>
        </w:tc>
      </w:tr>
      <w:tr w:rsidR="00644AA6" w:rsidRPr="00525C08" w14:paraId="493AD2A7" w14:textId="77777777" w:rsidTr="00F06CAD">
        <w:tc>
          <w:tcPr>
            <w:cnfStyle w:val="001000000000" w:firstRow="0" w:lastRow="0" w:firstColumn="1" w:lastColumn="0" w:oddVBand="0" w:evenVBand="0" w:oddHBand="0" w:evenHBand="0" w:firstRowFirstColumn="0" w:firstRowLastColumn="0" w:lastRowFirstColumn="0" w:lastRowLastColumn="0"/>
            <w:tcW w:w="1988" w:type="dxa"/>
          </w:tcPr>
          <w:p w14:paraId="15EAD224" w14:textId="77777777" w:rsidR="00644AA6" w:rsidRPr="00525C08" w:rsidRDefault="00644AA6" w:rsidP="00F06CAD">
            <w:pPr>
              <w:pStyle w:val="TableCellText"/>
              <w:spacing w:before="0" w:after="0"/>
              <w:ind w:left="0" w:right="0"/>
              <w:rPr>
                <w:b w:val="0"/>
              </w:rPr>
            </w:pPr>
            <w:r w:rsidRPr="00525C08">
              <w:rPr>
                <w:b w:val="0"/>
              </w:rPr>
              <w:t>Not stated</w:t>
            </w:r>
          </w:p>
        </w:tc>
        <w:tc>
          <w:tcPr>
            <w:tcW w:w="1275" w:type="dxa"/>
            <w:vAlign w:val="bottom"/>
          </w:tcPr>
          <w:p w14:paraId="6C8C700A"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11.3</w:t>
            </w:r>
          </w:p>
        </w:tc>
        <w:tc>
          <w:tcPr>
            <w:tcW w:w="1275" w:type="dxa"/>
            <w:vAlign w:val="bottom"/>
          </w:tcPr>
          <w:p w14:paraId="62B31BFA"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5.0</w:t>
            </w:r>
          </w:p>
        </w:tc>
        <w:tc>
          <w:tcPr>
            <w:tcW w:w="1275" w:type="dxa"/>
            <w:vAlign w:val="bottom"/>
          </w:tcPr>
          <w:p w14:paraId="0C4538D7"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9.4</w:t>
            </w:r>
          </w:p>
        </w:tc>
        <w:tc>
          <w:tcPr>
            <w:tcW w:w="1275" w:type="dxa"/>
            <w:vAlign w:val="bottom"/>
          </w:tcPr>
          <w:p w14:paraId="56A23C9D"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4.3</w:t>
            </w:r>
          </w:p>
        </w:tc>
        <w:tc>
          <w:tcPr>
            <w:tcW w:w="1275" w:type="dxa"/>
            <w:vAlign w:val="bottom"/>
          </w:tcPr>
          <w:p w14:paraId="28FC28D4"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-1.9</w:t>
            </w:r>
          </w:p>
        </w:tc>
        <w:tc>
          <w:tcPr>
            <w:tcW w:w="1276" w:type="dxa"/>
            <w:vAlign w:val="bottom"/>
          </w:tcPr>
          <w:p w14:paraId="6CB72607"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pPr>
            <w:r w:rsidRPr="00525C08">
              <w:t>-0.7</w:t>
            </w:r>
          </w:p>
        </w:tc>
      </w:tr>
      <w:tr w:rsidR="00644AA6" w:rsidRPr="00525C08" w14:paraId="54F82901" w14:textId="77777777" w:rsidTr="00F06CAD">
        <w:tc>
          <w:tcPr>
            <w:cnfStyle w:val="001000000000" w:firstRow="0" w:lastRow="0" w:firstColumn="1" w:lastColumn="0" w:oddVBand="0" w:evenVBand="0" w:oddHBand="0" w:evenHBand="0" w:firstRowFirstColumn="0" w:firstRowLastColumn="0" w:lastRowFirstColumn="0" w:lastRowLastColumn="0"/>
            <w:tcW w:w="1988" w:type="dxa"/>
          </w:tcPr>
          <w:p w14:paraId="70B03119" w14:textId="77777777" w:rsidR="00644AA6" w:rsidRPr="00525C08" w:rsidRDefault="00644AA6" w:rsidP="00F06CAD">
            <w:pPr>
              <w:pStyle w:val="TableCellText"/>
              <w:spacing w:before="0" w:after="0"/>
              <w:ind w:left="0" w:right="0"/>
            </w:pPr>
            <w:r w:rsidRPr="00525C08">
              <w:t>TOTAL PARTICIPATION</w:t>
            </w:r>
          </w:p>
        </w:tc>
        <w:tc>
          <w:tcPr>
            <w:tcW w:w="1275" w:type="dxa"/>
            <w:vAlign w:val="bottom"/>
          </w:tcPr>
          <w:p w14:paraId="32588385"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525C08">
              <w:rPr>
                <w:b/>
              </w:rPr>
              <w:t>56.8</w:t>
            </w:r>
          </w:p>
        </w:tc>
        <w:tc>
          <w:tcPr>
            <w:tcW w:w="1275" w:type="dxa"/>
            <w:vAlign w:val="bottom"/>
          </w:tcPr>
          <w:p w14:paraId="08BA4D7A"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525C08">
              <w:rPr>
                <w:b/>
              </w:rPr>
              <w:t>76.9</w:t>
            </w:r>
          </w:p>
        </w:tc>
        <w:tc>
          <w:tcPr>
            <w:tcW w:w="1275" w:type="dxa"/>
            <w:vAlign w:val="bottom"/>
          </w:tcPr>
          <w:p w14:paraId="6E3AF1B9"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525C08">
              <w:rPr>
                <w:b/>
              </w:rPr>
              <w:t>61.6</w:t>
            </w:r>
          </w:p>
        </w:tc>
        <w:tc>
          <w:tcPr>
            <w:tcW w:w="1275" w:type="dxa"/>
            <w:vAlign w:val="bottom"/>
          </w:tcPr>
          <w:p w14:paraId="66582D15"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525C08">
              <w:rPr>
                <w:b/>
              </w:rPr>
              <w:t>79.4</w:t>
            </w:r>
          </w:p>
        </w:tc>
        <w:tc>
          <w:tcPr>
            <w:tcW w:w="1275" w:type="dxa"/>
            <w:vAlign w:val="bottom"/>
          </w:tcPr>
          <w:p w14:paraId="5FC6679A"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525C08">
              <w:rPr>
                <w:b/>
              </w:rPr>
              <w:t>4.8</w:t>
            </w:r>
          </w:p>
        </w:tc>
        <w:tc>
          <w:tcPr>
            <w:tcW w:w="1276" w:type="dxa"/>
            <w:vAlign w:val="bottom"/>
          </w:tcPr>
          <w:p w14:paraId="59816B24" w14:textId="77777777" w:rsidR="00644AA6" w:rsidRPr="00525C08" w:rsidRDefault="00644AA6" w:rsidP="00F06CAD">
            <w:pPr>
              <w:pStyle w:val="TableCellText"/>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525C08">
              <w:rPr>
                <w:b/>
              </w:rPr>
              <w:t>2.5</w:t>
            </w:r>
          </w:p>
        </w:tc>
      </w:tr>
    </w:tbl>
    <w:p w14:paraId="477AC642" w14:textId="68716BD3" w:rsidR="00A5381D" w:rsidRDefault="00644AA6" w:rsidP="00A5381D">
      <w:pPr>
        <w:pStyle w:val="Tablenote"/>
        <w:rPr>
          <w:lang w:eastAsia="en-AU"/>
        </w:rPr>
      </w:pPr>
      <w:bookmarkStart w:id="149" w:name="_Toc192134397"/>
      <w:bookmarkStart w:id="150" w:name="_Toc333918986"/>
      <w:r>
        <w:rPr>
          <w:lang w:eastAsia="en-AU"/>
        </w:rPr>
        <w:t xml:space="preserve">Source: </w:t>
      </w:r>
      <w:r w:rsidR="00BC25E1">
        <w:rPr>
          <w:lang w:eastAsia="en-AU"/>
        </w:rPr>
        <w:t>ABS Census data, 2006 and 2011 (table-builder basic).</w:t>
      </w:r>
    </w:p>
    <w:p w14:paraId="14829095" w14:textId="75EE4A07" w:rsidR="00E45705" w:rsidRPr="00392395" w:rsidRDefault="00525C08" w:rsidP="00E45705">
      <w:pPr>
        <w:pStyle w:val="Heading3NoNumbering"/>
      </w:pPr>
      <w:r>
        <w:t>T</w:t>
      </w:r>
      <w:r w:rsidR="00E45705" w:rsidRPr="00392395">
        <w:t>able A2.8: Indigenous VET in Schools participation</w:t>
      </w:r>
      <w:bookmarkEnd w:id="149"/>
      <w:bookmarkEnd w:id="150"/>
    </w:p>
    <w:p w14:paraId="6FF1605E" w14:textId="77777777" w:rsidR="00E45705" w:rsidRPr="00392395" w:rsidRDefault="00E45705" w:rsidP="00E45705">
      <w:pPr>
        <w:pStyle w:val="TableHeading"/>
        <w:spacing w:before="112"/>
      </w:pPr>
      <w:r w:rsidRPr="00392395">
        <w:t>Percentage of Indigenous and other persons aged 15 to 19 years participating in VET in Schools, 2005-10, excluding Queensland</w:t>
      </w:r>
    </w:p>
    <w:tbl>
      <w:tblPr>
        <w:tblW w:w="5000" w:type="pct"/>
        <w:tblLook w:val="04A0" w:firstRow="1" w:lastRow="0" w:firstColumn="1" w:lastColumn="0" w:noHBand="0" w:noVBand="1"/>
        <w:tblCaption w:val="Table A2.8: Indigenous VET in Schools participation Percentage of Indigenous and other persons aged 15 to 19 years participating in VET in Schools, 2005-10, excluding Queensland "/>
        <w:tblDescription w:val="Table A2.8: Indigenous VET in Schools participation&#10;Percentage of Indigenous and other persons aged 15 to 19 years participating in VET in Schools, 2005-10, excluding Queensland&#10;"/>
      </w:tblPr>
      <w:tblGrid>
        <w:gridCol w:w="2813"/>
        <w:gridCol w:w="1968"/>
        <w:gridCol w:w="1967"/>
        <w:gridCol w:w="1967"/>
        <w:gridCol w:w="1967"/>
        <w:gridCol w:w="1967"/>
        <w:gridCol w:w="1967"/>
      </w:tblGrid>
      <w:tr w:rsidR="00E45705" w:rsidRPr="00392395" w14:paraId="4E2A6B68" w14:textId="77777777" w:rsidTr="00E45705">
        <w:trPr>
          <w:trHeight w:val="300"/>
        </w:trPr>
        <w:tc>
          <w:tcPr>
            <w:tcW w:w="962" w:type="pct"/>
            <w:tcBorders>
              <w:top w:val="single" w:sz="4" w:space="0" w:color="auto"/>
              <w:left w:val="nil"/>
              <w:bottom w:val="single" w:sz="4" w:space="0" w:color="auto"/>
              <w:right w:val="nil"/>
            </w:tcBorders>
            <w:shd w:val="clear" w:color="auto" w:fill="auto"/>
            <w:noWrap/>
            <w:vAlign w:val="bottom"/>
            <w:hideMark/>
          </w:tcPr>
          <w:p w14:paraId="1A0AF7DA" w14:textId="77777777" w:rsidR="00E45705" w:rsidRPr="00392395" w:rsidRDefault="00E45705" w:rsidP="00E45705">
            <w:pPr>
              <w:pStyle w:val="TableColumnHeading"/>
              <w:spacing w:before="0" w:after="0"/>
              <w:ind w:left="0" w:right="0"/>
            </w:pPr>
            <w:r w:rsidRPr="00392395">
              <w:rPr>
                <w:szCs w:val="16"/>
              </w:rPr>
              <w:t> </w:t>
            </w:r>
          </w:p>
        </w:tc>
        <w:tc>
          <w:tcPr>
            <w:tcW w:w="673" w:type="pct"/>
            <w:tcBorders>
              <w:top w:val="single" w:sz="4" w:space="0" w:color="auto"/>
              <w:left w:val="nil"/>
              <w:bottom w:val="single" w:sz="4" w:space="0" w:color="auto"/>
              <w:right w:val="nil"/>
            </w:tcBorders>
            <w:shd w:val="clear" w:color="auto" w:fill="auto"/>
            <w:noWrap/>
            <w:vAlign w:val="bottom"/>
            <w:hideMark/>
          </w:tcPr>
          <w:p w14:paraId="31D329DB" w14:textId="77777777" w:rsidR="00E45705" w:rsidRPr="00392395" w:rsidRDefault="00E45705" w:rsidP="00E45705">
            <w:pPr>
              <w:pStyle w:val="TableColumnHeading"/>
              <w:spacing w:before="0" w:after="0"/>
              <w:ind w:left="0" w:right="0"/>
            </w:pPr>
            <w:r w:rsidRPr="00392395">
              <w:rPr>
                <w:szCs w:val="16"/>
              </w:rPr>
              <w:t>2005</w:t>
            </w:r>
          </w:p>
        </w:tc>
        <w:tc>
          <w:tcPr>
            <w:tcW w:w="673" w:type="pct"/>
            <w:tcBorders>
              <w:top w:val="single" w:sz="4" w:space="0" w:color="auto"/>
              <w:left w:val="nil"/>
              <w:bottom w:val="single" w:sz="4" w:space="0" w:color="auto"/>
              <w:right w:val="nil"/>
            </w:tcBorders>
            <w:shd w:val="clear" w:color="auto" w:fill="auto"/>
            <w:noWrap/>
            <w:vAlign w:val="bottom"/>
            <w:hideMark/>
          </w:tcPr>
          <w:p w14:paraId="0CF9913A" w14:textId="77777777" w:rsidR="00E45705" w:rsidRPr="00392395" w:rsidRDefault="00E45705" w:rsidP="00E45705">
            <w:pPr>
              <w:pStyle w:val="TableColumnHeading"/>
              <w:spacing w:before="0" w:after="0"/>
              <w:ind w:left="0" w:right="0"/>
            </w:pPr>
            <w:r w:rsidRPr="00392395">
              <w:rPr>
                <w:szCs w:val="16"/>
              </w:rPr>
              <w:t>2006</w:t>
            </w:r>
          </w:p>
        </w:tc>
        <w:tc>
          <w:tcPr>
            <w:tcW w:w="673" w:type="pct"/>
            <w:tcBorders>
              <w:top w:val="single" w:sz="4" w:space="0" w:color="auto"/>
              <w:left w:val="nil"/>
              <w:bottom w:val="single" w:sz="4" w:space="0" w:color="auto"/>
              <w:right w:val="nil"/>
            </w:tcBorders>
            <w:shd w:val="clear" w:color="auto" w:fill="auto"/>
            <w:noWrap/>
            <w:vAlign w:val="bottom"/>
            <w:hideMark/>
          </w:tcPr>
          <w:p w14:paraId="5D45094D" w14:textId="77777777" w:rsidR="00E45705" w:rsidRPr="00392395" w:rsidRDefault="00E45705" w:rsidP="00E45705">
            <w:pPr>
              <w:pStyle w:val="TableColumnHeading"/>
              <w:spacing w:before="0" w:after="0"/>
              <w:ind w:left="0" w:right="0"/>
            </w:pPr>
            <w:r w:rsidRPr="00392395">
              <w:rPr>
                <w:szCs w:val="16"/>
              </w:rPr>
              <w:t>2007</w:t>
            </w:r>
          </w:p>
        </w:tc>
        <w:tc>
          <w:tcPr>
            <w:tcW w:w="673" w:type="pct"/>
            <w:tcBorders>
              <w:top w:val="single" w:sz="4" w:space="0" w:color="auto"/>
              <w:left w:val="nil"/>
              <w:bottom w:val="single" w:sz="4" w:space="0" w:color="auto"/>
              <w:right w:val="nil"/>
            </w:tcBorders>
            <w:shd w:val="clear" w:color="auto" w:fill="auto"/>
            <w:noWrap/>
            <w:vAlign w:val="bottom"/>
            <w:hideMark/>
          </w:tcPr>
          <w:p w14:paraId="3C82C7C2" w14:textId="77777777" w:rsidR="00E45705" w:rsidRPr="00392395" w:rsidRDefault="00E45705" w:rsidP="00E45705">
            <w:pPr>
              <w:pStyle w:val="TableColumnHeading"/>
              <w:spacing w:before="0" w:after="0"/>
              <w:ind w:left="0" w:right="0"/>
            </w:pPr>
            <w:r w:rsidRPr="00392395">
              <w:rPr>
                <w:szCs w:val="16"/>
              </w:rPr>
              <w:t>2008</w:t>
            </w:r>
          </w:p>
        </w:tc>
        <w:tc>
          <w:tcPr>
            <w:tcW w:w="673" w:type="pct"/>
            <w:tcBorders>
              <w:top w:val="single" w:sz="4" w:space="0" w:color="auto"/>
              <w:left w:val="nil"/>
              <w:bottom w:val="single" w:sz="4" w:space="0" w:color="auto"/>
              <w:right w:val="nil"/>
            </w:tcBorders>
            <w:shd w:val="clear" w:color="auto" w:fill="auto"/>
            <w:noWrap/>
            <w:vAlign w:val="bottom"/>
            <w:hideMark/>
          </w:tcPr>
          <w:p w14:paraId="00362FD4" w14:textId="77777777" w:rsidR="00E45705" w:rsidRPr="00392395" w:rsidRDefault="00E45705" w:rsidP="00E45705">
            <w:pPr>
              <w:pStyle w:val="TableColumnHeading"/>
              <w:spacing w:before="0" w:after="0"/>
              <w:ind w:left="0" w:right="0"/>
            </w:pPr>
            <w:r w:rsidRPr="00392395">
              <w:rPr>
                <w:szCs w:val="16"/>
              </w:rPr>
              <w:t>2009</w:t>
            </w:r>
          </w:p>
        </w:tc>
        <w:tc>
          <w:tcPr>
            <w:tcW w:w="673" w:type="pct"/>
            <w:tcBorders>
              <w:top w:val="single" w:sz="4" w:space="0" w:color="auto"/>
              <w:left w:val="nil"/>
              <w:bottom w:val="single" w:sz="4" w:space="0" w:color="auto"/>
              <w:right w:val="nil"/>
            </w:tcBorders>
            <w:shd w:val="clear" w:color="auto" w:fill="auto"/>
            <w:noWrap/>
            <w:vAlign w:val="bottom"/>
            <w:hideMark/>
          </w:tcPr>
          <w:p w14:paraId="39D57D08" w14:textId="77777777" w:rsidR="00E45705" w:rsidRPr="00392395" w:rsidRDefault="00E45705" w:rsidP="00E45705">
            <w:pPr>
              <w:pStyle w:val="TableColumnHeading"/>
              <w:spacing w:before="0" w:after="0"/>
              <w:ind w:left="0" w:right="0"/>
            </w:pPr>
            <w:r w:rsidRPr="00392395">
              <w:rPr>
                <w:szCs w:val="16"/>
              </w:rPr>
              <w:t>2010</w:t>
            </w:r>
          </w:p>
        </w:tc>
      </w:tr>
      <w:tr w:rsidR="00E45705" w:rsidRPr="00392395" w14:paraId="15BF84C7" w14:textId="77777777" w:rsidTr="00E45705">
        <w:trPr>
          <w:trHeight w:val="300"/>
        </w:trPr>
        <w:tc>
          <w:tcPr>
            <w:tcW w:w="962" w:type="pct"/>
            <w:tcBorders>
              <w:top w:val="nil"/>
              <w:left w:val="nil"/>
              <w:bottom w:val="nil"/>
              <w:right w:val="nil"/>
            </w:tcBorders>
            <w:shd w:val="clear" w:color="auto" w:fill="auto"/>
            <w:noWrap/>
            <w:vAlign w:val="bottom"/>
            <w:hideMark/>
          </w:tcPr>
          <w:p w14:paraId="4C67524B" w14:textId="77777777" w:rsidR="00E45705" w:rsidRPr="00392395" w:rsidRDefault="00E45705" w:rsidP="00E45705">
            <w:pPr>
              <w:pStyle w:val="TableCellText"/>
              <w:spacing w:before="0" w:after="0"/>
              <w:ind w:left="0" w:right="0"/>
              <w:rPr>
                <w:lang w:eastAsia="en-AU"/>
              </w:rPr>
            </w:pPr>
            <w:r w:rsidRPr="00392395">
              <w:rPr>
                <w:lang w:eastAsia="en-AU"/>
              </w:rPr>
              <w:t>Indigenous</w:t>
            </w:r>
          </w:p>
        </w:tc>
        <w:tc>
          <w:tcPr>
            <w:tcW w:w="673" w:type="pct"/>
            <w:tcBorders>
              <w:top w:val="nil"/>
              <w:left w:val="nil"/>
              <w:bottom w:val="nil"/>
              <w:right w:val="nil"/>
            </w:tcBorders>
            <w:shd w:val="clear" w:color="auto" w:fill="auto"/>
            <w:noWrap/>
            <w:vAlign w:val="bottom"/>
            <w:hideMark/>
          </w:tcPr>
          <w:p w14:paraId="32CCD519" w14:textId="77777777" w:rsidR="00E45705" w:rsidRPr="00392395" w:rsidRDefault="00E45705" w:rsidP="00E45705">
            <w:pPr>
              <w:pStyle w:val="TableCellText"/>
              <w:spacing w:before="0" w:after="0"/>
              <w:ind w:left="0" w:right="0"/>
              <w:rPr>
                <w:lang w:eastAsia="en-AU"/>
              </w:rPr>
            </w:pPr>
            <w:r w:rsidRPr="00392395">
              <w:rPr>
                <w:lang w:eastAsia="en-AU"/>
              </w:rPr>
              <w:t>9.4</w:t>
            </w:r>
          </w:p>
        </w:tc>
        <w:tc>
          <w:tcPr>
            <w:tcW w:w="673" w:type="pct"/>
            <w:tcBorders>
              <w:top w:val="nil"/>
              <w:left w:val="nil"/>
              <w:bottom w:val="nil"/>
              <w:right w:val="nil"/>
            </w:tcBorders>
            <w:shd w:val="clear" w:color="auto" w:fill="auto"/>
            <w:noWrap/>
            <w:vAlign w:val="bottom"/>
            <w:hideMark/>
          </w:tcPr>
          <w:p w14:paraId="7717EF5A" w14:textId="77777777" w:rsidR="00E45705" w:rsidRPr="00392395" w:rsidRDefault="00E45705" w:rsidP="00E45705">
            <w:pPr>
              <w:pStyle w:val="TableCellText"/>
              <w:spacing w:before="0" w:after="0"/>
              <w:ind w:left="0" w:right="0"/>
              <w:rPr>
                <w:lang w:eastAsia="en-AU"/>
              </w:rPr>
            </w:pPr>
            <w:r w:rsidRPr="00392395">
              <w:rPr>
                <w:lang w:eastAsia="en-AU"/>
              </w:rPr>
              <w:t>9.0</w:t>
            </w:r>
          </w:p>
        </w:tc>
        <w:tc>
          <w:tcPr>
            <w:tcW w:w="673" w:type="pct"/>
            <w:tcBorders>
              <w:top w:val="nil"/>
              <w:left w:val="nil"/>
              <w:bottom w:val="nil"/>
              <w:right w:val="nil"/>
            </w:tcBorders>
            <w:shd w:val="clear" w:color="auto" w:fill="auto"/>
            <w:noWrap/>
            <w:vAlign w:val="bottom"/>
            <w:hideMark/>
          </w:tcPr>
          <w:p w14:paraId="6C4656A4" w14:textId="77777777" w:rsidR="00E45705" w:rsidRPr="00392395" w:rsidRDefault="00E45705" w:rsidP="00E45705">
            <w:pPr>
              <w:pStyle w:val="TableCellText"/>
              <w:spacing w:before="0" w:after="0"/>
              <w:ind w:left="0" w:right="0"/>
              <w:rPr>
                <w:lang w:eastAsia="en-AU"/>
              </w:rPr>
            </w:pPr>
            <w:r w:rsidRPr="00392395">
              <w:rPr>
                <w:lang w:eastAsia="en-AU"/>
              </w:rPr>
              <w:t>10.0</w:t>
            </w:r>
          </w:p>
        </w:tc>
        <w:tc>
          <w:tcPr>
            <w:tcW w:w="673" w:type="pct"/>
            <w:tcBorders>
              <w:top w:val="nil"/>
              <w:left w:val="nil"/>
              <w:bottom w:val="nil"/>
              <w:right w:val="nil"/>
            </w:tcBorders>
            <w:shd w:val="clear" w:color="auto" w:fill="auto"/>
            <w:noWrap/>
            <w:vAlign w:val="bottom"/>
            <w:hideMark/>
          </w:tcPr>
          <w:p w14:paraId="6176B0A9" w14:textId="77777777" w:rsidR="00E45705" w:rsidRPr="00392395" w:rsidRDefault="00E45705" w:rsidP="00E45705">
            <w:pPr>
              <w:pStyle w:val="TableCellText"/>
              <w:spacing w:before="0" w:after="0"/>
              <w:ind w:left="0" w:right="0"/>
              <w:rPr>
                <w:lang w:eastAsia="en-AU"/>
              </w:rPr>
            </w:pPr>
            <w:r w:rsidRPr="00392395">
              <w:rPr>
                <w:lang w:eastAsia="en-AU"/>
              </w:rPr>
              <w:t>10.8</w:t>
            </w:r>
          </w:p>
        </w:tc>
        <w:tc>
          <w:tcPr>
            <w:tcW w:w="673" w:type="pct"/>
            <w:tcBorders>
              <w:top w:val="nil"/>
              <w:left w:val="nil"/>
              <w:bottom w:val="nil"/>
              <w:right w:val="nil"/>
            </w:tcBorders>
            <w:shd w:val="clear" w:color="auto" w:fill="auto"/>
            <w:noWrap/>
            <w:vAlign w:val="bottom"/>
            <w:hideMark/>
          </w:tcPr>
          <w:p w14:paraId="21643091" w14:textId="77777777" w:rsidR="00E45705" w:rsidRPr="00392395" w:rsidRDefault="00E45705" w:rsidP="00E45705">
            <w:pPr>
              <w:pStyle w:val="TableCellText"/>
              <w:spacing w:before="0" w:after="0"/>
              <w:ind w:left="0" w:right="0"/>
              <w:rPr>
                <w:lang w:eastAsia="en-AU"/>
              </w:rPr>
            </w:pPr>
            <w:r w:rsidRPr="00392395">
              <w:rPr>
                <w:lang w:eastAsia="en-AU"/>
              </w:rPr>
              <w:t>12.1</w:t>
            </w:r>
          </w:p>
        </w:tc>
        <w:tc>
          <w:tcPr>
            <w:tcW w:w="673" w:type="pct"/>
            <w:tcBorders>
              <w:top w:val="nil"/>
              <w:left w:val="nil"/>
              <w:bottom w:val="nil"/>
              <w:right w:val="nil"/>
            </w:tcBorders>
            <w:shd w:val="clear" w:color="auto" w:fill="auto"/>
            <w:noWrap/>
            <w:vAlign w:val="bottom"/>
            <w:hideMark/>
          </w:tcPr>
          <w:p w14:paraId="1BA7F71B" w14:textId="77777777" w:rsidR="00E45705" w:rsidRPr="00392395" w:rsidRDefault="00E45705" w:rsidP="00E45705">
            <w:pPr>
              <w:pStyle w:val="TableCellText"/>
              <w:spacing w:before="0" w:after="0"/>
              <w:ind w:left="0" w:right="0"/>
              <w:rPr>
                <w:lang w:eastAsia="en-AU"/>
              </w:rPr>
            </w:pPr>
            <w:r w:rsidRPr="00392395">
              <w:rPr>
                <w:lang w:eastAsia="en-AU"/>
              </w:rPr>
              <w:t>12.8</w:t>
            </w:r>
          </w:p>
        </w:tc>
      </w:tr>
      <w:tr w:rsidR="00E45705" w:rsidRPr="00392395" w14:paraId="203932F0" w14:textId="77777777" w:rsidTr="00E45705">
        <w:trPr>
          <w:trHeight w:val="300"/>
        </w:trPr>
        <w:tc>
          <w:tcPr>
            <w:tcW w:w="962" w:type="pct"/>
            <w:tcBorders>
              <w:top w:val="nil"/>
              <w:left w:val="nil"/>
              <w:bottom w:val="single" w:sz="4" w:space="0" w:color="auto"/>
              <w:right w:val="nil"/>
            </w:tcBorders>
            <w:shd w:val="clear" w:color="auto" w:fill="auto"/>
            <w:noWrap/>
            <w:vAlign w:val="bottom"/>
            <w:hideMark/>
          </w:tcPr>
          <w:p w14:paraId="6F558215" w14:textId="77777777" w:rsidR="00E45705" w:rsidRPr="00392395" w:rsidRDefault="00E45705" w:rsidP="00E45705">
            <w:pPr>
              <w:pStyle w:val="TableCellText"/>
              <w:spacing w:before="0" w:after="0"/>
              <w:ind w:left="0" w:right="0"/>
              <w:rPr>
                <w:lang w:eastAsia="en-AU"/>
              </w:rPr>
            </w:pPr>
            <w:r w:rsidRPr="00392395">
              <w:rPr>
                <w:lang w:eastAsia="en-AU"/>
              </w:rPr>
              <w:t>Others</w:t>
            </w:r>
          </w:p>
        </w:tc>
        <w:tc>
          <w:tcPr>
            <w:tcW w:w="673" w:type="pct"/>
            <w:tcBorders>
              <w:top w:val="nil"/>
              <w:left w:val="nil"/>
              <w:bottom w:val="single" w:sz="4" w:space="0" w:color="auto"/>
              <w:right w:val="nil"/>
            </w:tcBorders>
            <w:shd w:val="clear" w:color="auto" w:fill="auto"/>
            <w:noWrap/>
            <w:vAlign w:val="bottom"/>
            <w:hideMark/>
          </w:tcPr>
          <w:p w14:paraId="3E6C5DE2" w14:textId="77777777" w:rsidR="00E45705" w:rsidRPr="00392395" w:rsidRDefault="00E45705" w:rsidP="00E45705">
            <w:pPr>
              <w:pStyle w:val="TableCellText"/>
              <w:spacing w:before="0" w:after="0"/>
              <w:ind w:left="0" w:right="0"/>
              <w:rPr>
                <w:lang w:eastAsia="en-AU"/>
              </w:rPr>
            </w:pPr>
            <w:r w:rsidRPr="00392395">
              <w:rPr>
                <w:lang w:eastAsia="en-AU"/>
              </w:rPr>
              <w:t>11.8</w:t>
            </w:r>
          </w:p>
        </w:tc>
        <w:tc>
          <w:tcPr>
            <w:tcW w:w="673" w:type="pct"/>
            <w:tcBorders>
              <w:top w:val="nil"/>
              <w:left w:val="nil"/>
              <w:bottom w:val="single" w:sz="4" w:space="0" w:color="auto"/>
              <w:right w:val="nil"/>
            </w:tcBorders>
            <w:shd w:val="clear" w:color="auto" w:fill="auto"/>
            <w:noWrap/>
            <w:vAlign w:val="bottom"/>
            <w:hideMark/>
          </w:tcPr>
          <w:p w14:paraId="5E5A837D" w14:textId="77777777" w:rsidR="00E45705" w:rsidRPr="00392395" w:rsidRDefault="00E45705" w:rsidP="00E45705">
            <w:pPr>
              <w:pStyle w:val="TableCellText"/>
              <w:spacing w:before="0" w:after="0"/>
              <w:ind w:left="0" w:right="0"/>
              <w:rPr>
                <w:lang w:eastAsia="en-AU"/>
              </w:rPr>
            </w:pPr>
            <w:r w:rsidRPr="00392395">
              <w:rPr>
                <w:lang w:eastAsia="en-AU"/>
              </w:rPr>
              <w:t>11.1</w:t>
            </w:r>
          </w:p>
        </w:tc>
        <w:tc>
          <w:tcPr>
            <w:tcW w:w="673" w:type="pct"/>
            <w:tcBorders>
              <w:top w:val="nil"/>
              <w:left w:val="nil"/>
              <w:bottom w:val="single" w:sz="4" w:space="0" w:color="auto"/>
              <w:right w:val="nil"/>
            </w:tcBorders>
            <w:shd w:val="clear" w:color="auto" w:fill="auto"/>
            <w:noWrap/>
            <w:vAlign w:val="bottom"/>
            <w:hideMark/>
          </w:tcPr>
          <w:p w14:paraId="51732AD3" w14:textId="77777777" w:rsidR="00E45705" w:rsidRPr="00392395" w:rsidRDefault="00E45705" w:rsidP="00E45705">
            <w:pPr>
              <w:pStyle w:val="TableCellText"/>
              <w:spacing w:before="0" w:after="0"/>
              <w:ind w:left="0" w:right="0"/>
              <w:rPr>
                <w:lang w:eastAsia="en-AU"/>
              </w:rPr>
            </w:pPr>
            <w:r w:rsidRPr="00392395">
              <w:rPr>
                <w:lang w:eastAsia="en-AU"/>
              </w:rPr>
              <w:t>11.0</w:t>
            </w:r>
          </w:p>
        </w:tc>
        <w:tc>
          <w:tcPr>
            <w:tcW w:w="673" w:type="pct"/>
            <w:tcBorders>
              <w:top w:val="nil"/>
              <w:left w:val="nil"/>
              <w:bottom w:val="single" w:sz="4" w:space="0" w:color="auto"/>
              <w:right w:val="nil"/>
            </w:tcBorders>
            <w:shd w:val="clear" w:color="auto" w:fill="auto"/>
            <w:noWrap/>
            <w:vAlign w:val="bottom"/>
            <w:hideMark/>
          </w:tcPr>
          <w:p w14:paraId="4A3EC761" w14:textId="77777777" w:rsidR="00E45705" w:rsidRPr="00392395" w:rsidRDefault="00E45705" w:rsidP="00E45705">
            <w:pPr>
              <w:pStyle w:val="TableCellText"/>
              <w:spacing w:before="0" w:after="0"/>
              <w:ind w:left="0" w:right="0"/>
              <w:rPr>
                <w:lang w:eastAsia="en-AU"/>
              </w:rPr>
            </w:pPr>
            <w:r w:rsidRPr="00392395">
              <w:rPr>
                <w:lang w:eastAsia="en-AU"/>
              </w:rPr>
              <w:t>11.5</w:t>
            </w:r>
          </w:p>
        </w:tc>
        <w:tc>
          <w:tcPr>
            <w:tcW w:w="673" w:type="pct"/>
            <w:tcBorders>
              <w:top w:val="nil"/>
              <w:left w:val="nil"/>
              <w:bottom w:val="single" w:sz="4" w:space="0" w:color="auto"/>
              <w:right w:val="nil"/>
            </w:tcBorders>
            <w:shd w:val="clear" w:color="auto" w:fill="auto"/>
            <w:noWrap/>
            <w:vAlign w:val="bottom"/>
            <w:hideMark/>
          </w:tcPr>
          <w:p w14:paraId="6573AF33" w14:textId="77777777" w:rsidR="00E45705" w:rsidRPr="00392395" w:rsidRDefault="00E45705" w:rsidP="00E45705">
            <w:pPr>
              <w:pStyle w:val="TableCellText"/>
              <w:spacing w:before="0" w:after="0"/>
              <w:ind w:left="0" w:right="0"/>
              <w:rPr>
                <w:lang w:eastAsia="en-AU"/>
              </w:rPr>
            </w:pPr>
            <w:r w:rsidRPr="00392395">
              <w:rPr>
                <w:lang w:eastAsia="en-AU"/>
              </w:rPr>
              <w:t>11.6</w:t>
            </w:r>
          </w:p>
        </w:tc>
        <w:tc>
          <w:tcPr>
            <w:tcW w:w="673" w:type="pct"/>
            <w:tcBorders>
              <w:top w:val="nil"/>
              <w:left w:val="nil"/>
              <w:bottom w:val="single" w:sz="4" w:space="0" w:color="auto"/>
              <w:right w:val="nil"/>
            </w:tcBorders>
            <w:shd w:val="clear" w:color="auto" w:fill="auto"/>
            <w:noWrap/>
            <w:vAlign w:val="bottom"/>
            <w:hideMark/>
          </w:tcPr>
          <w:p w14:paraId="22152500" w14:textId="77777777" w:rsidR="00E45705" w:rsidRPr="00392395" w:rsidRDefault="00E45705" w:rsidP="00E45705">
            <w:pPr>
              <w:pStyle w:val="TableCellText"/>
              <w:spacing w:before="0" w:after="0"/>
              <w:ind w:left="0" w:right="0"/>
              <w:rPr>
                <w:lang w:eastAsia="en-AU"/>
              </w:rPr>
            </w:pPr>
            <w:r w:rsidRPr="00392395">
              <w:rPr>
                <w:lang w:eastAsia="en-AU"/>
              </w:rPr>
              <w:t>12.3</w:t>
            </w:r>
          </w:p>
        </w:tc>
      </w:tr>
      <w:tr w:rsidR="00E45705" w:rsidRPr="00392395" w14:paraId="0EBC1790" w14:textId="77777777" w:rsidTr="00E45705">
        <w:trPr>
          <w:trHeight w:val="300"/>
        </w:trPr>
        <w:tc>
          <w:tcPr>
            <w:tcW w:w="5000" w:type="pct"/>
            <w:gridSpan w:val="7"/>
            <w:tcBorders>
              <w:top w:val="nil"/>
              <w:left w:val="nil"/>
              <w:bottom w:val="nil"/>
              <w:right w:val="nil"/>
            </w:tcBorders>
            <w:shd w:val="clear" w:color="auto" w:fill="auto"/>
            <w:noWrap/>
            <w:vAlign w:val="bottom"/>
            <w:hideMark/>
          </w:tcPr>
          <w:p w14:paraId="4D63F508" w14:textId="77777777" w:rsidR="00E45705" w:rsidRPr="00392395" w:rsidRDefault="00E45705" w:rsidP="00E45705">
            <w:pPr>
              <w:pStyle w:val="Tablenote"/>
              <w:rPr>
                <w:lang w:eastAsia="en-AU"/>
              </w:rPr>
            </w:pPr>
            <w:r w:rsidRPr="00392395">
              <w:rPr>
                <w:lang w:eastAsia="en-AU"/>
              </w:rPr>
              <w:t>Note: Others include those whose indigenous status is not known. In 2010 there was a large increase in not known responses, so the drop in participation by indigenous students should be interpreted with caution.</w:t>
            </w:r>
          </w:p>
        </w:tc>
      </w:tr>
      <w:tr w:rsidR="00E45705" w:rsidRPr="002D4D9C" w14:paraId="282A8A84" w14:textId="77777777" w:rsidTr="00E45705">
        <w:trPr>
          <w:trHeight w:val="300"/>
        </w:trPr>
        <w:tc>
          <w:tcPr>
            <w:tcW w:w="5000" w:type="pct"/>
            <w:gridSpan w:val="7"/>
            <w:tcBorders>
              <w:top w:val="nil"/>
              <w:left w:val="nil"/>
              <w:bottom w:val="nil"/>
              <w:right w:val="nil"/>
            </w:tcBorders>
            <w:shd w:val="clear" w:color="auto" w:fill="auto"/>
            <w:noWrap/>
            <w:vAlign w:val="bottom"/>
            <w:hideMark/>
          </w:tcPr>
          <w:p w14:paraId="60E0B91D" w14:textId="77777777" w:rsidR="00E45705" w:rsidRPr="00392395" w:rsidRDefault="00E45705" w:rsidP="00E45705">
            <w:pPr>
              <w:pStyle w:val="Tablenote"/>
              <w:rPr>
                <w:lang w:eastAsia="en-AU"/>
              </w:rPr>
            </w:pPr>
            <w:r w:rsidRPr="00392395">
              <w:rPr>
                <w:lang w:eastAsia="en-AU"/>
              </w:rPr>
              <w:t>Source: National VET in Schools Collection, ABS Population by Age and Sex 3201.0, ABS Experimental Estimates and Projections, Aboriginal and Torres Strait Islanders, Series B</w:t>
            </w:r>
          </w:p>
        </w:tc>
      </w:tr>
    </w:tbl>
    <w:p w14:paraId="0310C2E6" w14:textId="77777777" w:rsidR="00E45705" w:rsidRPr="00525C08" w:rsidRDefault="00E45705" w:rsidP="00E45705">
      <w:pPr>
        <w:pStyle w:val="Heading3NoNumbering"/>
      </w:pPr>
      <w:bookmarkStart w:id="151" w:name="_Toc333918987"/>
      <w:r w:rsidRPr="00525C08">
        <w:t>Table A2.9: Indigenous VET Participation</w:t>
      </w:r>
      <w:bookmarkEnd w:id="151"/>
    </w:p>
    <w:p w14:paraId="351195F9" w14:textId="77777777" w:rsidR="00E45705" w:rsidRPr="00525C08" w:rsidRDefault="00E45705" w:rsidP="00E45705">
      <w:pPr>
        <w:pStyle w:val="TableHeading"/>
        <w:spacing w:before="112"/>
      </w:pPr>
      <w:r w:rsidRPr="00525C08">
        <w:t>PERCENTAGE OF INDIGENOUS PERSONS AGED 15-24 YEARS ENROLLED IN VET, 2002-2011, EXCLUDING THOSE ATTENDING SCHOOL AND THOSE WHO COMPLETED YEAR 12 (%)</w:t>
      </w:r>
    </w:p>
    <w:tbl>
      <w:tblPr>
        <w:tblW w:w="5000" w:type="pct"/>
        <w:tblBorders>
          <w:top w:val="single" w:sz="4" w:space="0" w:color="auto"/>
          <w:bottom w:val="single" w:sz="4" w:space="0" w:color="auto"/>
        </w:tblBorders>
        <w:tblLook w:val="04A0" w:firstRow="1" w:lastRow="0" w:firstColumn="1" w:lastColumn="0" w:noHBand="0" w:noVBand="1"/>
        <w:tblCaption w:val="Table A2.9: Indigenous VET Participation PERCENTAGE OF INDIGENOUS PERSONS AGED 15-24 YEARS ENROLLED IN VET, 2002-2011, EXCLUDING THOSE ATTENDING SCHOOL AND THOSE WHO COMPLETED YEAR 12 (%) "/>
        <w:tblDescription w:val="Table A2.9: Indigenous VET Participation&#10;PERCENTAGE OF INDIGENOUS PERSONS AGED 15-24 YEARS ENROLLED IN VET, 2002-2011, EXCLUDING THOSE ATTENDING SCHOOL AND THOSE WHO COMPLETED YEAR 12 (%)&#10;"/>
      </w:tblPr>
      <w:tblGrid>
        <w:gridCol w:w="1328"/>
        <w:gridCol w:w="1330"/>
        <w:gridCol w:w="1330"/>
        <w:gridCol w:w="1330"/>
        <w:gridCol w:w="1330"/>
        <w:gridCol w:w="1330"/>
        <w:gridCol w:w="1330"/>
        <w:gridCol w:w="1330"/>
        <w:gridCol w:w="1330"/>
        <w:gridCol w:w="1330"/>
        <w:gridCol w:w="1318"/>
      </w:tblGrid>
      <w:tr w:rsidR="00E45705" w:rsidRPr="00525C08" w14:paraId="0B863550" w14:textId="77777777" w:rsidTr="00E45705">
        <w:trPr>
          <w:trHeight w:val="300"/>
        </w:trPr>
        <w:tc>
          <w:tcPr>
            <w:tcW w:w="454" w:type="pct"/>
            <w:tcBorders>
              <w:top w:val="single" w:sz="4" w:space="0" w:color="auto"/>
              <w:bottom w:val="single" w:sz="4" w:space="0" w:color="auto"/>
            </w:tcBorders>
            <w:shd w:val="clear" w:color="auto" w:fill="auto"/>
            <w:noWrap/>
            <w:hideMark/>
          </w:tcPr>
          <w:p w14:paraId="7EB32F92" w14:textId="77777777" w:rsidR="00E45705" w:rsidRPr="00525C08" w:rsidRDefault="00E45705" w:rsidP="00E45705">
            <w:pPr>
              <w:pStyle w:val="TableColumnHeading"/>
              <w:spacing w:before="0" w:after="0"/>
              <w:ind w:left="0" w:right="0"/>
            </w:pPr>
          </w:p>
        </w:tc>
        <w:tc>
          <w:tcPr>
            <w:tcW w:w="455" w:type="pct"/>
            <w:tcBorders>
              <w:top w:val="single" w:sz="4" w:space="0" w:color="auto"/>
              <w:bottom w:val="single" w:sz="4" w:space="0" w:color="auto"/>
            </w:tcBorders>
            <w:shd w:val="clear" w:color="auto" w:fill="auto"/>
            <w:noWrap/>
            <w:hideMark/>
          </w:tcPr>
          <w:p w14:paraId="3B34FB23" w14:textId="77777777" w:rsidR="00E45705" w:rsidRPr="00525C08" w:rsidRDefault="00E45705" w:rsidP="00E45705">
            <w:pPr>
              <w:pStyle w:val="TableColumnHeading"/>
              <w:spacing w:before="0" w:after="0"/>
              <w:ind w:left="0" w:right="0"/>
            </w:pPr>
            <w:r w:rsidRPr="00525C08">
              <w:t>2002</w:t>
            </w:r>
          </w:p>
        </w:tc>
        <w:tc>
          <w:tcPr>
            <w:tcW w:w="455" w:type="pct"/>
            <w:tcBorders>
              <w:top w:val="single" w:sz="4" w:space="0" w:color="auto"/>
              <w:bottom w:val="single" w:sz="4" w:space="0" w:color="auto"/>
            </w:tcBorders>
            <w:shd w:val="clear" w:color="auto" w:fill="auto"/>
            <w:noWrap/>
            <w:hideMark/>
          </w:tcPr>
          <w:p w14:paraId="7A93345E" w14:textId="77777777" w:rsidR="00E45705" w:rsidRPr="00525C08" w:rsidRDefault="00E45705" w:rsidP="00E45705">
            <w:pPr>
              <w:pStyle w:val="TableColumnHeading"/>
              <w:spacing w:before="0" w:after="0"/>
              <w:ind w:left="0" w:right="0"/>
            </w:pPr>
            <w:r w:rsidRPr="00525C08">
              <w:t>2003</w:t>
            </w:r>
          </w:p>
        </w:tc>
        <w:tc>
          <w:tcPr>
            <w:tcW w:w="455" w:type="pct"/>
            <w:tcBorders>
              <w:top w:val="single" w:sz="4" w:space="0" w:color="auto"/>
              <w:bottom w:val="single" w:sz="4" w:space="0" w:color="auto"/>
            </w:tcBorders>
            <w:shd w:val="clear" w:color="auto" w:fill="auto"/>
            <w:noWrap/>
            <w:hideMark/>
          </w:tcPr>
          <w:p w14:paraId="7C4D055D" w14:textId="77777777" w:rsidR="00E45705" w:rsidRPr="00525C08" w:rsidRDefault="00E45705" w:rsidP="00E45705">
            <w:pPr>
              <w:pStyle w:val="TableColumnHeading"/>
              <w:spacing w:before="0" w:after="0"/>
              <w:ind w:left="0" w:right="0"/>
            </w:pPr>
            <w:r w:rsidRPr="00525C08">
              <w:t>2004</w:t>
            </w:r>
          </w:p>
        </w:tc>
        <w:tc>
          <w:tcPr>
            <w:tcW w:w="455" w:type="pct"/>
            <w:tcBorders>
              <w:top w:val="single" w:sz="4" w:space="0" w:color="auto"/>
              <w:bottom w:val="single" w:sz="4" w:space="0" w:color="auto"/>
            </w:tcBorders>
            <w:shd w:val="clear" w:color="auto" w:fill="auto"/>
            <w:noWrap/>
            <w:hideMark/>
          </w:tcPr>
          <w:p w14:paraId="31D3AD82" w14:textId="77777777" w:rsidR="00E45705" w:rsidRPr="00525C08" w:rsidRDefault="00E45705" w:rsidP="00E45705">
            <w:pPr>
              <w:pStyle w:val="TableColumnHeading"/>
              <w:spacing w:before="0" w:after="0"/>
              <w:ind w:left="0" w:right="0"/>
            </w:pPr>
            <w:r w:rsidRPr="00525C08">
              <w:t>2005</w:t>
            </w:r>
          </w:p>
        </w:tc>
        <w:tc>
          <w:tcPr>
            <w:tcW w:w="455" w:type="pct"/>
            <w:tcBorders>
              <w:top w:val="single" w:sz="4" w:space="0" w:color="auto"/>
              <w:bottom w:val="single" w:sz="4" w:space="0" w:color="auto"/>
            </w:tcBorders>
            <w:shd w:val="clear" w:color="auto" w:fill="auto"/>
            <w:noWrap/>
            <w:hideMark/>
          </w:tcPr>
          <w:p w14:paraId="20B41D49" w14:textId="77777777" w:rsidR="00E45705" w:rsidRPr="00525C08" w:rsidRDefault="00E45705" w:rsidP="00E45705">
            <w:pPr>
              <w:pStyle w:val="TableColumnHeading"/>
              <w:spacing w:before="0" w:after="0"/>
              <w:ind w:left="0" w:right="0"/>
            </w:pPr>
            <w:r w:rsidRPr="00525C08">
              <w:t>2006</w:t>
            </w:r>
          </w:p>
        </w:tc>
        <w:tc>
          <w:tcPr>
            <w:tcW w:w="455" w:type="pct"/>
            <w:tcBorders>
              <w:top w:val="single" w:sz="4" w:space="0" w:color="auto"/>
              <w:bottom w:val="single" w:sz="4" w:space="0" w:color="auto"/>
            </w:tcBorders>
            <w:shd w:val="clear" w:color="auto" w:fill="auto"/>
            <w:noWrap/>
            <w:hideMark/>
          </w:tcPr>
          <w:p w14:paraId="38D430D1" w14:textId="77777777" w:rsidR="00E45705" w:rsidRPr="00525C08" w:rsidRDefault="00E45705" w:rsidP="00E45705">
            <w:pPr>
              <w:pStyle w:val="TableColumnHeading"/>
              <w:spacing w:before="0" w:after="0"/>
              <w:ind w:left="0" w:right="0"/>
            </w:pPr>
            <w:r w:rsidRPr="00525C08">
              <w:t>2007</w:t>
            </w:r>
          </w:p>
        </w:tc>
        <w:tc>
          <w:tcPr>
            <w:tcW w:w="455" w:type="pct"/>
            <w:tcBorders>
              <w:top w:val="single" w:sz="4" w:space="0" w:color="auto"/>
              <w:bottom w:val="single" w:sz="4" w:space="0" w:color="auto"/>
            </w:tcBorders>
            <w:shd w:val="clear" w:color="auto" w:fill="auto"/>
            <w:noWrap/>
            <w:hideMark/>
          </w:tcPr>
          <w:p w14:paraId="3F619DB7" w14:textId="77777777" w:rsidR="00E45705" w:rsidRPr="00525C08" w:rsidRDefault="00E45705" w:rsidP="00E45705">
            <w:pPr>
              <w:pStyle w:val="TableColumnHeading"/>
              <w:spacing w:before="0" w:after="0"/>
              <w:ind w:left="0" w:right="0"/>
            </w:pPr>
            <w:r w:rsidRPr="00525C08">
              <w:t>2008</w:t>
            </w:r>
          </w:p>
        </w:tc>
        <w:tc>
          <w:tcPr>
            <w:tcW w:w="455" w:type="pct"/>
            <w:tcBorders>
              <w:top w:val="single" w:sz="4" w:space="0" w:color="auto"/>
              <w:bottom w:val="single" w:sz="4" w:space="0" w:color="auto"/>
            </w:tcBorders>
            <w:shd w:val="clear" w:color="auto" w:fill="auto"/>
            <w:noWrap/>
            <w:hideMark/>
          </w:tcPr>
          <w:p w14:paraId="1EEC3C84" w14:textId="77777777" w:rsidR="00E45705" w:rsidRPr="00525C08" w:rsidRDefault="00E45705" w:rsidP="00E45705">
            <w:pPr>
              <w:pStyle w:val="TableColumnHeading"/>
              <w:spacing w:before="0" w:after="0"/>
              <w:ind w:left="0" w:right="0"/>
            </w:pPr>
            <w:r w:rsidRPr="00525C08">
              <w:t>2009</w:t>
            </w:r>
          </w:p>
        </w:tc>
        <w:tc>
          <w:tcPr>
            <w:tcW w:w="455" w:type="pct"/>
            <w:tcBorders>
              <w:top w:val="single" w:sz="4" w:space="0" w:color="auto"/>
              <w:bottom w:val="single" w:sz="4" w:space="0" w:color="auto"/>
            </w:tcBorders>
            <w:shd w:val="clear" w:color="auto" w:fill="auto"/>
            <w:noWrap/>
            <w:hideMark/>
          </w:tcPr>
          <w:p w14:paraId="67DA4EEB" w14:textId="77777777" w:rsidR="00E45705" w:rsidRPr="00525C08" w:rsidRDefault="00E45705" w:rsidP="00E45705">
            <w:pPr>
              <w:pStyle w:val="TableColumnHeading"/>
              <w:spacing w:before="0" w:after="0"/>
              <w:ind w:left="0" w:right="0"/>
            </w:pPr>
            <w:r w:rsidRPr="00525C08">
              <w:t>2010</w:t>
            </w:r>
          </w:p>
        </w:tc>
        <w:tc>
          <w:tcPr>
            <w:tcW w:w="455" w:type="pct"/>
            <w:tcBorders>
              <w:top w:val="single" w:sz="4" w:space="0" w:color="auto"/>
              <w:bottom w:val="single" w:sz="4" w:space="0" w:color="auto"/>
            </w:tcBorders>
            <w:shd w:val="clear" w:color="auto" w:fill="auto"/>
            <w:noWrap/>
            <w:hideMark/>
          </w:tcPr>
          <w:p w14:paraId="3D128BB3" w14:textId="77777777" w:rsidR="00E45705" w:rsidRPr="00525C08" w:rsidRDefault="00E45705" w:rsidP="00E45705">
            <w:pPr>
              <w:pStyle w:val="TableColumnHeading"/>
              <w:spacing w:before="0" w:after="0"/>
              <w:ind w:left="0" w:right="0"/>
            </w:pPr>
            <w:r w:rsidRPr="00525C08">
              <w:t>2011</w:t>
            </w:r>
          </w:p>
        </w:tc>
      </w:tr>
      <w:tr w:rsidR="00E45705" w:rsidRPr="00525C08" w14:paraId="3BF1CAAA" w14:textId="77777777" w:rsidTr="00E45705">
        <w:trPr>
          <w:trHeight w:val="300"/>
        </w:trPr>
        <w:tc>
          <w:tcPr>
            <w:tcW w:w="454" w:type="pct"/>
            <w:tcBorders>
              <w:top w:val="single" w:sz="4" w:space="0" w:color="auto"/>
            </w:tcBorders>
            <w:shd w:val="clear" w:color="auto" w:fill="auto"/>
            <w:noWrap/>
            <w:hideMark/>
          </w:tcPr>
          <w:p w14:paraId="36B7E507" w14:textId="77777777" w:rsidR="00E45705" w:rsidRPr="00525C08" w:rsidRDefault="00E45705" w:rsidP="00E45705">
            <w:pPr>
              <w:pStyle w:val="TableCellText"/>
              <w:spacing w:before="0" w:after="0"/>
              <w:ind w:left="0" w:right="0"/>
            </w:pPr>
            <w:r w:rsidRPr="00525C08">
              <w:t>15-19yrs</w:t>
            </w:r>
          </w:p>
        </w:tc>
        <w:tc>
          <w:tcPr>
            <w:tcW w:w="455" w:type="pct"/>
            <w:tcBorders>
              <w:top w:val="single" w:sz="4" w:space="0" w:color="auto"/>
            </w:tcBorders>
            <w:shd w:val="clear" w:color="auto" w:fill="auto"/>
            <w:noWrap/>
            <w:hideMark/>
          </w:tcPr>
          <w:p w14:paraId="47DA0267" w14:textId="77777777" w:rsidR="00E45705" w:rsidRPr="00525C08" w:rsidRDefault="00E45705" w:rsidP="00E45705">
            <w:pPr>
              <w:pStyle w:val="TableCellText"/>
              <w:spacing w:before="0" w:after="0"/>
              <w:ind w:left="0" w:right="0"/>
            </w:pPr>
            <w:r w:rsidRPr="00525C08">
              <w:t>20.9</w:t>
            </w:r>
          </w:p>
        </w:tc>
        <w:tc>
          <w:tcPr>
            <w:tcW w:w="455" w:type="pct"/>
            <w:tcBorders>
              <w:top w:val="single" w:sz="4" w:space="0" w:color="auto"/>
            </w:tcBorders>
            <w:shd w:val="clear" w:color="auto" w:fill="auto"/>
            <w:noWrap/>
            <w:hideMark/>
          </w:tcPr>
          <w:p w14:paraId="119B007D" w14:textId="77777777" w:rsidR="00E45705" w:rsidRPr="00525C08" w:rsidRDefault="00E45705" w:rsidP="00E45705">
            <w:pPr>
              <w:pStyle w:val="TableCellText"/>
              <w:spacing w:before="0" w:after="0"/>
              <w:ind w:left="0" w:right="0"/>
            </w:pPr>
            <w:r w:rsidRPr="00525C08">
              <w:t>19.3</w:t>
            </w:r>
          </w:p>
        </w:tc>
        <w:tc>
          <w:tcPr>
            <w:tcW w:w="455" w:type="pct"/>
            <w:tcBorders>
              <w:top w:val="single" w:sz="4" w:space="0" w:color="auto"/>
            </w:tcBorders>
            <w:shd w:val="clear" w:color="auto" w:fill="auto"/>
            <w:noWrap/>
            <w:hideMark/>
          </w:tcPr>
          <w:p w14:paraId="026E7170" w14:textId="77777777" w:rsidR="00E45705" w:rsidRPr="00525C08" w:rsidRDefault="00E45705" w:rsidP="00E45705">
            <w:pPr>
              <w:pStyle w:val="TableCellText"/>
              <w:spacing w:before="0" w:after="0"/>
              <w:ind w:left="0" w:right="0"/>
            </w:pPr>
            <w:r w:rsidRPr="00525C08">
              <w:t>18.3</w:t>
            </w:r>
          </w:p>
        </w:tc>
        <w:tc>
          <w:tcPr>
            <w:tcW w:w="455" w:type="pct"/>
            <w:tcBorders>
              <w:top w:val="single" w:sz="4" w:space="0" w:color="auto"/>
            </w:tcBorders>
            <w:shd w:val="clear" w:color="auto" w:fill="auto"/>
            <w:noWrap/>
            <w:hideMark/>
          </w:tcPr>
          <w:p w14:paraId="620287BD" w14:textId="77777777" w:rsidR="00E45705" w:rsidRPr="00525C08" w:rsidRDefault="00E45705" w:rsidP="00E45705">
            <w:pPr>
              <w:pStyle w:val="TableCellText"/>
              <w:spacing w:before="0" w:after="0"/>
              <w:ind w:left="0" w:right="0"/>
            </w:pPr>
            <w:r w:rsidRPr="00525C08">
              <w:t>19.3</w:t>
            </w:r>
          </w:p>
        </w:tc>
        <w:tc>
          <w:tcPr>
            <w:tcW w:w="455" w:type="pct"/>
            <w:tcBorders>
              <w:top w:val="single" w:sz="4" w:space="0" w:color="auto"/>
            </w:tcBorders>
            <w:shd w:val="clear" w:color="auto" w:fill="auto"/>
            <w:noWrap/>
            <w:hideMark/>
          </w:tcPr>
          <w:p w14:paraId="161E4464" w14:textId="77777777" w:rsidR="00E45705" w:rsidRPr="00525C08" w:rsidRDefault="00E45705" w:rsidP="00E45705">
            <w:pPr>
              <w:pStyle w:val="TableCellText"/>
              <w:spacing w:before="0" w:after="0"/>
              <w:ind w:left="0" w:right="0"/>
            </w:pPr>
            <w:r w:rsidRPr="00525C08">
              <w:t>20.0</w:t>
            </w:r>
          </w:p>
        </w:tc>
        <w:tc>
          <w:tcPr>
            <w:tcW w:w="455" w:type="pct"/>
            <w:tcBorders>
              <w:top w:val="single" w:sz="4" w:space="0" w:color="auto"/>
            </w:tcBorders>
            <w:shd w:val="clear" w:color="auto" w:fill="auto"/>
            <w:noWrap/>
            <w:hideMark/>
          </w:tcPr>
          <w:p w14:paraId="22327BEF" w14:textId="77777777" w:rsidR="00E45705" w:rsidRPr="00525C08" w:rsidRDefault="00E45705" w:rsidP="00E45705">
            <w:pPr>
              <w:pStyle w:val="TableCellText"/>
              <w:spacing w:before="0" w:after="0"/>
              <w:ind w:left="0" w:right="0"/>
            </w:pPr>
            <w:r w:rsidRPr="00525C08">
              <w:t>19.3</w:t>
            </w:r>
          </w:p>
        </w:tc>
        <w:tc>
          <w:tcPr>
            <w:tcW w:w="455" w:type="pct"/>
            <w:tcBorders>
              <w:top w:val="single" w:sz="4" w:space="0" w:color="auto"/>
            </w:tcBorders>
            <w:shd w:val="clear" w:color="auto" w:fill="auto"/>
            <w:noWrap/>
            <w:hideMark/>
          </w:tcPr>
          <w:p w14:paraId="05C93DDE" w14:textId="77777777" w:rsidR="00E45705" w:rsidRPr="00525C08" w:rsidRDefault="00E45705" w:rsidP="00E45705">
            <w:pPr>
              <w:pStyle w:val="TableCellText"/>
              <w:spacing w:before="0" w:after="0"/>
              <w:ind w:left="0" w:right="0"/>
            </w:pPr>
            <w:r w:rsidRPr="00525C08">
              <w:t>19.5</w:t>
            </w:r>
          </w:p>
        </w:tc>
        <w:tc>
          <w:tcPr>
            <w:tcW w:w="455" w:type="pct"/>
            <w:tcBorders>
              <w:top w:val="single" w:sz="4" w:space="0" w:color="auto"/>
            </w:tcBorders>
            <w:shd w:val="clear" w:color="auto" w:fill="auto"/>
            <w:noWrap/>
            <w:hideMark/>
          </w:tcPr>
          <w:p w14:paraId="1457306A" w14:textId="77777777" w:rsidR="00E45705" w:rsidRPr="00525C08" w:rsidRDefault="00E45705" w:rsidP="00E45705">
            <w:pPr>
              <w:pStyle w:val="TableCellText"/>
              <w:spacing w:before="0" w:after="0"/>
              <w:ind w:left="0" w:right="0"/>
            </w:pPr>
            <w:r w:rsidRPr="00525C08">
              <w:t>18.4</w:t>
            </w:r>
          </w:p>
        </w:tc>
        <w:tc>
          <w:tcPr>
            <w:tcW w:w="455" w:type="pct"/>
            <w:tcBorders>
              <w:top w:val="single" w:sz="4" w:space="0" w:color="auto"/>
            </w:tcBorders>
            <w:shd w:val="clear" w:color="auto" w:fill="auto"/>
            <w:noWrap/>
            <w:hideMark/>
          </w:tcPr>
          <w:p w14:paraId="6FE8FFE9" w14:textId="77777777" w:rsidR="00E45705" w:rsidRPr="00525C08" w:rsidRDefault="00E45705" w:rsidP="00E45705">
            <w:pPr>
              <w:pStyle w:val="TableCellText"/>
              <w:spacing w:before="0" w:after="0"/>
              <w:ind w:left="0" w:right="0"/>
            </w:pPr>
            <w:r w:rsidRPr="00525C08">
              <w:t>20.1</w:t>
            </w:r>
          </w:p>
        </w:tc>
        <w:tc>
          <w:tcPr>
            <w:tcW w:w="455" w:type="pct"/>
            <w:tcBorders>
              <w:top w:val="single" w:sz="4" w:space="0" w:color="auto"/>
            </w:tcBorders>
            <w:shd w:val="clear" w:color="auto" w:fill="auto"/>
            <w:noWrap/>
            <w:hideMark/>
          </w:tcPr>
          <w:p w14:paraId="58AE90B1" w14:textId="77777777" w:rsidR="00E45705" w:rsidRPr="00525C08" w:rsidRDefault="00E45705" w:rsidP="00E45705">
            <w:pPr>
              <w:pStyle w:val="TableCellText"/>
              <w:spacing w:before="0" w:after="0"/>
              <w:ind w:left="0" w:right="0"/>
            </w:pPr>
            <w:r w:rsidRPr="00525C08">
              <w:t>20.8</w:t>
            </w:r>
          </w:p>
        </w:tc>
      </w:tr>
      <w:tr w:rsidR="00E45705" w:rsidRPr="00525C08" w14:paraId="7936B113" w14:textId="77777777" w:rsidTr="00E45705">
        <w:trPr>
          <w:trHeight w:val="300"/>
        </w:trPr>
        <w:tc>
          <w:tcPr>
            <w:tcW w:w="454" w:type="pct"/>
            <w:shd w:val="clear" w:color="auto" w:fill="auto"/>
            <w:noWrap/>
            <w:hideMark/>
          </w:tcPr>
          <w:p w14:paraId="45F8B8F8" w14:textId="77777777" w:rsidR="00E45705" w:rsidRPr="00525C08" w:rsidRDefault="00E45705" w:rsidP="00E45705">
            <w:pPr>
              <w:pStyle w:val="TableCellText"/>
              <w:spacing w:before="0" w:after="0"/>
              <w:ind w:left="0" w:right="0"/>
            </w:pPr>
            <w:r w:rsidRPr="00525C08">
              <w:t>20-24yrs</w:t>
            </w:r>
          </w:p>
        </w:tc>
        <w:tc>
          <w:tcPr>
            <w:tcW w:w="455" w:type="pct"/>
            <w:shd w:val="clear" w:color="auto" w:fill="auto"/>
            <w:noWrap/>
            <w:hideMark/>
          </w:tcPr>
          <w:p w14:paraId="71DCDA6E" w14:textId="77777777" w:rsidR="00E45705" w:rsidRPr="00525C08" w:rsidRDefault="00E45705" w:rsidP="00E45705">
            <w:pPr>
              <w:pStyle w:val="TableCellText"/>
              <w:spacing w:before="0" w:after="0"/>
              <w:ind w:left="0" w:right="0"/>
            </w:pPr>
            <w:r w:rsidRPr="00525C08">
              <w:t>19.8</w:t>
            </w:r>
          </w:p>
        </w:tc>
        <w:tc>
          <w:tcPr>
            <w:tcW w:w="455" w:type="pct"/>
            <w:shd w:val="clear" w:color="auto" w:fill="auto"/>
            <w:noWrap/>
            <w:hideMark/>
          </w:tcPr>
          <w:p w14:paraId="40B4B415" w14:textId="77777777" w:rsidR="00E45705" w:rsidRPr="00525C08" w:rsidRDefault="00E45705" w:rsidP="00E45705">
            <w:pPr>
              <w:pStyle w:val="TableCellText"/>
              <w:spacing w:before="0" w:after="0"/>
              <w:ind w:left="0" w:right="0"/>
            </w:pPr>
            <w:r w:rsidRPr="00525C08">
              <w:t>18.1</w:t>
            </w:r>
          </w:p>
        </w:tc>
        <w:tc>
          <w:tcPr>
            <w:tcW w:w="455" w:type="pct"/>
            <w:shd w:val="clear" w:color="auto" w:fill="auto"/>
            <w:noWrap/>
            <w:hideMark/>
          </w:tcPr>
          <w:p w14:paraId="6F6D68DC" w14:textId="77777777" w:rsidR="00E45705" w:rsidRPr="00525C08" w:rsidRDefault="00E45705" w:rsidP="00E45705">
            <w:pPr>
              <w:pStyle w:val="TableCellText"/>
              <w:spacing w:before="0" w:after="0"/>
              <w:ind w:left="0" w:right="0"/>
            </w:pPr>
            <w:r w:rsidRPr="00525C08">
              <w:t>16.8</w:t>
            </w:r>
          </w:p>
        </w:tc>
        <w:tc>
          <w:tcPr>
            <w:tcW w:w="455" w:type="pct"/>
            <w:shd w:val="clear" w:color="auto" w:fill="auto"/>
            <w:noWrap/>
            <w:hideMark/>
          </w:tcPr>
          <w:p w14:paraId="535CBAF4" w14:textId="77777777" w:rsidR="00E45705" w:rsidRPr="00525C08" w:rsidRDefault="00E45705" w:rsidP="00E45705">
            <w:pPr>
              <w:pStyle w:val="TableCellText"/>
              <w:spacing w:before="0" w:after="0"/>
              <w:ind w:left="0" w:right="0"/>
            </w:pPr>
            <w:r w:rsidRPr="00525C08">
              <w:t>17.0</w:t>
            </w:r>
          </w:p>
        </w:tc>
        <w:tc>
          <w:tcPr>
            <w:tcW w:w="455" w:type="pct"/>
            <w:shd w:val="clear" w:color="auto" w:fill="auto"/>
            <w:noWrap/>
            <w:hideMark/>
          </w:tcPr>
          <w:p w14:paraId="277D065F" w14:textId="77777777" w:rsidR="00E45705" w:rsidRPr="00525C08" w:rsidRDefault="00E45705" w:rsidP="00E45705">
            <w:pPr>
              <w:pStyle w:val="TableCellText"/>
              <w:spacing w:before="0" w:after="0"/>
              <w:ind w:left="0" w:right="0"/>
            </w:pPr>
            <w:r w:rsidRPr="00525C08">
              <w:t>18.0</w:t>
            </w:r>
          </w:p>
        </w:tc>
        <w:tc>
          <w:tcPr>
            <w:tcW w:w="455" w:type="pct"/>
            <w:shd w:val="clear" w:color="auto" w:fill="auto"/>
            <w:noWrap/>
            <w:hideMark/>
          </w:tcPr>
          <w:p w14:paraId="026A3B4A" w14:textId="77777777" w:rsidR="00E45705" w:rsidRPr="00525C08" w:rsidRDefault="00E45705" w:rsidP="00E45705">
            <w:pPr>
              <w:pStyle w:val="TableCellText"/>
              <w:spacing w:before="0" w:after="0"/>
              <w:ind w:left="0" w:right="0"/>
            </w:pPr>
            <w:r w:rsidRPr="00525C08">
              <w:t>17.8</w:t>
            </w:r>
          </w:p>
        </w:tc>
        <w:tc>
          <w:tcPr>
            <w:tcW w:w="455" w:type="pct"/>
            <w:shd w:val="clear" w:color="auto" w:fill="auto"/>
            <w:noWrap/>
            <w:hideMark/>
          </w:tcPr>
          <w:p w14:paraId="40713204" w14:textId="77777777" w:rsidR="00E45705" w:rsidRPr="00525C08" w:rsidRDefault="00E45705" w:rsidP="00E45705">
            <w:pPr>
              <w:pStyle w:val="TableCellText"/>
              <w:spacing w:before="0" w:after="0"/>
              <w:ind w:left="0" w:right="0"/>
            </w:pPr>
            <w:r w:rsidRPr="00525C08">
              <w:t>17.2</w:t>
            </w:r>
          </w:p>
        </w:tc>
        <w:tc>
          <w:tcPr>
            <w:tcW w:w="455" w:type="pct"/>
            <w:shd w:val="clear" w:color="auto" w:fill="auto"/>
            <w:noWrap/>
            <w:hideMark/>
          </w:tcPr>
          <w:p w14:paraId="51989CC5" w14:textId="77777777" w:rsidR="00E45705" w:rsidRPr="00525C08" w:rsidRDefault="00E45705" w:rsidP="00E45705">
            <w:pPr>
              <w:pStyle w:val="TableCellText"/>
              <w:spacing w:before="0" w:after="0"/>
              <w:ind w:left="0" w:right="0"/>
            </w:pPr>
            <w:r w:rsidRPr="00525C08">
              <w:t>17.0</w:t>
            </w:r>
          </w:p>
        </w:tc>
        <w:tc>
          <w:tcPr>
            <w:tcW w:w="455" w:type="pct"/>
            <w:shd w:val="clear" w:color="auto" w:fill="auto"/>
            <w:noWrap/>
            <w:hideMark/>
          </w:tcPr>
          <w:p w14:paraId="66C30FD3" w14:textId="77777777" w:rsidR="00E45705" w:rsidRPr="00525C08" w:rsidRDefault="00E45705" w:rsidP="00E45705">
            <w:pPr>
              <w:pStyle w:val="TableCellText"/>
              <w:spacing w:before="0" w:after="0"/>
              <w:ind w:left="0" w:right="0"/>
            </w:pPr>
            <w:r w:rsidRPr="00525C08">
              <w:t>18.8</w:t>
            </w:r>
          </w:p>
        </w:tc>
        <w:tc>
          <w:tcPr>
            <w:tcW w:w="455" w:type="pct"/>
            <w:shd w:val="clear" w:color="auto" w:fill="auto"/>
            <w:noWrap/>
            <w:hideMark/>
          </w:tcPr>
          <w:p w14:paraId="6442FED2" w14:textId="77777777" w:rsidR="00E45705" w:rsidRPr="00525C08" w:rsidRDefault="00E45705" w:rsidP="00E45705">
            <w:pPr>
              <w:pStyle w:val="TableCellText"/>
              <w:spacing w:before="0" w:after="0"/>
              <w:ind w:left="0" w:right="0"/>
            </w:pPr>
            <w:r w:rsidRPr="00525C08">
              <w:t>19.2</w:t>
            </w:r>
          </w:p>
        </w:tc>
      </w:tr>
    </w:tbl>
    <w:p w14:paraId="42343098" w14:textId="77777777" w:rsidR="00E45705" w:rsidRPr="001B09E6" w:rsidRDefault="00E45705" w:rsidP="00E45705">
      <w:pPr>
        <w:pStyle w:val="Tablenote"/>
      </w:pPr>
      <w:r w:rsidRPr="00525C08">
        <w:t>Source: National VET provider collection; ABS population by age and sex 3201.0; ABS Experimental Estimates and Projections, Aboriginal and Torres Strait Islander Australians 3238.0 (Series B projections)</w:t>
      </w:r>
      <w:r w:rsidRPr="001B09E6">
        <w:t xml:space="preserve"> </w:t>
      </w:r>
    </w:p>
    <w:p w14:paraId="67391973" w14:textId="77777777" w:rsidR="00E45705" w:rsidRPr="001B09E6" w:rsidRDefault="00E45705" w:rsidP="00E45705">
      <w:pPr>
        <w:pStyle w:val="Heading2NoNumbering"/>
      </w:pPr>
      <w:bookmarkStart w:id="152" w:name="_Toc192134399"/>
      <w:bookmarkStart w:id="153" w:name="_Toc333918988"/>
      <w:bookmarkStart w:id="154" w:name="_Toc219347269"/>
      <w:bookmarkStart w:id="155" w:name="_Toc192134402"/>
      <w:r w:rsidRPr="001B09E6">
        <w:t>Participation – other target groups</w:t>
      </w:r>
      <w:bookmarkEnd w:id="152"/>
      <w:bookmarkEnd w:id="153"/>
      <w:bookmarkEnd w:id="154"/>
    </w:p>
    <w:p w14:paraId="14922FA4" w14:textId="77777777" w:rsidR="00E45705" w:rsidRPr="001B09E6" w:rsidRDefault="00E45705" w:rsidP="00E45705">
      <w:pPr>
        <w:pStyle w:val="Heading3NoNumbering"/>
      </w:pPr>
      <w:bookmarkStart w:id="156" w:name="_Toc192134400"/>
      <w:bookmarkStart w:id="157" w:name="_Toc333918989"/>
      <w:r w:rsidRPr="001B09E6">
        <w:t>Table A2.10: VET in Schools participation, SES disadvantage</w:t>
      </w:r>
      <w:bookmarkEnd w:id="156"/>
      <w:bookmarkEnd w:id="157"/>
    </w:p>
    <w:p w14:paraId="473A5868" w14:textId="77777777" w:rsidR="00E45705" w:rsidRPr="001B09E6" w:rsidRDefault="00E45705" w:rsidP="00E45705">
      <w:pPr>
        <w:pStyle w:val="TableHeading"/>
        <w:spacing w:before="112"/>
      </w:pPr>
      <w:r w:rsidRPr="001B09E6">
        <w:t>PERCENTAGE OF 15 to 19 year olds participating in VET in Schools by socio economic status (SEIFA Index of Relative Socio-economic Disadvantage) as a proportion of total participation, excluding those whose SEIFA quintile is not known, 2005-10</w:t>
      </w:r>
    </w:p>
    <w:tbl>
      <w:tblPr>
        <w:tblW w:w="5000" w:type="pct"/>
        <w:tblLook w:val="04A0" w:firstRow="1" w:lastRow="0" w:firstColumn="1" w:lastColumn="0" w:noHBand="0" w:noVBand="1"/>
        <w:tblCaption w:val="Table A2.10: VET in Schools participation, SES disadvantage PERCENTAGE OF 15 to 19 year olds participating in VET in Schools by socio economic status (SEIFA Index of Relative Socio-economic Disadvantage) as a proportion of total participation, excluding those whose SEIFA quintile is not known, 2005-10 "/>
        <w:tblDescription w:val="Table A2.10: VET in Schools participation, SES disadvantage&#10;PERCENTAGE OF 15 to 19 year olds participating in VET in Schools by socio economic status (SEIFA Index of Relative Socio-economic Disadvantage) as a proportion of total participation, excluding those whose SEIFA quintile is not known, 2005-10&#10;"/>
      </w:tblPr>
      <w:tblGrid>
        <w:gridCol w:w="4576"/>
        <w:gridCol w:w="2008"/>
        <w:gridCol w:w="2008"/>
        <w:gridCol w:w="2008"/>
        <w:gridCol w:w="2008"/>
        <w:gridCol w:w="2008"/>
      </w:tblGrid>
      <w:tr w:rsidR="00E45705" w:rsidRPr="001B09E6" w14:paraId="72C7A882" w14:textId="77777777" w:rsidTr="00E45705">
        <w:trPr>
          <w:trHeight w:val="300"/>
        </w:trPr>
        <w:tc>
          <w:tcPr>
            <w:tcW w:w="1565" w:type="pct"/>
            <w:tcBorders>
              <w:top w:val="single" w:sz="4" w:space="0" w:color="auto"/>
              <w:left w:val="nil"/>
              <w:bottom w:val="single" w:sz="4" w:space="0" w:color="auto"/>
              <w:right w:val="nil"/>
            </w:tcBorders>
            <w:shd w:val="clear" w:color="auto" w:fill="auto"/>
            <w:noWrap/>
            <w:vAlign w:val="bottom"/>
            <w:hideMark/>
          </w:tcPr>
          <w:p w14:paraId="245E5F9B" w14:textId="77777777" w:rsidR="00E45705" w:rsidRPr="001B09E6" w:rsidRDefault="00E45705" w:rsidP="00E45705">
            <w:pPr>
              <w:pStyle w:val="TableColumnHeading"/>
              <w:spacing w:before="0" w:after="0"/>
              <w:ind w:left="0" w:right="0"/>
            </w:pPr>
            <w:r w:rsidRPr="001B09E6">
              <w:rPr>
                <w:szCs w:val="16"/>
              </w:rPr>
              <w:t> </w:t>
            </w:r>
          </w:p>
        </w:tc>
        <w:tc>
          <w:tcPr>
            <w:tcW w:w="687" w:type="pct"/>
            <w:tcBorders>
              <w:top w:val="single" w:sz="4" w:space="0" w:color="auto"/>
              <w:left w:val="nil"/>
              <w:bottom w:val="single" w:sz="4" w:space="0" w:color="auto"/>
              <w:right w:val="nil"/>
            </w:tcBorders>
            <w:shd w:val="clear" w:color="auto" w:fill="auto"/>
            <w:noWrap/>
            <w:vAlign w:val="bottom"/>
            <w:hideMark/>
          </w:tcPr>
          <w:p w14:paraId="53867E45" w14:textId="77777777" w:rsidR="00E45705" w:rsidRPr="001B09E6" w:rsidRDefault="00E45705" w:rsidP="00E45705">
            <w:pPr>
              <w:pStyle w:val="TableColumnHeading"/>
              <w:spacing w:before="0" w:after="0"/>
              <w:ind w:left="0" w:right="0"/>
              <w:rPr>
                <w:szCs w:val="16"/>
              </w:rPr>
            </w:pPr>
          </w:p>
          <w:p w14:paraId="69A70969" w14:textId="77777777" w:rsidR="00E45705" w:rsidRPr="001B09E6" w:rsidRDefault="00E45705" w:rsidP="00E45705">
            <w:pPr>
              <w:pStyle w:val="TableColumnHeading"/>
              <w:spacing w:before="0" w:after="0"/>
              <w:ind w:left="0" w:right="0"/>
              <w:jc w:val="center"/>
              <w:rPr>
                <w:lang w:eastAsia="en-AU"/>
              </w:rPr>
            </w:pPr>
            <w:r w:rsidRPr="001B09E6">
              <w:rPr>
                <w:szCs w:val="16"/>
              </w:rPr>
              <w:t>2006</w:t>
            </w:r>
          </w:p>
          <w:p w14:paraId="4820F402" w14:textId="77777777" w:rsidR="00E45705" w:rsidRPr="001B09E6" w:rsidRDefault="00E45705" w:rsidP="00E45705">
            <w:pPr>
              <w:pStyle w:val="TableColumnHeading"/>
              <w:spacing w:before="0" w:after="0"/>
              <w:ind w:left="0" w:right="0"/>
              <w:jc w:val="center"/>
              <w:rPr>
                <w:szCs w:val="16"/>
              </w:rPr>
            </w:pPr>
          </w:p>
        </w:tc>
        <w:tc>
          <w:tcPr>
            <w:tcW w:w="687" w:type="pct"/>
            <w:tcBorders>
              <w:top w:val="single" w:sz="4" w:space="0" w:color="auto"/>
              <w:left w:val="nil"/>
              <w:bottom w:val="single" w:sz="4" w:space="0" w:color="auto"/>
              <w:right w:val="nil"/>
            </w:tcBorders>
            <w:shd w:val="clear" w:color="auto" w:fill="auto"/>
            <w:noWrap/>
            <w:vAlign w:val="bottom"/>
            <w:hideMark/>
          </w:tcPr>
          <w:p w14:paraId="333DDC06" w14:textId="77777777" w:rsidR="00E45705" w:rsidRPr="001B09E6" w:rsidRDefault="00E45705" w:rsidP="00E45705">
            <w:pPr>
              <w:pStyle w:val="TableColumnHeading"/>
              <w:spacing w:before="0" w:after="0"/>
              <w:ind w:left="0" w:right="0"/>
              <w:jc w:val="center"/>
              <w:rPr>
                <w:lang w:eastAsia="en-AU"/>
              </w:rPr>
            </w:pPr>
            <w:r w:rsidRPr="001B09E6">
              <w:rPr>
                <w:szCs w:val="16"/>
              </w:rPr>
              <w:t>2007</w:t>
            </w:r>
          </w:p>
          <w:p w14:paraId="672EB036" w14:textId="77777777" w:rsidR="00E45705" w:rsidRPr="001B09E6" w:rsidRDefault="00E45705" w:rsidP="00E45705">
            <w:pPr>
              <w:pStyle w:val="TableColumnHeading"/>
              <w:spacing w:before="0" w:after="0"/>
              <w:ind w:left="0" w:right="0"/>
              <w:jc w:val="center"/>
            </w:pPr>
          </w:p>
        </w:tc>
        <w:tc>
          <w:tcPr>
            <w:tcW w:w="687" w:type="pct"/>
            <w:tcBorders>
              <w:top w:val="single" w:sz="4" w:space="0" w:color="auto"/>
              <w:left w:val="nil"/>
              <w:bottom w:val="single" w:sz="4" w:space="0" w:color="auto"/>
              <w:right w:val="nil"/>
            </w:tcBorders>
            <w:shd w:val="clear" w:color="auto" w:fill="auto"/>
            <w:noWrap/>
            <w:vAlign w:val="bottom"/>
            <w:hideMark/>
          </w:tcPr>
          <w:p w14:paraId="052B0640" w14:textId="77777777" w:rsidR="00E45705" w:rsidRPr="001B09E6" w:rsidRDefault="00E45705" w:rsidP="00E45705">
            <w:pPr>
              <w:pStyle w:val="TableColumnHeading"/>
              <w:spacing w:before="0" w:after="0"/>
              <w:ind w:left="0" w:right="0"/>
              <w:jc w:val="center"/>
              <w:rPr>
                <w:lang w:eastAsia="en-AU"/>
              </w:rPr>
            </w:pPr>
            <w:r w:rsidRPr="001B09E6">
              <w:rPr>
                <w:szCs w:val="16"/>
              </w:rPr>
              <w:t>2008</w:t>
            </w:r>
          </w:p>
          <w:p w14:paraId="5E9B77AD" w14:textId="77777777" w:rsidR="00E45705" w:rsidRPr="001B09E6" w:rsidRDefault="00E45705" w:rsidP="00E45705">
            <w:pPr>
              <w:pStyle w:val="TableColumnHeading"/>
              <w:spacing w:before="0" w:after="0"/>
              <w:ind w:left="0" w:right="0"/>
              <w:jc w:val="center"/>
            </w:pPr>
          </w:p>
        </w:tc>
        <w:tc>
          <w:tcPr>
            <w:tcW w:w="687" w:type="pct"/>
            <w:tcBorders>
              <w:top w:val="single" w:sz="4" w:space="0" w:color="auto"/>
              <w:left w:val="nil"/>
              <w:bottom w:val="single" w:sz="4" w:space="0" w:color="auto"/>
              <w:right w:val="nil"/>
            </w:tcBorders>
            <w:shd w:val="clear" w:color="auto" w:fill="auto"/>
            <w:noWrap/>
            <w:vAlign w:val="bottom"/>
            <w:hideMark/>
          </w:tcPr>
          <w:p w14:paraId="0D4B0B0E" w14:textId="77777777" w:rsidR="00E45705" w:rsidRPr="001B09E6" w:rsidRDefault="00E45705" w:rsidP="00E45705">
            <w:pPr>
              <w:pStyle w:val="TableColumnHeading"/>
              <w:spacing w:before="0" w:after="0"/>
              <w:ind w:left="0" w:right="0"/>
              <w:jc w:val="center"/>
              <w:rPr>
                <w:lang w:eastAsia="en-AU"/>
              </w:rPr>
            </w:pPr>
            <w:r w:rsidRPr="001B09E6">
              <w:rPr>
                <w:szCs w:val="16"/>
              </w:rPr>
              <w:t>2009</w:t>
            </w:r>
          </w:p>
          <w:p w14:paraId="12F3DE72" w14:textId="77777777" w:rsidR="00E45705" w:rsidRPr="001B09E6" w:rsidRDefault="00E45705" w:rsidP="00E45705">
            <w:pPr>
              <w:pStyle w:val="TableColumnHeading"/>
              <w:spacing w:before="0" w:after="0"/>
              <w:ind w:left="0" w:right="0"/>
              <w:jc w:val="center"/>
            </w:pPr>
          </w:p>
        </w:tc>
        <w:tc>
          <w:tcPr>
            <w:tcW w:w="687" w:type="pct"/>
            <w:tcBorders>
              <w:top w:val="single" w:sz="4" w:space="0" w:color="auto"/>
              <w:left w:val="nil"/>
              <w:bottom w:val="single" w:sz="4" w:space="0" w:color="auto"/>
              <w:right w:val="nil"/>
            </w:tcBorders>
            <w:shd w:val="clear" w:color="auto" w:fill="auto"/>
            <w:noWrap/>
            <w:vAlign w:val="bottom"/>
            <w:hideMark/>
          </w:tcPr>
          <w:p w14:paraId="30A98465" w14:textId="77777777" w:rsidR="00E45705" w:rsidRPr="001B09E6" w:rsidRDefault="00E45705" w:rsidP="00E45705">
            <w:pPr>
              <w:pStyle w:val="TableColumnHeading"/>
              <w:spacing w:before="0" w:after="0"/>
              <w:ind w:left="0" w:right="0"/>
              <w:jc w:val="center"/>
              <w:rPr>
                <w:lang w:eastAsia="en-AU"/>
              </w:rPr>
            </w:pPr>
            <w:r w:rsidRPr="001B09E6">
              <w:rPr>
                <w:szCs w:val="16"/>
              </w:rPr>
              <w:t>2010</w:t>
            </w:r>
          </w:p>
          <w:p w14:paraId="7248ED61" w14:textId="77777777" w:rsidR="00E45705" w:rsidRPr="001B09E6" w:rsidRDefault="00E45705" w:rsidP="00E45705">
            <w:pPr>
              <w:pStyle w:val="TableColumnHeading"/>
              <w:spacing w:before="0" w:after="0"/>
              <w:ind w:left="0" w:right="0"/>
              <w:jc w:val="center"/>
            </w:pPr>
          </w:p>
        </w:tc>
      </w:tr>
      <w:tr w:rsidR="00E45705" w:rsidRPr="001B09E6" w14:paraId="3FEE30B9" w14:textId="77777777" w:rsidTr="00E45705">
        <w:trPr>
          <w:trHeight w:val="300"/>
        </w:trPr>
        <w:tc>
          <w:tcPr>
            <w:tcW w:w="1565" w:type="pct"/>
            <w:tcBorders>
              <w:top w:val="nil"/>
              <w:left w:val="nil"/>
              <w:bottom w:val="nil"/>
              <w:right w:val="nil"/>
            </w:tcBorders>
            <w:shd w:val="clear" w:color="auto" w:fill="auto"/>
            <w:noWrap/>
            <w:vAlign w:val="bottom"/>
            <w:hideMark/>
          </w:tcPr>
          <w:p w14:paraId="7098703F" w14:textId="77777777" w:rsidR="00E45705" w:rsidRPr="001B09E6" w:rsidRDefault="00E45705" w:rsidP="00E45705">
            <w:pPr>
              <w:pStyle w:val="TableCellText"/>
              <w:spacing w:before="0" w:after="0"/>
              <w:ind w:left="0" w:right="0"/>
              <w:rPr>
                <w:lang w:eastAsia="en-AU"/>
              </w:rPr>
            </w:pPr>
            <w:r w:rsidRPr="001B09E6">
              <w:rPr>
                <w:lang w:eastAsia="en-AU"/>
              </w:rPr>
              <w:t>Quintile 1: Most disadvantaged</w:t>
            </w:r>
          </w:p>
        </w:tc>
        <w:tc>
          <w:tcPr>
            <w:tcW w:w="687" w:type="pct"/>
            <w:tcBorders>
              <w:top w:val="nil"/>
              <w:left w:val="nil"/>
              <w:bottom w:val="nil"/>
              <w:right w:val="nil"/>
            </w:tcBorders>
            <w:shd w:val="clear" w:color="auto" w:fill="auto"/>
            <w:noWrap/>
            <w:vAlign w:val="bottom"/>
            <w:hideMark/>
          </w:tcPr>
          <w:p w14:paraId="231705D1"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15.0</w:t>
            </w:r>
          </w:p>
        </w:tc>
        <w:tc>
          <w:tcPr>
            <w:tcW w:w="687" w:type="pct"/>
            <w:tcBorders>
              <w:top w:val="nil"/>
              <w:left w:val="nil"/>
              <w:bottom w:val="nil"/>
              <w:right w:val="nil"/>
            </w:tcBorders>
            <w:shd w:val="clear" w:color="auto" w:fill="auto"/>
            <w:noWrap/>
            <w:vAlign w:val="bottom"/>
            <w:hideMark/>
          </w:tcPr>
          <w:p w14:paraId="4546F02D"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15.0</w:t>
            </w:r>
          </w:p>
        </w:tc>
        <w:tc>
          <w:tcPr>
            <w:tcW w:w="687" w:type="pct"/>
            <w:tcBorders>
              <w:top w:val="nil"/>
              <w:left w:val="nil"/>
              <w:bottom w:val="nil"/>
              <w:right w:val="nil"/>
            </w:tcBorders>
            <w:shd w:val="clear" w:color="auto" w:fill="auto"/>
            <w:noWrap/>
            <w:vAlign w:val="bottom"/>
            <w:hideMark/>
          </w:tcPr>
          <w:p w14:paraId="4D78D29A"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14.9</w:t>
            </w:r>
          </w:p>
        </w:tc>
        <w:tc>
          <w:tcPr>
            <w:tcW w:w="687" w:type="pct"/>
            <w:tcBorders>
              <w:top w:val="nil"/>
              <w:left w:val="nil"/>
              <w:bottom w:val="nil"/>
              <w:right w:val="nil"/>
            </w:tcBorders>
            <w:shd w:val="clear" w:color="auto" w:fill="auto"/>
            <w:noWrap/>
            <w:vAlign w:val="bottom"/>
            <w:hideMark/>
          </w:tcPr>
          <w:p w14:paraId="2F343922"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14.6</w:t>
            </w:r>
          </w:p>
        </w:tc>
        <w:tc>
          <w:tcPr>
            <w:tcW w:w="687" w:type="pct"/>
            <w:tcBorders>
              <w:top w:val="nil"/>
              <w:left w:val="nil"/>
              <w:bottom w:val="nil"/>
              <w:right w:val="nil"/>
            </w:tcBorders>
            <w:shd w:val="clear" w:color="auto" w:fill="auto"/>
            <w:noWrap/>
            <w:vAlign w:val="bottom"/>
            <w:hideMark/>
          </w:tcPr>
          <w:p w14:paraId="0180A95E"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14.5</w:t>
            </w:r>
          </w:p>
        </w:tc>
      </w:tr>
      <w:tr w:rsidR="00E45705" w:rsidRPr="001B09E6" w14:paraId="03B526F0" w14:textId="77777777" w:rsidTr="00E45705">
        <w:trPr>
          <w:trHeight w:val="300"/>
        </w:trPr>
        <w:tc>
          <w:tcPr>
            <w:tcW w:w="1565" w:type="pct"/>
            <w:tcBorders>
              <w:top w:val="nil"/>
              <w:left w:val="nil"/>
              <w:bottom w:val="nil"/>
              <w:right w:val="nil"/>
            </w:tcBorders>
            <w:shd w:val="clear" w:color="auto" w:fill="auto"/>
            <w:noWrap/>
            <w:vAlign w:val="bottom"/>
            <w:hideMark/>
          </w:tcPr>
          <w:p w14:paraId="2FCFFE2E" w14:textId="77777777" w:rsidR="00E45705" w:rsidRPr="001B09E6" w:rsidRDefault="00E45705" w:rsidP="00E45705">
            <w:pPr>
              <w:pStyle w:val="TableCellText"/>
              <w:spacing w:before="0" w:after="0"/>
              <w:ind w:left="0" w:right="0"/>
              <w:rPr>
                <w:lang w:eastAsia="en-AU"/>
              </w:rPr>
            </w:pPr>
            <w:r w:rsidRPr="001B09E6">
              <w:rPr>
                <w:lang w:eastAsia="en-AU"/>
              </w:rPr>
              <w:t>Quintile 2</w:t>
            </w:r>
          </w:p>
        </w:tc>
        <w:tc>
          <w:tcPr>
            <w:tcW w:w="687" w:type="pct"/>
            <w:tcBorders>
              <w:top w:val="nil"/>
              <w:left w:val="nil"/>
              <w:bottom w:val="nil"/>
              <w:right w:val="nil"/>
            </w:tcBorders>
            <w:shd w:val="clear" w:color="auto" w:fill="auto"/>
            <w:noWrap/>
            <w:vAlign w:val="bottom"/>
            <w:hideMark/>
          </w:tcPr>
          <w:p w14:paraId="5956E8E6"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24.2</w:t>
            </w:r>
          </w:p>
        </w:tc>
        <w:tc>
          <w:tcPr>
            <w:tcW w:w="687" w:type="pct"/>
            <w:tcBorders>
              <w:top w:val="nil"/>
              <w:left w:val="nil"/>
              <w:bottom w:val="nil"/>
              <w:right w:val="nil"/>
            </w:tcBorders>
            <w:shd w:val="clear" w:color="auto" w:fill="auto"/>
            <w:noWrap/>
            <w:vAlign w:val="bottom"/>
            <w:hideMark/>
          </w:tcPr>
          <w:p w14:paraId="7631B69D"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23.7</w:t>
            </w:r>
          </w:p>
        </w:tc>
        <w:tc>
          <w:tcPr>
            <w:tcW w:w="687" w:type="pct"/>
            <w:tcBorders>
              <w:top w:val="nil"/>
              <w:left w:val="nil"/>
              <w:bottom w:val="nil"/>
              <w:right w:val="nil"/>
            </w:tcBorders>
            <w:shd w:val="clear" w:color="auto" w:fill="auto"/>
            <w:noWrap/>
            <w:vAlign w:val="bottom"/>
            <w:hideMark/>
          </w:tcPr>
          <w:p w14:paraId="6C3796EC"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23.6</w:t>
            </w:r>
          </w:p>
        </w:tc>
        <w:tc>
          <w:tcPr>
            <w:tcW w:w="687" w:type="pct"/>
            <w:tcBorders>
              <w:top w:val="nil"/>
              <w:left w:val="nil"/>
              <w:bottom w:val="nil"/>
              <w:right w:val="nil"/>
            </w:tcBorders>
            <w:shd w:val="clear" w:color="auto" w:fill="auto"/>
            <w:noWrap/>
            <w:vAlign w:val="bottom"/>
            <w:hideMark/>
          </w:tcPr>
          <w:p w14:paraId="2BA5DF89"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23.7</w:t>
            </w:r>
          </w:p>
        </w:tc>
        <w:tc>
          <w:tcPr>
            <w:tcW w:w="687" w:type="pct"/>
            <w:tcBorders>
              <w:top w:val="nil"/>
              <w:left w:val="nil"/>
              <w:bottom w:val="nil"/>
              <w:right w:val="nil"/>
            </w:tcBorders>
            <w:shd w:val="clear" w:color="auto" w:fill="auto"/>
            <w:noWrap/>
            <w:vAlign w:val="bottom"/>
            <w:hideMark/>
          </w:tcPr>
          <w:p w14:paraId="157D51BB"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23.8</w:t>
            </w:r>
          </w:p>
        </w:tc>
      </w:tr>
      <w:tr w:rsidR="00E45705" w:rsidRPr="001B09E6" w14:paraId="2194757C" w14:textId="77777777" w:rsidTr="00E45705">
        <w:trPr>
          <w:trHeight w:val="300"/>
        </w:trPr>
        <w:tc>
          <w:tcPr>
            <w:tcW w:w="1565" w:type="pct"/>
            <w:tcBorders>
              <w:top w:val="nil"/>
              <w:left w:val="nil"/>
              <w:bottom w:val="nil"/>
              <w:right w:val="nil"/>
            </w:tcBorders>
            <w:shd w:val="clear" w:color="auto" w:fill="auto"/>
            <w:noWrap/>
            <w:vAlign w:val="bottom"/>
            <w:hideMark/>
          </w:tcPr>
          <w:p w14:paraId="57A37AE9" w14:textId="77777777" w:rsidR="00E45705" w:rsidRPr="001B09E6" w:rsidRDefault="00E45705" w:rsidP="00E45705">
            <w:pPr>
              <w:pStyle w:val="TableCellText"/>
              <w:spacing w:before="0" w:after="0"/>
              <w:ind w:left="0" w:right="0"/>
              <w:rPr>
                <w:lang w:eastAsia="en-AU"/>
              </w:rPr>
            </w:pPr>
            <w:r w:rsidRPr="001B09E6">
              <w:rPr>
                <w:lang w:eastAsia="en-AU"/>
              </w:rPr>
              <w:t>Quintile 3</w:t>
            </w:r>
          </w:p>
        </w:tc>
        <w:tc>
          <w:tcPr>
            <w:tcW w:w="687" w:type="pct"/>
            <w:tcBorders>
              <w:top w:val="nil"/>
              <w:left w:val="nil"/>
              <w:bottom w:val="nil"/>
              <w:right w:val="nil"/>
            </w:tcBorders>
            <w:shd w:val="clear" w:color="auto" w:fill="auto"/>
            <w:noWrap/>
            <w:vAlign w:val="bottom"/>
            <w:hideMark/>
          </w:tcPr>
          <w:p w14:paraId="35AF1F8D"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24.4</w:t>
            </w:r>
          </w:p>
        </w:tc>
        <w:tc>
          <w:tcPr>
            <w:tcW w:w="687" w:type="pct"/>
            <w:tcBorders>
              <w:top w:val="nil"/>
              <w:left w:val="nil"/>
              <w:bottom w:val="nil"/>
              <w:right w:val="nil"/>
            </w:tcBorders>
            <w:shd w:val="clear" w:color="auto" w:fill="auto"/>
            <w:noWrap/>
            <w:vAlign w:val="bottom"/>
            <w:hideMark/>
          </w:tcPr>
          <w:p w14:paraId="1A5A3513"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21.9</w:t>
            </w:r>
          </w:p>
        </w:tc>
        <w:tc>
          <w:tcPr>
            <w:tcW w:w="687" w:type="pct"/>
            <w:tcBorders>
              <w:top w:val="nil"/>
              <w:left w:val="nil"/>
              <w:bottom w:val="nil"/>
              <w:right w:val="nil"/>
            </w:tcBorders>
            <w:shd w:val="clear" w:color="auto" w:fill="auto"/>
            <w:noWrap/>
            <w:vAlign w:val="bottom"/>
            <w:hideMark/>
          </w:tcPr>
          <w:p w14:paraId="11B2CD02"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22.5</w:t>
            </w:r>
          </w:p>
        </w:tc>
        <w:tc>
          <w:tcPr>
            <w:tcW w:w="687" w:type="pct"/>
            <w:tcBorders>
              <w:top w:val="nil"/>
              <w:left w:val="nil"/>
              <w:bottom w:val="nil"/>
              <w:right w:val="nil"/>
            </w:tcBorders>
            <w:shd w:val="clear" w:color="auto" w:fill="auto"/>
            <w:noWrap/>
            <w:vAlign w:val="bottom"/>
            <w:hideMark/>
          </w:tcPr>
          <w:p w14:paraId="136F748F"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22.6</w:t>
            </w:r>
          </w:p>
        </w:tc>
        <w:tc>
          <w:tcPr>
            <w:tcW w:w="687" w:type="pct"/>
            <w:tcBorders>
              <w:top w:val="nil"/>
              <w:left w:val="nil"/>
              <w:bottom w:val="nil"/>
              <w:right w:val="nil"/>
            </w:tcBorders>
            <w:shd w:val="clear" w:color="auto" w:fill="auto"/>
            <w:noWrap/>
            <w:vAlign w:val="bottom"/>
            <w:hideMark/>
          </w:tcPr>
          <w:p w14:paraId="35D75995"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22.6</w:t>
            </w:r>
          </w:p>
        </w:tc>
      </w:tr>
      <w:tr w:rsidR="00E45705" w:rsidRPr="001B09E6" w14:paraId="5C83DD97" w14:textId="77777777" w:rsidTr="00E45705">
        <w:trPr>
          <w:trHeight w:val="300"/>
        </w:trPr>
        <w:tc>
          <w:tcPr>
            <w:tcW w:w="1565" w:type="pct"/>
            <w:tcBorders>
              <w:top w:val="nil"/>
              <w:left w:val="nil"/>
              <w:bottom w:val="nil"/>
              <w:right w:val="nil"/>
            </w:tcBorders>
            <w:shd w:val="clear" w:color="auto" w:fill="auto"/>
            <w:noWrap/>
            <w:vAlign w:val="bottom"/>
            <w:hideMark/>
          </w:tcPr>
          <w:p w14:paraId="576BCD0B" w14:textId="77777777" w:rsidR="00E45705" w:rsidRPr="001B09E6" w:rsidRDefault="00E45705" w:rsidP="00E45705">
            <w:pPr>
              <w:pStyle w:val="TableCellText"/>
              <w:spacing w:before="0" w:after="0"/>
              <w:ind w:left="0" w:right="0"/>
              <w:rPr>
                <w:lang w:eastAsia="en-AU"/>
              </w:rPr>
            </w:pPr>
            <w:r w:rsidRPr="001B09E6">
              <w:rPr>
                <w:lang w:eastAsia="en-AU"/>
              </w:rPr>
              <w:t>Quintile 4</w:t>
            </w:r>
          </w:p>
        </w:tc>
        <w:tc>
          <w:tcPr>
            <w:tcW w:w="687" w:type="pct"/>
            <w:tcBorders>
              <w:top w:val="nil"/>
              <w:left w:val="nil"/>
              <w:bottom w:val="nil"/>
              <w:right w:val="nil"/>
            </w:tcBorders>
            <w:shd w:val="clear" w:color="auto" w:fill="auto"/>
            <w:noWrap/>
            <w:vAlign w:val="bottom"/>
            <w:hideMark/>
          </w:tcPr>
          <w:p w14:paraId="5DA60546"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20.3</w:t>
            </w:r>
          </w:p>
        </w:tc>
        <w:tc>
          <w:tcPr>
            <w:tcW w:w="687" w:type="pct"/>
            <w:tcBorders>
              <w:top w:val="nil"/>
              <w:left w:val="nil"/>
              <w:bottom w:val="nil"/>
              <w:right w:val="nil"/>
            </w:tcBorders>
            <w:shd w:val="clear" w:color="auto" w:fill="auto"/>
            <w:noWrap/>
            <w:vAlign w:val="bottom"/>
            <w:hideMark/>
          </w:tcPr>
          <w:p w14:paraId="452525F2"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22.5</w:t>
            </w:r>
          </w:p>
        </w:tc>
        <w:tc>
          <w:tcPr>
            <w:tcW w:w="687" w:type="pct"/>
            <w:tcBorders>
              <w:top w:val="nil"/>
              <w:left w:val="nil"/>
              <w:bottom w:val="nil"/>
              <w:right w:val="nil"/>
            </w:tcBorders>
            <w:shd w:val="clear" w:color="auto" w:fill="auto"/>
            <w:noWrap/>
            <w:vAlign w:val="bottom"/>
            <w:hideMark/>
          </w:tcPr>
          <w:p w14:paraId="3D2D94BF"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22.8</w:t>
            </w:r>
          </w:p>
        </w:tc>
        <w:tc>
          <w:tcPr>
            <w:tcW w:w="687" w:type="pct"/>
            <w:tcBorders>
              <w:top w:val="nil"/>
              <w:left w:val="nil"/>
              <w:bottom w:val="nil"/>
              <w:right w:val="nil"/>
            </w:tcBorders>
            <w:shd w:val="clear" w:color="auto" w:fill="auto"/>
            <w:noWrap/>
            <w:vAlign w:val="bottom"/>
            <w:hideMark/>
          </w:tcPr>
          <w:p w14:paraId="18B04971"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22.9</w:t>
            </w:r>
          </w:p>
        </w:tc>
        <w:tc>
          <w:tcPr>
            <w:tcW w:w="687" w:type="pct"/>
            <w:tcBorders>
              <w:top w:val="nil"/>
              <w:left w:val="nil"/>
              <w:bottom w:val="nil"/>
              <w:right w:val="nil"/>
            </w:tcBorders>
            <w:shd w:val="clear" w:color="auto" w:fill="auto"/>
            <w:noWrap/>
            <w:vAlign w:val="bottom"/>
            <w:hideMark/>
          </w:tcPr>
          <w:p w14:paraId="3DFE36AA"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23.0</w:t>
            </w:r>
          </w:p>
        </w:tc>
      </w:tr>
      <w:tr w:rsidR="00E45705" w:rsidRPr="001B09E6" w14:paraId="2C77DBA4" w14:textId="77777777" w:rsidTr="00E45705">
        <w:trPr>
          <w:trHeight w:val="300"/>
        </w:trPr>
        <w:tc>
          <w:tcPr>
            <w:tcW w:w="1565" w:type="pct"/>
            <w:tcBorders>
              <w:top w:val="nil"/>
              <w:left w:val="nil"/>
              <w:bottom w:val="single" w:sz="4" w:space="0" w:color="auto"/>
              <w:right w:val="nil"/>
            </w:tcBorders>
            <w:shd w:val="clear" w:color="auto" w:fill="auto"/>
            <w:noWrap/>
            <w:vAlign w:val="bottom"/>
            <w:hideMark/>
          </w:tcPr>
          <w:p w14:paraId="49D8CEC9" w14:textId="77777777" w:rsidR="00E45705" w:rsidRPr="001B09E6" w:rsidRDefault="00E45705" w:rsidP="00E45705">
            <w:pPr>
              <w:pStyle w:val="TableCellText"/>
              <w:spacing w:before="0" w:after="0"/>
              <w:ind w:left="0" w:right="0"/>
              <w:rPr>
                <w:lang w:eastAsia="en-AU"/>
              </w:rPr>
            </w:pPr>
            <w:r w:rsidRPr="001B09E6">
              <w:rPr>
                <w:lang w:eastAsia="en-AU"/>
              </w:rPr>
              <w:t>Quintile 5: Least disadvantaged</w:t>
            </w:r>
          </w:p>
        </w:tc>
        <w:tc>
          <w:tcPr>
            <w:tcW w:w="687" w:type="pct"/>
            <w:tcBorders>
              <w:top w:val="nil"/>
              <w:left w:val="nil"/>
              <w:bottom w:val="single" w:sz="4" w:space="0" w:color="auto"/>
              <w:right w:val="nil"/>
            </w:tcBorders>
            <w:shd w:val="clear" w:color="auto" w:fill="auto"/>
            <w:noWrap/>
            <w:vAlign w:val="bottom"/>
            <w:hideMark/>
          </w:tcPr>
          <w:p w14:paraId="1D81C233"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16.1</w:t>
            </w:r>
          </w:p>
        </w:tc>
        <w:tc>
          <w:tcPr>
            <w:tcW w:w="687" w:type="pct"/>
            <w:tcBorders>
              <w:top w:val="nil"/>
              <w:left w:val="nil"/>
              <w:bottom w:val="single" w:sz="4" w:space="0" w:color="auto"/>
              <w:right w:val="nil"/>
            </w:tcBorders>
            <w:shd w:val="clear" w:color="auto" w:fill="auto"/>
            <w:noWrap/>
            <w:vAlign w:val="bottom"/>
            <w:hideMark/>
          </w:tcPr>
          <w:p w14:paraId="1603D574"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16.8</w:t>
            </w:r>
          </w:p>
        </w:tc>
        <w:tc>
          <w:tcPr>
            <w:tcW w:w="687" w:type="pct"/>
            <w:tcBorders>
              <w:top w:val="nil"/>
              <w:left w:val="nil"/>
              <w:bottom w:val="single" w:sz="4" w:space="0" w:color="auto"/>
              <w:right w:val="nil"/>
            </w:tcBorders>
            <w:shd w:val="clear" w:color="auto" w:fill="auto"/>
            <w:noWrap/>
            <w:vAlign w:val="bottom"/>
            <w:hideMark/>
          </w:tcPr>
          <w:p w14:paraId="2C207C16"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16.3</w:t>
            </w:r>
          </w:p>
        </w:tc>
        <w:tc>
          <w:tcPr>
            <w:tcW w:w="687" w:type="pct"/>
            <w:tcBorders>
              <w:top w:val="nil"/>
              <w:left w:val="nil"/>
              <w:bottom w:val="single" w:sz="4" w:space="0" w:color="auto"/>
              <w:right w:val="nil"/>
            </w:tcBorders>
            <w:shd w:val="clear" w:color="auto" w:fill="auto"/>
            <w:noWrap/>
            <w:vAlign w:val="bottom"/>
            <w:hideMark/>
          </w:tcPr>
          <w:p w14:paraId="754533A0"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16.2</w:t>
            </w:r>
          </w:p>
        </w:tc>
        <w:tc>
          <w:tcPr>
            <w:tcW w:w="687" w:type="pct"/>
            <w:tcBorders>
              <w:top w:val="nil"/>
              <w:left w:val="nil"/>
              <w:bottom w:val="single" w:sz="4" w:space="0" w:color="auto"/>
              <w:right w:val="nil"/>
            </w:tcBorders>
            <w:shd w:val="clear" w:color="auto" w:fill="auto"/>
            <w:noWrap/>
            <w:vAlign w:val="bottom"/>
            <w:hideMark/>
          </w:tcPr>
          <w:p w14:paraId="7ADA86F2"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16.0</w:t>
            </w:r>
          </w:p>
        </w:tc>
      </w:tr>
      <w:tr w:rsidR="00E45705" w:rsidRPr="001B09E6" w14:paraId="7B639236" w14:textId="77777777" w:rsidTr="00E45705">
        <w:trPr>
          <w:trHeight w:val="300"/>
        </w:trPr>
        <w:tc>
          <w:tcPr>
            <w:tcW w:w="2939" w:type="pct"/>
            <w:gridSpan w:val="3"/>
            <w:tcBorders>
              <w:top w:val="nil"/>
              <w:left w:val="nil"/>
              <w:bottom w:val="nil"/>
              <w:right w:val="nil"/>
            </w:tcBorders>
            <w:shd w:val="clear" w:color="auto" w:fill="auto"/>
            <w:noWrap/>
            <w:vAlign w:val="bottom"/>
            <w:hideMark/>
          </w:tcPr>
          <w:p w14:paraId="0D31E172" w14:textId="77777777" w:rsidR="00E45705" w:rsidRPr="001B09E6" w:rsidRDefault="00E45705" w:rsidP="00E45705">
            <w:pPr>
              <w:pStyle w:val="Tablenote"/>
              <w:rPr>
                <w:lang w:eastAsia="en-AU"/>
              </w:rPr>
            </w:pPr>
            <w:r w:rsidRPr="001B09E6">
              <w:rPr>
                <w:lang w:eastAsia="en-AU"/>
              </w:rPr>
              <w:t>Source: National VET in Schools Collection</w:t>
            </w:r>
          </w:p>
        </w:tc>
        <w:tc>
          <w:tcPr>
            <w:tcW w:w="687" w:type="pct"/>
            <w:tcBorders>
              <w:top w:val="nil"/>
              <w:left w:val="nil"/>
              <w:bottom w:val="nil"/>
              <w:right w:val="nil"/>
            </w:tcBorders>
            <w:shd w:val="clear" w:color="auto" w:fill="auto"/>
            <w:noWrap/>
            <w:vAlign w:val="bottom"/>
            <w:hideMark/>
          </w:tcPr>
          <w:p w14:paraId="4DA2951A" w14:textId="77777777" w:rsidR="00E45705" w:rsidRPr="001B09E6" w:rsidRDefault="00E45705" w:rsidP="00E45705">
            <w:pPr>
              <w:pStyle w:val="Tablenote"/>
              <w:jc w:val="center"/>
              <w:rPr>
                <w:rFonts w:ascii="Arial" w:hAnsi="Arial" w:cs="Arial"/>
                <w:color w:val="000000"/>
                <w:lang w:eastAsia="en-AU"/>
              </w:rPr>
            </w:pPr>
          </w:p>
        </w:tc>
        <w:tc>
          <w:tcPr>
            <w:tcW w:w="687" w:type="pct"/>
            <w:tcBorders>
              <w:top w:val="nil"/>
              <w:left w:val="nil"/>
              <w:bottom w:val="nil"/>
              <w:right w:val="nil"/>
            </w:tcBorders>
            <w:shd w:val="clear" w:color="auto" w:fill="auto"/>
            <w:noWrap/>
            <w:vAlign w:val="bottom"/>
            <w:hideMark/>
          </w:tcPr>
          <w:p w14:paraId="713ED33E" w14:textId="77777777" w:rsidR="00E45705" w:rsidRPr="001B09E6" w:rsidRDefault="00E45705" w:rsidP="00E45705">
            <w:pPr>
              <w:pStyle w:val="Tablenote"/>
              <w:jc w:val="center"/>
              <w:rPr>
                <w:rFonts w:ascii="Arial" w:hAnsi="Arial" w:cs="Arial"/>
                <w:color w:val="000000"/>
                <w:lang w:eastAsia="en-AU"/>
              </w:rPr>
            </w:pPr>
          </w:p>
        </w:tc>
        <w:tc>
          <w:tcPr>
            <w:tcW w:w="687" w:type="pct"/>
            <w:tcBorders>
              <w:top w:val="nil"/>
              <w:left w:val="nil"/>
              <w:bottom w:val="nil"/>
              <w:right w:val="nil"/>
            </w:tcBorders>
            <w:shd w:val="clear" w:color="auto" w:fill="auto"/>
            <w:noWrap/>
            <w:vAlign w:val="bottom"/>
            <w:hideMark/>
          </w:tcPr>
          <w:p w14:paraId="123AF8B2" w14:textId="77777777" w:rsidR="00E45705" w:rsidRPr="001B09E6" w:rsidRDefault="00E45705" w:rsidP="00E45705">
            <w:pPr>
              <w:pStyle w:val="Tablenote"/>
              <w:jc w:val="center"/>
              <w:rPr>
                <w:rFonts w:ascii="Arial" w:hAnsi="Arial" w:cs="Arial"/>
                <w:color w:val="000000"/>
                <w:lang w:eastAsia="en-AU"/>
              </w:rPr>
            </w:pPr>
          </w:p>
        </w:tc>
      </w:tr>
    </w:tbl>
    <w:p w14:paraId="35ED21BF" w14:textId="77777777" w:rsidR="00E45705" w:rsidRPr="001B09E6" w:rsidRDefault="00E45705" w:rsidP="00E45705">
      <w:pPr>
        <w:pStyle w:val="Heading3NoNumbering"/>
      </w:pPr>
      <w:bookmarkStart w:id="158" w:name="_Toc192134401"/>
      <w:bookmarkStart w:id="159" w:name="_Toc333918990"/>
      <w:r w:rsidRPr="001B09E6">
        <w:t>Table A2.11: VET in Schools participation, remoteness</w:t>
      </w:r>
      <w:bookmarkEnd w:id="158"/>
      <w:bookmarkEnd w:id="159"/>
    </w:p>
    <w:p w14:paraId="6534673D" w14:textId="77777777" w:rsidR="00E45705" w:rsidRPr="001B09E6" w:rsidRDefault="00E45705" w:rsidP="00E45705">
      <w:pPr>
        <w:pStyle w:val="TableHeading"/>
        <w:spacing w:before="112"/>
      </w:pPr>
      <w:r w:rsidRPr="001B09E6">
        <w:t>PERCENTAGE OF 15 to 19 year olds participating in VET in Schools as a proportion of estimated resident population, by student remoteness (ARIA+) region, excluding Queensland, 2005-10</w:t>
      </w:r>
    </w:p>
    <w:tbl>
      <w:tblPr>
        <w:tblW w:w="5000" w:type="pct"/>
        <w:tblLook w:val="04A0" w:firstRow="1" w:lastRow="0" w:firstColumn="1" w:lastColumn="0" w:noHBand="0" w:noVBand="1"/>
        <w:tblCaption w:val="Table A2.11: VET in Schools participation, remoteness PERCENTAGE OF 15 to 19 year olds participating in VET in Schools as a proportion of estimated resident population, by student remoteness (ARIA+) region, excluding Queensland, 2005-10 "/>
        <w:tblDescription w:val="Table A2.11: VET in Schools participation, remoteness&#10;PERCENTAGE OF 15 to 19 year olds participating in VET in Schools as a proportion of estimated resident population, by student remoteness (ARIA+) region, excluding Queensland, 2005-10&#10;"/>
      </w:tblPr>
      <w:tblGrid>
        <w:gridCol w:w="2796"/>
        <w:gridCol w:w="1970"/>
        <w:gridCol w:w="1970"/>
        <w:gridCol w:w="1970"/>
        <w:gridCol w:w="1970"/>
        <w:gridCol w:w="1970"/>
        <w:gridCol w:w="1970"/>
      </w:tblGrid>
      <w:tr w:rsidR="00E45705" w:rsidRPr="001B09E6" w14:paraId="72D2FFA1" w14:textId="77777777" w:rsidTr="00E45705">
        <w:trPr>
          <w:trHeight w:val="300"/>
        </w:trPr>
        <w:tc>
          <w:tcPr>
            <w:tcW w:w="956" w:type="pct"/>
            <w:tcBorders>
              <w:top w:val="single" w:sz="4" w:space="0" w:color="auto"/>
              <w:left w:val="nil"/>
              <w:bottom w:val="single" w:sz="4" w:space="0" w:color="auto"/>
              <w:right w:val="nil"/>
            </w:tcBorders>
            <w:shd w:val="clear" w:color="auto" w:fill="auto"/>
            <w:noWrap/>
            <w:vAlign w:val="bottom"/>
            <w:hideMark/>
          </w:tcPr>
          <w:p w14:paraId="26697A9C" w14:textId="77777777" w:rsidR="00E45705" w:rsidRPr="001B09E6" w:rsidRDefault="00E45705" w:rsidP="00E45705">
            <w:pPr>
              <w:pStyle w:val="TableColumnHeading"/>
              <w:spacing w:before="0" w:after="0"/>
              <w:ind w:left="0" w:right="0"/>
            </w:pPr>
          </w:p>
        </w:tc>
        <w:tc>
          <w:tcPr>
            <w:tcW w:w="674" w:type="pct"/>
            <w:tcBorders>
              <w:top w:val="single" w:sz="4" w:space="0" w:color="auto"/>
              <w:left w:val="nil"/>
              <w:bottom w:val="single" w:sz="4" w:space="0" w:color="auto"/>
              <w:right w:val="nil"/>
            </w:tcBorders>
            <w:shd w:val="clear" w:color="auto" w:fill="auto"/>
            <w:noWrap/>
            <w:vAlign w:val="bottom"/>
            <w:hideMark/>
          </w:tcPr>
          <w:p w14:paraId="37917848" w14:textId="77777777" w:rsidR="00E45705" w:rsidRPr="001B09E6" w:rsidRDefault="00E45705" w:rsidP="00E45705">
            <w:pPr>
              <w:pStyle w:val="TableColumnHeading"/>
              <w:spacing w:before="0" w:after="0"/>
              <w:ind w:left="0" w:right="0"/>
              <w:jc w:val="center"/>
              <w:rPr>
                <w:lang w:eastAsia="en-AU"/>
              </w:rPr>
            </w:pPr>
            <w:r w:rsidRPr="001B09E6">
              <w:rPr>
                <w:szCs w:val="16"/>
              </w:rPr>
              <w:t>2005</w:t>
            </w:r>
          </w:p>
        </w:tc>
        <w:tc>
          <w:tcPr>
            <w:tcW w:w="674" w:type="pct"/>
            <w:tcBorders>
              <w:top w:val="single" w:sz="4" w:space="0" w:color="auto"/>
              <w:left w:val="nil"/>
              <w:bottom w:val="single" w:sz="4" w:space="0" w:color="auto"/>
              <w:right w:val="nil"/>
            </w:tcBorders>
            <w:shd w:val="clear" w:color="auto" w:fill="auto"/>
            <w:noWrap/>
            <w:vAlign w:val="bottom"/>
            <w:hideMark/>
          </w:tcPr>
          <w:p w14:paraId="62C0322E" w14:textId="77777777" w:rsidR="00E45705" w:rsidRPr="001B09E6" w:rsidRDefault="00E45705" w:rsidP="00E45705">
            <w:pPr>
              <w:pStyle w:val="TableColumnHeading"/>
              <w:spacing w:before="0" w:after="0"/>
              <w:ind w:left="0" w:right="0"/>
              <w:jc w:val="center"/>
              <w:rPr>
                <w:lang w:eastAsia="en-AU"/>
              </w:rPr>
            </w:pPr>
            <w:r w:rsidRPr="001B09E6">
              <w:rPr>
                <w:szCs w:val="16"/>
              </w:rPr>
              <w:t>2006</w:t>
            </w:r>
          </w:p>
        </w:tc>
        <w:tc>
          <w:tcPr>
            <w:tcW w:w="674" w:type="pct"/>
            <w:tcBorders>
              <w:top w:val="single" w:sz="4" w:space="0" w:color="auto"/>
              <w:left w:val="nil"/>
              <w:bottom w:val="single" w:sz="4" w:space="0" w:color="auto"/>
              <w:right w:val="nil"/>
            </w:tcBorders>
            <w:shd w:val="clear" w:color="auto" w:fill="auto"/>
            <w:noWrap/>
            <w:vAlign w:val="bottom"/>
            <w:hideMark/>
          </w:tcPr>
          <w:p w14:paraId="0251E841" w14:textId="77777777" w:rsidR="00E45705" w:rsidRPr="001B09E6" w:rsidRDefault="00E45705" w:rsidP="00E45705">
            <w:pPr>
              <w:pStyle w:val="TableColumnHeading"/>
              <w:spacing w:before="0" w:after="0"/>
              <w:ind w:left="0" w:right="0"/>
              <w:jc w:val="center"/>
              <w:rPr>
                <w:lang w:eastAsia="en-AU"/>
              </w:rPr>
            </w:pPr>
            <w:r w:rsidRPr="001B09E6">
              <w:rPr>
                <w:szCs w:val="16"/>
              </w:rPr>
              <w:t>2007</w:t>
            </w:r>
          </w:p>
        </w:tc>
        <w:tc>
          <w:tcPr>
            <w:tcW w:w="674" w:type="pct"/>
            <w:tcBorders>
              <w:top w:val="single" w:sz="4" w:space="0" w:color="auto"/>
              <w:left w:val="nil"/>
              <w:bottom w:val="single" w:sz="4" w:space="0" w:color="auto"/>
              <w:right w:val="nil"/>
            </w:tcBorders>
            <w:shd w:val="clear" w:color="auto" w:fill="auto"/>
            <w:noWrap/>
            <w:vAlign w:val="bottom"/>
            <w:hideMark/>
          </w:tcPr>
          <w:p w14:paraId="1B47BB6A" w14:textId="77777777" w:rsidR="00E45705" w:rsidRPr="001B09E6" w:rsidRDefault="00E45705" w:rsidP="00E45705">
            <w:pPr>
              <w:pStyle w:val="TableColumnHeading"/>
              <w:spacing w:before="0" w:after="0"/>
              <w:ind w:left="0" w:right="0"/>
              <w:jc w:val="center"/>
              <w:rPr>
                <w:lang w:eastAsia="en-AU"/>
              </w:rPr>
            </w:pPr>
            <w:r w:rsidRPr="001B09E6">
              <w:rPr>
                <w:szCs w:val="16"/>
              </w:rPr>
              <w:t>2008</w:t>
            </w:r>
          </w:p>
        </w:tc>
        <w:tc>
          <w:tcPr>
            <w:tcW w:w="674" w:type="pct"/>
            <w:tcBorders>
              <w:top w:val="single" w:sz="4" w:space="0" w:color="auto"/>
              <w:left w:val="nil"/>
              <w:bottom w:val="single" w:sz="4" w:space="0" w:color="auto"/>
              <w:right w:val="nil"/>
            </w:tcBorders>
            <w:shd w:val="clear" w:color="auto" w:fill="auto"/>
            <w:noWrap/>
            <w:vAlign w:val="bottom"/>
            <w:hideMark/>
          </w:tcPr>
          <w:p w14:paraId="29ED9506" w14:textId="77777777" w:rsidR="00E45705" w:rsidRPr="001B09E6" w:rsidRDefault="00E45705" w:rsidP="00E45705">
            <w:pPr>
              <w:pStyle w:val="TableColumnHeading"/>
              <w:spacing w:before="0" w:after="0"/>
              <w:ind w:left="0" w:right="0"/>
              <w:jc w:val="center"/>
              <w:rPr>
                <w:lang w:eastAsia="en-AU"/>
              </w:rPr>
            </w:pPr>
            <w:r w:rsidRPr="001B09E6">
              <w:rPr>
                <w:szCs w:val="16"/>
              </w:rPr>
              <w:t>2009</w:t>
            </w:r>
          </w:p>
        </w:tc>
        <w:tc>
          <w:tcPr>
            <w:tcW w:w="674" w:type="pct"/>
            <w:tcBorders>
              <w:top w:val="single" w:sz="4" w:space="0" w:color="auto"/>
              <w:left w:val="nil"/>
              <w:bottom w:val="single" w:sz="4" w:space="0" w:color="auto"/>
              <w:right w:val="nil"/>
            </w:tcBorders>
            <w:shd w:val="clear" w:color="auto" w:fill="auto"/>
            <w:noWrap/>
            <w:vAlign w:val="bottom"/>
            <w:hideMark/>
          </w:tcPr>
          <w:p w14:paraId="1A7AC48C" w14:textId="77777777" w:rsidR="00E45705" w:rsidRPr="001B09E6" w:rsidRDefault="00E45705" w:rsidP="00E45705">
            <w:pPr>
              <w:pStyle w:val="TableColumnHeading"/>
              <w:spacing w:before="0" w:after="0"/>
              <w:ind w:left="0" w:right="0"/>
              <w:jc w:val="center"/>
              <w:rPr>
                <w:lang w:eastAsia="en-AU"/>
              </w:rPr>
            </w:pPr>
            <w:r w:rsidRPr="001B09E6">
              <w:rPr>
                <w:szCs w:val="16"/>
              </w:rPr>
              <w:t>2010</w:t>
            </w:r>
          </w:p>
        </w:tc>
      </w:tr>
      <w:tr w:rsidR="00E45705" w:rsidRPr="001B09E6" w14:paraId="61CDB7D1" w14:textId="77777777" w:rsidTr="00E45705">
        <w:trPr>
          <w:trHeight w:val="300"/>
        </w:trPr>
        <w:tc>
          <w:tcPr>
            <w:tcW w:w="956" w:type="pct"/>
            <w:tcBorders>
              <w:top w:val="nil"/>
              <w:left w:val="nil"/>
              <w:bottom w:val="nil"/>
              <w:right w:val="nil"/>
            </w:tcBorders>
            <w:shd w:val="clear" w:color="auto" w:fill="auto"/>
            <w:noWrap/>
            <w:vAlign w:val="bottom"/>
            <w:hideMark/>
          </w:tcPr>
          <w:p w14:paraId="23A5BC5A" w14:textId="77777777" w:rsidR="00E45705" w:rsidRPr="001B09E6" w:rsidRDefault="00E45705" w:rsidP="00E45705">
            <w:pPr>
              <w:pStyle w:val="TableCellText"/>
              <w:spacing w:before="0" w:after="0"/>
              <w:ind w:left="0" w:right="0"/>
              <w:rPr>
                <w:lang w:eastAsia="en-AU"/>
              </w:rPr>
            </w:pPr>
            <w:r w:rsidRPr="001B09E6">
              <w:rPr>
                <w:lang w:eastAsia="en-AU"/>
              </w:rPr>
              <w:t>Major cities</w:t>
            </w:r>
          </w:p>
        </w:tc>
        <w:tc>
          <w:tcPr>
            <w:tcW w:w="674" w:type="pct"/>
            <w:tcBorders>
              <w:top w:val="nil"/>
              <w:left w:val="nil"/>
              <w:bottom w:val="nil"/>
              <w:right w:val="nil"/>
            </w:tcBorders>
            <w:shd w:val="clear" w:color="auto" w:fill="auto"/>
            <w:noWrap/>
            <w:vAlign w:val="bottom"/>
            <w:hideMark/>
          </w:tcPr>
          <w:p w14:paraId="28377BB9"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0.7</w:t>
            </w:r>
          </w:p>
        </w:tc>
        <w:tc>
          <w:tcPr>
            <w:tcW w:w="674" w:type="pct"/>
            <w:tcBorders>
              <w:top w:val="nil"/>
              <w:left w:val="nil"/>
              <w:bottom w:val="nil"/>
              <w:right w:val="nil"/>
            </w:tcBorders>
            <w:shd w:val="clear" w:color="auto" w:fill="auto"/>
            <w:noWrap/>
            <w:vAlign w:val="bottom"/>
            <w:hideMark/>
          </w:tcPr>
          <w:p w14:paraId="7392366E"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0.6</w:t>
            </w:r>
          </w:p>
        </w:tc>
        <w:tc>
          <w:tcPr>
            <w:tcW w:w="674" w:type="pct"/>
            <w:tcBorders>
              <w:top w:val="nil"/>
              <w:left w:val="nil"/>
              <w:bottom w:val="nil"/>
              <w:right w:val="nil"/>
            </w:tcBorders>
            <w:shd w:val="clear" w:color="auto" w:fill="auto"/>
            <w:noWrap/>
            <w:vAlign w:val="bottom"/>
            <w:hideMark/>
          </w:tcPr>
          <w:p w14:paraId="4B3F0C14"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0.6</w:t>
            </w:r>
          </w:p>
        </w:tc>
        <w:tc>
          <w:tcPr>
            <w:tcW w:w="674" w:type="pct"/>
            <w:tcBorders>
              <w:top w:val="nil"/>
              <w:left w:val="nil"/>
              <w:bottom w:val="nil"/>
              <w:right w:val="nil"/>
            </w:tcBorders>
            <w:shd w:val="clear" w:color="auto" w:fill="auto"/>
            <w:noWrap/>
            <w:vAlign w:val="bottom"/>
            <w:hideMark/>
          </w:tcPr>
          <w:p w14:paraId="4CBF2751"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0.6</w:t>
            </w:r>
          </w:p>
        </w:tc>
        <w:tc>
          <w:tcPr>
            <w:tcW w:w="674" w:type="pct"/>
            <w:tcBorders>
              <w:top w:val="nil"/>
              <w:left w:val="nil"/>
              <w:bottom w:val="nil"/>
              <w:right w:val="nil"/>
            </w:tcBorders>
            <w:shd w:val="clear" w:color="auto" w:fill="auto"/>
            <w:noWrap/>
            <w:vAlign w:val="bottom"/>
            <w:hideMark/>
          </w:tcPr>
          <w:p w14:paraId="5C543646"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0.6</w:t>
            </w:r>
          </w:p>
        </w:tc>
        <w:tc>
          <w:tcPr>
            <w:tcW w:w="674" w:type="pct"/>
            <w:tcBorders>
              <w:top w:val="nil"/>
              <w:left w:val="nil"/>
              <w:bottom w:val="nil"/>
              <w:right w:val="nil"/>
            </w:tcBorders>
            <w:shd w:val="clear" w:color="auto" w:fill="auto"/>
            <w:noWrap/>
            <w:vAlign w:val="bottom"/>
            <w:hideMark/>
          </w:tcPr>
          <w:p w14:paraId="25B31231"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0.7</w:t>
            </w:r>
          </w:p>
        </w:tc>
      </w:tr>
      <w:tr w:rsidR="00E45705" w:rsidRPr="001B09E6" w14:paraId="44425EE0" w14:textId="77777777" w:rsidTr="00E45705">
        <w:trPr>
          <w:trHeight w:val="300"/>
        </w:trPr>
        <w:tc>
          <w:tcPr>
            <w:tcW w:w="956" w:type="pct"/>
            <w:tcBorders>
              <w:top w:val="nil"/>
              <w:left w:val="nil"/>
              <w:bottom w:val="nil"/>
              <w:right w:val="nil"/>
            </w:tcBorders>
            <w:shd w:val="clear" w:color="auto" w:fill="auto"/>
            <w:noWrap/>
            <w:vAlign w:val="bottom"/>
            <w:hideMark/>
          </w:tcPr>
          <w:p w14:paraId="2C11BAD9" w14:textId="77777777" w:rsidR="00E45705" w:rsidRPr="001B09E6" w:rsidRDefault="00E45705" w:rsidP="00E45705">
            <w:pPr>
              <w:pStyle w:val="TableCellText"/>
              <w:spacing w:before="0" w:after="0"/>
              <w:ind w:left="0" w:right="0"/>
              <w:rPr>
                <w:lang w:eastAsia="en-AU"/>
              </w:rPr>
            </w:pPr>
            <w:r w:rsidRPr="001B09E6">
              <w:rPr>
                <w:lang w:eastAsia="en-AU"/>
              </w:rPr>
              <w:t>Inner regional</w:t>
            </w:r>
          </w:p>
        </w:tc>
        <w:tc>
          <w:tcPr>
            <w:tcW w:w="674" w:type="pct"/>
            <w:tcBorders>
              <w:top w:val="nil"/>
              <w:left w:val="nil"/>
              <w:bottom w:val="nil"/>
              <w:right w:val="nil"/>
            </w:tcBorders>
            <w:shd w:val="clear" w:color="auto" w:fill="auto"/>
            <w:noWrap/>
            <w:vAlign w:val="bottom"/>
            <w:hideMark/>
          </w:tcPr>
          <w:p w14:paraId="3F39DC37"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1.0</w:t>
            </w:r>
          </w:p>
        </w:tc>
        <w:tc>
          <w:tcPr>
            <w:tcW w:w="674" w:type="pct"/>
            <w:tcBorders>
              <w:top w:val="nil"/>
              <w:left w:val="nil"/>
              <w:bottom w:val="nil"/>
              <w:right w:val="nil"/>
            </w:tcBorders>
            <w:shd w:val="clear" w:color="auto" w:fill="auto"/>
            <w:noWrap/>
            <w:vAlign w:val="bottom"/>
            <w:hideMark/>
          </w:tcPr>
          <w:p w14:paraId="29C20B77"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1.0</w:t>
            </w:r>
          </w:p>
        </w:tc>
        <w:tc>
          <w:tcPr>
            <w:tcW w:w="674" w:type="pct"/>
            <w:tcBorders>
              <w:top w:val="nil"/>
              <w:left w:val="nil"/>
              <w:bottom w:val="nil"/>
              <w:right w:val="nil"/>
            </w:tcBorders>
            <w:shd w:val="clear" w:color="auto" w:fill="auto"/>
            <w:noWrap/>
            <w:vAlign w:val="bottom"/>
            <w:hideMark/>
          </w:tcPr>
          <w:p w14:paraId="143E93C6"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0.9</w:t>
            </w:r>
          </w:p>
        </w:tc>
        <w:tc>
          <w:tcPr>
            <w:tcW w:w="674" w:type="pct"/>
            <w:tcBorders>
              <w:top w:val="nil"/>
              <w:left w:val="nil"/>
              <w:bottom w:val="nil"/>
              <w:right w:val="nil"/>
            </w:tcBorders>
            <w:shd w:val="clear" w:color="auto" w:fill="auto"/>
            <w:noWrap/>
            <w:vAlign w:val="bottom"/>
            <w:hideMark/>
          </w:tcPr>
          <w:p w14:paraId="3FB7C79B"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1.0</w:t>
            </w:r>
          </w:p>
        </w:tc>
        <w:tc>
          <w:tcPr>
            <w:tcW w:w="674" w:type="pct"/>
            <w:tcBorders>
              <w:top w:val="nil"/>
              <w:left w:val="nil"/>
              <w:bottom w:val="nil"/>
              <w:right w:val="nil"/>
            </w:tcBorders>
            <w:shd w:val="clear" w:color="auto" w:fill="auto"/>
            <w:noWrap/>
            <w:vAlign w:val="bottom"/>
            <w:hideMark/>
          </w:tcPr>
          <w:p w14:paraId="08715363"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1.1</w:t>
            </w:r>
          </w:p>
        </w:tc>
        <w:tc>
          <w:tcPr>
            <w:tcW w:w="674" w:type="pct"/>
            <w:tcBorders>
              <w:top w:val="nil"/>
              <w:left w:val="nil"/>
              <w:bottom w:val="nil"/>
              <w:right w:val="nil"/>
            </w:tcBorders>
            <w:shd w:val="clear" w:color="auto" w:fill="auto"/>
            <w:noWrap/>
            <w:vAlign w:val="bottom"/>
            <w:hideMark/>
          </w:tcPr>
          <w:p w14:paraId="7E98BAC7"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1.1</w:t>
            </w:r>
          </w:p>
        </w:tc>
      </w:tr>
      <w:tr w:rsidR="00E45705" w:rsidRPr="001B09E6" w14:paraId="0E86CD76" w14:textId="77777777" w:rsidTr="00E45705">
        <w:trPr>
          <w:trHeight w:val="300"/>
        </w:trPr>
        <w:tc>
          <w:tcPr>
            <w:tcW w:w="956" w:type="pct"/>
            <w:tcBorders>
              <w:top w:val="nil"/>
              <w:left w:val="nil"/>
              <w:bottom w:val="nil"/>
              <w:right w:val="nil"/>
            </w:tcBorders>
            <w:shd w:val="clear" w:color="auto" w:fill="auto"/>
            <w:noWrap/>
            <w:vAlign w:val="bottom"/>
            <w:hideMark/>
          </w:tcPr>
          <w:p w14:paraId="413E9782" w14:textId="77777777" w:rsidR="00E45705" w:rsidRPr="001B09E6" w:rsidRDefault="00E45705" w:rsidP="00E45705">
            <w:pPr>
              <w:pStyle w:val="TableCellText"/>
              <w:spacing w:before="0" w:after="0"/>
              <w:ind w:left="0" w:right="0"/>
              <w:rPr>
                <w:lang w:eastAsia="en-AU"/>
              </w:rPr>
            </w:pPr>
            <w:r w:rsidRPr="001B09E6">
              <w:rPr>
                <w:lang w:eastAsia="en-AU"/>
              </w:rPr>
              <w:t>Outer regional</w:t>
            </w:r>
          </w:p>
        </w:tc>
        <w:tc>
          <w:tcPr>
            <w:tcW w:w="674" w:type="pct"/>
            <w:tcBorders>
              <w:top w:val="nil"/>
              <w:left w:val="nil"/>
              <w:bottom w:val="nil"/>
              <w:right w:val="nil"/>
            </w:tcBorders>
            <w:shd w:val="clear" w:color="auto" w:fill="auto"/>
            <w:noWrap/>
            <w:vAlign w:val="bottom"/>
            <w:hideMark/>
          </w:tcPr>
          <w:p w14:paraId="194731CB"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1.2</w:t>
            </w:r>
          </w:p>
        </w:tc>
        <w:tc>
          <w:tcPr>
            <w:tcW w:w="674" w:type="pct"/>
            <w:tcBorders>
              <w:top w:val="nil"/>
              <w:left w:val="nil"/>
              <w:bottom w:val="nil"/>
              <w:right w:val="nil"/>
            </w:tcBorders>
            <w:shd w:val="clear" w:color="auto" w:fill="auto"/>
            <w:noWrap/>
            <w:vAlign w:val="bottom"/>
            <w:hideMark/>
          </w:tcPr>
          <w:p w14:paraId="5B4DEADF"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1.1</w:t>
            </w:r>
          </w:p>
        </w:tc>
        <w:tc>
          <w:tcPr>
            <w:tcW w:w="674" w:type="pct"/>
            <w:tcBorders>
              <w:top w:val="nil"/>
              <w:left w:val="nil"/>
              <w:bottom w:val="nil"/>
              <w:right w:val="nil"/>
            </w:tcBorders>
            <w:shd w:val="clear" w:color="auto" w:fill="auto"/>
            <w:noWrap/>
            <w:vAlign w:val="bottom"/>
            <w:hideMark/>
          </w:tcPr>
          <w:p w14:paraId="57385AB5"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1.2</w:t>
            </w:r>
          </w:p>
        </w:tc>
        <w:tc>
          <w:tcPr>
            <w:tcW w:w="674" w:type="pct"/>
            <w:tcBorders>
              <w:top w:val="nil"/>
              <w:left w:val="nil"/>
              <w:bottom w:val="nil"/>
              <w:right w:val="nil"/>
            </w:tcBorders>
            <w:shd w:val="clear" w:color="auto" w:fill="auto"/>
            <w:noWrap/>
            <w:vAlign w:val="bottom"/>
            <w:hideMark/>
          </w:tcPr>
          <w:p w14:paraId="27FCA899"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1.3</w:t>
            </w:r>
          </w:p>
        </w:tc>
        <w:tc>
          <w:tcPr>
            <w:tcW w:w="674" w:type="pct"/>
            <w:tcBorders>
              <w:top w:val="nil"/>
              <w:left w:val="nil"/>
              <w:bottom w:val="nil"/>
              <w:right w:val="nil"/>
            </w:tcBorders>
            <w:shd w:val="clear" w:color="auto" w:fill="auto"/>
            <w:noWrap/>
            <w:vAlign w:val="bottom"/>
            <w:hideMark/>
          </w:tcPr>
          <w:p w14:paraId="22DCBD11"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1.2</w:t>
            </w:r>
          </w:p>
        </w:tc>
        <w:tc>
          <w:tcPr>
            <w:tcW w:w="674" w:type="pct"/>
            <w:tcBorders>
              <w:top w:val="nil"/>
              <w:left w:val="nil"/>
              <w:bottom w:val="nil"/>
              <w:right w:val="nil"/>
            </w:tcBorders>
            <w:shd w:val="clear" w:color="auto" w:fill="auto"/>
            <w:noWrap/>
            <w:vAlign w:val="bottom"/>
            <w:hideMark/>
          </w:tcPr>
          <w:p w14:paraId="094DF398"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1.3</w:t>
            </w:r>
          </w:p>
        </w:tc>
      </w:tr>
      <w:tr w:rsidR="00E45705" w:rsidRPr="001B09E6" w14:paraId="1A13B3A2" w14:textId="77777777" w:rsidTr="00E45705">
        <w:trPr>
          <w:trHeight w:val="300"/>
        </w:trPr>
        <w:tc>
          <w:tcPr>
            <w:tcW w:w="956" w:type="pct"/>
            <w:tcBorders>
              <w:top w:val="nil"/>
              <w:left w:val="nil"/>
              <w:bottom w:val="nil"/>
              <w:right w:val="nil"/>
            </w:tcBorders>
            <w:shd w:val="clear" w:color="auto" w:fill="auto"/>
            <w:noWrap/>
            <w:vAlign w:val="bottom"/>
            <w:hideMark/>
          </w:tcPr>
          <w:p w14:paraId="6484E708" w14:textId="77777777" w:rsidR="00E45705" w:rsidRPr="001B09E6" w:rsidRDefault="00E45705" w:rsidP="00E45705">
            <w:pPr>
              <w:pStyle w:val="TableCellText"/>
              <w:spacing w:before="0" w:after="0"/>
              <w:ind w:left="0" w:right="0"/>
              <w:rPr>
                <w:lang w:eastAsia="en-AU"/>
              </w:rPr>
            </w:pPr>
            <w:r w:rsidRPr="001B09E6">
              <w:rPr>
                <w:lang w:eastAsia="en-AU"/>
              </w:rPr>
              <w:t>Remote</w:t>
            </w:r>
          </w:p>
        </w:tc>
        <w:tc>
          <w:tcPr>
            <w:tcW w:w="674" w:type="pct"/>
            <w:tcBorders>
              <w:top w:val="nil"/>
              <w:left w:val="nil"/>
              <w:bottom w:val="nil"/>
              <w:right w:val="nil"/>
            </w:tcBorders>
            <w:shd w:val="clear" w:color="auto" w:fill="auto"/>
            <w:noWrap/>
            <w:vAlign w:val="bottom"/>
            <w:hideMark/>
          </w:tcPr>
          <w:p w14:paraId="599FFC77"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1.2</w:t>
            </w:r>
          </w:p>
        </w:tc>
        <w:tc>
          <w:tcPr>
            <w:tcW w:w="674" w:type="pct"/>
            <w:tcBorders>
              <w:top w:val="nil"/>
              <w:left w:val="nil"/>
              <w:bottom w:val="nil"/>
              <w:right w:val="nil"/>
            </w:tcBorders>
            <w:shd w:val="clear" w:color="auto" w:fill="auto"/>
            <w:noWrap/>
            <w:vAlign w:val="bottom"/>
            <w:hideMark/>
          </w:tcPr>
          <w:p w14:paraId="69A543E9"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1.1</w:t>
            </w:r>
          </w:p>
        </w:tc>
        <w:tc>
          <w:tcPr>
            <w:tcW w:w="674" w:type="pct"/>
            <w:tcBorders>
              <w:top w:val="nil"/>
              <w:left w:val="nil"/>
              <w:bottom w:val="nil"/>
              <w:right w:val="nil"/>
            </w:tcBorders>
            <w:shd w:val="clear" w:color="auto" w:fill="auto"/>
            <w:noWrap/>
            <w:vAlign w:val="bottom"/>
            <w:hideMark/>
          </w:tcPr>
          <w:p w14:paraId="042B23F4"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1.0</w:t>
            </w:r>
          </w:p>
        </w:tc>
        <w:tc>
          <w:tcPr>
            <w:tcW w:w="674" w:type="pct"/>
            <w:tcBorders>
              <w:top w:val="nil"/>
              <w:left w:val="nil"/>
              <w:bottom w:val="nil"/>
              <w:right w:val="nil"/>
            </w:tcBorders>
            <w:shd w:val="clear" w:color="auto" w:fill="auto"/>
            <w:noWrap/>
            <w:vAlign w:val="bottom"/>
            <w:hideMark/>
          </w:tcPr>
          <w:p w14:paraId="060F071C"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1.2</w:t>
            </w:r>
          </w:p>
        </w:tc>
        <w:tc>
          <w:tcPr>
            <w:tcW w:w="674" w:type="pct"/>
            <w:tcBorders>
              <w:top w:val="nil"/>
              <w:left w:val="nil"/>
              <w:bottom w:val="nil"/>
              <w:right w:val="nil"/>
            </w:tcBorders>
            <w:shd w:val="clear" w:color="auto" w:fill="auto"/>
            <w:noWrap/>
            <w:vAlign w:val="bottom"/>
            <w:hideMark/>
          </w:tcPr>
          <w:p w14:paraId="09906AE2"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1.1</w:t>
            </w:r>
          </w:p>
        </w:tc>
        <w:tc>
          <w:tcPr>
            <w:tcW w:w="674" w:type="pct"/>
            <w:tcBorders>
              <w:top w:val="nil"/>
              <w:left w:val="nil"/>
              <w:bottom w:val="nil"/>
              <w:right w:val="nil"/>
            </w:tcBorders>
            <w:shd w:val="clear" w:color="auto" w:fill="auto"/>
            <w:noWrap/>
            <w:vAlign w:val="bottom"/>
            <w:hideMark/>
          </w:tcPr>
          <w:p w14:paraId="04610BF0"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1.1</w:t>
            </w:r>
          </w:p>
        </w:tc>
      </w:tr>
      <w:tr w:rsidR="00E45705" w:rsidRPr="001B09E6" w14:paraId="77FC3A31" w14:textId="77777777" w:rsidTr="00E45705">
        <w:trPr>
          <w:trHeight w:val="300"/>
        </w:trPr>
        <w:tc>
          <w:tcPr>
            <w:tcW w:w="956" w:type="pct"/>
            <w:tcBorders>
              <w:top w:val="nil"/>
              <w:left w:val="nil"/>
              <w:bottom w:val="single" w:sz="4" w:space="0" w:color="auto"/>
              <w:right w:val="nil"/>
            </w:tcBorders>
            <w:shd w:val="clear" w:color="auto" w:fill="auto"/>
            <w:noWrap/>
            <w:vAlign w:val="bottom"/>
            <w:hideMark/>
          </w:tcPr>
          <w:p w14:paraId="00DEFF3C" w14:textId="77777777" w:rsidR="00E45705" w:rsidRPr="001B09E6" w:rsidRDefault="00E45705" w:rsidP="00E45705">
            <w:pPr>
              <w:pStyle w:val="TableCellText"/>
              <w:spacing w:before="0" w:after="0"/>
              <w:ind w:left="0" w:right="0"/>
              <w:rPr>
                <w:lang w:eastAsia="en-AU"/>
              </w:rPr>
            </w:pPr>
            <w:r w:rsidRPr="001B09E6">
              <w:rPr>
                <w:lang w:eastAsia="en-AU"/>
              </w:rPr>
              <w:t>Very remote</w:t>
            </w:r>
          </w:p>
        </w:tc>
        <w:tc>
          <w:tcPr>
            <w:tcW w:w="674" w:type="pct"/>
            <w:tcBorders>
              <w:top w:val="nil"/>
              <w:left w:val="nil"/>
              <w:bottom w:val="single" w:sz="4" w:space="0" w:color="auto"/>
              <w:right w:val="nil"/>
            </w:tcBorders>
            <w:shd w:val="clear" w:color="auto" w:fill="auto"/>
            <w:noWrap/>
            <w:vAlign w:val="bottom"/>
            <w:hideMark/>
          </w:tcPr>
          <w:p w14:paraId="05F248D0"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1.3</w:t>
            </w:r>
          </w:p>
        </w:tc>
        <w:tc>
          <w:tcPr>
            <w:tcW w:w="674" w:type="pct"/>
            <w:tcBorders>
              <w:top w:val="nil"/>
              <w:left w:val="nil"/>
              <w:bottom w:val="single" w:sz="4" w:space="0" w:color="auto"/>
              <w:right w:val="nil"/>
            </w:tcBorders>
            <w:shd w:val="clear" w:color="auto" w:fill="auto"/>
            <w:noWrap/>
            <w:vAlign w:val="bottom"/>
            <w:hideMark/>
          </w:tcPr>
          <w:p w14:paraId="3AE006E4"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1.2</w:t>
            </w:r>
          </w:p>
        </w:tc>
        <w:tc>
          <w:tcPr>
            <w:tcW w:w="674" w:type="pct"/>
            <w:tcBorders>
              <w:top w:val="nil"/>
              <w:left w:val="nil"/>
              <w:bottom w:val="single" w:sz="4" w:space="0" w:color="auto"/>
              <w:right w:val="nil"/>
            </w:tcBorders>
            <w:shd w:val="clear" w:color="auto" w:fill="auto"/>
            <w:noWrap/>
            <w:vAlign w:val="bottom"/>
            <w:hideMark/>
          </w:tcPr>
          <w:p w14:paraId="3F75280F"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1.1</w:t>
            </w:r>
          </w:p>
        </w:tc>
        <w:tc>
          <w:tcPr>
            <w:tcW w:w="674" w:type="pct"/>
            <w:tcBorders>
              <w:top w:val="nil"/>
              <w:left w:val="nil"/>
              <w:bottom w:val="single" w:sz="4" w:space="0" w:color="auto"/>
              <w:right w:val="nil"/>
            </w:tcBorders>
            <w:shd w:val="clear" w:color="auto" w:fill="auto"/>
            <w:noWrap/>
            <w:vAlign w:val="bottom"/>
            <w:hideMark/>
          </w:tcPr>
          <w:p w14:paraId="0C8EB021"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1.4</w:t>
            </w:r>
          </w:p>
        </w:tc>
        <w:tc>
          <w:tcPr>
            <w:tcW w:w="674" w:type="pct"/>
            <w:tcBorders>
              <w:top w:val="nil"/>
              <w:left w:val="nil"/>
              <w:bottom w:val="single" w:sz="4" w:space="0" w:color="auto"/>
              <w:right w:val="nil"/>
            </w:tcBorders>
            <w:shd w:val="clear" w:color="auto" w:fill="auto"/>
            <w:noWrap/>
            <w:vAlign w:val="bottom"/>
            <w:hideMark/>
          </w:tcPr>
          <w:p w14:paraId="59078BF2"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1.2</w:t>
            </w:r>
          </w:p>
        </w:tc>
        <w:tc>
          <w:tcPr>
            <w:tcW w:w="674" w:type="pct"/>
            <w:tcBorders>
              <w:top w:val="nil"/>
              <w:left w:val="nil"/>
              <w:bottom w:val="single" w:sz="4" w:space="0" w:color="auto"/>
              <w:right w:val="nil"/>
            </w:tcBorders>
            <w:shd w:val="clear" w:color="auto" w:fill="auto"/>
            <w:noWrap/>
            <w:vAlign w:val="bottom"/>
            <w:hideMark/>
          </w:tcPr>
          <w:p w14:paraId="1190B854" w14:textId="77777777" w:rsidR="00E45705" w:rsidRPr="001B09E6" w:rsidRDefault="00E45705" w:rsidP="00E45705">
            <w:pPr>
              <w:pStyle w:val="TableCellText"/>
              <w:spacing w:before="0" w:after="0"/>
              <w:ind w:left="0" w:right="0"/>
              <w:jc w:val="center"/>
              <w:rPr>
                <w:color w:val="000000"/>
                <w:lang w:eastAsia="en-AU"/>
              </w:rPr>
            </w:pPr>
            <w:r w:rsidRPr="001B09E6">
              <w:rPr>
                <w:color w:val="000000"/>
                <w:lang w:eastAsia="en-AU"/>
              </w:rPr>
              <w:t>1.3</w:t>
            </w:r>
          </w:p>
        </w:tc>
      </w:tr>
      <w:tr w:rsidR="00E45705" w:rsidRPr="001B09E6" w14:paraId="3E4E66ED" w14:textId="77777777" w:rsidTr="00E45705">
        <w:trPr>
          <w:trHeight w:val="300"/>
        </w:trPr>
        <w:tc>
          <w:tcPr>
            <w:tcW w:w="4326" w:type="pct"/>
            <w:gridSpan w:val="6"/>
            <w:tcBorders>
              <w:top w:val="nil"/>
              <w:left w:val="nil"/>
              <w:bottom w:val="nil"/>
              <w:right w:val="nil"/>
            </w:tcBorders>
            <w:shd w:val="clear" w:color="auto" w:fill="auto"/>
            <w:noWrap/>
            <w:vAlign w:val="bottom"/>
            <w:hideMark/>
          </w:tcPr>
          <w:p w14:paraId="2251552D" w14:textId="77777777" w:rsidR="00E45705" w:rsidRPr="001B09E6" w:rsidRDefault="00E45705" w:rsidP="00E45705">
            <w:pPr>
              <w:pStyle w:val="Tablenote"/>
              <w:rPr>
                <w:lang w:eastAsia="en-AU"/>
              </w:rPr>
            </w:pPr>
            <w:r w:rsidRPr="001B09E6">
              <w:rPr>
                <w:lang w:eastAsia="en-AU"/>
              </w:rPr>
              <w:t>Source: National VET in Schools Collection. ABS Regional Population Growth, Australia 3218.0</w:t>
            </w:r>
          </w:p>
        </w:tc>
        <w:tc>
          <w:tcPr>
            <w:tcW w:w="674" w:type="pct"/>
            <w:tcBorders>
              <w:top w:val="nil"/>
              <w:left w:val="nil"/>
              <w:bottom w:val="nil"/>
              <w:right w:val="nil"/>
            </w:tcBorders>
            <w:shd w:val="clear" w:color="auto" w:fill="auto"/>
            <w:noWrap/>
            <w:vAlign w:val="bottom"/>
            <w:hideMark/>
          </w:tcPr>
          <w:p w14:paraId="253D5E11" w14:textId="77777777" w:rsidR="00E45705" w:rsidRPr="001B09E6" w:rsidRDefault="00E45705" w:rsidP="00E45705">
            <w:pPr>
              <w:pStyle w:val="Tablenote"/>
              <w:rPr>
                <w:rFonts w:ascii="Arial" w:hAnsi="Arial" w:cs="Arial"/>
                <w:color w:val="000000"/>
                <w:lang w:eastAsia="en-AU"/>
              </w:rPr>
            </w:pPr>
          </w:p>
        </w:tc>
      </w:tr>
      <w:tr w:rsidR="00E45705" w:rsidRPr="001B09E6" w14:paraId="715D9CC1" w14:textId="77777777" w:rsidTr="00E45705">
        <w:trPr>
          <w:trHeight w:val="300"/>
        </w:trPr>
        <w:tc>
          <w:tcPr>
            <w:tcW w:w="956" w:type="pct"/>
            <w:tcBorders>
              <w:top w:val="nil"/>
              <w:left w:val="nil"/>
              <w:bottom w:val="nil"/>
              <w:right w:val="nil"/>
            </w:tcBorders>
            <w:shd w:val="clear" w:color="auto" w:fill="auto"/>
            <w:noWrap/>
            <w:vAlign w:val="bottom"/>
            <w:hideMark/>
          </w:tcPr>
          <w:p w14:paraId="60CF6724" w14:textId="77777777" w:rsidR="00E45705" w:rsidRPr="001B09E6" w:rsidRDefault="00E45705" w:rsidP="00E45705">
            <w:pPr>
              <w:rPr>
                <w:rFonts w:eastAsia="Times New Roman"/>
                <w:color w:val="808080"/>
                <w:sz w:val="16"/>
                <w:szCs w:val="16"/>
                <w:lang w:eastAsia="en-AU"/>
              </w:rPr>
            </w:pPr>
          </w:p>
        </w:tc>
        <w:tc>
          <w:tcPr>
            <w:tcW w:w="674" w:type="pct"/>
            <w:tcBorders>
              <w:top w:val="nil"/>
              <w:left w:val="nil"/>
              <w:bottom w:val="nil"/>
              <w:right w:val="nil"/>
            </w:tcBorders>
            <w:shd w:val="clear" w:color="auto" w:fill="auto"/>
            <w:noWrap/>
            <w:vAlign w:val="bottom"/>
            <w:hideMark/>
          </w:tcPr>
          <w:p w14:paraId="0FB4B024" w14:textId="77777777" w:rsidR="00E45705" w:rsidRPr="001B09E6" w:rsidRDefault="00E45705" w:rsidP="00E45705">
            <w:pPr>
              <w:rPr>
                <w:rFonts w:ascii="Arial" w:eastAsia="Times New Roman" w:hAnsi="Arial" w:cs="Arial"/>
                <w:color w:val="000000"/>
                <w:sz w:val="16"/>
                <w:szCs w:val="16"/>
                <w:lang w:eastAsia="en-AU"/>
              </w:rPr>
            </w:pPr>
          </w:p>
        </w:tc>
        <w:tc>
          <w:tcPr>
            <w:tcW w:w="674" w:type="pct"/>
            <w:tcBorders>
              <w:top w:val="nil"/>
              <w:left w:val="nil"/>
              <w:bottom w:val="nil"/>
              <w:right w:val="nil"/>
            </w:tcBorders>
            <w:shd w:val="clear" w:color="auto" w:fill="auto"/>
            <w:noWrap/>
            <w:vAlign w:val="bottom"/>
            <w:hideMark/>
          </w:tcPr>
          <w:p w14:paraId="21D60350" w14:textId="77777777" w:rsidR="00E45705" w:rsidRPr="001B09E6" w:rsidRDefault="00E45705" w:rsidP="00E45705">
            <w:pPr>
              <w:rPr>
                <w:rFonts w:ascii="Arial" w:eastAsia="Times New Roman" w:hAnsi="Arial" w:cs="Arial"/>
                <w:color w:val="000000"/>
                <w:sz w:val="16"/>
                <w:szCs w:val="16"/>
                <w:lang w:eastAsia="en-AU"/>
              </w:rPr>
            </w:pPr>
          </w:p>
        </w:tc>
        <w:tc>
          <w:tcPr>
            <w:tcW w:w="674" w:type="pct"/>
            <w:tcBorders>
              <w:top w:val="nil"/>
              <w:left w:val="nil"/>
              <w:bottom w:val="nil"/>
              <w:right w:val="nil"/>
            </w:tcBorders>
            <w:shd w:val="clear" w:color="auto" w:fill="auto"/>
            <w:noWrap/>
            <w:vAlign w:val="bottom"/>
            <w:hideMark/>
          </w:tcPr>
          <w:p w14:paraId="2A49CA50" w14:textId="77777777" w:rsidR="00E45705" w:rsidRPr="001B09E6" w:rsidRDefault="00E45705" w:rsidP="00E45705">
            <w:pPr>
              <w:rPr>
                <w:rFonts w:ascii="Arial" w:eastAsia="Times New Roman" w:hAnsi="Arial" w:cs="Arial"/>
                <w:color w:val="000000"/>
                <w:sz w:val="16"/>
                <w:szCs w:val="16"/>
                <w:lang w:eastAsia="en-AU"/>
              </w:rPr>
            </w:pPr>
          </w:p>
        </w:tc>
        <w:tc>
          <w:tcPr>
            <w:tcW w:w="674" w:type="pct"/>
            <w:tcBorders>
              <w:top w:val="nil"/>
              <w:left w:val="nil"/>
              <w:bottom w:val="nil"/>
              <w:right w:val="nil"/>
            </w:tcBorders>
            <w:shd w:val="clear" w:color="auto" w:fill="auto"/>
            <w:noWrap/>
            <w:vAlign w:val="bottom"/>
            <w:hideMark/>
          </w:tcPr>
          <w:p w14:paraId="6BE32604" w14:textId="77777777" w:rsidR="00E45705" w:rsidRPr="001B09E6" w:rsidRDefault="00E45705" w:rsidP="00E45705">
            <w:pPr>
              <w:rPr>
                <w:rFonts w:ascii="Arial" w:eastAsia="Times New Roman" w:hAnsi="Arial" w:cs="Arial"/>
                <w:color w:val="000000"/>
                <w:sz w:val="16"/>
                <w:szCs w:val="16"/>
                <w:lang w:eastAsia="en-AU"/>
              </w:rPr>
            </w:pPr>
          </w:p>
        </w:tc>
        <w:tc>
          <w:tcPr>
            <w:tcW w:w="674" w:type="pct"/>
            <w:tcBorders>
              <w:top w:val="nil"/>
              <w:left w:val="nil"/>
              <w:bottom w:val="nil"/>
              <w:right w:val="nil"/>
            </w:tcBorders>
            <w:shd w:val="clear" w:color="auto" w:fill="auto"/>
            <w:noWrap/>
            <w:vAlign w:val="bottom"/>
            <w:hideMark/>
          </w:tcPr>
          <w:p w14:paraId="0436682F" w14:textId="77777777" w:rsidR="00E45705" w:rsidRPr="001B09E6" w:rsidRDefault="00E45705" w:rsidP="00E45705">
            <w:pPr>
              <w:rPr>
                <w:rFonts w:ascii="Arial" w:eastAsia="Times New Roman" w:hAnsi="Arial" w:cs="Arial"/>
                <w:color w:val="000000"/>
                <w:sz w:val="16"/>
                <w:szCs w:val="16"/>
                <w:lang w:eastAsia="en-AU"/>
              </w:rPr>
            </w:pPr>
          </w:p>
        </w:tc>
        <w:tc>
          <w:tcPr>
            <w:tcW w:w="674" w:type="pct"/>
            <w:tcBorders>
              <w:top w:val="nil"/>
              <w:left w:val="nil"/>
              <w:bottom w:val="nil"/>
              <w:right w:val="nil"/>
            </w:tcBorders>
            <w:shd w:val="clear" w:color="auto" w:fill="auto"/>
            <w:noWrap/>
            <w:vAlign w:val="bottom"/>
            <w:hideMark/>
          </w:tcPr>
          <w:p w14:paraId="364788F3" w14:textId="77777777" w:rsidR="00E45705" w:rsidRPr="001B09E6" w:rsidRDefault="00E45705" w:rsidP="00E45705">
            <w:pPr>
              <w:rPr>
                <w:rFonts w:ascii="Arial" w:eastAsia="Times New Roman" w:hAnsi="Arial" w:cs="Arial"/>
                <w:color w:val="000000"/>
                <w:sz w:val="16"/>
                <w:szCs w:val="16"/>
                <w:lang w:eastAsia="en-AU"/>
              </w:rPr>
            </w:pPr>
          </w:p>
        </w:tc>
      </w:tr>
    </w:tbl>
    <w:p w14:paraId="2F538715" w14:textId="77777777" w:rsidR="00E45705" w:rsidRPr="001B09E6" w:rsidRDefault="00E45705" w:rsidP="00E45705">
      <w:pPr>
        <w:pStyle w:val="Heading3NoNumbering"/>
      </w:pPr>
      <w:bookmarkStart w:id="160" w:name="_Toc333918991"/>
      <w:r w:rsidRPr="001B09E6">
        <w:t>Table A2.12: VET participation, SES disadvantage</w:t>
      </w:r>
      <w:bookmarkEnd w:id="155"/>
      <w:bookmarkEnd w:id="160"/>
    </w:p>
    <w:p w14:paraId="32720AEB" w14:textId="77777777" w:rsidR="00E45705" w:rsidRPr="001B09E6" w:rsidRDefault="00E45705" w:rsidP="00E45705">
      <w:pPr>
        <w:pStyle w:val="TableHeading"/>
        <w:spacing w:before="112"/>
      </w:pPr>
      <w:r w:rsidRPr="001B09E6">
        <w:t>Persons aged 15 to 19 years enrolled in VET by socio-economic status (SEIFA Index of Relative Socio-economic Disadvantage) as a proportion of total, 2006-11, excluding those attending school, those who have completed Year 12 and those whose SEIFA quintile is not known</w:t>
      </w:r>
    </w:p>
    <w:tbl>
      <w:tblPr>
        <w:tblW w:w="5000" w:type="pct"/>
        <w:tblLook w:val="04A0" w:firstRow="1" w:lastRow="0" w:firstColumn="1" w:lastColumn="0" w:noHBand="0" w:noVBand="1"/>
        <w:tblCaption w:val="Table A2.12: VET participation, SES disadvantage Persons aged 15 to 19 years enrolled in VET by socio-economic status (SEIFA Index of Relative Socio-economic Disadvantage) as a proportion of total, 2006-11, excluding those attending school, those who have completed Year 12 and those whose SEIFA quintile is not known "/>
        <w:tblDescription w:val="Table A2.12: VET participation, SES disadvantage&#10;Persons aged 15 to 19 years enrolled in VET by socio-economic status (SEIFA Index of Relative Socio-economic Disadvantage) as a proportion of total, 2006-11, excluding those attending school, those who have completed Year 12 and those whose SEIFA quintile is not known&#10;"/>
      </w:tblPr>
      <w:tblGrid>
        <w:gridCol w:w="4329"/>
        <w:gridCol w:w="1716"/>
        <w:gridCol w:w="1716"/>
        <w:gridCol w:w="1716"/>
        <w:gridCol w:w="1716"/>
        <w:gridCol w:w="1716"/>
        <w:gridCol w:w="1707"/>
      </w:tblGrid>
      <w:tr w:rsidR="00E45705" w:rsidRPr="001B09E6" w14:paraId="1E7DFCAF" w14:textId="77777777" w:rsidTr="00E45705">
        <w:trPr>
          <w:trHeight w:val="225"/>
        </w:trPr>
        <w:tc>
          <w:tcPr>
            <w:tcW w:w="1481" w:type="pct"/>
            <w:tcBorders>
              <w:top w:val="single" w:sz="4" w:space="0" w:color="auto"/>
              <w:left w:val="nil"/>
              <w:bottom w:val="single" w:sz="4" w:space="0" w:color="auto"/>
            </w:tcBorders>
            <w:shd w:val="clear" w:color="auto" w:fill="auto"/>
            <w:noWrap/>
            <w:hideMark/>
          </w:tcPr>
          <w:p w14:paraId="5C19AE7D" w14:textId="77777777" w:rsidR="00E45705" w:rsidRPr="001B09E6" w:rsidRDefault="00E45705" w:rsidP="00E45705">
            <w:pPr>
              <w:pStyle w:val="TableColumnHeading"/>
              <w:spacing w:before="0" w:after="0"/>
              <w:ind w:left="0" w:right="0"/>
              <w:rPr>
                <w:rFonts w:asciiTheme="minorHAnsi" w:hAnsiTheme="minorHAnsi"/>
                <w:szCs w:val="18"/>
                <w:lang w:eastAsia="en-AU"/>
              </w:rPr>
            </w:pPr>
          </w:p>
        </w:tc>
        <w:tc>
          <w:tcPr>
            <w:tcW w:w="587" w:type="pct"/>
            <w:tcBorders>
              <w:top w:val="single" w:sz="4" w:space="0" w:color="auto"/>
              <w:bottom w:val="single" w:sz="4" w:space="0" w:color="auto"/>
            </w:tcBorders>
            <w:shd w:val="clear" w:color="auto" w:fill="auto"/>
            <w:noWrap/>
            <w:hideMark/>
          </w:tcPr>
          <w:p w14:paraId="6047D86F" w14:textId="77777777" w:rsidR="00E45705" w:rsidRPr="001B09E6" w:rsidRDefault="00E45705" w:rsidP="00E45705">
            <w:pPr>
              <w:pStyle w:val="TableColumnHeading"/>
              <w:spacing w:before="0" w:after="0"/>
              <w:ind w:left="0" w:right="0"/>
              <w:jc w:val="center"/>
              <w:rPr>
                <w:rFonts w:asciiTheme="minorHAnsi" w:hAnsiTheme="minorHAnsi"/>
                <w:szCs w:val="18"/>
                <w:lang w:eastAsia="en-AU"/>
              </w:rPr>
            </w:pPr>
            <w:r w:rsidRPr="001B09E6">
              <w:rPr>
                <w:rFonts w:asciiTheme="minorHAnsi" w:hAnsiTheme="minorHAnsi"/>
                <w:szCs w:val="18"/>
                <w:lang w:eastAsia="en-AU"/>
              </w:rPr>
              <w:t>2006</w:t>
            </w:r>
          </w:p>
        </w:tc>
        <w:tc>
          <w:tcPr>
            <w:tcW w:w="587" w:type="pct"/>
            <w:tcBorders>
              <w:top w:val="single" w:sz="4" w:space="0" w:color="auto"/>
              <w:bottom w:val="single" w:sz="4" w:space="0" w:color="auto"/>
            </w:tcBorders>
            <w:shd w:val="clear" w:color="auto" w:fill="auto"/>
            <w:noWrap/>
            <w:hideMark/>
          </w:tcPr>
          <w:p w14:paraId="3F471129" w14:textId="77777777" w:rsidR="00E45705" w:rsidRPr="001B09E6" w:rsidRDefault="00E45705" w:rsidP="00E45705">
            <w:pPr>
              <w:pStyle w:val="TableColumnHeading"/>
              <w:spacing w:before="0" w:after="0"/>
              <w:ind w:left="0" w:right="0"/>
              <w:jc w:val="center"/>
              <w:rPr>
                <w:rFonts w:asciiTheme="minorHAnsi" w:hAnsiTheme="minorHAnsi"/>
                <w:szCs w:val="18"/>
                <w:lang w:eastAsia="en-AU"/>
              </w:rPr>
            </w:pPr>
            <w:r w:rsidRPr="001B09E6">
              <w:rPr>
                <w:rFonts w:asciiTheme="minorHAnsi" w:hAnsiTheme="minorHAnsi"/>
                <w:szCs w:val="18"/>
                <w:lang w:eastAsia="en-AU"/>
              </w:rPr>
              <w:t>2007</w:t>
            </w:r>
          </w:p>
        </w:tc>
        <w:tc>
          <w:tcPr>
            <w:tcW w:w="587" w:type="pct"/>
            <w:tcBorders>
              <w:top w:val="single" w:sz="4" w:space="0" w:color="auto"/>
              <w:bottom w:val="single" w:sz="4" w:space="0" w:color="auto"/>
            </w:tcBorders>
            <w:shd w:val="clear" w:color="auto" w:fill="auto"/>
            <w:noWrap/>
            <w:hideMark/>
          </w:tcPr>
          <w:p w14:paraId="246A2EE2" w14:textId="77777777" w:rsidR="00E45705" w:rsidRPr="001B09E6" w:rsidRDefault="00E45705" w:rsidP="00E45705">
            <w:pPr>
              <w:pStyle w:val="TableColumnHeading"/>
              <w:spacing w:before="0" w:after="0"/>
              <w:ind w:left="0" w:right="0"/>
              <w:jc w:val="center"/>
              <w:rPr>
                <w:rFonts w:asciiTheme="minorHAnsi" w:hAnsiTheme="minorHAnsi"/>
                <w:szCs w:val="18"/>
                <w:lang w:eastAsia="en-AU"/>
              </w:rPr>
            </w:pPr>
            <w:r w:rsidRPr="001B09E6">
              <w:rPr>
                <w:rFonts w:asciiTheme="minorHAnsi" w:hAnsiTheme="minorHAnsi"/>
                <w:szCs w:val="18"/>
                <w:lang w:eastAsia="en-AU"/>
              </w:rPr>
              <w:t>2008</w:t>
            </w:r>
          </w:p>
        </w:tc>
        <w:tc>
          <w:tcPr>
            <w:tcW w:w="587" w:type="pct"/>
            <w:tcBorders>
              <w:top w:val="single" w:sz="4" w:space="0" w:color="auto"/>
              <w:bottom w:val="single" w:sz="4" w:space="0" w:color="auto"/>
            </w:tcBorders>
            <w:shd w:val="clear" w:color="auto" w:fill="auto"/>
            <w:noWrap/>
            <w:hideMark/>
          </w:tcPr>
          <w:p w14:paraId="1895578A" w14:textId="77777777" w:rsidR="00E45705" w:rsidRPr="001B09E6" w:rsidRDefault="00E45705" w:rsidP="00E45705">
            <w:pPr>
              <w:pStyle w:val="TableColumnHeading"/>
              <w:spacing w:before="0" w:after="0"/>
              <w:ind w:left="0" w:right="0"/>
              <w:jc w:val="center"/>
              <w:rPr>
                <w:rFonts w:asciiTheme="minorHAnsi" w:hAnsiTheme="minorHAnsi"/>
                <w:szCs w:val="18"/>
                <w:lang w:eastAsia="en-AU"/>
              </w:rPr>
            </w:pPr>
            <w:r w:rsidRPr="001B09E6">
              <w:rPr>
                <w:rFonts w:asciiTheme="minorHAnsi" w:hAnsiTheme="minorHAnsi"/>
                <w:szCs w:val="18"/>
                <w:lang w:eastAsia="en-AU"/>
              </w:rPr>
              <w:t>2009</w:t>
            </w:r>
          </w:p>
        </w:tc>
        <w:tc>
          <w:tcPr>
            <w:tcW w:w="587" w:type="pct"/>
            <w:tcBorders>
              <w:top w:val="single" w:sz="4" w:space="0" w:color="auto"/>
              <w:bottom w:val="single" w:sz="4" w:space="0" w:color="auto"/>
            </w:tcBorders>
            <w:shd w:val="clear" w:color="auto" w:fill="auto"/>
            <w:noWrap/>
            <w:hideMark/>
          </w:tcPr>
          <w:p w14:paraId="344C0EE4" w14:textId="77777777" w:rsidR="00E45705" w:rsidRPr="001B09E6" w:rsidRDefault="00E45705" w:rsidP="00E45705">
            <w:pPr>
              <w:pStyle w:val="TableColumnHeading"/>
              <w:spacing w:before="0" w:after="0"/>
              <w:ind w:left="0" w:right="0"/>
              <w:jc w:val="center"/>
              <w:rPr>
                <w:rFonts w:asciiTheme="minorHAnsi" w:hAnsiTheme="minorHAnsi"/>
                <w:szCs w:val="18"/>
                <w:lang w:eastAsia="en-AU"/>
              </w:rPr>
            </w:pPr>
            <w:r w:rsidRPr="001B09E6">
              <w:rPr>
                <w:rFonts w:asciiTheme="minorHAnsi" w:hAnsiTheme="minorHAnsi"/>
                <w:szCs w:val="18"/>
                <w:lang w:eastAsia="en-AU"/>
              </w:rPr>
              <w:t>2010</w:t>
            </w:r>
          </w:p>
        </w:tc>
        <w:tc>
          <w:tcPr>
            <w:tcW w:w="584" w:type="pct"/>
            <w:tcBorders>
              <w:top w:val="single" w:sz="4" w:space="0" w:color="auto"/>
              <w:bottom w:val="single" w:sz="4" w:space="0" w:color="auto"/>
              <w:right w:val="nil"/>
            </w:tcBorders>
            <w:shd w:val="clear" w:color="auto" w:fill="auto"/>
            <w:noWrap/>
            <w:hideMark/>
          </w:tcPr>
          <w:p w14:paraId="64E41EC9" w14:textId="77777777" w:rsidR="00E45705" w:rsidRPr="001B09E6" w:rsidRDefault="00E45705" w:rsidP="00E45705">
            <w:pPr>
              <w:pStyle w:val="TableColumnHeading"/>
              <w:spacing w:before="0" w:after="0"/>
              <w:ind w:left="0" w:right="0"/>
              <w:jc w:val="center"/>
              <w:rPr>
                <w:rFonts w:asciiTheme="minorHAnsi" w:hAnsiTheme="minorHAnsi"/>
                <w:szCs w:val="18"/>
                <w:lang w:eastAsia="en-AU"/>
              </w:rPr>
            </w:pPr>
            <w:r w:rsidRPr="001B09E6">
              <w:rPr>
                <w:rFonts w:asciiTheme="minorHAnsi" w:hAnsiTheme="minorHAnsi"/>
                <w:szCs w:val="18"/>
                <w:lang w:eastAsia="en-AU"/>
              </w:rPr>
              <w:t>2011</w:t>
            </w:r>
          </w:p>
        </w:tc>
      </w:tr>
      <w:tr w:rsidR="00E45705" w:rsidRPr="001B09E6" w14:paraId="4E29B031" w14:textId="77777777" w:rsidTr="00E45705">
        <w:trPr>
          <w:trHeight w:val="225"/>
        </w:trPr>
        <w:tc>
          <w:tcPr>
            <w:tcW w:w="1481" w:type="pct"/>
            <w:tcBorders>
              <w:top w:val="single" w:sz="4" w:space="0" w:color="auto"/>
              <w:left w:val="nil"/>
              <w:bottom w:val="nil"/>
              <w:right w:val="nil"/>
            </w:tcBorders>
            <w:shd w:val="clear" w:color="auto" w:fill="auto"/>
            <w:noWrap/>
            <w:hideMark/>
          </w:tcPr>
          <w:p w14:paraId="62537C1F" w14:textId="77777777" w:rsidR="00E45705" w:rsidRPr="001B09E6" w:rsidRDefault="00E45705" w:rsidP="00E45705">
            <w:pPr>
              <w:pStyle w:val="TableCellText"/>
              <w:spacing w:before="0" w:after="0"/>
              <w:ind w:left="0" w:right="0"/>
              <w:rPr>
                <w:lang w:eastAsia="en-AU"/>
              </w:rPr>
            </w:pPr>
            <w:r w:rsidRPr="001B09E6">
              <w:rPr>
                <w:lang w:eastAsia="en-AU"/>
              </w:rPr>
              <w:t>Quintile 1: Most disadvantaged</w:t>
            </w:r>
          </w:p>
        </w:tc>
        <w:tc>
          <w:tcPr>
            <w:tcW w:w="587" w:type="pct"/>
            <w:tcBorders>
              <w:top w:val="single" w:sz="4" w:space="0" w:color="auto"/>
              <w:left w:val="nil"/>
              <w:bottom w:val="nil"/>
              <w:right w:val="nil"/>
            </w:tcBorders>
            <w:shd w:val="clear" w:color="auto" w:fill="auto"/>
            <w:noWrap/>
            <w:hideMark/>
          </w:tcPr>
          <w:p w14:paraId="37CD9418" w14:textId="77777777" w:rsidR="00E45705" w:rsidRPr="001B09E6" w:rsidRDefault="00E45705" w:rsidP="00E45705">
            <w:pPr>
              <w:pStyle w:val="TableCellText"/>
              <w:spacing w:before="0" w:after="0"/>
              <w:ind w:left="0" w:right="0"/>
              <w:jc w:val="center"/>
              <w:rPr>
                <w:lang w:eastAsia="en-AU"/>
              </w:rPr>
            </w:pPr>
            <w:r w:rsidRPr="001B09E6">
              <w:rPr>
                <w:lang w:eastAsia="en-AU"/>
              </w:rPr>
              <w:t>15.4</w:t>
            </w:r>
          </w:p>
        </w:tc>
        <w:tc>
          <w:tcPr>
            <w:tcW w:w="587" w:type="pct"/>
            <w:tcBorders>
              <w:top w:val="single" w:sz="4" w:space="0" w:color="auto"/>
              <w:left w:val="nil"/>
              <w:bottom w:val="nil"/>
              <w:right w:val="nil"/>
            </w:tcBorders>
            <w:shd w:val="clear" w:color="auto" w:fill="auto"/>
            <w:noWrap/>
            <w:hideMark/>
          </w:tcPr>
          <w:p w14:paraId="64B72699" w14:textId="77777777" w:rsidR="00E45705" w:rsidRPr="001B09E6" w:rsidRDefault="00E45705" w:rsidP="00E45705">
            <w:pPr>
              <w:pStyle w:val="TableCellText"/>
              <w:spacing w:before="0" w:after="0"/>
              <w:ind w:left="0" w:right="0"/>
              <w:jc w:val="center"/>
              <w:rPr>
                <w:lang w:eastAsia="en-AU"/>
              </w:rPr>
            </w:pPr>
            <w:r w:rsidRPr="001B09E6">
              <w:rPr>
                <w:lang w:eastAsia="en-AU"/>
              </w:rPr>
              <w:t>15.6</w:t>
            </w:r>
          </w:p>
        </w:tc>
        <w:tc>
          <w:tcPr>
            <w:tcW w:w="587" w:type="pct"/>
            <w:tcBorders>
              <w:top w:val="single" w:sz="4" w:space="0" w:color="auto"/>
              <w:left w:val="nil"/>
              <w:bottom w:val="nil"/>
              <w:right w:val="nil"/>
            </w:tcBorders>
            <w:shd w:val="clear" w:color="auto" w:fill="auto"/>
            <w:noWrap/>
            <w:hideMark/>
          </w:tcPr>
          <w:p w14:paraId="6150992A" w14:textId="77777777" w:rsidR="00E45705" w:rsidRPr="001B09E6" w:rsidRDefault="00E45705" w:rsidP="00E45705">
            <w:pPr>
              <w:pStyle w:val="TableCellText"/>
              <w:spacing w:before="0" w:after="0"/>
              <w:ind w:left="0" w:right="0"/>
              <w:jc w:val="center"/>
              <w:rPr>
                <w:lang w:eastAsia="en-AU"/>
              </w:rPr>
            </w:pPr>
            <w:r w:rsidRPr="001B09E6">
              <w:rPr>
                <w:lang w:eastAsia="en-AU"/>
              </w:rPr>
              <w:t>15.8</w:t>
            </w:r>
          </w:p>
        </w:tc>
        <w:tc>
          <w:tcPr>
            <w:tcW w:w="587" w:type="pct"/>
            <w:tcBorders>
              <w:top w:val="single" w:sz="4" w:space="0" w:color="auto"/>
              <w:left w:val="nil"/>
              <w:bottom w:val="nil"/>
              <w:right w:val="nil"/>
            </w:tcBorders>
            <w:shd w:val="clear" w:color="auto" w:fill="auto"/>
            <w:noWrap/>
            <w:hideMark/>
          </w:tcPr>
          <w:p w14:paraId="6C10DB70" w14:textId="77777777" w:rsidR="00E45705" w:rsidRPr="001B09E6" w:rsidRDefault="00E45705" w:rsidP="00E45705">
            <w:pPr>
              <w:pStyle w:val="TableCellText"/>
              <w:spacing w:before="0" w:after="0"/>
              <w:ind w:left="0" w:right="0"/>
              <w:jc w:val="center"/>
              <w:rPr>
                <w:lang w:eastAsia="en-AU"/>
              </w:rPr>
            </w:pPr>
            <w:r w:rsidRPr="001B09E6">
              <w:rPr>
                <w:lang w:eastAsia="en-AU"/>
              </w:rPr>
              <w:t>15.7</w:t>
            </w:r>
          </w:p>
        </w:tc>
        <w:tc>
          <w:tcPr>
            <w:tcW w:w="587" w:type="pct"/>
            <w:tcBorders>
              <w:top w:val="single" w:sz="4" w:space="0" w:color="auto"/>
              <w:left w:val="nil"/>
              <w:bottom w:val="nil"/>
              <w:right w:val="nil"/>
            </w:tcBorders>
            <w:shd w:val="clear" w:color="auto" w:fill="auto"/>
            <w:noWrap/>
            <w:hideMark/>
          </w:tcPr>
          <w:p w14:paraId="5DBF4934" w14:textId="77777777" w:rsidR="00E45705" w:rsidRPr="001B09E6" w:rsidRDefault="00E45705" w:rsidP="00E45705">
            <w:pPr>
              <w:pStyle w:val="TableCellText"/>
              <w:spacing w:before="0" w:after="0"/>
              <w:ind w:left="0" w:right="0"/>
              <w:jc w:val="center"/>
              <w:rPr>
                <w:lang w:eastAsia="en-AU"/>
              </w:rPr>
            </w:pPr>
            <w:r w:rsidRPr="001B09E6">
              <w:rPr>
                <w:lang w:eastAsia="en-AU"/>
              </w:rPr>
              <w:t>15.7</w:t>
            </w:r>
          </w:p>
        </w:tc>
        <w:tc>
          <w:tcPr>
            <w:tcW w:w="584" w:type="pct"/>
            <w:tcBorders>
              <w:top w:val="single" w:sz="4" w:space="0" w:color="auto"/>
              <w:left w:val="nil"/>
              <w:bottom w:val="nil"/>
              <w:right w:val="nil"/>
            </w:tcBorders>
            <w:shd w:val="clear" w:color="auto" w:fill="auto"/>
            <w:noWrap/>
            <w:vAlign w:val="bottom"/>
            <w:hideMark/>
          </w:tcPr>
          <w:p w14:paraId="0E6830ED" w14:textId="77777777" w:rsidR="00E45705" w:rsidRPr="001B09E6" w:rsidRDefault="00E45705" w:rsidP="00E45705">
            <w:pPr>
              <w:pStyle w:val="TableCellText"/>
              <w:spacing w:before="0" w:after="0"/>
              <w:ind w:left="0" w:right="0"/>
              <w:jc w:val="center"/>
            </w:pPr>
            <w:r w:rsidRPr="001B09E6">
              <w:t>15.9</w:t>
            </w:r>
          </w:p>
        </w:tc>
      </w:tr>
      <w:tr w:rsidR="00E45705" w:rsidRPr="001B09E6" w14:paraId="3C776AA0" w14:textId="77777777" w:rsidTr="00E45705">
        <w:trPr>
          <w:trHeight w:val="225"/>
        </w:trPr>
        <w:tc>
          <w:tcPr>
            <w:tcW w:w="1481" w:type="pct"/>
            <w:tcBorders>
              <w:top w:val="nil"/>
              <w:left w:val="nil"/>
              <w:bottom w:val="nil"/>
              <w:right w:val="nil"/>
            </w:tcBorders>
            <w:shd w:val="clear" w:color="auto" w:fill="auto"/>
            <w:noWrap/>
            <w:hideMark/>
          </w:tcPr>
          <w:p w14:paraId="30591534" w14:textId="77777777" w:rsidR="00E45705" w:rsidRPr="001B09E6" w:rsidRDefault="00E45705" w:rsidP="00E45705">
            <w:pPr>
              <w:pStyle w:val="TableCellText"/>
              <w:spacing w:before="0" w:after="0"/>
              <w:ind w:left="0" w:right="0"/>
              <w:rPr>
                <w:lang w:eastAsia="en-AU"/>
              </w:rPr>
            </w:pPr>
            <w:r w:rsidRPr="001B09E6">
              <w:rPr>
                <w:lang w:eastAsia="en-AU"/>
              </w:rPr>
              <w:t>Quintile 2</w:t>
            </w:r>
          </w:p>
        </w:tc>
        <w:tc>
          <w:tcPr>
            <w:tcW w:w="587" w:type="pct"/>
            <w:tcBorders>
              <w:top w:val="nil"/>
              <w:left w:val="nil"/>
              <w:bottom w:val="nil"/>
              <w:right w:val="nil"/>
            </w:tcBorders>
            <w:shd w:val="clear" w:color="auto" w:fill="auto"/>
            <w:noWrap/>
            <w:hideMark/>
          </w:tcPr>
          <w:p w14:paraId="648F37B7" w14:textId="77777777" w:rsidR="00E45705" w:rsidRPr="001B09E6" w:rsidRDefault="00E45705" w:rsidP="00E45705">
            <w:pPr>
              <w:pStyle w:val="TableCellText"/>
              <w:spacing w:before="0" w:after="0"/>
              <w:ind w:left="0" w:right="0"/>
              <w:jc w:val="center"/>
              <w:rPr>
                <w:lang w:eastAsia="en-AU"/>
              </w:rPr>
            </w:pPr>
            <w:r w:rsidRPr="001B09E6">
              <w:rPr>
                <w:lang w:eastAsia="en-AU"/>
              </w:rPr>
              <w:t>27.3</w:t>
            </w:r>
          </w:p>
        </w:tc>
        <w:tc>
          <w:tcPr>
            <w:tcW w:w="587" w:type="pct"/>
            <w:tcBorders>
              <w:top w:val="nil"/>
              <w:left w:val="nil"/>
              <w:bottom w:val="nil"/>
              <w:right w:val="nil"/>
            </w:tcBorders>
            <w:shd w:val="clear" w:color="auto" w:fill="auto"/>
            <w:noWrap/>
            <w:hideMark/>
          </w:tcPr>
          <w:p w14:paraId="655960CA" w14:textId="77777777" w:rsidR="00E45705" w:rsidRPr="001B09E6" w:rsidRDefault="00E45705" w:rsidP="00E45705">
            <w:pPr>
              <w:pStyle w:val="TableCellText"/>
              <w:spacing w:before="0" w:after="0"/>
              <w:ind w:left="0" w:right="0"/>
              <w:jc w:val="center"/>
              <w:rPr>
                <w:lang w:eastAsia="en-AU"/>
              </w:rPr>
            </w:pPr>
            <w:r w:rsidRPr="001B09E6">
              <w:rPr>
                <w:lang w:eastAsia="en-AU"/>
              </w:rPr>
              <w:t>26.7</w:t>
            </w:r>
          </w:p>
        </w:tc>
        <w:tc>
          <w:tcPr>
            <w:tcW w:w="587" w:type="pct"/>
            <w:tcBorders>
              <w:top w:val="nil"/>
              <w:left w:val="nil"/>
              <w:bottom w:val="nil"/>
              <w:right w:val="nil"/>
            </w:tcBorders>
            <w:shd w:val="clear" w:color="auto" w:fill="auto"/>
            <w:noWrap/>
            <w:hideMark/>
          </w:tcPr>
          <w:p w14:paraId="30E30225" w14:textId="77777777" w:rsidR="00E45705" w:rsidRPr="001B09E6" w:rsidRDefault="00E45705" w:rsidP="00E45705">
            <w:pPr>
              <w:pStyle w:val="TableCellText"/>
              <w:spacing w:before="0" w:after="0"/>
              <w:ind w:left="0" w:right="0"/>
              <w:jc w:val="center"/>
              <w:rPr>
                <w:lang w:eastAsia="en-AU"/>
              </w:rPr>
            </w:pPr>
            <w:r w:rsidRPr="001B09E6">
              <w:rPr>
                <w:lang w:eastAsia="en-AU"/>
              </w:rPr>
              <w:t>25.7</w:t>
            </w:r>
          </w:p>
        </w:tc>
        <w:tc>
          <w:tcPr>
            <w:tcW w:w="587" w:type="pct"/>
            <w:tcBorders>
              <w:top w:val="nil"/>
              <w:left w:val="nil"/>
              <w:bottom w:val="nil"/>
              <w:right w:val="nil"/>
            </w:tcBorders>
            <w:shd w:val="clear" w:color="auto" w:fill="auto"/>
            <w:noWrap/>
            <w:hideMark/>
          </w:tcPr>
          <w:p w14:paraId="0FD61A57" w14:textId="77777777" w:rsidR="00E45705" w:rsidRPr="001B09E6" w:rsidRDefault="00E45705" w:rsidP="00E45705">
            <w:pPr>
              <w:pStyle w:val="TableCellText"/>
              <w:spacing w:before="0" w:after="0"/>
              <w:ind w:left="0" w:right="0"/>
              <w:jc w:val="center"/>
              <w:rPr>
                <w:lang w:eastAsia="en-AU"/>
              </w:rPr>
            </w:pPr>
            <w:r w:rsidRPr="001B09E6">
              <w:rPr>
                <w:lang w:eastAsia="en-AU"/>
              </w:rPr>
              <w:t>26.3</w:t>
            </w:r>
          </w:p>
        </w:tc>
        <w:tc>
          <w:tcPr>
            <w:tcW w:w="587" w:type="pct"/>
            <w:tcBorders>
              <w:top w:val="nil"/>
              <w:left w:val="nil"/>
              <w:bottom w:val="nil"/>
              <w:right w:val="nil"/>
            </w:tcBorders>
            <w:shd w:val="clear" w:color="auto" w:fill="auto"/>
            <w:noWrap/>
            <w:hideMark/>
          </w:tcPr>
          <w:p w14:paraId="23BD275E" w14:textId="77777777" w:rsidR="00E45705" w:rsidRPr="001B09E6" w:rsidRDefault="00E45705" w:rsidP="00E45705">
            <w:pPr>
              <w:pStyle w:val="TableCellText"/>
              <w:spacing w:before="0" w:after="0"/>
              <w:ind w:left="0" w:right="0"/>
              <w:jc w:val="center"/>
              <w:rPr>
                <w:lang w:eastAsia="en-AU"/>
              </w:rPr>
            </w:pPr>
            <w:r w:rsidRPr="001B09E6">
              <w:rPr>
                <w:lang w:eastAsia="en-AU"/>
              </w:rPr>
              <w:t>26.6</w:t>
            </w:r>
          </w:p>
        </w:tc>
        <w:tc>
          <w:tcPr>
            <w:tcW w:w="584" w:type="pct"/>
            <w:tcBorders>
              <w:top w:val="nil"/>
              <w:left w:val="nil"/>
              <w:bottom w:val="nil"/>
              <w:right w:val="nil"/>
            </w:tcBorders>
            <w:shd w:val="clear" w:color="auto" w:fill="auto"/>
            <w:noWrap/>
            <w:vAlign w:val="bottom"/>
            <w:hideMark/>
          </w:tcPr>
          <w:p w14:paraId="2A9BF79F" w14:textId="77777777" w:rsidR="00E45705" w:rsidRPr="001B09E6" w:rsidRDefault="00E45705" w:rsidP="00E45705">
            <w:pPr>
              <w:pStyle w:val="TableCellText"/>
              <w:spacing w:before="0" w:after="0"/>
              <w:ind w:left="0" w:right="0"/>
              <w:jc w:val="center"/>
            </w:pPr>
            <w:r w:rsidRPr="001B09E6">
              <w:t>26.7</w:t>
            </w:r>
          </w:p>
        </w:tc>
      </w:tr>
      <w:tr w:rsidR="00E45705" w:rsidRPr="001B09E6" w14:paraId="4ABBB9D1" w14:textId="77777777" w:rsidTr="00E45705">
        <w:trPr>
          <w:trHeight w:val="225"/>
        </w:trPr>
        <w:tc>
          <w:tcPr>
            <w:tcW w:w="1481" w:type="pct"/>
            <w:tcBorders>
              <w:top w:val="nil"/>
              <w:left w:val="nil"/>
              <w:bottom w:val="nil"/>
              <w:right w:val="nil"/>
            </w:tcBorders>
            <w:shd w:val="clear" w:color="auto" w:fill="auto"/>
            <w:noWrap/>
            <w:hideMark/>
          </w:tcPr>
          <w:p w14:paraId="4C424A20" w14:textId="77777777" w:rsidR="00E45705" w:rsidRPr="001B09E6" w:rsidRDefault="00E45705" w:rsidP="00E45705">
            <w:pPr>
              <w:pStyle w:val="TableCellText"/>
              <w:spacing w:before="0" w:after="0"/>
              <w:ind w:left="0" w:right="0"/>
              <w:rPr>
                <w:lang w:eastAsia="en-AU"/>
              </w:rPr>
            </w:pPr>
            <w:r w:rsidRPr="001B09E6">
              <w:rPr>
                <w:lang w:eastAsia="en-AU"/>
              </w:rPr>
              <w:t>Quintile 3</w:t>
            </w:r>
          </w:p>
        </w:tc>
        <w:tc>
          <w:tcPr>
            <w:tcW w:w="587" w:type="pct"/>
            <w:tcBorders>
              <w:top w:val="nil"/>
              <w:left w:val="nil"/>
              <w:bottom w:val="nil"/>
              <w:right w:val="nil"/>
            </w:tcBorders>
            <w:shd w:val="clear" w:color="auto" w:fill="auto"/>
            <w:noWrap/>
            <w:hideMark/>
          </w:tcPr>
          <w:p w14:paraId="26228AD6" w14:textId="77777777" w:rsidR="00E45705" w:rsidRPr="001B09E6" w:rsidRDefault="00E45705" w:rsidP="00E45705">
            <w:pPr>
              <w:pStyle w:val="TableCellText"/>
              <w:spacing w:before="0" w:after="0"/>
              <w:ind w:left="0" w:right="0"/>
              <w:jc w:val="center"/>
              <w:rPr>
                <w:lang w:eastAsia="en-AU"/>
              </w:rPr>
            </w:pPr>
            <w:r w:rsidRPr="001B09E6">
              <w:rPr>
                <w:lang w:eastAsia="en-AU"/>
              </w:rPr>
              <w:t>23.1</w:t>
            </w:r>
          </w:p>
        </w:tc>
        <w:tc>
          <w:tcPr>
            <w:tcW w:w="587" w:type="pct"/>
            <w:tcBorders>
              <w:top w:val="nil"/>
              <w:left w:val="nil"/>
              <w:bottom w:val="nil"/>
              <w:right w:val="nil"/>
            </w:tcBorders>
            <w:shd w:val="clear" w:color="auto" w:fill="auto"/>
            <w:noWrap/>
            <w:hideMark/>
          </w:tcPr>
          <w:p w14:paraId="16350C16" w14:textId="77777777" w:rsidR="00E45705" w:rsidRPr="001B09E6" w:rsidRDefault="00E45705" w:rsidP="00E45705">
            <w:pPr>
              <w:pStyle w:val="TableCellText"/>
              <w:spacing w:before="0" w:after="0"/>
              <w:ind w:left="0" w:right="0"/>
              <w:jc w:val="center"/>
              <w:rPr>
                <w:lang w:eastAsia="en-AU"/>
              </w:rPr>
            </w:pPr>
            <w:r w:rsidRPr="001B09E6">
              <w:rPr>
                <w:lang w:eastAsia="en-AU"/>
              </w:rPr>
              <w:t>23.3</w:t>
            </w:r>
          </w:p>
        </w:tc>
        <w:tc>
          <w:tcPr>
            <w:tcW w:w="587" w:type="pct"/>
            <w:tcBorders>
              <w:top w:val="nil"/>
              <w:left w:val="nil"/>
              <w:bottom w:val="nil"/>
              <w:right w:val="nil"/>
            </w:tcBorders>
            <w:shd w:val="clear" w:color="auto" w:fill="auto"/>
            <w:noWrap/>
            <w:hideMark/>
          </w:tcPr>
          <w:p w14:paraId="0C1D6164" w14:textId="77777777" w:rsidR="00E45705" w:rsidRPr="001B09E6" w:rsidRDefault="00E45705" w:rsidP="00E45705">
            <w:pPr>
              <w:pStyle w:val="TableCellText"/>
              <w:spacing w:before="0" w:after="0"/>
              <w:ind w:left="0" w:right="0"/>
              <w:jc w:val="center"/>
              <w:rPr>
                <w:lang w:eastAsia="en-AU"/>
              </w:rPr>
            </w:pPr>
            <w:r w:rsidRPr="001B09E6">
              <w:rPr>
                <w:lang w:eastAsia="en-AU"/>
              </w:rPr>
              <w:t>23.9</w:t>
            </w:r>
          </w:p>
        </w:tc>
        <w:tc>
          <w:tcPr>
            <w:tcW w:w="587" w:type="pct"/>
            <w:tcBorders>
              <w:top w:val="nil"/>
              <w:left w:val="nil"/>
              <w:bottom w:val="nil"/>
              <w:right w:val="nil"/>
            </w:tcBorders>
            <w:shd w:val="clear" w:color="auto" w:fill="auto"/>
            <w:noWrap/>
            <w:hideMark/>
          </w:tcPr>
          <w:p w14:paraId="5E2DF20C" w14:textId="77777777" w:rsidR="00E45705" w:rsidRPr="001B09E6" w:rsidRDefault="00E45705" w:rsidP="00E45705">
            <w:pPr>
              <w:pStyle w:val="TableCellText"/>
              <w:spacing w:before="0" w:after="0"/>
              <w:ind w:left="0" w:right="0"/>
              <w:jc w:val="center"/>
              <w:rPr>
                <w:lang w:eastAsia="en-AU"/>
              </w:rPr>
            </w:pPr>
            <w:r w:rsidRPr="001B09E6">
              <w:rPr>
                <w:lang w:eastAsia="en-AU"/>
              </w:rPr>
              <w:t>23.8</w:t>
            </w:r>
          </w:p>
        </w:tc>
        <w:tc>
          <w:tcPr>
            <w:tcW w:w="587" w:type="pct"/>
            <w:tcBorders>
              <w:top w:val="nil"/>
              <w:left w:val="nil"/>
              <w:bottom w:val="nil"/>
              <w:right w:val="nil"/>
            </w:tcBorders>
            <w:shd w:val="clear" w:color="auto" w:fill="auto"/>
            <w:noWrap/>
            <w:hideMark/>
          </w:tcPr>
          <w:p w14:paraId="23ABA375" w14:textId="77777777" w:rsidR="00E45705" w:rsidRPr="001B09E6" w:rsidRDefault="00E45705" w:rsidP="00E45705">
            <w:pPr>
              <w:pStyle w:val="TableCellText"/>
              <w:spacing w:before="0" w:after="0"/>
              <w:ind w:left="0" w:right="0"/>
              <w:jc w:val="center"/>
              <w:rPr>
                <w:lang w:eastAsia="en-AU"/>
              </w:rPr>
            </w:pPr>
            <w:r w:rsidRPr="001B09E6">
              <w:rPr>
                <w:lang w:eastAsia="en-AU"/>
              </w:rPr>
              <w:t>23.8</w:t>
            </w:r>
          </w:p>
        </w:tc>
        <w:tc>
          <w:tcPr>
            <w:tcW w:w="584" w:type="pct"/>
            <w:tcBorders>
              <w:top w:val="nil"/>
              <w:left w:val="nil"/>
              <w:bottom w:val="nil"/>
              <w:right w:val="nil"/>
            </w:tcBorders>
            <w:shd w:val="clear" w:color="auto" w:fill="auto"/>
            <w:noWrap/>
            <w:vAlign w:val="bottom"/>
            <w:hideMark/>
          </w:tcPr>
          <w:p w14:paraId="0AAA84F7" w14:textId="77777777" w:rsidR="00E45705" w:rsidRPr="001B09E6" w:rsidRDefault="00E45705" w:rsidP="00E45705">
            <w:pPr>
              <w:pStyle w:val="TableCellText"/>
              <w:spacing w:before="0" w:after="0"/>
              <w:ind w:left="0" w:right="0"/>
              <w:jc w:val="center"/>
            </w:pPr>
            <w:r w:rsidRPr="001B09E6">
              <w:t>23.5</w:t>
            </w:r>
          </w:p>
        </w:tc>
      </w:tr>
      <w:tr w:rsidR="00E45705" w:rsidRPr="001B09E6" w14:paraId="45B63355" w14:textId="77777777" w:rsidTr="00E45705">
        <w:trPr>
          <w:trHeight w:val="225"/>
        </w:trPr>
        <w:tc>
          <w:tcPr>
            <w:tcW w:w="1481" w:type="pct"/>
            <w:tcBorders>
              <w:top w:val="nil"/>
              <w:left w:val="nil"/>
              <w:bottom w:val="nil"/>
              <w:right w:val="nil"/>
            </w:tcBorders>
            <w:shd w:val="clear" w:color="auto" w:fill="auto"/>
            <w:noWrap/>
            <w:hideMark/>
          </w:tcPr>
          <w:p w14:paraId="1ED468B6" w14:textId="77777777" w:rsidR="00E45705" w:rsidRPr="001B09E6" w:rsidRDefault="00E45705" w:rsidP="00E45705">
            <w:pPr>
              <w:pStyle w:val="TableCellText"/>
              <w:spacing w:before="0" w:after="0"/>
              <w:ind w:left="0" w:right="0"/>
              <w:rPr>
                <w:lang w:eastAsia="en-AU"/>
              </w:rPr>
            </w:pPr>
            <w:r w:rsidRPr="001B09E6">
              <w:rPr>
                <w:lang w:eastAsia="en-AU"/>
              </w:rPr>
              <w:t>Quintile 4</w:t>
            </w:r>
          </w:p>
        </w:tc>
        <w:tc>
          <w:tcPr>
            <w:tcW w:w="587" w:type="pct"/>
            <w:tcBorders>
              <w:top w:val="nil"/>
              <w:left w:val="nil"/>
              <w:bottom w:val="nil"/>
              <w:right w:val="nil"/>
            </w:tcBorders>
            <w:shd w:val="clear" w:color="auto" w:fill="auto"/>
            <w:noWrap/>
            <w:hideMark/>
          </w:tcPr>
          <w:p w14:paraId="55C1C32A" w14:textId="77777777" w:rsidR="00E45705" w:rsidRPr="001B09E6" w:rsidRDefault="00E45705" w:rsidP="00E45705">
            <w:pPr>
              <w:pStyle w:val="TableCellText"/>
              <w:spacing w:before="0" w:after="0"/>
              <w:ind w:left="0" w:right="0"/>
              <w:jc w:val="center"/>
              <w:rPr>
                <w:lang w:eastAsia="en-AU"/>
              </w:rPr>
            </w:pPr>
            <w:r w:rsidRPr="001B09E6">
              <w:rPr>
                <w:lang w:eastAsia="en-AU"/>
              </w:rPr>
              <w:t>20.7</w:t>
            </w:r>
          </w:p>
        </w:tc>
        <w:tc>
          <w:tcPr>
            <w:tcW w:w="587" w:type="pct"/>
            <w:tcBorders>
              <w:top w:val="nil"/>
              <w:left w:val="nil"/>
              <w:bottom w:val="nil"/>
              <w:right w:val="nil"/>
            </w:tcBorders>
            <w:shd w:val="clear" w:color="auto" w:fill="auto"/>
            <w:noWrap/>
            <w:hideMark/>
          </w:tcPr>
          <w:p w14:paraId="0569132E" w14:textId="77777777" w:rsidR="00E45705" w:rsidRPr="001B09E6" w:rsidRDefault="00E45705" w:rsidP="00E45705">
            <w:pPr>
              <w:pStyle w:val="TableCellText"/>
              <w:spacing w:before="0" w:after="0"/>
              <w:ind w:left="0" w:right="0"/>
              <w:jc w:val="center"/>
              <w:rPr>
                <w:lang w:eastAsia="en-AU"/>
              </w:rPr>
            </w:pPr>
            <w:r w:rsidRPr="001B09E6">
              <w:rPr>
                <w:lang w:eastAsia="en-AU"/>
              </w:rPr>
              <w:t>20.8</w:t>
            </w:r>
          </w:p>
        </w:tc>
        <w:tc>
          <w:tcPr>
            <w:tcW w:w="587" w:type="pct"/>
            <w:tcBorders>
              <w:top w:val="nil"/>
              <w:left w:val="nil"/>
              <w:bottom w:val="nil"/>
              <w:right w:val="nil"/>
            </w:tcBorders>
            <w:shd w:val="clear" w:color="auto" w:fill="auto"/>
            <w:noWrap/>
            <w:hideMark/>
          </w:tcPr>
          <w:p w14:paraId="2B1174EC" w14:textId="77777777" w:rsidR="00E45705" w:rsidRPr="001B09E6" w:rsidRDefault="00E45705" w:rsidP="00E45705">
            <w:pPr>
              <w:pStyle w:val="TableCellText"/>
              <w:spacing w:before="0" w:after="0"/>
              <w:ind w:left="0" w:right="0"/>
              <w:jc w:val="center"/>
              <w:rPr>
                <w:lang w:eastAsia="en-AU"/>
              </w:rPr>
            </w:pPr>
            <w:r w:rsidRPr="001B09E6">
              <w:rPr>
                <w:lang w:eastAsia="en-AU"/>
              </w:rPr>
              <w:t>21.3</w:t>
            </w:r>
          </w:p>
        </w:tc>
        <w:tc>
          <w:tcPr>
            <w:tcW w:w="587" w:type="pct"/>
            <w:tcBorders>
              <w:top w:val="nil"/>
              <w:left w:val="nil"/>
              <w:bottom w:val="nil"/>
              <w:right w:val="nil"/>
            </w:tcBorders>
            <w:shd w:val="clear" w:color="auto" w:fill="auto"/>
            <w:noWrap/>
            <w:hideMark/>
          </w:tcPr>
          <w:p w14:paraId="57BF57D3" w14:textId="77777777" w:rsidR="00E45705" w:rsidRPr="001B09E6" w:rsidRDefault="00E45705" w:rsidP="00E45705">
            <w:pPr>
              <w:pStyle w:val="TableCellText"/>
              <w:spacing w:before="0" w:after="0"/>
              <w:ind w:left="0" w:right="0"/>
              <w:jc w:val="center"/>
              <w:rPr>
                <w:lang w:eastAsia="en-AU"/>
              </w:rPr>
            </w:pPr>
            <w:r w:rsidRPr="001B09E6">
              <w:rPr>
                <w:lang w:eastAsia="en-AU"/>
              </w:rPr>
              <w:t>21.4</w:t>
            </w:r>
          </w:p>
        </w:tc>
        <w:tc>
          <w:tcPr>
            <w:tcW w:w="587" w:type="pct"/>
            <w:tcBorders>
              <w:top w:val="nil"/>
              <w:left w:val="nil"/>
              <w:bottom w:val="nil"/>
              <w:right w:val="nil"/>
            </w:tcBorders>
            <w:shd w:val="clear" w:color="auto" w:fill="auto"/>
            <w:noWrap/>
            <w:hideMark/>
          </w:tcPr>
          <w:p w14:paraId="62992E8A" w14:textId="77777777" w:rsidR="00E45705" w:rsidRPr="001B09E6" w:rsidRDefault="00E45705" w:rsidP="00E45705">
            <w:pPr>
              <w:pStyle w:val="TableCellText"/>
              <w:spacing w:before="0" w:after="0"/>
              <w:ind w:left="0" w:right="0"/>
              <w:jc w:val="center"/>
              <w:rPr>
                <w:lang w:eastAsia="en-AU"/>
              </w:rPr>
            </w:pPr>
            <w:r w:rsidRPr="001B09E6">
              <w:rPr>
                <w:lang w:eastAsia="en-AU"/>
              </w:rPr>
              <w:t>21.5</w:t>
            </w:r>
          </w:p>
        </w:tc>
        <w:tc>
          <w:tcPr>
            <w:tcW w:w="584" w:type="pct"/>
            <w:tcBorders>
              <w:top w:val="nil"/>
              <w:left w:val="nil"/>
              <w:bottom w:val="nil"/>
              <w:right w:val="nil"/>
            </w:tcBorders>
            <w:shd w:val="clear" w:color="auto" w:fill="auto"/>
            <w:noWrap/>
            <w:vAlign w:val="bottom"/>
            <w:hideMark/>
          </w:tcPr>
          <w:p w14:paraId="299B4BC3" w14:textId="77777777" w:rsidR="00E45705" w:rsidRPr="001B09E6" w:rsidRDefault="00E45705" w:rsidP="00E45705">
            <w:pPr>
              <w:pStyle w:val="TableCellText"/>
              <w:spacing w:before="0" w:after="0"/>
              <w:ind w:left="0" w:right="0"/>
              <w:jc w:val="center"/>
            </w:pPr>
            <w:r w:rsidRPr="001B09E6">
              <w:t>21.9</w:t>
            </w:r>
          </w:p>
        </w:tc>
      </w:tr>
      <w:tr w:rsidR="00E45705" w:rsidRPr="001B09E6" w14:paraId="072566D0" w14:textId="77777777" w:rsidTr="00E45705">
        <w:trPr>
          <w:trHeight w:val="225"/>
        </w:trPr>
        <w:tc>
          <w:tcPr>
            <w:tcW w:w="1481" w:type="pct"/>
            <w:tcBorders>
              <w:top w:val="nil"/>
              <w:left w:val="nil"/>
              <w:bottom w:val="single" w:sz="4" w:space="0" w:color="auto"/>
              <w:right w:val="nil"/>
            </w:tcBorders>
            <w:shd w:val="clear" w:color="auto" w:fill="auto"/>
            <w:noWrap/>
            <w:hideMark/>
          </w:tcPr>
          <w:p w14:paraId="79DC2642" w14:textId="77777777" w:rsidR="00E45705" w:rsidRPr="001B09E6" w:rsidRDefault="00E45705" w:rsidP="00E45705">
            <w:pPr>
              <w:pStyle w:val="TableCellText"/>
              <w:spacing w:before="0" w:after="0"/>
              <w:ind w:left="0" w:right="0"/>
              <w:rPr>
                <w:lang w:eastAsia="en-AU"/>
              </w:rPr>
            </w:pPr>
            <w:r w:rsidRPr="001B09E6">
              <w:rPr>
                <w:lang w:eastAsia="en-AU"/>
              </w:rPr>
              <w:t>Quintile 5: Least disadvantaged</w:t>
            </w:r>
          </w:p>
        </w:tc>
        <w:tc>
          <w:tcPr>
            <w:tcW w:w="587" w:type="pct"/>
            <w:tcBorders>
              <w:top w:val="nil"/>
              <w:left w:val="nil"/>
              <w:bottom w:val="single" w:sz="4" w:space="0" w:color="auto"/>
              <w:right w:val="nil"/>
            </w:tcBorders>
            <w:shd w:val="clear" w:color="auto" w:fill="auto"/>
            <w:noWrap/>
            <w:hideMark/>
          </w:tcPr>
          <w:p w14:paraId="0DB49EC7" w14:textId="77777777" w:rsidR="00E45705" w:rsidRPr="001B09E6" w:rsidRDefault="00E45705" w:rsidP="00E45705">
            <w:pPr>
              <w:pStyle w:val="TableCellText"/>
              <w:spacing w:before="0" w:after="0"/>
              <w:ind w:left="0" w:right="0"/>
              <w:jc w:val="center"/>
              <w:rPr>
                <w:lang w:eastAsia="en-AU"/>
              </w:rPr>
            </w:pPr>
            <w:r w:rsidRPr="001B09E6">
              <w:rPr>
                <w:lang w:eastAsia="en-AU"/>
              </w:rPr>
              <w:t>13.5</w:t>
            </w:r>
          </w:p>
        </w:tc>
        <w:tc>
          <w:tcPr>
            <w:tcW w:w="587" w:type="pct"/>
            <w:tcBorders>
              <w:top w:val="nil"/>
              <w:left w:val="nil"/>
              <w:bottom w:val="single" w:sz="4" w:space="0" w:color="auto"/>
              <w:right w:val="nil"/>
            </w:tcBorders>
            <w:shd w:val="clear" w:color="auto" w:fill="auto"/>
            <w:noWrap/>
            <w:hideMark/>
          </w:tcPr>
          <w:p w14:paraId="653BE1E0" w14:textId="77777777" w:rsidR="00E45705" w:rsidRPr="001B09E6" w:rsidRDefault="00E45705" w:rsidP="00E45705">
            <w:pPr>
              <w:pStyle w:val="TableCellText"/>
              <w:spacing w:before="0" w:after="0"/>
              <w:ind w:left="0" w:right="0"/>
              <w:jc w:val="center"/>
              <w:rPr>
                <w:lang w:eastAsia="en-AU"/>
              </w:rPr>
            </w:pPr>
            <w:r w:rsidRPr="001B09E6">
              <w:rPr>
                <w:lang w:eastAsia="en-AU"/>
              </w:rPr>
              <w:t>13.5</w:t>
            </w:r>
          </w:p>
        </w:tc>
        <w:tc>
          <w:tcPr>
            <w:tcW w:w="587" w:type="pct"/>
            <w:tcBorders>
              <w:top w:val="nil"/>
              <w:left w:val="nil"/>
              <w:bottom w:val="single" w:sz="4" w:space="0" w:color="auto"/>
              <w:right w:val="nil"/>
            </w:tcBorders>
            <w:shd w:val="clear" w:color="auto" w:fill="auto"/>
            <w:noWrap/>
            <w:hideMark/>
          </w:tcPr>
          <w:p w14:paraId="4555474F" w14:textId="77777777" w:rsidR="00E45705" w:rsidRPr="001B09E6" w:rsidRDefault="00E45705" w:rsidP="00E45705">
            <w:pPr>
              <w:pStyle w:val="TableCellText"/>
              <w:spacing w:before="0" w:after="0"/>
              <w:ind w:left="0" w:right="0"/>
              <w:jc w:val="center"/>
              <w:rPr>
                <w:lang w:eastAsia="en-AU"/>
              </w:rPr>
            </w:pPr>
            <w:r w:rsidRPr="001B09E6">
              <w:rPr>
                <w:lang w:eastAsia="en-AU"/>
              </w:rPr>
              <w:t>13.2</w:t>
            </w:r>
          </w:p>
        </w:tc>
        <w:tc>
          <w:tcPr>
            <w:tcW w:w="587" w:type="pct"/>
            <w:tcBorders>
              <w:top w:val="nil"/>
              <w:left w:val="nil"/>
              <w:bottom w:val="single" w:sz="4" w:space="0" w:color="auto"/>
              <w:right w:val="nil"/>
            </w:tcBorders>
            <w:shd w:val="clear" w:color="auto" w:fill="auto"/>
            <w:noWrap/>
            <w:hideMark/>
          </w:tcPr>
          <w:p w14:paraId="739D81FB" w14:textId="77777777" w:rsidR="00E45705" w:rsidRPr="001B09E6" w:rsidRDefault="00E45705" w:rsidP="00E45705">
            <w:pPr>
              <w:pStyle w:val="TableCellText"/>
              <w:spacing w:before="0" w:after="0"/>
              <w:ind w:left="0" w:right="0"/>
              <w:jc w:val="center"/>
              <w:rPr>
                <w:lang w:eastAsia="en-AU"/>
              </w:rPr>
            </w:pPr>
            <w:r w:rsidRPr="001B09E6">
              <w:rPr>
                <w:lang w:eastAsia="en-AU"/>
              </w:rPr>
              <w:t>12.8</w:t>
            </w:r>
          </w:p>
        </w:tc>
        <w:tc>
          <w:tcPr>
            <w:tcW w:w="587" w:type="pct"/>
            <w:tcBorders>
              <w:top w:val="nil"/>
              <w:left w:val="nil"/>
              <w:bottom w:val="single" w:sz="4" w:space="0" w:color="auto"/>
              <w:right w:val="nil"/>
            </w:tcBorders>
            <w:shd w:val="clear" w:color="auto" w:fill="auto"/>
            <w:noWrap/>
            <w:hideMark/>
          </w:tcPr>
          <w:p w14:paraId="7C9063AE" w14:textId="77777777" w:rsidR="00E45705" w:rsidRPr="001B09E6" w:rsidRDefault="00E45705" w:rsidP="00E45705">
            <w:pPr>
              <w:pStyle w:val="TableCellText"/>
              <w:spacing w:before="0" w:after="0"/>
              <w:ind w:left="0" w:right="0"/>
              <w:jc w:val="center"/>
              <w:rPr>
                <w:lang w:eastAsia="en-AU"/>
              </w:rPr>
            </w:pPr>
            <w:r w:rsidRPr="001B09E6">
              <w:rPr>
                <w:lang w:eastAsia="en-AU"/>
              </w:rPr>
              <w:t>12.4</w:t>
            </w:r>
          </w:p>
        </w:tc>
        <w:tc>
          <w:tcPr>
            <w:tcW w:w="584" w:type="pct"/>
            <w:tcBorders>
              <w:top w:val="nil"/>
              <w:left w:val="nil"/>
              <w:bottom w:val="single" w:sz="4" w:space="0" w:color="auto"/>
              <w:right w:val="nil"/>
            </w:tcBorders>
            <w:shd w:val="clear" w:color="auto" w:fill="auto"/>
            <w:noWrap/>
            <w:vAlign w:val="bottom"/>
            <w:hideMark/>
          </w:tcPr>
          <w:p w14:paraId="4A4D00D2" w14:textId="77777777" w:rsidR="00E45705" w:rsidRPr="001B09E6" w:rsidRDefault="00E45705" w:rsidP="00E45705">
            <w:pPr>
              <w:pStyle w:val="TableCellText"/>
              <w:spacing w:before="0" w:after="0"/>
              <w:ind w:left="0" w:right="0"/>
              <w:jc w:val="center"/>
            </w:pPr>
            <w:r w:rsidRPr="001B09E6">
              <w:t>12.0</w:t>
            </w:r>
          </w:p>
        </w:tc>
      </w:tr>
      <w:tr w:rsidR="00E45705" w:rsidRPr="001B09E6" w14:paraId="3DBC5395" w14:textId="77777777" w:rsidTr="00E45705">
        <w:trPr>
          <w:trHeight w:val="225"/>
        </w:trPr>
        <w:tc>
          <w:tcPr>
            <w:tcW w:w="1481" w:type="pct"/>
            <w:tcBorders>
              <w:top w:val="single" w:sz="4" w:space="0" w:color="auto"/>
              <w:left w:val="nil"/>
              <w:bottom w:val="single" w:sz="4" w:space="0" w:color="auto"/>
              <w:right w:val="nil"/>
            </w:tcBorders>
            <w:shd w:val="clear" w:color="auto" w:fill="auto"/>
            <w:noWrap/>
            <w:hideMark/>
          </w:tcPr>
          <w:p w14:paraId="40E5E9F7" w14:textId="77777777" w:rsidR="00E45705" w:rsidRPr="001B09E6" w:rsidRDefault="00E45705" w:rsidP="00E45705">
            <w:pPr>
              <w:pStyle w:val="TableCellText"/>
              <w:spacing w:before="0" w:after="0"/>
              <w:ind w:left="0" w:right="0"/>
              <w:rPr>
                <w:lang w:eastAsia="en-AU"/>
              </w:rPr>
            </w:pPr>
            <w:r w:rsidRPr="001B09E6">
              <w:rPr>
                <w:lang w:eastAsia="en-AU"/>
              </w:rPr>
              <w:t>Total</w:t>
            </w:r>
          </w:p>
        </w:tc>
        <w:tc>
          <w:tcPr>
            <w:tcW w:w="587" w:type="pct"/>
            <w:tcBorders>
              <w:top w:val="single" w:sz="4" w:space="0" w:color="auto"/>
              <w:left w:val="nil"/>
              <w:bottom w:val="single" w:sz="4" w:space="0" w:color="auto"/>
              <w:right w:val="nil"/>
            </w:tcBorders>
            <w:shd w:val="clear" w:color="auto" w:fill="auto"/>
            <w:noWrap/>
            <w:hideMark/>
          </w:tcPr>
          <w:p w14:paraId="4F4D8F9B" w14:textId="77777777" w:rsidR="00E45705" w:rsidRPr="001B09E6" w:rsidRDefault="00E45705" w:rsidP="00E45705">
            <w:pPr>
              <w:pStyle w:val="TableCellText"/>
              <w:spacing w:before="0" w:after="0"/>
              <w:ind w:left="0" w:right="0"/>
              <w:jc w:val="center"/>
              <w:rPr>
                <w:lang w:eastAsia="en-AU"/>
              </w:rPr>
            </w:pPr>
            <w:r w:rsidRPr="001B09E6">
              <w:rPr>
                <w:lang w:eastAsia="en-AU"/>
              </w:rPr>
              <w:t>100.0</w:t>
            </w:r>
          </w:p>
        </w:tc>
        <w:tc>
          <w:tcPr>
            <w:tcW w:w="587" w:type="pct"/>
            <w:tcBorders>
              <w:top w:val="single" w:sz="4" w:space="0" w:color="auto"/>
              <w:left w:val="nil"/>
              <w:bottom w:val="single" w:sz="4" w:space="0" w:color="auto"/>
              <w:right w:val="nil"/>
            </w:tcBorders>
            <w:shd w:val="clear" w:color="auto" w:fill="auto"/>
            <w:noWrap/>
            <w:hideMark/>
          </w:tcPr>
          <w:p w14:paraId="6D8B1635" w14:textId="77777777" w:rsidR="00E45705" w:rsidRPr="001B09E6" w:rsidRDefault="00E45705" w:rsidP="00E45705">
            <w:pPr>
              <w:pStyle w:val="TableCellText"/>
              <w:spacing w:before="0" w:after="0"/>
              <w:ind w:left="0" w:right="0"/>
              <w:jc w:val="center"/>
              <w:rPr>
                <w:lang w:eastAsia="en-AU"/>
              </w:rPr>
            </w:pPr>
            <w:r w:rsidRPr="001B09E6">
              <w:rPr>
                <w:lang w:eastAsia="en-AU"/>
              </w:rPr>
              <w:t>100.0</w:t>
            </w:r>
          </w:p>
        </w:tc>
        <w:tc>
          <w:tcPr>
            <w:tcW w:w="587" w:type="pct"/>
            <w:tcBorders>
              <w:top w:val="single" w:sz="4" w:space="0" w:color="auto"/>
              <w:left w:val="nil"/>
              <w:bottom w:val="single" w:sz="4" w:space="0" w:color="auto"/>
              <w:right w:val="nil"/>
            </w:tcBorders>
            <w:shd w:val="clear" w:color="auto" w:fill="auto"/>
            <w:noWrap/>
            <w:hideMark/>
          </w:tcPr>
          <w:p w14:paraId="0BDFD47C" w14:textId="77777777" w:rsidR="00E45705" w:rsidRPr="001B09E6" w:rsidRDefault="00E45705" w:rsidP="00E45705">
            <w:pPr>
              <w:pStyle w:val="TableCellText"/>
              <w:spacing w:before="0" w:after="0"/>
              <w:ind w:left="0" w:right="0"/>
              <w:jc w:val="center"/>
              <w:rPr>
                <w:lang w:eastAsia="en-AU"/>
              </w:rPr>
            </w:pPr>
            <w:r w:rsidRPr="001B09E6">
              <w:rPr>
                <w:lang w:eastAsia="en-AU"/>
              </w:rPr>
              <w:t>100.0</w:t>
            </w:r>
          </w:p>
        </w:tc>
        <w:tc>
          <w:tcPr>
            <w:tcW w:w="587" w:type="pct"/>
            <w:tcBorders>
              <w:top w:val="single" w:sz="4" w:space="0" w:color="auto"/>
              <w:left w:val="nil"/>
              <w:bottom w:val="single" w:sz="4" w:space="0" w:color="auto"/>
              <w:right w:val="nil"/>
            </w:tcBorders>
            <w:shd w:val="clear" w:color="auto" w:fill="auto"/>
            <w:noWrap/>
            <w:hideMark/>
          </w:tcPr>
          <w:p w14:paraId="24E75BCF" w14:textId="77777777" w:rsidR="00E45705" w:rsidRPr="001B09E6" w:rsidRDefault="00E45705" w:rsidP="00E45705">
            <w:pPr>
              <w:pStyle w:val="TableCellText"/>
              <w:spacing w:before="0" w:after="0"/>
              <w:ind w:left="0" w:right="0"/>
              <w:jc w:val="center"/>
              <w:rPr>
                <w:lang w:eastAsia="en-AU"/>
              </w:rPr>
            </w:pPr>
            <w:r w:rsidRPr="001B09E6">
              <w:rPr>
                <w:lang w:eastAsia="en-AU"/>
              </w:rPr>
              <w:t>100.0</w:t>
            </w:r>
          </w:p>
        </w:tc>
        <w:tc>
          <w:tcPr>
            <w:tcW w:w="587" w:type="pct"/>
            <w:tcBorders>
              <w:top w:val="single" w:sz="4" w:space="0" w:color="auto"/>
              <w:left w:val="nil"/>
              <w:bottom w:val="single" w:sz="4" w:space="0" w:color="auto"/>
              <w:right w:val="nil"/>
            </w:tcBorders>
            <w:shd w:val="clear" w:color="auto" w:fill="auto"/>
            <w:noWrap/>
            <w:hideMark/>
          </w:tcPr>
          <w:p w14:paraId="5AB9E7F8" w14:textId="77777777" w:rsidR="00E45705" w:rsidRPr="001B09E6" w:rsidRDefault="00E45705" w:rsidP="00E45705">
            <w:pPr>
              <w:pStyle w:val="TableCellText"/>
              <w:spacing w:before="0" w:after="0"/>
              <w:ind w:left="0" w:right="0"/>
              <w:jc w:val="center"/>
              <w:rPr>
                <w:lang w:eastAsia="en-AU"/>
              </w:rPr>
            </w:pPr>
            <w:r w:rsidRPr="001B09E6">
              <w:rPr>
                <w:lang w:eastAsia="en-AU"/>
              </w:rPr>
              <w:t>100.0</w:t>
            </w:r>
          </w:p>
        </w:tc>
        <w:tc>
          <w:tcPr>
            <w:tcW w:w="584" w:type="pct"/>
            <w:tcBorders>
              <w:top w:val="single" w:sz="4" w:space="0" w:color="auto"/>
              <w:left w:val="nil"/>
              <w:bottom w:val="single" w:sz="4" w:space="0" w:color="auto"/>
              <w:right w:val="nil"/>
            </w:tcBorders>
            <w:shd w:val="clear" w:color="auto" w:fill="auto"/>
            <w:noWrap/>
            <w:hideMark/>
          </w:tcPr>
          <w:p w14:paraId="2904F1C8" w14:textId="77777777" w:rsidR="00E45705" w:rsidRPr="001B09E6" w:rsidRDefault="00E45705" w:rsidP="00E45705">
            <w:pPr>
              <w:pStyle w:val="TableCellText"/>
              <w:spacing w:before="0" w:after="0"/>
              <w:ind w:left="0" w:right="0"/>
              <w:jc w:val="center"/>
              <w:rPr>
                <w:lang w:eastAsia="en-AU"/>
              </w:rPr>
            </w:pPr>
            <w:r w:rsidRPr="001B09E6">
              <w:rPr>
                <w:lang w:eastAsia="en-AU"/>
              </w:rPr>
              <w:t>100.0</w:t>
            </w:r>
          </w:p>
        </w:tc>
      </w:tr>
    </w:tbl>
    <w:p w14:paraId="7CDF515E" w14:textId="77777777" w:rsidR="00E45705" w:rsidRPr="001B09E6" w:rsidRDefault="00E45705" w:rsidP="00E45705">
      <w:pPr>
        <w:pStyle w:val="Tablenote"/>
        <w:rPr>
          <w:lang w:eastAsia="en-AU"/>
        </w:rPr>
      </w:pPr>
      <w:r w:rsidRPr="001B09E6">
        <w:rPr>
          <w:lang w:eastAsia="en-AU"/>
        </w:rPr>
        <w:t>Note: SEIFA was only collected from 2006</w:t>
      </w:r>
    </w:p>
    <w:p w14:paraId="1E4185FA" w14:textId="77777777" w:rsidR="00E45705" w:rsidRPr="001B09E6" w:rsidRDefault="00E45705" w:rsidP="00E45705">
      <w:pPr>
        <w:pStyle w:val="Tablenote"/>
        <w:rPr>
          <w:lang w:eastAsia="en-AU"/>
        </w:rPr>
      </w:pPr>
      <w:r w:rsidRPr="001B09E6">
        <w:rPr>
          <w:lang w:eastAsia="en-AU"/>
        </w:rPr>
        <w:t>Source: National VET Provider Collection</w:t>
      </w:r>
    </w:p>
    <w:p w14:paraId="52BD80FD" w14:textId="77777777" w:rsidR="00E45705" w:rsidRDefault="00E45705" w:rsidP="00E45705">
      <w:pPr>
        <w:spacing w:line="380" w:lineRule="atLeast"/>
        <w:rPr>
          <w:rFonts w:cs="ArialNarrow-Bold"/>
          <w:bCs/>
          <w:caps/>
          <w:color w:val="000000"/>
          <w:sz w:val="16"/>
          <w:szCs w:val="16"/>
        </w:rPr>
      </w:pPr>
      <w:r>
        <w:br w:type="page"/>
      </w:r>
    </w:p>
    <w:p w14:paraId="4B0A5A74" w14:textId="77777777" w:rsidR="00E45705" w:rsidRPr="001B09E6" w:rsidRDefault="00E45705" w:rsidP="00E45705">
      <w:pPr>
        <w:pStyle w:val="TableHeading"/>
        <w:spacing w:before="112"/>
        <w:ind w:left="0" w:firstLine="0"/>
      </w:pPr>
      <w:r w:rsidRPr="001B09E6">
        <w:t>Persons aged 20 to 24 years enrolled in VET by socio-economic status (SEIFA Index of Relative Socio-economic Disadvantage) as a proportion of total, 2006-10, excluding those attending school, those who have completed Year 12 and those whose SEIFA quintile is not known</w:t>
      </w:r>
    </w:p>
    <w:tbl>
      <w:tblPr>
        <w:tblW w:w="5000" w:type="pct"/>
        <w:tblLook w:val="04A0" w:firstRow="1" w:lastRow="0" w:firstColumn="1" w:lastColumn="0" w:noHBand="0" w:noVBand="1"/>
        <w:tblCaption w:val="Persons aged 20 to 24 years enrolled in VET by socio-economic status (SEIFA Index of Relative Socio-economic Disadvantage) as a proportion of total, 2006-10, excluding those attending school, those who have completed Year 12 and those whose SEIFA quintile is not known "/>
        <w:tblDescription w:val="Persons aged 20 to 24 years enrolled in VET by socio-economic status (SEIFA Index of Relative Socio-economic Disadvantage) as a proportion of total, 2006-10, excluding those attending school, those who have completed Year 12 and those whose SEIFA quintile is not known&#10;"/>
      </w:tblPr>
      <w:tblGrid>
        <w:gridCol w:w="4329"/>
        <w:gridCol w:w="1716"/>
        <w:gridCol w:w="1716"/>
        <w:gridCol w:w="1716"/>
        <w:gridCol w:w="1716"/>
        <w:gridCol w:w="1716"/>
        <w:gridCol w:w="1707"/>
      </w:tblGrid>
      <w:tr w:rsidR="00E45705" w:rsidRPr="001B09E6" w14:paraId="6C5D5CEA" w14:textId="77777777" w:rsidTr="00E45705">
        <w:trPr>
          <w:trHeight w:val="225"/>
        </w:trPr>
        <w:tc>
          <w:tcPr>
            <w:tcW w:w="1481" w:type="pct"/>
            <w:tcBorders>
              <w:top w:val="single" w:sz="4" w:space="0" w:color="auto"/>
              <w:left w:val="nil"/>
              <w:bottom w:val="single" w:sz="4" w:space="0" w:color="auto"/>
            </w:tcBorders>
            <w:shd w:val="clear" w:color="auto" w:fill="auto"/>
            <w:noWrap/>
            <w:hideMark/>
          </w:tcPr>
          <w:p w14:paraId="673CE73C" w14:textId="77777777" w:rsidR="00E45705" w:rsidRPr="001B09E6" w:rsidRDefault="00E45705" w:rsidP="00E45705">
            <w:pPr>
              <w:pStyle w:val="TableColumnHeading"/>
              <w:spacing w:before="0" w:after="0"/>
              <w:ind w:left="0" w:right="0"/>
            </w:pPr>
          </w:p>
        </w:tc>
        <w:tc>
          <w:tcPr>
            <w:tcW w:w="587" w:type="pct"/>
            <w:tcBorders>
              <w:top w:val="single" w:sz="4" w:space="0" w:color="auto"/>
              <w:bottom w:val="single" w:sz="4" w:space="0" w:color="auto"/>
            </w:tcBorders>
            <w:shd w:val="clear" w:color="auto" w:fill="auto"/>
            <w:noWrap/>
            <w:hideMark/>
          </w:tcPr>
          <w:p w14:paraId="267FD37F" w14:textId="77777777" w:rsidR="00E45705" w:rsidRPr="001B09E6" w:rsidRDefault="00E45705" w:rsidP="00E45705">
            <w:pPr>
              <w:pStyle w:val="TableColumnHeading"/>
              <w:spacing w:before="0" w:after="0"/>
              <w:ind w:left="0" w:right="0"/>
            </w:pPr>
            <w:r w:rsidRPr="001B09E6">
              <w:t>2006</w:t>
            </w:r>
          </w:p>
        </w:tc>
        <w:tc>
          <w:tcPr>
            <w:tcW w:w="587" w:type="pct"/>
            <w:tcBorders>
              <w:top w:val="single" w:sz="4" w:space="0" w:color="auto"/>
              <w:bottom w:val="single" w:sz="4" w:space="0" w:color="auto"/>
            </w:tcBorders>
            <w:shd w:val="clear" w:color="auto" w:fill="auto"/>
            <w:noWrap/>
            <w:hideMark/>
          </w:tcPr>
          <w:p w14:paraId="10E17BCB" w14:textId="77777777" w:rsidR="00E45705" w:rsidRPr="001B09E6" w:rsidRDefault="00E45705" w:rsidP="00E45705">
            <w:pPr>
              <w:pStyle w:val="TableColumnHeading"/>
              <w:spacing w:before="0" w:after="0"/>
              <w:ind w:left="0" w:right="0"/>
            </w:pPr>
            <w:r w:rsidRPr="001B09E6">
              <w:t>2007</w:t>
            </w:r>
          </w:p>
        </w:tc>
        <w:tc>
          <w:tcPr>
            <w:tcW w:w="587" w:type="pct"/>
            <w:tcBorders>
              <w:top w:val="single" w:sz="4" w:space="0" w:color="auto"/>
              <w:bottom w:val="single" w:sz="4" w:space="0" w:color="auto"/>
            </w:tcBorders>
            <w:shd w:val="clear" w:color="auto" w:fill="auto"/>
            <w:noWrap/>
            <w:hideMark/>
          </w:tcPr>
          <w:p w14:paraId="3556C741" w14:textId="77777777" w:rsidR="00E45705" w:rsidRPr="001B09E6" w:rsidRDefault="00E45705" w:rsidP="00E45705">
            <w:pPr>
              <w:pStyle w:val="TableColumnHeading"/>
              <w:spacing w:before="0" w:after="0"/>
              <w:ind w:left="0" w:right="0"/>
            </w:pPr>
            <w:r w:rsidRPr="001B09E6">
              <w:t>2008</w:t>
            </w:r>
          </w:p>
        </w:tc>
        <w:tc>
          <w:tcPr>
            <w:tcW w:w="587" w:type="pct"/>
            <w:tcBorders>
              <w:top w:val="single" w:sz="4" w:space="0" w:color="auto"/>
              <w:bottom w:val="single" w:sz="4" w:space="0" w:color="auto"/>
            </w:tcBorders>
            <w:shd w:val="clear" w:color="auto" w:fill="auto"/>
            <w:noWrap/>
            <w:hideMark/>
          </w:tcPr>
          <w:p w14:paraId="5D26DE68" w14:textId="77777777" w:rsidR="00E45705" w:rsidRPr="001B09E6" w:rsidRDefault="00E45705" w:rsidP="00E45705">
            <w:pPr>
              <w:pStyle w:val="TableColumnHeading"/>
              <w:spacing w:before="0" w:after="0"/>
              <w:ind w:left="0" w:right="0"/>
            </w:pPr>
            <w:r w:rsidRPr="001B09E6">
              <w:t>2009</w:t>
            </w:r>
          </w:p>
        </w:tc>
        <w:tc>
          <w:tcPr>
            <w:tcW w:w="587" w:type="pct"/>
            <w:tcBorders>
              <w:top w:val="single" w:sz="4" w:space="0" w:color="auto"/>
              <w:bottom w:val="single" w:sz="4" w:space="0" w:color="auto"/>
            </w:tcBorders>
            <w:shd w:val="clear" w:color="auto" w:fill="auto"/>
            <w:noWrap/>
            <w:hideMark/>
          </w:tcPr>
          <w:p w14:paraId="372F14CC" w14:textId="77777777" w:rsidR="00E45705" w:rsidRPr="001B09E6" w:rsidRDefault="00E45705" w:rsidP="00E45705">
            <w:pPr>
              <w:pStyle w:val="TableColumnHeading"/>
              <w:spacing w:before="0" w:after="0"/>
              <w:ind w:left="0" w:right="0"/>
            </w:pPr>
            <w:r w:rsidRPr="001B09E6">
              <w:t>2010</w:t>
            </w:r>
          </w:p>
        </w:tc>
        <w:tc>
          <w:tcPr>
            <w:tcW w:w="587" w:type="pct"/>
            <w:tcBorders>
              <w:top w:val="single" w:sz="4" w:space="0" w:color="auto"/>
              <w:bottom w:val="single" w:sz="4" w:space="0" w:color="auto"/>
              <w:right w:val="nil"/>
            </w:tcBorders>
            <w:shd w:val="clear" w:color="auto" w:fill="auto"/>
            <w:noWrap/>
            <w:hideMark/>
          </w:tcPr>
          <w:p w14:paraId="243DA7DC" w14:textId="77777777" w:rsidR="00E45705" w:rsidRPr="001B09E6" w:rsidRDefault="00E45705" w:rsidP="00E45705">
            <w:pPr>
              <w:pStyle w:val="TableColumnHeading"/>
              <w:spacing w:before="0" w:after="0"/>
              <w:ind w:left="0" w:right="0"/>
            </w:pPr>
            <w:r w:rsidRPr="001B09E6">
              <w:t>2011</w:t>
            </w:r>
          </w:p>
        </w:tc>
      </w:tr>
      <w:tr w:rsidR="00E45705" w:rsidRPr="001B09E6" w14:paraId="7F131314" w14:textId="77777777" w:rsidTr="00E45705">
        <w:trPr>
          <w:trHeight w:val="225"/>
        </w:trPr>
        <w:tc>
          <w:tcPr>
            <w:tcW w:w="1481" w:type="pct"/>
            <w:tcBorders>
              <w:top w:val="single" w:sz="4" w:space="0" w:color="auto"/>
              <w:left w:val="nil"/>
              <w:bottom w:val="nil"/>
              <w:right w:val="nil"/>
            </w:tcBorders>
            <w:shd w:val="clear" w:color="auto" w:fill="auto"/>
            <w:noWrap/>
            <w:hideMark/>
          </w:tcPr>
          <w:p w14:paraId="54C26D79" w14:textId="77777777" w:rsidR="00E45705" w:rsidRPr="001B09E6" w:rsidRDefault="00E45705" w:rsidP="00E45705">
            <w:pPr>
              <w:pStyle w:val="TableCellText"/>
              <w:spacing w:before="0" w:after="0"/>
              <w:ind w:left="0" w:right="0"/>
            </w:pPr>
            <w:r w:rsidRPr="001B09E6">
              <w:t>Quintile 1: Most disadvantaged</w:t>
            </w:r>
          </w:p>
        </w:tc>
        <w:tc>
          <w:tcPr>
            <w:tcW w:w="587" w:type="pct"/>
            <w:tcBorders>
              <w:top w:val="single" w:sz="4" w:space="0" w:color="auto"/>
              <w:left w:val="nil"/>
              <w:bottom w:val="nil"/>
              <w:right w:val="nil"/>
            </w:tcBorders>
            <w:shd w:val="clear" w:color="auto" w:fill="auto"/>
            <w:noWrap/>
            <w:hideMark/>
          </w:tcPr>
          <w:p w14:paraId="41EEAD86" w14:textId="77777777" w:rsidR="00E45705" w:rsidRPr="001B09E6" w:rsidRDefault="00E45705" w:rsidP="00E45705">
            <w:pPr>
              <w:pStyle w:val="TableCellText"/>
              <w:spacing w:before="0" w:after="0"/>
              <w:ind w:left="0" w:right="0"/>
            </w:pPr>
            <w:r w:rsidRPr="001B09E6">
              <w:t>16.6</w:t>
            </w:r>
          </w:p>
        </w:tc>
        <w:tc>
          <w:tcPr>
            <w:tcW w:w="587" w:type="pct"/>
            <w:tcBorders>
              <w:top w:val="single" w:sz="4" w:space="0" w:color="auto"/>
              <w:left w:val="nil"/>
              <w:bottom w:val="nil"/>
              <w:right w:val="nil"/>
            </w:tcBorders>
            <w:shd w:val="clear" w:color="auto" w:fill="auto"/>
            <w:noWrap/>
            <w:hideMark/>
          </w:tcPr>
          <w:p w14:paraId="7C83BD1A" w14:textId="77777777" w:rsidR="00E45705" w:rsidRPr="001B09E6" w:rsidRDefault="00E45705" w:rsidP="00E45705">
            <w:pPr>
              <w:pStyle w:val="TableCellText"/>
              <w:spacing w:before="0" w:after="0"/>
              <w:ind w:left="0" w:right="0"/>
            </w:pPr>
            <w:r w:rsidRPr="001B09E6">
              <w:t>17.3</w:t>
            </w:r>
          </w:p>
        </w:tc>
        <w:tc>
          <w:tcPr>
            <w:tcW w:w="587" w:type="pct"/>
            <w:tcBorders>
              <w:top w:val="single" w:sz="4" w:space="0" w:color="auto"/>
              <w:left w:val="nil"/>
              <w:bottom w:val="nil"/>
              <w:right w:val="nil"/>
            </w:tcBorders>
            <w:shd w:val="clear" w:color="auto" w:fill="auto"/>
            <w:noWrap/>
            <w:hideMark/>
          </w:tcPr>
          <w:p w14:paraId="64FA7CF6" w14:textId="77777777" w:rsidR="00E45705" w:rsidRPr="001B09E6" w:rsidRDefault="00E45705" w:rsidP="00E45705">
            <w:pPr>
              <w:pStyle w:val="TableCellText"/>
              <w:spacing w:before="0" w:after="0"/>
              <w:ind w:left="0" w:right="0"/>
            </w:pPr>
            <w:r w:rsidRPr="001B09E6">
              <w:t>17.4</w:t>
            </w:r>
          </w:p>
        </w:tc>
        <w:tc>
          <w:tcPr>
            <w:tcW w:w="587" w:type="pct"/>
            <w:tcBorders>
              <w:top w:val="single" w:sz="4" w:space="0" w:color="auto"/>
              <w:left w:val="nil"/>
              <w:bottom w:val="nil"/>
              <w:right w:val="nil"/>
            </w:tcBorders>
            <w:shd w:val="clear" w:color="auto" w:fill="auto"/>
            <w:noWrap/>
            <w:hideMark/>
          </w:tcPr>
          <w:p w14:paraId="7898E692" w14:textId="77777777" w:rsidR="00E45705" w:rsidRPr="001B09E6" w:rsidRDefault="00E45705" w:rsidP="00E45705">
            <w:pPr>
              <w:pStyle w:val="TableCellText"/>
              <w:spacing w:before="0" w:after="0"/>
              <w:ind w:left="0" w:right="0"/>
            </w:pPr>
            <w:r w:rsidRPr="001B09E6">
              <w:t>17.7</w:t>
            </w:r>
          </w:p>
        </w:tc>
        <w:tc>
          <w:tcPr>
            <w:tcW w:w="587" w:type="pct"/>
            <w:tcBorders>
              <w:top w:val="single" w:sz="4" w:space="0" w:color="auto"/>
              <w:left w:val="nil"/>
              <w:bottom w:val="nil"/>
              <w:right w:val="nil"/>
            </w:tcBorders>
            <w:shd w:val="clear" w:color="auto" w:fill="auto"/>
            <w:noWrap/>
            <w:hideMark/>
          </w:tcPr>
          <w:p w14:paraId="1CD25CE3" w14:textId="77777777" w:rsidR="00E45705" w:rsidRPr="001B09E6" w:rsidRDefault="00E45705" w:rsidP="00E45705">
            <w:pPr>
              <w:pStyle w:val="TableCellText"/>
              <w:spacing w:before="0" w:after="0"/>
              <w:ind w:left="0" w:right="0"/>
            </w:pPr>
            <w:r w:rsidRPr="001B09E6">
              <w:t>17.5</w:t>
            </w:r>
          </w:p>
        </w:tc>
        <w:tc>
          <w:tcPr>
            <w:tcW w:w="587" w:type="pct"/>
            <w:tcBorders>
              <w:top w:val="single" w:sz="4" w:space="0" w:color="auto"/>
              <w:left w:val="nil"/>
              <w:bottom w:val="nil"/>
              <w:right w:val="nil"/>
            </w:tcBorders>
            <w:shd w:val="clear" w:color="auto" w:fill="auto"/>
            <w:noWrap/>
            <w:hideMark/>
          </w:tcPr>
          <w:p w14:paraId="4D422F08" w14:textId="77777777" w:rsidR="00E45705" w:rsidRPr="001B09E6" w:rsidRDefault="00E45705" w:rsidP="00E45705">
            <w:pPr>
              <w:pStyle w:val="TableCellText"/>
              <w:spacing w:before="0" w:after="0"/>
              <w:ind w:left="0" w:right="0"/>
            </w:pPr>
            <w:r w:rsidRPr="001B09E6">
              <w:t>17.1</w:t>
            </w:r>
          </w:p>
        </w:tc>
      </w:tr>
      <w:tr w:rsidR="00E45705" w:rsidRPr="001B09E6" w14:paraId="0C02EFDF" w14:textId="77777777" w:rsidTr="00E45705">
        <w:trPr>
          <w:trHeight w:val="225"/>
        </w:trPr>
        <w:tc>
          <w:tcPr>
            <w:tcW w:w="1481" w:type="pct"/>
            <w:tcBorders>
              <w:top w:val="nil"/>
              <w:left w:val="nil"/>
              <w:bottom w:val="nil"/>
              <w:right w:val="nil"/>
            </w:tcBorders>
            <w:shd w:val="clear" w:color="auto" w:fill="auto"/>
            <w:noWrap/>
            <w:hideMark/>
          </w:tcPr>
          <w:p w14:paraId="19CFE9EB" w14:textId="77777777" w:rsidR="00E45705" w:rsidRPr="001B09E6" w:rsidRDefault="00E45705" w:rsidP="00E45705">
            <w:pPr>
              <w:pStyle w:val="TableCellText"/>
              <w:spacing w:before="0" w:after="0"/>
              <w:ind w:left="0" w:right="0"/>
            </w:pPr>
            <w:r w:rsidRPr="001B09E6">
              <w:t>Quintile 2</w:t>
            </w:r>
          </w:p>
        </w:tc>
        <w:tc>
          <w:tcPr>
            <w:tcW w:w="587" w:type="pct"/>
            <w:tcBorders>
              <w:top w:val="nil"/>
              <w:left w:val="nil"/>
              <w:bottom w:val="nil"/>
              <w:right w:val="nil"/>
            </w:tcBorders>
            <w:shd w:val="clear" w:color="auto" w:fill="auto"/>
            <w:noWrap/>
            <w:hideMark/>
          </w:tcPr>
          <w:p w14:paraId="584D9564" w14:textId="77777777" w:rsidR="00E45705" w:rsidRPr="001B09E6" w:rsidRDefault="00E45705" w:rsidP="00E45705">
            <w:pPr>
              <w:pStyle w:val="TableCellText"/>
              <w:spacing w:before="0" w:after="0"/>
              <w:ind w:left="0" w:right="0"/>
            </w:pPr>
            <w:r w:rsidRPr="001B09E6">
              <w:t>25.7</w:t>
            </w:r>
          </w:p>
        </w:tc>
        <w:tc>
          <w:tcPr>
            <w:tcW w:w="587" w:type="pct"/>
            <w:tcBorders>
              <w:top w:val="nil"/>
              <w:left w:val="nil"/>
              <w:bottom w:val="nil"/>
              <w:right w:val="nil"/>
            </w:tcBorders>
            <w:shd w:val="clear" w:color="auto" w:fill="auto"/>
            <w:noWrap/>
            <w:hideMark/>
          </w:tcPr>
          <w:p w14:paraId="3368FFEF" w14:textId="77777777" w:rsidR="00E45705" w:rsidRPr="001B09E6" w:rsidRDefault="00E45705" w:rsidP="00E45705">
            <w:pPr>
              <w:pStyle w:val="TableCellText"/>
              <w:spacing w:before="0" w:after="0"/>
              <w:ind w:left="0" w:right="0"/>
            </w:pPr>
            <w:r w:rsidRPr="001B09E6">
              <w:t>25.6</w:t>
            </w:r>
          </w:p>
        </w:tc>
        <w:tc>
          <w:tcPr>
            <w:tcW w:w="587" w:type="pct"/>
            <w:tcBorders>
              <w:top w:val="nil"/>
              <w:left w:val="nil"/>
              <w:bottom w:val="nil"/>
              <w:right w:val="nil"/>
            </w:tcBorders>
            <w:shd w:val="clear" w:color="auto" w:fill="auto"/>
            <w:noWrap/>
            <w:hideMark/>
          </w:tcPr>
          <w:p w14:paraId="5E2F4F29" w14:textId="77777777" w:rsidR="00E45705" w:rsidRPr="001B09E6" w:rsidRDefault="00E45705" w:rsidP="00E45705">
            <w:pPr>
              <w:pStyle w:val="TableCellText"/>
              <w:spacing w:before="0" w:after="0"/>
              <w:ind w:left="0" w:right="0"/>
            </w:pPr>
            <w:r w:rsidRPr="001B09E6">
              <w:t>25.5</w:t>
            </w:r>
          </w:p>
        </w:tc>
        <w:tc>
          <w:tcPr>
            <w:tcW w:w="587" w:type="pct"/>
            <w:tcBorders>
              <w:top w:val="nil"/>
              <w:left w:val="nil"/>
              <w:bottom w:val="nil"/>
              <w:right w:val="nil"/>
            </w:tcBorders>
            <w:shd w:val="clear" w:color="auto" w:fill="auto"/>
            <w:noWrap/>
            <w:hideMark/>
          </w:tcPr>
          <w:p w14:paraId="57FCC1D8" w14:textId="77777777" w:rsidR="00E45705" w:rsidRPr="001B09E6" w:rsidRDefault="00E45705" w:rsidP="00E45705">
            <w:pPr>
              <w:pStyle w:val="TableCellText"/>
              <w:spacing w:before="0" w:after="0"/>
              <w:ind w:left="0" w:right="0"/>
            </w:pPr>
            <w:r w:rsidRPr="001B09E6">
              <w:t>25.5</w:t>
            </w:r>
          </w:p>
        </w:tc>
        <w:tc>
          <w:tcPr>
            <w:tcW w:w="587" w:type="pct"/>
            <w:tcBorders>
              <w:top w:val="nil"/>
              <w:left w:val="nil"/>
              <w:bottom w:val="nil"/>
              <w:right w:val="nil"/>
            </w:tcBorders>
            <w:shd w:val="clear" w:color="auto" w:fill="auto"/>
            <w:noWrap/>
            <w:hideMark/>
          </w:tcPr>
          <w:p w14:paraId="16A54F2B" w14:textId="77777777" w:rsidR="00E45705" w:rsidRPr="001B09E6" w:rsidRDefault="00E45705" w:rsidP="00E45705">
            <w:pPr>
              <w:pStyle w:val="TableCellText"/>
              <w:spacing w:before="0" w:after="0"/>
              <w:ind w:left="0" w:right="0"/>
            </w:pPr>
            <w:r w:rsidRPr="001B09E6">
              <w:t>26.0</w:t>
            </w:r>
          </w:p>
        </w:tc>
        <w:tc>
          <w:tcPr>
            <w:tcW w:w="587" w:type="pct"/>
            <w:tcBorders>
              <w:top w:val="nil"/>
              <w:left w:val="nil"/>
              <w:bottom w:val="nil"/>
              <w:right w:val="nil"/>
            </w:tcBorders>
            <w:shd w:val="clear" w:color="auto" w:fill="auto"/>
            <w:noWrap/>
            <w:hideMark/>
          </w:tcPr>
          <w:p w14:paraId="5EDAD3F9" w14:textId="77777777" w:rsidR="00E45705" w:rsidRPr="001B09E6" w:rsidRDefault="00E45705" w:rsidP="00E45705">
            <w:pPr>
              <w:pStyle w:val="TableCellText"/>
              <w:spacing w:before="0" w:after="0"/>
              <w:ind w:left="0" w:right="0"/>
            </w:pPr>
            <w:r w:rsidRPr="001B09E6">
              <w:t>26.0</w:t>
            </w:r>
          </w:p>
        </w:tc>
      </w:tr>
      <w:tr w:rsidR="00E45705" w:rsidRPr="001B09E6" w14:paraId="27E5A29C" w14:textId="77777777" w:rsidTr="00E45705">
        <w:trPr>
          <w:trHeight w:val="225"/>
        </w:trPr>
        <w:tc>
          <w:tcPr>
            <w:tcW w:w="1481" w:type="pct"/>
            <w:tcBorders>
              <w:top w:val="nil"/>
              <w:left w:val="nil"/>
              <w:bottom w:val="nil"/>
              <w:right w:val="nil"/>
            </w:tcBorders>
            <w:shd w:val="clear" w:color="auto" w:fill="auto"/>
            <w:noWrap/>
            <w:hideMark/>
          </w:tcPr>
          <w:p w14:paraId="67B8ED84" w14:textId="77777777" w:rsidR="00E45705" w:rsidRPr="001B09E6" w:rsidRDefault="00E45705" w:rsidP="00E45705">
            <w:pPr>
              <w:pStyle w:val="TableCellText"/>
              <w:spacing w:before="0" w:after="0"/>
              <w:ind w:left="0" w:right="0"/>
            </w:pPr>
            <w:r w:rsidRPr="001B09E6">
              <w:t>Quintile 3</w:t>
            </w:r>
          </w:p>
        </w:tc>
        <w:tc>
          <w:tcPr>
            <w:tcW w:w="587" w:type="pct"/>
            <w:tcBorders>
              <w:top w:val="nil"/>
              <w:left w:val="nil"/>
              <w:bottom w:val="nil"/>
              <w:right w:val="nil"/>
            </w:tcBorders>
            <w:shd w:val="clear" w:color="auto" w:fill="auto"/>
            <w:noWrap/>
            <w:hideMark/>
          </w:tcPr>
          <w:p w14:paraId="3C7CC0F0" w14:textId="77777777" w:rsidR="00E45705" w:rsidRPr="001B09E6" w:rsidRDefault="00E45705" w:rsidP="00E45705">
            <w:pPr>
              <w:pStyle w:val="TableCellText"/>
              <w:spacing w:before="0" w:after="0"/>
              <w:ind w:left="0" w:right="0"/>
            </w:pPr>
            <w:r w:rsidRPr="001B09E6">
              <w:t>22.3</w:t>
            </w:r>
          </w:p>
        </w:tc>
        <w:tc>
          <w:tcPr>
            <w:tcW w:w="587" w:type="pct"/>
            <w:tcBorders>
              <w:top w:val="nil"/>
              <w:left w:val="nil"/>
              <w:bottom w:val="nil"/>
              <w:right w:val="nil"/>
            </w:tcBorders>
            <w:shd w:val="clear" w:color="auto" w:fill="auto"/>
            <w:noWrap/>
            <w:hideMark/>
          </w:tcPr>
          <w:p w14:paraId="190284D1" w14:textId="77777777" w:rsidR="00E45705" w:rsidRPr="001B09E6" w:rsidRDefault="00E45705" w:rsidP="00E45705">
            <w:pPr>
              <w:pStyle w:val="TableCellText"/>
              <w:spacing w:before="0" w:after="0"/>
              <w:ind w:left="0" w:right="0"/>
            </w:pPr>
            <w:r w:rsidRPr="001B09E6">
              <w:t>22.3</w:t>
            </w:r>
          </w:p>
        </w:tc>
        <w:tc>
          <w:tcPr>
            <w:tcW w:w="587" w:type="pct"/>
            <w:tcBorders>
              <w:top w:val="nil"/>
              <w:left w:val="nil"/>
              <w:bottom w:val="nil"/>
              <w:right w:val="nil"/>
            </w:tcBorders>
            <w:shd w:val="clear" w:color="auto" w:fill="auto"/>
            <w:noWrap/>
            <w:hideMark/>
          </w:tcPr>
          <w:p w14:paraId="10AE004C" w14:textId="77777777" w:rsidR="00E45705" w:rsidRPr="001B09E6" w:rsidRDefault="00E45705" w:rsidP="00E45705">
            <w:pPr>
              <w:pStyle w:val="TableCellText"/>
              <w:spacing w:before="0" w:after="0"/>
              <w:ind w:left="0" w:right="0"/>
            </w:pPr>
            <w:r w:rsidRPr="001B09E6">
              <w:t>22.6</w:t>
            </w:r>
          </w:p>
        </w:tc>
        <w:tc>
          <w:tcPr>
            <w:tcW w:w="587" w:type="pct"/>
            <w:tcBorders>
              <w:top w:val="nil"/>
              <w:left w:val="nil"/>
              <w:bottom w:val="nil"/>
              <w:right w:val="nil"/>
            </w:tcBorders>
            <w:shd w:val="clear" w:color="auto" w:fill="auto"/>
            <w:noWrap/>
            <w:hideMark/>
          </w:tcPr>
          <w:p w14:paraId="7E4E2A30" w14:textId="77777777" w:rsidR="00E45705" w:rsidRPr="001B09E6" w:rsidRDefault="00E45705" w:rsidP="00E45705">
            <w:pPr>
              <w:pStyle w:val="TableCellText"/>
              <w:spacing w:before="0" w:after="0"/>
              <w:ind w:left="0" w:right="0"/>
            </w:pPr>
            <w:r w:rsidRPr="001B09E6">
              <w:t>22.7</w:t>
            </w:r>
          </w:p>
        </w:tc>
        <w:tc>
          <w:tcPr>
            <w:tcW w:w="587" w:type="pct"/>
            <w:tcBorders>
              <w:top w:val="nil"/>
              <w:left w:val="nil"/>
              <w:bottom w:val="nil"/>
              <w:right w:val="nil"/>
            </w:tcBorders>
            <w:shd w:val="clear" w:color="auto" w:fill="auto"/>
            <w:noWrap/>
            <w:hideMark/>
          </w:tcPr>
          <w:p w14:paraId="17B577B0" w14:textId="77777777" w:rsidR="00E45705" w:rsidRPr="001B09E6" w:rsidRDefault="00E45705" w:rsidP="00E45705">
            <w:pPr>
              <w:pStyle w:val="TableCellText"/>
              <w:spacing w:before="0" w:after="0"/>
              <w:ind w:left="0" w:right="0"/>
            </w:pPr>
            <w:r w:rsidRPr="001B09E6">
              <w:t>22.6</w:t>
            </w:r>
          </w:p>
        </w:tc>
        <w:tc>
          <w:tcPr>
            <w:tcW w:w="587" w:type="pct"/>
            <w:tcBorders>
              <w:top w:val="nil"/>
              <w:left w:val="nil"/>
              <w:bottom w:val="nil"/>
              <w:right w:val="nil"/>
            </w:tcBorders>
            <w:shd w:val="clear" w:color="auto" w:fill="auto"/>
            <w:noWrap/>
            <w:hideMark/>
          </w:tcPr>
          <w:p w14:paraId="27BD6558" w14:textId="77777777" w:rsidR="00E45705" w:rsidRPr="001B09E6" w:rsidRDefault="00E45705" w:rsidP="00E45705">
            <w:pPr>
              <w:pStyle w:val="TableCellText"/>
              <w:spacing w:before="0" w:after="0"/>
              <w:ind w:left="0" w:right="0"/>
            </w:pPr>
            <w:r w:rsidRPr="001B09E6">
              <w:t>22.9</w:t>
            </w:r>
          </w:p>
        </w:tc>
      </w:tr>
      <w:tr w:rsidR="00E45705" w:rsidRPr="001B09E6" w14:paraId="0F2B61F4" w14:textId="77777777" w:rsidTr="00E45705">
        <w:trPr>
          <w:trHeight w:val="225"/>
        </w:trPr>
        <w:tc>
          <w:tcPr>
            <w:tcW w:w="1481" w:type="pct"/>
            <w:tcBorders>
              <w:top w:val="nil"/>
              <w:left w:val="nil"/>
              <w:bottom w:val="nil"/>
              <w:right w:val="nil"/>
            </w:tcBorders>
            <w:shd w:val="clear" w:color="auto" w:fill="auto"/>
            <w:noWrap/>
            <w:hideMark/>
          </w:tcPr>
          <w:p w14:paraId="2F9BF2A5" w14:textId="77777777" w:rsidR="00E45705" w:rsidRPr="001B09E6" w:rsidRDefault="00E45705" w:rsidP="00E45705">
            <w:pPr>
              <w:pStyle w:val="TableCellText"/>
              <w:spacing w:before="0" w:after="0"/>
              <w:ind w:left="0" w:right="0"/>
            </w:pPr>
            <w:r w:rsidRPr="001B09E6">
              <w:t>Quintile 4</w:t>
            </w:r>
          </w:p>
        </w:tc>
        <w:tc>
          <w:tcPr>
            <w:tcW w:w="587" w:type="pct"/>
            <w:tcBorders>
              <w:top w:val="nil"/>
              <w:left w:val="nil"/>
              <w:bottom w:val="nil"/>
              <w:right w:val="nil"/>
            </w:tcBorders>
            <w:shd w:val="clear" w:color="auto" w:fill="auto"/>
            <w:noWrap/>
            <w:hideMark/>
          </w:tcPr>
          <w:p w14:paraId="0CB871B8" w14:textId="77777777" w:rsidR="00E45705" w:rsidRPr="001B09E6" w:rsidRDefault="00E45705" w:rsidP="00E45705">
            <w:pPr>
              <w:pStyle w:val="TableCellText"/>
              <w:spacing w:before="0" w:after="0"/>
              <w:ind w:left="0" w:right="0"/>
            </w:pPr>
            <w:r w:rsidRPr="001B09E6">
              <w:t>21.0</w:t>
            </w:r>
          </w:p>
        </w:tc>
        <w:tc>
          <w:tcPr>
            <w:tcW w:w="587" w:type="pct"/>
            <w:tcBorders>
              <w:top w:val="nil"/>
              <w:left w:val="nil"/>
              <w:bottom w:val="nil"/>
              <w:right w:val="nil"/>
            </w:tcBorders>
            <w:shd w:val="clear" w:color="auto" w:fill="auto"/>
            <w:noWrap/>
            <w:hideMark/>
          </w:tcPr>
          <w:p w14:paraId="1AEF6827" w14:textId="77777777" w:rsidR="00E45705" w:rsidRPr="001B09E6" w:rsidRDefault="00E45705" w:rsidP="00E45705">
            <w:pPr>
              <w:pStyle w:val="TableCellText"/>
              <w:spacing w:before="0" w:after="0"/>
              <w:ind w:left="0" w:right="0"/>
            </w:pPr>
            <w:r w:rsidRPr="001B09E6">
              <w:t>20.5</w:t>
            </w:r>
          </w:p>
        </w:tc>
        <w:tc>
          <w:tcPr>
            <w:tcW w:w="587" w:type="pct"/>
            <w:tcBorders>
              <w:top w:val="nil"/>
              <w:left w:val="nil"/>
              <w:bottom w:val="nil"/>
              <w:right w:val="nil"/>
            </w:tcBorders>
            <w:shd w:val="clear" w:color="auto" w:fill="auto"/>
            <w:noWrap/>
            <w:hideMark/>
          </w:tcPr>
          <w:p w14:paraId="6D7B5E82" w14:textId="77777777" w:rsidR="00E45705" w:rsidRPr="001B09E6" w:rsidRDefault="00E45705" w:rsidP="00E45705">
            <w:pPr>
              <w:pStyle w:val="TableCellText"/>
              <w:spacing w:before="0" w:after="0"/>
              <w:ind w:left="0" w:right="0"/>
            </w:pPr>
            <w:r w:rsidRPr="001B09E6">
              <w:t>21.3</w:t>
            </w:r>
          </w:p>
        </w:tc>
        <w:tc>
          <w:tcPr>
            <w:tcW w:w="587" w:type="pct"/>
            <w:tcBorders>
              <w:top w:val="nil"/>
              <w:left w:val="nil"/>
              <w:bottom w:val="nil"/>
              <w:right w:val="nil"/>
            </w:tcBorders>
            <w:shd w:val="clear" w:color="auto" w:fill="auto"/>
            <w:noWrap/>
            <w:hideMark/>
          </w:tcPr>
          <w:p w14:paraId="30E57FDD" w14:textId="77777777" w:rsidR="00E45705" w:rsidRPr="001B09E6" w:rsidRDefault="00E45705" w:rsidP="00E45705">
            <w:pPr>
              <w:pStyle w:val="TableCellText"/>
              <w:spacing w:before="0" w:after="0"/>
              <w:ind w:left="0" w:right="0"/>
            </w:pPr>
            <w:r w:rsidRPr="001B09E6">
              <w:t>21.2</w:t>
            </w:r>
          </w:p>
        </w:tc>
        <w:tc>
          <w:tcPr>
            <w:tcW w:w="587" w:type="pct"/>
            <w:tcBorders>
              <w:top w:val="nil"/>
              <w:left w:val="nil"/>
              <w:bottom w:val="nil"/>
              <w:right w:val="nil"/>
            </w:tcBorders>
            <w:shd w:val="clear" w:color="auto" w:fill="auto"/>
            <w:noWrap/>
            <w:hideMark/>
          </w:tcPr>
          <w:p w14:paraId="6F6704A5" w14:textId="77777777" w:rsidR="00E45705" w:rsidRPr="001B09E6" w:rsidRDefault="00E45705" w:rsidP="00E45705">
            <w:pPr>
              <w:pStyle w:val="TableCellText"/>
              <w:spacing w:before="0" w:after="0"/>
              <w:ind w:left="0" w:right="0"/>
            </w:pPr>
            <w:r w:rsidRPr="001B09E6">
              <w:t>21.1</w:t>
            </w:r>
          </w:p>
        </w:tc>
        <w:tc>
          <w:tcPr>
            <w:tcW w:w="587" w:type="pct"/>
            <w:tcBorders>
              <w:top w:val="nil"/>
              <w:left w:val="nil"/>
              <w:bottom w:val="nil"/>
              <w:right w:val="nil"/>
            </w:tcBorders>
            <w:shd w:val="clear" w:color="auto" w:fill="auto"/>
            <w:noWrap/>
            <w:hideMark/>
          </w:tcPr>
          <w:p w14:paraId="5E2A1318" w14:textId="77777777" w:rsidR="00E45705" w:rsidRPr="001B09E6" w:rsidRDefault="00E45705" w:rsidP="00E45705">
            <w:pPr>
              <w:pStyle w:val="TableCellText"/>
              <w:spacing w:before="0" w:after="0"/>
              <w:ind w:left="0" w:right="0"/>
            </w:pPr>
            <w:r w:rsidRPr="001B09E6">
              <w:t>21.2</w:t>
            </w:r>
          </w:p>
        </w:tc>
      </w:tr>
      <w:tr w:rsidR="00E45705" w:rsidRPr="001B09E6" w14:paraId="2B8698EB" w14:textId="77777777" w:rsidTr="00E45705">
        <w:trPr>
          <w:trHeight w:val="225"/>
        </w:trPr>
        <w:tc>
          <w:tcPr>
            <w:tcW w:w="1481" w:type="pct"/>
            <w:tcBorders>
              <w:top w:val="nil"/>
              <w:left w:val="nil"/>
              <w:bottom w:val="single" w:sz="4" w:space="0" w:color="auto"/>
              <w:right w:val="nil"/>
            </w:tcBorders>
            <w:shd w:val="clear" w:color="auto" w:fill="auto"/>
            <w:noWrap/>
            <w:hideMark/>
          </w:tcPr>
          <w:p w14:paraId="0E598624" w14:textId="77777777" w:rsidR="00E45705" w:rsidRPr="001B09E6" w:rsidRDefault="00E45705" w:rsidP="00E45705">
            <w:pPr>
              <w:pStyle w:val="TableCellText"/>
              <w:spacing w:before="0" w:after="0"/>
              <w:ind w:left="0" w:right="0"/>
            </w:pPr>
            <w:r w:rsidRPr="001B09E6">
              <w:t>Quintile 5: Least disadvantaged</w:t>
            </w:r>
          </w:p>
        </w:tc>
        <w:tc>
          <w:tcPr>
            <w:tcW w:w="587" w:type="pct"/>
            <w:tcBorders>
              <w:top w:val="nil"/>
              <w:left w:val="nil"/>
              <w:bottom w:val="single" w:sz="4" w:space="0" w:color="auto"/>
              <w:right w:val="nil"/>
            </w:tcBorders>
            <w:shd w:val="clear" w:color="auto" w:fill="auto"/>
            <w:noWrap/>
            <w:hideMark/>
          </w:tcPr>
          <w:p w14:paraId="1B7BC4E8" w14:textId="77777777" w:rsidR="00E45705" w:rsidRPr="001B09E6" w:rsidRDefault="00E45705" w:rsidP="00E45705">
            <w:pPr>
              <w:pStyle w:val="TableCellText"/>
              <w:spacing w:before="0" w:after="0"/>
              <w:ind w:left="0" w:right="0"/>
            </w:pPr>
            <w:r w:rsidRPr="001B09E6">
              <w:t>14.4</w:t>
            </w:r>
          </w:p>
        </w:tc>
        <w:tc>
          <w:tcPr>
            <w:tcW w:w="587" w:type="pct"/>
            <w:tcBorders>
              <w:top w:val="nil"/>
              <w:left w:val="nil"/>
              <w:bottom w:val="single" w:sz="4" w:space="0" w:color="auto"/>
              <w:right w:val="nil"/>
            </w:tcBorders>
            <w:shd w:val="clear" w:color="auto" w:fill="auto"/>
            <w:noWrap/>
            <w:hideMark/>
          </w:tcPr>
          <w:p w14:paraId="763DCA1A" w14:textId="77777777" w:rsidR="00E45705" w:rsidRPr="001B09E6" w:rsidRDefault="00E45705" w:rsidP="00E45705">
            <w:pPr>
              <w:pStyle w:val="TableCellText"/>
              <w:spacing w:before="0" w:after="0"/>
              <w:ind w:left="0" w:right="0"/>
            </w:pPr>
            <w:r w:rsidRPr="001B09E6">
              <w:t>14.3</w:t>
            </w:r>
          </w:p>
        </w:tc>
        <w:tc>
          <w:tcPr>
            <w:tcW w:w="587" w:type="pct"/>
            <w:tcBorders>
              <w:top w:val="nil"/>
              <w:left w:val="nil"/>
              <w:bottom w:val="single" w:sz="4" w:space="0" w:color="auto"/>
              <w:right w:val="nil"/>
            </w:tcBorders>
            <w:shd w:val="clear" w:color="auto" w:fill="auto"/>
            <w:noWrap/>
            <w:hideMark/>
          </w:tcPr>
          <w:p w14:paraId="3B7F2EC6" w14:textId="77777777" w:rsidR="00E45705" w:rsidRPr="001B09E6" w:rsidRDefault="00E45705" w:rsidP="00E45705">
            <w:pPr>
              <w:pStyle w:val="TableCellText"/>
              <w:spacing w:before="0" w:after="0"/>
              <w:ind w:left="0" w:right="0"/>
            </w:pPr>
            <w:r w:rsidRPr="001B09E6">
              <w:t>13.2</w:t>
            </w:r>
          </w:p>
        </w:tc>
        <w:tc>
          <w:tcPr>
            <w:tcW w:w="587" w:type="pct"/>
            <w:tcBorders>
              <w:top w:val="nil"/>
              <w:left w:val="nil"/>
              <w:bottom w:val="single" w:sz="4" w:space="0" w:color="auto"/>
              <w:right w:val="nil"/>
            </w:tcBorders>
            <w:shd w:val="clear" w:color="auto" w:fill="auto"/>
            <w:noWrap/>
            <w:hideMark/>
          </w:tcPr>
          <w:p w14:paraId="193227FE" w14:textId="77777777" w:rsidR="00E45705" w:rsidRPr="001B09E6" w:rsidRDefault="00E45705" w:rsidP="00E45705">
            <w:pPr>
              <w:pStyle w:val="TableCellText"/>
              <w:spacing w:before="0" w:after="0"/>
              <w:ind w:left="0" w:right="0"/>
            </w:pPr>
            <w:r w:rsidRPr="001B09E6">
              <w:t>13.0</w:t>
            </w:r>
          </w:p>
        </w:tc>
        <w:tc>
          <w:tcPr>
            <w:tcW w:w="587" w:type="pct"/>
            <w:tcBorders>
              <w:top w:val="nil"/>
              <w:left w:val="nil"/>
              <w:bottom w:val="single" w:sz="4" w:space="0" w:color="auto"/>
              <w:right w:val="nil"/>
            </w:tcBorders>
            <w:shd w:val="clear" w:color="auto" w:fill="auto"/>
            <w:noWrap/>
            <w:hideMark/>
          </w:tcPr>
          <w:p w14:paraId="3434E862" w14:textId="77777777" w:rsidR="00E45705" w:rsidRPr="001B09E6" w:rsidRDefault="00E45705" w:rsidP="00E45705">
            <w:pPr>
              <w:pStyle w:val="TableCellText"/>
              <w:spacing w:before="0" w:after="0"/>
              <w:ind w:left="0" w:right="0"/>
            </w:pPr>
            <w:r w:rsidRPr="001B09E6">
              <w:t>12.7</w:t>
            </w:r>
          </w:p>
        </w:tc>
        <w:tc>
          <w:tcPr>
            <w:tcW w:w="587" w:type="pct"/>
            <w:tcBorders>
              <w:top w:val="nil"/>
              <w:left w:val="nil"/>
              <w:bottom w:val="single" w:sz="4" w:space="0" w:color="auto"/>
              <w:right w:val="nil"/>
            </w:tcBorders>
            <w:shd w:val="clear" w:color="auto" w:fill="auto"/>
            <w:noWrap/>
            <w:hideMark/>
          </w:tcPr>
          <w:p w14:paraId="6CC3B86A" w14:textId="77777777" w:rsidR="00E45705" w:rsidRPr="001B09E6" w:rsidRDefault="00E45705" w:rsidP="00E45705">
            <w:pPr>
              <w:pStyle w:val="TableCellText"/>
              <w:spacing w:before="0" w:after="0"/>
              <w:ind w:left="0" w:right="0"/>
            </w:pPr>
            <w:r w:rsidRPr="001B09E6">
              <w:t>12.7</w:t>
            </w:r>
          </w:p>
        </w:tc>
      </w:tr>
      <w:tr w:rsidR="00E45705" w:rsidRPr="001B09E6" w14:paraId="713353F4" w14:textId="77777777" w:rsidTr="00E45705">
        <w:trPr>
          <w:trHeight w:val="225"/>
        </w:trPr>
        <w:tc>
          <w:tcPr>
            <w:tcW w:w="1481" w:type="pct"/>
            <w:tcBorders>
              <w:top w:val="single" w:sz="4" w:space="0" w:color="auto"/>
              <w:left w:val="nil"/>
              <w:bottom w:val="single" w:sz="4" w:space="0" w:color="auto"/>
              <w:right w:val="nil"/>
            </w:tcBorders>
            <w:shd w:val="clear" w:color="auto" w:fill="auto"/>
            <w:noWrap/>
            <w:hideMark/>
          </w:tcPr>
          <w:p w14:paraId="65A5441D" w14:textId="77777777" w:rsidR="00E45705" w:rsidRPr="001B09E6" w:rsidRDefault="00E45705" w:rsidP="00E45705">
            <w:pPr>
              <w:pStyle w:val="TableCellText"/>
              <w:spacing w:before="0" w:after="0"/>
              <w:ind w:left="0" w:right="0"/>
            </w:pPr>
            <w:r w:rsidRPr="001B09E6">
              <w:t>Total</w:t>
            </w:r>
          </w:p>
        </w:tc>
        <w:tc>
          <w:tcPr>
            <w:tcW w:w="587" w:type="pct"/>
            <w:tcBorders>
              <w:top w:val="single" w:sz="4" w:space="0" w:color="auto"/>
              <w:left w:val="nil"/>
              <w:bottom w:val="single" w:sz="4" w:space="0" w:color="auto"/>
              <w:right w:val="nil"/>
            </w:tcBorders>
            <w:shd w:val="clear" w:color="auto" w:fill="auto"/>
            <w:noWrap/>
            <w:hideMark/>
          </w:tcPr>
          <w:p w14:paraId="1032F716" w14:textId="77777777" w:rsidR="00E45705" w:rsidRPr="001B09E6" w:rsidRDefault="00E45705" w:rsidP="00E45705">
            <w:pPr>
              <w:pStyle w:val="TableCellText"/>
              <w:spacing w:before="0" w:after="0"/>
              <w:ind w:left="0" w:right="0"/>
            </w:pPr>
            <w:r w:rsidRPr="001B09E6">
              <w:t>100.0</w:t>
            </w:r>
          </w:p>
        </w:tc>
        <w:tc>
          <w:tcPr>
            <w:tcW w:w="587" w:type="pct"/>
            <w:tcBorders>
              <w:top w:val="single" w:sz="4" w:space="0" w:color="auto"/>
              <w:left w:val="nil"/>
              <w:bottom w:val="single" w:sz="4" w:space="0" w:color="auto"/>
              <w:right w:val="nil"/>
            </w:tcBorders>
            <w:shd w:val="clear" w:color="auto" w:fill="auto"/>
            <w:noWrap/>
            <w:hideMark/>
          </w:tcPr>
          <w:p w14:paraId="0E3DC5B6" w14:textId="77777777" w:rsidR="00E45705" w:rsidRPr="001B09E6" w:rsidRDefault="00E45705" w:rsidP="00E45705">
            <w:pPr>
              <w:pStyle w:val="TableCellText"/>
              <w:spacing w:before="0" w:after="0"/>
              <w:ind w:left="0" w:right="0"/>
            </w:pPr>
            <w:r w:rsidRPr="001B09E6">
              <w:t>100.0</w:t>
            </w:r>
          </w:p>
        </w:tc>
        <w:tc>
          <w:tcPr>
            <w:tcW w:w="587" w:type="pct"/>
            <w:tcBorders>
              <w:top w:val="single" w:sz="4" w:space="0" w:color="auto"/>
              <w:left w:val="nil"/>
              <w:bottom w:val="single" w:sz="4" w:space="0" w:color="auto"/>
              <w:right w:val="nil"/>
            </w:tcBorders>
            <w:shd w:val="clear" w:color="auto" w:fill="auto"/>
            <w:noWrap/>
            <w:hideMark/>
          </w:tcPr>
          <w:p w14:paraId="72D68BDD" w14:textId="77777777" w:rsidR="00E45705" w:rsidRPr="001B09E6" w:rsidRDefault="00E45705" w:rsidP="00E45705">
            <w:pPr>
              <w:pStyle w:val="TableCellText"/>
              <w:spacing w:before="0" w:after="0"/>
              <w:ind w:left="0" w:right="0"/>
            </w:pPr>
            <w:r w:rsidRPr="001B09E6">
              <w:t>100.0</w:t>
            </w:r>
          </w:p>
        </w:tc>
        <w:tc>
          <w:tcPr>
            <w:tcW w:w="587" w:type="pct"/>
            <w:tcBorders>
              <w:top w:val="single" w:sz="4" w:space="0" w:color="auto"/>
              <w:left w:val="nil"/>
              <w:bottom w:val="single" w:sz="4" w:space="0" w:color="auto"/>
              <w:right w:val="nil"/>
            </w:tcBorders>
            <w:shd w:val="clear" w:color="auto" w:fill="auto"/>
            <w:noWrap/>
            <w:hideMark/>
          </w:tcPr>
          <w:p w14:paraId="2BC098B2" w14:textId="77777777" w:rsidR="00E45705" w:rsidRPr="001B09E6" w:rsidRDefault="00E45705" w:rsidP="00E45705">
            <w:pPr>
              <w:pStyle w:val="TableCellText"/>
              <w:spacing w:before="0" w:after="0"/>
              <w:ind w:left="0" w:right="0"/>
            </w:pPr>
            <w:r w:rsidRPr="001B09E6">
              <w:t>100.0</w:t>
            </w:r>
          </w:p>
        </w:tc>
        <w:tc>
          <w:tcPr>
            <w:tcW w:w="587" w:type="pct"/>
            <w:tcBorders>
              <w:top w:val="single" w:sz="4" w:space="0" w:color="auto"/>
              <w:left w:val="nil"/>
              <w:bottom w:val="single" w:sz="4" w:space="0" w:color="auto"/>
              <w:right w:val="nil"/>
            </w:tcBorders>
            <w:shd w:val="clear" w:color="auto" w:fill="auto"/>
            <w:noWrap/>
            <w:hideMark/>
          </w:tcPr>
          <w:p w14:paraId="16AE9E70" w14:textId="77777777" w:rsidR="00E45705" w:rsidRPr="001B09E6" w:rsidRDefault="00E45705" w:rsidP="00E45705">
            <w:pPr>
              <w:pStyle w:val="TableCellText"/>
              <w:spacing w:before="0" w:after="0"/>
              <w:ind w:left="0" w:right="0"/>
            </w:pPr>
            <w:r w:rsidRPr="001B09E6">
              <w:t>100.0</w:t>
            </w:r>
          </w:p>
        </w:tc>
        <w:tc>
          <w:tcPr>
            <w:tcW w:w="587" w:type="pct"/>
            <w:tcBorders>
              <w:top w:val="single" w:sz="4" w:space="0" w:color="auto"/>
              <w:left w:val="nil"/>
              <w:bottom w:val="single" w:sz="4" w:space="0" w:color="auto"/>
              <w:right w:val="nil"/>
            </w:tcBorders>
            <w:shd w:val="clear" w:color="auto" w:fill="auto"/>
            <w:noWrap/>
            <w:hideMark/>
          </w:tcPr>
          <w:p w14:paraId="4400E3E3" w14:textId="77777777" w:rsidR="00E45705" w:rsidRPr="001B09E6" w:rsidRDefault="00E45705" w:rsidP="00E45705">
            <w:pPr>
              <w:pStyle w:val="TableCellText"/>
              <w:spacing w:before="0" w:after="0"/>
              <w:ind w:left="0" w:right="0"/>
            </w:pPr>
            <w:r w:rsidRPr="001B09E6">
              <w:t>100.0</w:t>
            </w:r>
          </w:p>
        </w:tc>
      </w:tr>
    </w:tbl>
    <w:p w14:paraId="5928A556" w14:textId="77777777" w:rsidR="00E45705" w:rsidRPr="001B09E6" w:rsidRDefault="00E45705" w:rsidP="00E45705">
      <w:pPr>
        <w:pStyle w:val="Tablenote"/>
        <w:rPr>
          <w:lang w:eastAsia="en-AU"/>
        </w:rPr>
      </w:pPr>
      <w:r w:rsidRPr="001B09E6">
        <w:rPr>
          <w:lang w:eastAsia="en-AU"/>
        </w:rPr>
        <w:t>Note: SEIFA was only collected from 2006</w:t>
      </w:r>
    </w:p>
    <w:p w14:paraId="075BAB16" w14:textId="77777777" w:rsidR="00E45705" w:rsidRPr="001B09E6" w:rsidRDefault="00E45705" w:rsidP="00E45705">
      <w:pPr>
        <w:pStyle w:val="Tablenote"/>
        <w:rPr>
          <w:lang w:eastAsia="en-AU"/>
        </w:rPr>
      </w:pPr>
      <w:r w:rsidRPr="001B09E6">
        <w:rPr>
          <w:lang w:eastAsia="en-AU"/>
        </w:rPr>
        <w:t>Source: National VET Provider Collection</w:t>
      </w:r>
    </w:p>
    <w:p w14:paraId="62BF3279" w14:textId="77777777" w:rsidR="00E45705" w:rsidRPr="001B09E6" w:rsidRDefault="00E45705" w:rsidP="00E45705">
      <w:pPr>
        <w:pStyle w:val="Heading3NoNumbering"/>
      </w:pPr>
      <w:bookmarkStart w:id="161" w:name="_Toc192134403"/>
      <w:bookmarkStart w:id="162" w:name="_Toc333918992"/>
      <w:r w:rsidRPr="001B09E6">
        <w:t>Table A2.13: VET participation, disability</w:t>
      </w:r>
      <w:bookmarkEnd w:id="161"/>
      <w:bookmarkEnd w:id="162"/>
    </w:p>
    <w:p w14:paraId="5C0030BC" w14:textId="77777777" w:rsidR="00E45705" w:rsidRPr="001B09E6" w:rsidRDefault="00E45705" w:rsidP="00E45705">
      <w:pPr>
        <w:pStyle w:val="TableHeading"/>
        <w:spacing w:before="112"/>
        <w:ind w:left="0" w:firstLine="0"/>
      </w:pPr>
      <w:r w:rsidRPr="001B09E6">
        <w:t>PERSONS AGED 15-19 YEARS ENROLLED IN VET BY DISABILITY STATUS AS A PERCENTAGE OF TOTAL, 2002-2011, EXCLUDING THOSE ATTENDING SCHOOL, THOSE WHO HAVE COMPLETED YEAR 12 AND THOSE WHOSE DISABILITY STATUS IS NOT KNOWN</w:t>
      </w:r>
    </w:p>
    <w:tbl>
      <w:tblPr>
        <w:tblW w:w="5000" w:type="pct"/>
        <w:tblLook w:val="04A0" w:firstRow="1" w:lastRow="0" w:firstColumn="1" w:lastColumn="0" w:noHBand="0" w:noVBand="1"/>
        <w:tblCaption w:val="Table A2.13: VET participation, disability PERSONS AGED 15-19 YEARS ENROLLED IN VET BY DISABILITY STATUS AS A PERCENTAGE OF TOTAL, 2002-2011, EXCLUDING THOSE ATTENDING SCHOOL, THOSE WHO HAVE COMPLETED YEAR 12 AND THOSE WHOSE DISABILITY STATUS IS NOT KNOWN "/>
        <w:tblDescription w:val="Table A2.13: VET participation, disability&#10;PERSONS AGED 15-19 YEARS ENROLLED IN VET BY DISABILITY STATUS AS A PERCENTAGE OF TOTAL, 2002-2011, EXCLUDING THOSE ATTENDING SCHOOL, THOSE WHO HAVE COMPLETED YEAR 12 AND THOSE WHOSE DISABILITY STATUS IS NOT KNOWN&#10;"/>
      </w:tblPr>
      <w:tblGrid>
        <w:gridCol w:w="1924"/>
        <w:gridCol w:w="1270"/>
        <w:gridCol w:w="1270"/>
        <w:gridCol w:w="1269"/>
        <w:gridCol w:w="1269"/>
        <w:gridCol w:w="1269"/>
        <w:gridCol w:w="1269"/>
        <w:gridCol w:w="1269"/>
        <w:gridCol w:w="1269"/>
        <w:gridCol w:w="1269"/>
        <w:gridCol w:w="1269"/>
      </w:tblGrid>
      <w:tr w:rsidR="00E45705" w:rsidRPr="001B09E6" w14:paraId="748EB120" w14:textId="77777777" w:rsidTr="00E45705">
        <w:trPr>
          <w:trHeight w:val="225"/>
        </w:trPr>
        <w:tc>
          <w:tcPr>
            <w:tcW w:w="658" w:type="pct"/>
            <w:tcBorders>
              <w:top w:val="single" w:sz="4" w:space="0" w:color="auto"/>
              <w:left w:val="nil"/>
              <w:bottom w:val="single" w:sz="4" w:space="0" w:color="auto"/>
            </w:tcBorders>
            <w:shd w:val="clear" w:color="auto" w:fill="auto"/>
            <w:noWrap/>
            <w:hideMark/>
          </w:tcPr>
          <w:p w14:paraId="0E5A81E7" w14:textId="77777777" w:rsidR="00E45705" w:rsidRPr="001B09E6" w:rsidRDefault="00E45705" w:rsidP="00E45705">
            <w:pPr>
              <w:pStyle w:val="TableColumnHeading"/>
              <w:spacing w:before="0" w:after="0"/>
              <w:ind w:left="0" w:right="0"/>
              <w:jc w:val="center"/>
            </w:pPr>
          </w:p>
        </w:tc>
        <w:tc>
          <w:tcPr>
            <w:tcW w:w="434" w:type="pct"/>
            <w:tcBorders>
              <w:top w:val="single" w:sz="4" w:space="0" w:color="auto"/>
              <w:bottom w:val="single" w:sz="4" w:space="0" w:color="auto"/>
            </w:tcBorders>
            <w:shd w:val="clear" w:color="auto" w:fill="auto"/>
            <w:noWrap/>
            <w:hideMark/>
          </w:tcPr>
          <w:p w14:paraId="41363A15" w14:textId="77777777" w:rsidR="00E45705" w:rsidRPr="001B09E6" w:rsidRDefault="00E45705" w:rsidP="00E45705">
            <w:pPr>
              <w:pStyle w:val="TableColumnHeading"/>
              <w:spacing w:before="0" w:after="0"/>
              <w:ind w:left="0" w:right="0"/>
              <w:jc w:val="center"/>
            </w:pPr>
            <w:r w:rsidRPr="001B09E6">
              <w:t>2002</w:t>
            </w:r>
          </w:p>
        </w:tc>
        <w:tc>
          <w:tcPr>
            <w:tcW w:w="434" w:type="pct"/>
            <w:tcBorders>
              <w:top w:val="single" w:sz="4" w:space="0" w:color="auto"/>
              <w:bottom w:val="single" w:sz="4" w:space="0" w:color="auto"/>
            </w:tcBorders>
            <w:shd w:val="clear" w:color="auto" w:fill="auto"/>
            <w:noWrap/>
            <w:hideMark/>
          </w:tcPr>
          <w:p w14:paraId="585F1630" w14:textId="77777777" w:rsidR="00E45705" w:rsidRPr="001B09E6" w:rsidRDefault="00E45705" w:rsidP="00E45705">
            <w:pPr>
              <w:pStyle w:val="TableColumnHeading"/>
              <w:spacing w:before="0" w:after="0"/>
              <w:ind w:left="0" w:right="0"/>
              <w:jc w:val="center"/>
            </w:pPr>
            <w:r w:rsidRPr="001B09E6">
              <w:t>2003</w:t>
            </w:r>
          </w:p>
        </w:tc>
        <w:tc>
          <w:tcPr>
            <w:tcW w:w="434" w:type="pct"/>
            <w:tcBorders>
              <w:top w:val="single" w:sz="4" w:space="0" w:color="auto"/>
              <w:bottom w:val="single" w:sz="4" w:space="0" w:color="auto"/>
            </w:tcBorders>
            <w:shd w:val="clear" w:color="auto" w:fill="auto"/>
            <w:noWrap/>
            <w:hideMark/>
          </w:tcPr>
          <w:p w14:paraId="52E3121E" w14:textId="77777777" w:rsidR="00E45705" w:rsidRPr="001B09E6" w:rsidRDefault="00E45705" w:rsidP="00E45705">
            <w:pPr>
              <w:pStyle w:val="TableColumnHeading"/>
              <w:spacing w:before="0" w:after="0"/>
              <w:ind w:left="0" w:right="0"/>
              <w:jc w:val="center"/>
            </w:pPr>
            <w:r w:rsidRPr="001B09E6">
              <w:t>2004</w:t>
            </w:r>
          </w:p>
        </w:tc>
        <w:tc>
          <w:tcPr>
            <w:tcW w:w="434" w:type="pct"/>
            <w:tcBorders>
              <w:top w:val="single" w:sz="4" w:space="0" w:color="auto"/>
              <w:bottom w:val="single" w:sz="4" w:space="0" w:color="auto"/>
            </w:tcBorders>
            <w:shd w:val="clear" w:color="auto" w:fill="auto"/>
            <w:noWrap/>
            <w:hideMark/>
          </w:tcPr>
          <w:p w14:paraId="6C3AEB34" w14:textId="77777777" w:rsidR="00E45705" w:rsidRPr="001B09E6" w:rsidRDefault="00E45705" w:rsidP="00E45705">
            <w:pPr>
              <w:pStyle w:val="TableColumnHeading"/>
              <w:spacing w:before="0" w:after="0"/>
              <w:ind w:left="0" w:right="0"/>
              <w:jc w:val="center"/>
            </w:pPr>
            <w:r w:rsidRPr="001B09E6">
              <w:t>2005</w:t>
            </w:r>
          </w:p>
        </w:tc>
        <w:tc>
          <w:tcPr>
            <w:tcW w:w="434" w:type="pct"/>
            <w:tcBorders>
              <w:top w:val="single" w:sz="4" w:space="0" w:color="auto"/>
              <w:bottom w:val="single" w:sz="4" w:space="0" w:color="auto"/>
            </w:tcBorders>
            <w:shd w:val="clear" w:color="auto" w:fill="auto"/>
            <w:noWrap/>
            <w:hideMark/>
          </w:tcPr>
          <w:p w14:paraId="2B5E0FB8" w14:textId="77777777" w:rsidR="00E45705" w:rsidRPr="001B09E6" w:rsidRDefault="00E45705" w:rsidP="00E45705">
            <w:pPr>
              <w:pStyle w:val="TableColumnHeading"/>
              <w:spacing w:before="0" w:after="0"/>
              <w:ind w:left="0" w:right="0"/>
              <w:jc w:val="center"/>
            </w:pPr>
            <w:r w:rsidRPr="001B09E6">
              <w:t>2006</w:t>
            </w:r>
          </w:p>
        </w:tc>
        <w:tc>
          <w:tcPr>
            <w:tcW w:w="434" w:type="pct"/>
            <w:tcBorders>
              <w:top w:val="single" w:sz="4" w:space="0" w:color="auto"/>
              <w:bottom w:val="single" w:sz="4" w:space="0" w:color="auto"/>
            </w:tcBorders>
            <w:shd w:val="clear" w:color="auto" w:fill="auto"/>
            <w:noWrap/>
            <w:hideMark/>
          </w:tcPr>
          <w:p w14:paraId="528DD9FD" w14:textId="77777777" w:rsidR="00E45705" w:rsidRPr="001B09E6" w:rsidRDefault="00E45705" w:rsidP="00E45705">
            <w:pPr>
              <w:pStyle w:val="TableColumnHeading"/>
              <w:spacing w:before="0" w:after="0"/>
              <w:ind w:left="0" w:right="0"/>
              <w:jc w:val="center"/>
            </w:pPr>
            <w:r w:rsidRPr="001B09E6">
              <w:t>2007</w:t>
            </w:r>
          </w:p>
        </w:tc>
        <w:tc>
          <w:tcPr>
            <w:tcW w:w="434" w:type="pct"/>
            <w:tcBorders>
              <w:top w:val="single" w:sz="4" w:space="0" w:color="auto"/>
              <w:bottom w:val="single" w:sz="4" w:space="0" w:color="auto"/>
            </w:tcBorders>
            <w:shd w:val="clear" w:color="auto" w:fill="auto"/>
            <w:noWrap/>
            <w:hideMark/>
          </w:tcPr>
          <w:p w14:paraId="26F09814" w14:textId="77777777" w:rsidR="00E45705" w:rsidRPr="001B09E6" w:rsidRDefault="00E45705" w:rsidP="00E45705">
            <w:pPr>
              <w:pStyle w:val="TableColumnHeading"/>
              <w:spacing w:before="0" w:after="0"/>
              <w:ind w:left="0" w:right="0"/>
              <w:jc w:val="center"/>
            </w:pPr>
            <w:r w:rsidRPr="001B09E6">
              <w:t>2008</w:t>
            </w:r>
          </w:p>
        </w:tc>
        <w:tc>
          <w:tcPr>
            <w:tcW w:w="434" w:type="pct"/>
            <w:tcBorders>
              <w:top w:val="single" w:sz="4" w:space="0" w:color="auto"/>
              <w:bottom w:val="single" w:sz="4" w:space="0" w:color="auto"/>
            </w:tcBorders>
            <w:shd w:val="clear" w:color="auto" w:fill="auto"/>
            <w:noWrap/>
            <w:hideMark/>
          </w:tcPr>
          <w:p w14:paraId="7706F095" w14:textId="77777777" w:rsidR="00E45705" w:rsidRPr="001B09E6" w:rsidRDefault="00E45705" w:rsidP="00E45705">
            <w:pPr>
              <w:pStyle w:val="TableColumnHeading"/>
              <w:spacing w:before="0" w:after="0"/>
              <w:ind w:left="0" w:right="0"/>
              <w:jc w:val="center"/>
            </w:pPr>
            <w:r w:rsidRPr="001B09E6">
              <w:t>2009</w:t>
            </w:r>
          </w:p>
        </w:tc>
        <w:tc>
          <w:tcPr>
            <w:tcW w:w="434" w:type="pct"/>
            <w:tcBorders>
              <w:top w:val="single" w:sz="4" w:space="0" w:color="auto"/>
              <w:bottom w:val="single" w:sz="4" w:space="0" w:color="auto"/>
            </w:tcBorders>
            <w:shd w:val="clear" w:color="auto" w:fill="auto"/>
            <w:noWrap/>
            <w:hideMark/>
          </w:tcPr>
          <w:p w14:paraId="6048829B" w14:textId="77777777" w:rsidR="00E45705" w:rsidRPr="001B09E6" w:rsidRDefault="00E45705" w:rsidP="00E45705">
            <w:pPr>
              <w:pStyle w:val="TableColumnHeading"/>
              <w:spacing w:before="0" w:after="0"/>
              <w:ind w:left="0" w:right="0"/>
              <w:jc w:val="center"/>
            </w:pPr>
            <w:r w:rsidRPr="001B09E6">
              <w:t>2010</w:t>
            </w:r>
          </w:p>
        </w:tc>
        <w:tc>
          <w:tcPr>
            <w:tcW w:w="434" w:type="pct"/>
            <w:tcBorders>
              <w:top w:val="single" w:sz="4" w:space="0" w:color="auto"/>
              <w:bottom w:val="single" w:sz="4" w:space="0" w:color="auto"/>
              <w:right w:val="nil"/>
            </w:tcBorders>
            <w:shd w:val="clear" w:color="auto" w:fill="auto"/>
            <w:noWrap/>
            <w:hideMark/>
          </w:tcPr>
          <w:p w14:paraId="58C76586" w14:textId="77777777" w:rsidR="00E45705" w:rsidRPr="001B09E6" w:rsidRDefault="00E45705" w:rsidP="00E45705">
            <w:pPr>
              <w:pStyle w:val="TableColumnHeading"/>
              <w:spacing w:before="0" w:after="0"/>
              <w:ind w:left="0" w:right="0"/>
              <w:jc w:val="center"/>
            </w:pPr>
            <w:r w:rsidRPr="001B09E6">
              <w:t>2011</w:t>
            </w:r>
          </w:p>
        </w:tc>
      </w:tr>
      <w:tr w:rsidR="00E45705" w:rsidRPr="001B09E6" w14:paraId="22E7CF45" w14:textId="77777777" w:rsidTr="00E45705">
        <w:trPr>
          <w:trHeight w:val="225"/>
        </w:trPr>
        <w:tc>
          <w:tcPr>
            <w:tcW w:w="658" w:type="pct"/>
            <w:tcBorders>
              <w:top w:val="single" w:sz="4" w:space="0" w:color="auto"/>
              <w:left w:val="nil"/>
              <w:bottom w:val="nil"/>
              <w:right w:val="nil"/>
            </w:tcBorders>
            <w:shd w:val="clear" w:color="auto" w:fill="auto"/>
            <w:noWrap/>
            <w:hideMark/>
          </w:tcPr>
          <w:p w14:paraId="212E0499" w14:textId="77777777" w:rsidR="00E45705" w:rsidRPr="001B09E6" w:rsidRDefault="00E45705" w:rsidP="00E45705">
            <w:pPr>
              <w:pStyle w:val="TableCellText"/>
              <w:spacing w:before="0" w:after="0"/>
              <w:ind w:left="0" w:right="0"/>
            </w:pPr>
            <w:r w:rsidRPr="001B09E6">
              <w:t>With a disability</w:t>
            </w:r>
          </w:p>
        </w:tc>
        <w:tc>
          <w:tcPr>
            <w:tcW w:w="434" w:type="pct"/>
            <w:tcBorders>
              <w:top w:val="single" w:sz="4" w:space="0" w:color="auto"/>
              <w:left w:val="nil"/>
              <w:bottom w:val="nil"/>
              <w:right w:val="nil"/>
            </w:tcBorders>
            <w:shd w:val="clear" w:color="auto" w:fill="auto"/>
            <w:noWrap/>
            <w:hideMark/>
          </w:tcPr>
          <w:p w14:paraId="7D7331AD" w14:textId="77777777" w:rsidR="00E45705" w:rsidRPr="001B09E6" w:rsidRDefault="00E45705" w:rsidP="00E45705">
            <w:pPr>
              <w:pStyle w:val="TableCellText"/>
              <w:spacing w:before="0" w:after="0"/>
              <w:ind w:left="0" w:right="0"/>
              <w:jc w:val="center"/>
            </w:pPr>
            <w:r w:rsidRPr="001B09E6">
              <w:t>5.9</w:t>
            </w:r>
          </w:p>
        </w:tc>
        <w:tc>
          <w:tcPr>
            <w:tcW w:w="434" w:type="pct"/>
            <w:tcBorders>
              <w:top w:val="single" w:sz="4" w:space="0" w:color="auto"/>
              <w:left w:val="nil"/>
              <w:bottom w:val="nil"/>
              <w:right w:val="nil"/>
            </w:tcBorders>
            <w:shd w:val="clear" w:color="auto" w:fill="auto"/>
            <w:noWrap/>
            <w:hideMark/>
          </w:tcPr>
          <w:p w14:paraId="4745C0B8" w14:textId="77777777" w:rsidR="00E45705" w:rsidRPr="001B09E6" w:rsidRDefault="00E45705" w:rsidP="00E45705">
            <w:pPr>
              <w:pStyle w:val="TableCellText"/>
              <w:spacing w:before="0" w:after="0"/>
              <w:ind w:left="0" w:right="0"/>
              <w:jc w:val="center"/>
            </w:pPr>
            <w:r w:rsidRPr="001B09E6">
              <w:t>6.9</w:t>
            </w:r>
          </w:p>
        </w:tc>
        <w:tc>
          <w:tcPr>
            <w:tcW w:w="434" w:type="pct"/>
            <w:tcBorders>
              <w:top w:val="single" w:sz="4" w:space="0" w:color="auto"/>
              <w:left w:val="nil"/>
              <w:bottom w:val="nil"/>
              <w:right w:val="nil"/>
            </w:tcBorders>
            <w:shd w:val="clear" w:color="auto" w:fill="auto"/>
            <w:noWrap/>
            <w:hideMark/>
          </w:tcPr>
          <w:p w14:paraId="59FF2AE2" w14:textId="77777777" w:rsidR="00E45705" w:rsidRPr="001B09E6" w:rsidRDefault="00E45705" w:rsidP="00E45705">
            <w:pPr>
              <w:pStyle w:val="TableCellText"/>
              <w:spacing w:before="0" w:after="0"/>
              <w:ind w:left="0" w:right="0"/>
              <w:jc w:val="center"/>
            </w:pPr>
            <w:r w:rsidRPr="001B09E6">
              <w:t>7.1</w:t>
            </w:r>
          </w:p>
        </w:tc>
        <w:tc>
          <w:tcPr>
            <w:tcW w:w="434" w:type="pct"/>
            <w:tcBorders>
              <w:top w:val="single" w:sz="4" w:space="0" w:color="auto"/>
              <w:left w:val="nil"/>
              <w:bottom w:val="nil"/>
              <w:right w:val="nil"/>
            </w:tcBorders>
            <w:shd w:val="clear" w:color="auto" w:fill="auto"/>
            <w:noWrap/>
            <w:hideMark/>
          </w:tcPr>
          <w:p w14:paraId="2D1D0A5A" w14:textId="77777777" w:rsidR="00E45705" w:rsidRPr="001B09E6" w:rsidRDefault="00E45705" w:rsidP="00E45705">
            <w:pPr>
              <w:pStyle w:val="TableCellText"/>
              <w:spacing w:before="0" w:after="0"/>
              <w:ind w:left="0" w:right="0"/>
              <w:jc w:val="center"/>
            </w:pPr>
            <w:r w:rsidRPr="001B09E6">
              <w:t>7.4</w:t>
            </w:r>
          </w:p>
        </w:tc>
        <w:tc>
          <w:tcPr>
            <w:tcW w:w="434" w:type="pct"/>
            <w:tcBorders>
              <w:top w:val="single" w:sz="4" w:space="0" w:color="auto"/>
              <w:left w:val="nil"/>
              <w:bottom w:val="nil"/>
              <w:right w:val="nil"/>
            </w:tcBorders>
            <w:shd w:val="clear" w:color="auto" w:fill="auto"/>
            <w:noWrap/>
            <w:hideMark/>
          </w:tcPr>
          <w:p w14:paraId="4E22E7E6" w14:textId="77777777" w:rsidR="00E45705" w:rsidRPr="001B09E6" w:rsidRDefault="00E45705" w:rsidP="00E45705">
            <w:pPr>
              <w:pStyle w:val="TableCellText"/>
              <w:spacing w:before="0" w:after="0"/>
              <w:ind w:left="0" w:right="0"/>
              <w:jc w:val="center"/>
            </w:pPr>
            <w:r w:rsidRPr="001B09E6">
              <w:t>7.6</w:t>
            </w:r>
          </w:p>
        </w:tc>
        <w:tc>
          <w:tcPr>
            <w:tcW w:w="434" w:type="pct"/>
            <w:tcBorders>
              <w:top w:val="single" w:sz="4" w:space="0" w:color="auto"/>
              <w:left w:val="nil"/>
              <w:bottom w:val="nil"/>
              <w:right w:val="nil"/>
            </w:tcBorders>
            <w:shd w:val="clear" w:color="auto" w:fill="auto"/>
            <w:noWrap/>
            <w:hideMark/>
          </w:tcPr>
          <w:p w14:paraId="2C274E27" w14:textId="77777777" w:rsidR="00E45705" w:rsidRPr="001B09E6" w:rsidRDefault="00E45705" w:rsidP="00E45705">
            <w:pPr>
              <w:pStyle w:val="TableCellText"/>
              <w:spacing w:before="0" w:after="0"/>
              <w:ind w:left="0" w:right="0"/>
              <w:jc w:val="center"/>
            </w:pPr>
            <w:r w:rsidRPr="001B09E6">
              <w:t>7.0</w:t>
            </w:r>
          </w:p>
        </w:tc>
        <w:tc>
          <w:tcPr>
            <w:tcW w:w="434" w:type="pct"/>
            <w:tcBorders>
              <w:top w:val="single" w:sz="4" w:space="0" w:color="auto"/>
              <w:left w:val="nil"/>
              <w:bottom w:val="nil"/>
              <w:right w:val="nil"/>
            </w:tcBorders>
            <w:shd w:val="clear" w:color="auto" w:fill="auto"/>
            <w:noWrap/>
            <w:hideMark/>
          </w:tcPr>
          <w:p w14:paraId="7AEE01B6" w14:textId="77777777" w:rsidR="00E45705" w:rsidRPr="001B09E6" w:rsidRDefault="00E45705" w:rsidP="00E45705">
            <w:pPr>
              <w:pStyle w:val="TableCellText"/>
              <w:spacing w:before="0" w:after="0"/>
              <w:ind w:left="0" w:right="0"/>
              <w:jc w:val="center"/>
            </w:pPr>
            <w:r w:rsidRPr="001B09E6">
              <w:t>6.6</w:t>
            </w:r>
          </w:p>
        </w:tc>
        <w:tc>
          <w:tcPr>
            <w:tcW w:w="434" w:type="pct"/>
            <w:tcBorders>
              <w:top w:val="single" w:sz="4" w:space="0" w:color="auto"/>
              <w:left w:val="nil"/>
              <w:bottom w:val="nil"/>
              <w:right w:val="nil"/>
            </w:tcBorders>
            <w:shd w:val="clear" w:color="auto" w:fill="auto"/>
            <w:noWrap/>
            <w:hideMark/>
          </w:tcPr>
          <w:p w14:paraId="17C49144" w14:textId="77777777" w:rsidR="00E45705" w:rsidRPr="001B09E6" w:rsidRDefault="00E45705" w:rsidP="00E45705">
            <w:pPr>
              <w:pStyle w:val="TableCellText"/>
              <w:spacing w:before="0" w:after="0"/>
              <w:ind w:left="0" w:right="0"/>
              <w:jc w:val="center"/>
            </w:pPr>
            <w:r w:rsidRPr="001B09E6">
              <w:t>6.8</w:t>
            </w:r>
          </w:p>
        </w:tc>
        <w:tc>
          <w:tcPr>
            <w:tcW w:w="434" w:type="pct"/>
            <w:tcBorders>
              <w:top w:val="single" w:sz="4" w:space="0" w:color="auto"/>
              <w:left w:val="nil"/>
              <w:bottom w:val="nil"/>
              <w:right w:val="nil"/>
            </w:tcBorders>
            <w:shd w:val="clear" w:color="auto" w:fill="auto"/>
            <w:noWrap/>
            <w:hideMark/>
          </w:tcPr>
          <w:p w14:paraId="6B0591C7" w14:textId="77777777" w:rsidR="00E45705" w:rsidRPr="001B09E6" w:rsidRDefault="00E45705" w:rsidP="00E45705">
            <w:pPr>
              <w:pStyle w:val="TableCellText"/>
              <w:spacing w:before="0" w:after="0"/>
              <w:ind w:left="0" w:right="0"/>
              <w:jc w:val="center"/>
            </w:pPr>
            <w:r w:rsidRPr="001B09E6">
              <w:t>7.5</w:t>
            </w:r>
          </w:p>
        </w:tc>
        <w:tc>
          <w:tcPr>
            <w:tcW w:w="434" w:type="pct"/>
            <w:tcBorders>
              <w:top w:val="single" w:sz="4" w:space="0" w:color="auto"/>
              <w:left w:val="nil"/>
              <w:bottom w:val="nil"/>
              <w:right w:val="nil"/>
            </w:tcBorders>
            <w:shd w:val="clear" w:color="auto" w:fill="auto"/>
            <w:noWrap/>
            <w:hideMark/>
          </w:tcPr>
          <w:p w14:paraId="4FB66259" w14:textId="77777777" w:rsidR="00E45705" w:rsidRPr="001B09E6" w:rsidRDefault="00E45705" w:rsidP="00E45705">
            <w:pPr>
              <w:pStyle w:val="TableCellText"/>
              <w:spacing w:before="0" w:after="0"/>
              <w:ind w:left="0" w:right="0"/>
              <w:jc w:val="center"/>
            </w:pPr>
            <w:r w:rsidRPr="001B09E6">
              <w:t>8.0</w:t>
            </w:r>
          </w:p>
        </w:tc>
      </w:tr>
      <w:tr w:rsidR="00E45705" w:rsidRPr="001B09E6" w14:paraId="3E5B86D6" w14:textId="77777777" w:rsidTr="00E45705">
        <w:trPr>
          <w:trHeight w:val="225"/>
        </w:trPr>
        <w:tc>
          <w:tcPr>
            <w:tcW w:w="658" w:type="pct"/>
            <w:tcBorders>
              <w:top w:val="nil"/>
              <w:left w:val="nil"/>
              <w:bottom w:val="single" w:sz="4" w:space="0" w:color="auto"/>
              <w:right w:val="nil"/>
            </w:tcBorders>
            <w:shd w:val="clear" w:color="auto" w:fill="auto"/>
            <w:noWrap/>
            <w:hideMark/>
          </w:tcPr>
          <w:p w14:paraId="320742DD" w14:textId="77777777" w:rsidR="00E45705" w:rsidRPr="001B09E6" w:rsidRDefault="00E45705" w:rsidP="00E45705">
            <w:pPr>
              <w:pStyle w:val="TableCellText"/>
              <w:spacing w:before="0" w:after="0"/>
              <w:ind w:left="0" w:right="0"/>
            </w:pPr>
            <w:r w:rsidRPr="001B09E6">
              <w:t>Without a disability</w:t>
            </w:r>
          </w:p>
        </w:tc>
        <w:tc>
          <w:tcPr>
            <w:tcW w:w="434" w:type="pct"/>
            <w:tcBorders>
              <w:top w:val="nil"/>
              <w:left w:val="nil"/>
              <w:bottom w:val="single" w:sz="4" w:space="0" w:color="auto"/>
              <w:right w:val="nil"/>
            </w:tcBorders>
            <w:shd w:val="clear" w:color="auto" w:fill="auto"/>
            <w:noWrap/>
            <w:hideMark/>
          </w:tcPr>
          <w:p w14:paraId="5B9CE5FC" w14:textId="77777777" w:rsidR="00E45705" w:rsidRPr="001B09E6" w:rsidRDefault="00E45705" w:rsidP="00E45705">
            <w:pPr>
              <w:pStyle w:val="TableCellText"/>
              <w:spacing w:before="0" w:after="0"/>
              <w:ind w:left="0" w:right="0"/>
              <w:jc w:val="center"/>
            </w:pPr>
            <w:r w:rsidRPr="001B09E6">
              <w:t>94.1</w:t>
            </w:r>
          </w:p>
        </w:tc>
        <w:tc>
          <w:tcPr>
            <w:tcW w:w="434" w:type="pct"/>
            <w:tcBorders>
              <w:top w:val="nil"/>
              <w:left w:val="nil"/>
              <w:bottom w:val="single" w:sz="4" w:space="0" w:color="auto"/>
              <w:right w:val="nil"/>
            </w:tcBorders>
            <w:shd w:val="clear" w:color="auto" w:fill="auto"/>
            <w:noWrap/>
            <w:hideMark/>
          </w:tcPr>
          <w:p w14:paraId="2D2FDC40" w14:textId="77777777" w:rsidR="00E45705" w:rsidRPr="001B09E6" w:rsidRDefault="00E45705" w:rsidP="00E45705">
            <w:pPr>
              <w:pStyle w:val="TableCellText"/>
              <w:spacing w:before="0" w:after="0"/>
              <w:ind w:left="0" w:right="0"/>
              <w:jc w:val="center"/>
            </w:pPr>
            <w:r w:rsidRPr="001B09E6">
              <w:t>93.1</w:t>
            </w:r>
          </w:p>
        </w:tc>
        <w:tc>
          <w:tcPr>
            <w:tcW w:w="434" w:type="pct"/>
            <w:tcBorders>
              <w:top w:val="nil"/>
              <w:left w:val="nil"/>
              <w:bottom w:val="single" w:sz="4" w:space="0" w:color="auto"/>
              <w:right w:val="nil"/>
            </w:tcBorders>
            <w:shd w:val="clear" w:color="auto" w:fill="auto"/>
            <w:noWrap/>
            <w:hideMark/>
          </w:tcPr>
          <w:p w14:paraId="202145B7" w14:textId="77777777" w:rsidR="00E45705" w:rsidRPr="001B09E6" w:rsidRDefault="00E45705" w:rsidP="00E45705">
            <w:pPr>
              <w:pStyle w:val="TableCellText"/>
              <w:spacing w:before="0" w:after="0"/>
              <w:ind w:left="0" w:right="0"/>
              <w:jc w:val="center"/>
            </w:pPr>
            <w:r w:rsidRPr="001B09E6">
              <w:t>92.9</w:t>
            </w:r>
          </w:p>
        </w:tc>
        <w:tc>
          <w:tcPr>
            <w:tcW w:w="434" w:type="pct"/>
            <w:tcBorders>
              <w:top w:val="nil"/>
              <w:left w:val="nil"/>
              <w:bottom w:val="single" w:sz="4" w:space="0" w:color="auto"/>
              <w:right w:val="nil"/>
            </w:tcBorders>
            <w:shd w:val="clear" w:color="auto" w:fill="auto"/>
            <w:noWrap/>
            <w:hideMark/>
          </w:tcPr>
          <w:p w14:paraId="377C3561" w14:textId="77777777" w:rsidR="00E45705" w:rsidRPr="001B09E6" w:rsidRDefault="00E45705" w:rsidP="00E45705">
            <w:pPr>
              <w:pStyle w:val="TableCellText"/>
              <w:spacing w:before="0" w:after="0"/>
              <w:ind w:left="0" w:right="0"/>
              <w:jc w:val="center"/>
            </w:pPr>
            <w:r w:rsidRPr="001B09E6">
              <w:t>92.6</w:t>
            </w:r>
          </w:p>
        </w:tc>
        <w:tc>
          <w:tcPr>
            <w:tcW w:w="434" w:type="pct"/>
            <w:tcBorders>
              <w:top w:val="nil"/>
              <w:left w:val="nil"/>
              <w:bottom w:val="single" w:sz="4" w:space="0" w:color="auto"/>
              <w:right w:val="nil"/>
            </w:tcBorders>
            <w:shd w:val="clear" w:color="auto" w:fill="auto"/>
            <w:noWrap/>
            <w:hideMark/>
          </w:tcPr>
          <w:p w14:paraId="3318910C" w14:textId="77777777" w:rsidR="00E45705" w:rsidRPr="001B09E6" w:rsidRDefault="00E45705" w:rsidP="00E45705">
            <w:pPr>
              <w:pStyle w:val="TableCellText"/>
              <w:spacing w:before="0" w:after="0"/>
              <w:ind w:left="0" w:right="0"/>
              <w:jc w:val="center"/>
            </w:pPr>
            <w:r w:rsidRPr="001B09E6">
              <w:t>92.4</w:t>
            </w:r>
          </w:p>
        </w:tc>
        <w:tc>
          <w:tcPr>
            <w:tcW w:w="434" w:type="pct"/>
            <w:tcBorders>
              <w:top w:val="nil"/>
              <w:left w:val="nil"/>
              <w:bottom w:val="single" w:sz="4" w:space="0" w:color="auto"/>
              <w:right w:val="nil"/>
            </w:tcBorders>
            <w:shd w:val="clear" w:color="auto" w:fill="auto"/>
            <w:noWrap/>
            <w:hideMark/>
          </w:tcPr>
          <w:p w14:paraId="508145C9" w14:textId="77777777" w:rsidR="00E45705" w:rsidRPr="001B09E6" w:rsidRDefault="00E45705" w:rsidP="00E45705">
            <w:pPr>
              <w:pStyle w:val="TableCellText"/>
              <w:spacing w:before="0" w:after="0"/>
              <w:ind w:left="0" w:right="0"/>
              <w:jc w:val="center"/>
            </w:pPr>
            <w:r w:rsidRPr="001B09E6">
              <w:t>93.0</w:t>
            </w:r>
          </w:p>
        </w:tc>
        <w:tc>
          <w:tcPr>
            <w:tcW w:w="434" w:type="pct"/>
            <w:tcBorders>
              <w:top w:val="nil"/>
              <w:left w:val="nil"/>
              <w:bottom w:val="single" w:sz="4" w:space="0" w:color="auto"/>
              <w:right w:val="nil"/>
            </w:tcBorders>
            <w:shd w:val="clear" w:color="auto" w:fill="auto"/>
            <w:noWrap/>
            <w:hideMark/>
          </w:tcPr>
          <w:p w14:paraId="0A5F145A" w14:textId="77777777" w:rsidR="00E45705" w:rsidRPr="001B09E6" w:rsidRDefault="00E45705" w:rsidP="00E45705">
            <w:pPr>
              <w:pStyle w:val="TableCellText"/>
              <w:spacing w:before="0" w:after="0"/>
              <w:ind w:left="0" w:right="0"/>
              <w:jc w:val="center"/>
            </w:pPr>
            <w:r w:rsidRPr="001B09E6">
              <w:t>93.4</w:t>
            </w:r>
          </w:p>
        </w:tc>
        <w:tc>
          <w:tcPr>
            <w:tcW w:w="434" w:type="pct"/>
            <w:tcBorders>
              <w:top w:val="nil"/>
              <w:left w:val="nil"/>
              <w:bottom w:val="single" w:sz="4" w:space="0" w:color="auto"/>
              <w:right w:val="nil"/>
            </w:tcBorders>
            <w:shd w:val="clear" w:color="auto" w:fill="auto"/>
            <w:noWrap/>
            <w:hideMark/>
          </w:tcPr>
          <w:p w14:paraId="7C9C7C7C" w14:textId="77777777" w:rsidR="00E45705" w:rsidRPr="001B09E6" w:rsidRDefault="00E45705" w:rsidP="00E45705">
            <w:pPr>
              <w:pStyle w:val="TableCellText"/>
              <w:spacing w:before="0" w:after="0"/>
              <w:ind w:left="0" w:right="0"/>
              <w:jc w:val="center"/>
            </w:pPr>
            <w:r w:rsidRPr="001B09E6">
              <w:t>93.2</w:t>
            </w:r>
          </w:p>
        </w:tc>
        <w:tc>
          <w:tcPr>
            <w:tcW w:w="434" w:type="pct"/>
            <w:tcBorders>
              <w:top w:val="nil"/>
              <w:left w:val="nil"/>
              <w:bottom w:val="single" w:sz="4" w:space="0" w:color="auto"/>
              <w:right w:val="nil"/>
            </w:tcBorders>
            <w:shd w:val="clear" w:color="auto" w:fill="auto"/>
            <w:noWrap/>
            <w:hideMark/>
          </w:tcPr>
          <w:p w14:paraId="1A609F4E" w14:textId="77777777" w:rsidR="00E45705" w:rsidRPr="001B09E6" w:rsidRDefault="00E45705" w:rsidP="00E45705">
            <w:pPr>
              <w:pStyle w:val="TableCellText"/>
              <w:spacing w:before="0" w:after="0"/>
              <w:ind w:left="0" w:right="0"/>
              <w:jc w:val="center"/>
            </w:pPr>
            <w:r w:rsidRPr="001B09E6">
              <w:t>92.5</w:t>
            </w:r>
          </w:p>
        </w:tc>
        <w:tc>
          <w:tcPr>
            <w:tcW w:w="434" w:type="pct"/>
            <w:tcBorders>
              <w:top w:val="nil"/>
              <w:left w:val="nil"/>
              <w:bottom w:val="single" w:sz="4" w:space="0" w:color="auto"/>
              <w:right w:val="nil"/>
            </w:tcBorders>
            <w:shd w:val="clear" w:color="auto" w:fill="auto"/>
            <w:noWrap/>
            <w:hideMark/>
          </w:tcPr>
          <w:p w14:paraId="07CC295D" w14:textId="77777777" w:rsidR="00E45705" w:rsidRPr="001B09E6" w:rsidRDefault="00E45705" w:rsidP="00E45705">
            <w:pPr>
              <w:pStyle w:val="TableCellText"/>
              <w:spacing w:before="0" w:after="0"/>
              <w:ind w:left="0" w:right="0"/>
              <w:jc w:val="center"/>
            </w:pPr>
            <w:r w:rsidRPr="001B09E6">
              <w:t>92.0</w:t>
            </w:r>
          </w:p>
        </w:tc>
      </w:tr>
    </w:tbl>
    <w:p w14:paraId="5850A678" w14:textId="77777777" w:rsidR="00E45705" w:rsidRPr="001B09E6" w:rsidRDefault="00E45705" w:rsidP="00E45705">
      <w:pPr>
        <w:pStyle w:val="Tablenote"/>
      </w:pPr>
      <w:r w:rsidRPr="001B09E6">
        <w:t xml:space="preserve">Source: National VET provider collection </w:t>
      </w:r>
    </w:p>
    <w:p w14:paraId="290F248F" w14:textId="77777777" w:rsidR="00E45705" w:rsidRPr="001B09E6" w:rsidRDefault="00E45705" w:rsidP="00E45705">
      <w:pPr>
        <w:pStyle w:val="TableHeading"/>
        <w:spacing w:before="112"/>
        <w:ind w:left="0" w:firstLine="0"/>
      </w:pPr>
      <w:r w:rsidRPr="001B09E6">
        <w:t>PERSONS AGED 20-24 YEARS ENROLLED IN VET BY DISABILITY STATUS AS A PERCENTAGE OF TOTAL, 2002-2011, EXCLUDING THOSE ATTENDING SCHOOL, THOSE WHO HAVE COMPLETED YEAR 12, AND THOSE WHOSE DISABILITY STATUS IS NOT KNOWN</w:t>
      </w:r>
    </w:p>
    <w:tbl>
      <w:tblPr>
        <w:tblW w:w="5000" w:type="pct"/>
        <w:tblBorders>
          <w:top w:val="single" w:sz="4" w:space="0" w:color="auto"/>
          <w:bottom w:val="single" w:sz="4" w:space="0" w:color="auto"/>
        </w:tblBorders>
        <w:tblLook w:val="04A0" w:firstRow="1" w:lastRow="0" w:firstColumn="1" w:lastColumn="0" w:noHBand="0" w:noVBand="1"/>
        <w:tblCaption w:val="PERSONS AGED 20-24 YEARS ENROLLED IN VET BY DISABILITY STATUS AS A PERCENTAGE OF TOTAL, 2002-2011, EXCLUDING THOSE ATTENDING SCHOOL, THOSE WHO HAVE COMPLETED YEAR 12, AND THOSE WHOSE DISABILITY STATUS IS NOT KNOWN "/>
        <w:tblDescription w:val="PERSONS AGED 20-24 YEARS ENROLLED IN VET BY DISABILITY STATUS AS A PERCENTAGE OF TOTAL, 2002-2011, EXCLUDING THOSE ATTENDING SCHOOL, THOSE WHO HAVE COMPLETED YEAR 12, AND THOSE WHOSE DISABILITY STATUS IS NOT KNOWN&#10;"/>
      </w:tblPr>
      <w:tblGrid>
        <w:gridCol w:w="1924"/>
        <w:gridCol w:w="1270"/>
        <w:gridCol w:w="1270"/>
        <w:gridCol w:w="1269"/>
        <w:gridCol w:w="1269"/>
        <w:gridCol w:w="1269"/>
        <w:gridCol w:w="1269"/>
        <w:gridCol w:w="1269"/>
        <w:gridCol w:w="1269"/>
        <w:gridCol w:w="1269"/>
        <w:gridCol w:w="1269"/>
      </w:tblGrid>
      <w:tr w:rsidR="00E45705" w:rsidRPr="001B09E6" w14:paraId="3C9C8745" w14:textId="77777777" w:rsidTr="00E45705">
        <w:trPr>
          <w:trHeight w:val="225"/>
        </w:trPr>
        <w:tc>
          <w:tcPr>
            <w:tcW w:w="658" w:type="pct"/>
            <w:tcBorders>
              <w:top w:val="single" w:sz="4" w:space="0" w:color="auto"/>
              <w:bottom w:val="single" w:sz="4" w:space="0" w:color="auto"/>
            </w:tcBorders>
            <w:shd w:val="clear" w:color="auto" w:fill="auto"/>
            <w:noWrap/>
            <w:hideMark/>
          </w:tcPr>
          <w:p w14:paraId="44FA490E" w14:textId="77777777" w:rsidR="00E45705" w:rsidRPr="001B09E6" w:rsidRDefault="00E45705" w:rsidP="00E45705">
            <w:pPr>
              <w:pStyle w:val="TableColumnHeading"/>
              <w:spacing w:before="0" w:after="0"/>
              <w:ind w:left="0" w:right="0"/>
            </w:pPr>
          </w:p>
        </w:tc>
        <w:tc>
          <w:tcPr>
            <w:tcW w:w="434" w:type="pct"/>
            <w:tcBorders>
              <w:top w:val="single" w:sz="4" w:space="0" w:color="auto"/>
              <w:bottom w:val="single" w:sz="4" w:space="0" w:color="auto"/>
            </w:tcBorders>
            <w:shd w:val="clear" w:color="auto" w:fill="auto"/>
            <w:noWrap/>
            <w:hideMark/>
          </w:tcPr>
          <w:p w14:paraId="50D18663" w14:textId="77777777" w:rsidR="00E45705" w:rsidRPr="001B09E6" w:rsidRDefault="00E45705" w:rsidP="00E45705">
            <w:pPr>
              <w:pStyle w:val="TableColumnHeading"/>
              <w:spacing w:before="0" w:after="0"/>
              <w:ind w:left="0" w:right="0"/>
            </w:pPr>
            <w:r w:rsidRPr="001B09E6">
              <w:t>2002</w:t>
            </w:r>
          </w:p>
        </w:tc>
        <w:tc>
          <w:tcPr>
            <w:tcW w:w="434" w:type="pct"/>
            <w:tcBorders>
              <w:top w:val="single" w:sz="4" w:space="0" w:color="auto"/>
              <w:bottom w:val="single" w:sz="4" w:space="0" w:color="auto"/>
            </w:tcBorders>
            <w:shd w:val="clear" w:color="auto" w:fill="auto"/>
            <w:noWrap/>
            <w:hideMark/>
          </w:tcPr>
          <w:p w14:paraId="111D57D0" w14:textId="77777777" w:rsidR="00E45705" w:rsidRPr="001B09E6" w:rsidRDefault="00E45705" w:rsidP="00E45705">
            <w:pPr>
              <w:pStyle w:val="TableColumnHeading"/>
              <w:spacing w:before="0" w:after="0"/>
              <w:ind w:left="0" w:right="0"/>
            </w:pPr>
            <w:r w:rsidRPr="001B09E6">
              <w:t>2003</w:t>
            </w:r>
          </w:p>
        </w:tc>
        <w:tc>
          <w:tcPr>
            <w:tcW w:w="434" w:type="pct"/>
            <w:tcBorders>
              <w:top w:val="single" w:sz="4" w:space="0" w:color="auto"/>
              <w:bottom w:val="single" w:sz="4" w:space="0" w:color="auto"/>
            </w:tcBorders>
            <w:shd w:val="clear" w:color="auto" w:fill="auto"/>
            <w:noWrap/>
            <w:hideMark/>
          </w:tcPr>
          <w:p w14:paraId="2DBE83DB" w14:textId="77777777" w:rsidR="00E45705" w:rsidRPr="001B09E6" w:rsidRDefault="00E45705" w:rsidP="00E45705">
            <w:pPr>
              <w:pStyle w:val="TableColumnHeading"/>
              <w:spacing w:before="0" w:after="0"/>
              <w:ind w:left="0" w:right="0"/>
            </w:pPr>
            <w:r w:rsidRPr="001B09E6">
              <w:t>2004</w:t>
            </w:r>
          </w:p>
        </w:tc>
        <w:tc>
          <w:tcPr>
            <w:tcW w:w="434" w:type="pct"/>
            <w:tcBorders>
              <w:top w:val="single" w:sz="4" w:space="0" w:color="auto"/>
              <w:bottom w:val="single" w:sz="4" w:space="0" w:color="auto"/>
            </w:tcBorders>
            <w:shd w:val="clear" w:color="auto" w:fill="auto"/>
            <w:noWrap/>
            <w:hideMark/>
          </w:tcPr>
          <w:p w14:paraId="00D5325E" w14:textId="77777777" w:rsidR="00E45705" w:rsidRPr="001B09E6" w:rsidRDefault="00E45705" w:rsidP="00E45705">
            <w:pPr>
              <w:pStyle w:val="TableColumnHeading"/>
              <w:spacing w:before="0" w:after="0"/>
              <w:ind w:left="0" w:right="0"/>
            </w:pPr>
            <w:r w:rsidRPr="001B09E6">
              <w:t>2005</w:t>
            </w:r>
          </w:p>
        </w:tc>
        <w:tc>
          <w:tcPr>
            <w:tcW w:w="434" w:type="pct"/>
            <w:tcBorders>
              <w:top w:val="single" w:sz="4" w:space="0" w:color="auto"/>
              <w:bottom w:val="single" w:sz="4" w:space="0" w:color="auto"/>
            </w:tcBorders>
            <w:shd w:val="clear" w:color="auto" w:fill="auto"/>
            <w:noWrap/>
            <w:hideMark/>
          </w:tcPr>
          <w:p w14:paraId="0DF9F068" w14:textId="77777777" w:rsidR="00E45705" w:rsidRPr="001B09E6" w:rsidRDefault="00E45705" w:rsidP="00E45705">
            <w:pPr>
              <w:pStyle w:val="TableColumnHeading"/>
              <w:spacing w:before="0" w:after="0"/>
              <w:ind w:left="0" w:right="0"/>
            </w:pPr>
            <w:r w:rsidRPr="001B09E6">
              <w:t>2006</w:t>
            </w:r>
          </w:p>
        </w:tc>
        <w:tc>
          <w:tcPr>
            <w:tcW w:w="434" w:type="pct"/>
            <w:tcBorders>
              <w:top w:val="single" w:sz="4" w:space="0" w:color="auto"/>
              <w:bottom w:val="single" w:sz="4" w:space="0" w:color="auto"/>
            </w:tcBorders>
            <w:shd w:val="clear" w:color="auto" w:fill="auto"/>
            <w:noWrap/>
            <w:hideMark/>
          </w:tcPr>
          <w:p w14:paraId="4888785C" w14:textId="77777777" w:rsidR="00E45705" w:rsidRPr="001B09E6" w:rsidRDefault="00E45705" w:rsidP="00E45705">
            <w:pPr>
              <w:pStyle w:val="TableColumnHeading"/>
              <w:spacing w:before="0" w:after="0"/>
              <w:ind w:left="0" w:right="0"/>
            </w:pPr>
            <w:r w:rsidRPr="001B09E6">
              <w:t>2007</w:t>
            </w:r>
          </w:p>
        </w:tc>
        <w:tc>
          <w:tcPr>
            <w:tcW w:w="434" w:type="pct"/>
            <w:tcBorders>
              <w:top w:val="single" w:sz="4" w:space="0" w:color="auto"/>
              <w:bottom w:val="single" w:sz="4" w:space="0" w:color="auto"/>
            </w:tcBorders>
            <w:shd w:val="clear" w:color="auto" w:fill="auto"/>
            <w:noWrap/>
            <w:hideMark/>
          </w:tcPr>
          <w:p w14:paraId="367E37B4" w14:textId="77777777" w:rsidR="00E45705" w:rsidRPr="001B09E6" w:rsidRDefault="00E45705" w:rsidP="00E45705">
            <w:pPr>
              <w:pStyle w:val="TableColumnHeading"/>
              <w:spacing w:before="0" w:after="0"/>
              <w:ind w:left="0" w:right="0"/>
            </w:pPr>
            <w:r w:rsidRPr="001B09E6">
              <w:t>2008</w:t>
            </w:r>
          </w:p>
        </w:tc>
        <w:tc>
          <w:tcPr>
            <w:tcW w:w="434" w:type="pct"/>
            <w:tcBorders>
              <w:top w:val="single" w:sz="4" w:space="0" w:color="auto"/>
              <w:bottom w:val="single" w:sz="4" w:space="0" w:color="auto"/>
            </w:tcBorders>
            <w:shd w:val="clear" w:color="auto" w:fill="auto"/>
            <w:noWrap/>
            <w:hideMark/>
          </w:tcPr>
          <w:p w14:paraId="232BC11F" w14:textId="77777777" w:rsidR="00E45705" w:rsidRPr="001B09E6" w:rsidRDefault="00E45705" w:rsidP="00E45705">
            <w:pPr>
              <w:pStyle w:val="TableColumnHeading"/>
              <w:spacing w:before="0" w:after="0"/>
              <w:ind w:left="0" w:right="0"/>
            </w:pPr>
            <w:r w:rsidRPr="001B09E6">
              <w:t>2009</w:t>
            </w:r>
          </w:p>
        </w:tc>
        <w:tc>
          <w:tcPr>
            <w:tcW w:w="434" w:type="pct"/>
            <w:tcBorders>
              <w:top w:val="single" w:sz="4" w:space="0" w:color="auto"/>
              <w:bottom w:val="single" w:sz="4" w:space="0" w:color="auto"/>
            </w:tcBorders>
            <w:shd w:val="clear" w:color="auto" w:fill="auto"/>
            <w:noWrap/>
            <w:hideMark/>
          </w:tcPr>
          <w:p w14:paraId="609C75BC" w14:textId="77777777" w:rsidR="00E45705" w:rsidRPr="001B09E6" w:rsidRDefault="00E45705" w:rsidP="00E45705">
            <w:pPr>
              <w:pStyle w:val="TableColumnHeading"/>
              <w:spacing w:before="0" w:after="0"/>
              <w:ind w:left="0" w:right="0"/>
            </w:pPr>
            <w:r w:rsidRPr="001B09E6">
              <w:t>2010</w:t>
            </w:r>
          </w:p>
        </w:tc>
        <w:tc>
          <w:tcPr>
            <w:tcW w:w="434" w:type="pct"/>
            <w:tcBorders>
              <w:top w:val="single" w:sz="4" w:space="0" w:color="auto"/>
              <w:bottom w:val="single" w:sz="4" w:space="0" w:color="auto"/>
            </w:tcBorders>
            <w:shd w:val="clear" w:color="auto" w:fill="auto"/>
            <w:noWrap/>
            <w:hideMark/>
          </w:tcPr>
          <w:p w14:paraId="6D5DA554" w14:textId="77777777" w:rsidR="00E45705" w:rsidRPr="001B09E6" w:rsidRDefault="00E45705" w:rsidP="00E45705">
            <w:pPr>
              <w:pStyle w:val="TableColumnHeading"/>
              <w:spacing w:before="0" w:after="0"/>
              <w:ind w:left="0" w:right="0"/>
            </w:pPr>
            <w:r w:rsidRPr="001B09E6">
              <w:t>2011</w:t>
            </w:r>
          </w:p>
        </w:tc>
      </w:tr>
      <w:tr w:rsidR="00E45705" w:rsidRPr="001B09E6" w14:paraId="7FF3C905" w14:textId="77777777" w:rsidTr="00E45705">
        <w:trPr>
          <w:trHeight w:val="225"/>
        </w:trPr>
        <w:tc>
          <w:tcPr>
            <w:tcW w:w="658" w:type="pct"/>
            <w:tcBorders>
              <w:top w:val="single" w:sz="4" w:space="0" w:color="auto"/>
            </w:tcBorders>
            <w:shd w:val="clear" w:color="auto" w:fill="auto"/>
            <w:noWrap/>
            <w:hideMark/>
          </w:tcPr>
          <w:p w14:paraId="5BFE305D" w14:textId="77777777" w:rsidR="00E45705" w:rsidRPr="001B09E6" w:rsidRDefault="00E45705" w:rsidP="00E45705">
            <w:pPr>
              <w:pStyle w:val="TableCellText"/>
              <w:spacing w:before="0" w:after="0"/>
              <w:ind w:left="0" w:right="0"/>
            </w:pPr>
            <w:r w:rsidRPr="001B09E6">
              <w:t>With a disability</w:t>
            </w:r>
          </w:p>
        </w:tc>
        <w:tc>
          <w:tcPr>
            <w:tcW w:w="434" w:type="pct"/>
            <w:tcBorders>
              <w:top w:val="single" w:sz="4" w:space="0" w:color="auto"/>
            </w:tcBorders>
            <w:shd w:val="clear" w:color="auto" w:fill="auto"/>
            <w:noWrap/>
            <w:hideMark/>
          </w:tcPr>
          <w:p w14:paraId="419258DF" w14:textId="77777777" w:rsidR="00E45705" w:rsidRPr="001B09E6" w:rsidRDefault="00E45705" w:rsidP="00E45705">
            <w:pPr>
              <w:pStyle w:val="TableCellText"/>
              <w:spacing w:before="0" w:after="0"/>
              <w:ind w:left="0" w:right="0"/>
            </w:pPr>
            <w:r w:rsidRPr="001B09E6">
              <w:t>6.0</w:t>
            </w:r>
          </w:p>
        </w:tc>
        <w:tc>
          <w:tcPr>
            <w:tcW w:w="434" w:type="pct"/>
            <w:tcBorders>
              <w:top w:val="single" w:sz="4" w:space="0" w:color="auto"/>
            </w:tcBorders>
            <w:shd w:val="clear" w:color="auto" w:fill="auto"/>
            <w:noWrap/>
            <w:hideMark/>
          </w:tcPr>
          <w:p w14:paraId="26682ADF" w14:textId="77777777" w:rsidR="00E45705" w:rsidRPr="001B09E6" w:rsidRDefault="00E45705" w:rsidP="00E45705">
            <w:pPr>
              <w:pStyle w:val="TableCellText"/>
              <w:spacing w:before="0" w:after="0"/>
              <w:ind w:left="0" w:right="0"/>
            </w:pPr>
            <w:r w:rsidRPr="001B09E6">
              <w:t>6.4</w:t>
            </w:r>
          </w:p>
        </w:tc>
        <w:tc>
          <w:tcPr>
            <w:tcW w:w="434" w:type="pct"/>
            <w:tcBorders>
              <w:top w:val="single" w:sz="4" w:space="0" w:color="auto"/>
            </w:tcBorders>
            <w:shd w:val="clear" w:color="auto" w:fill="auto"/>
            <w:noWrap/>
            <w:hideMark/>
          </w:tcPr>
          <w:p w14:paraId="054167E9" w14:textId="77777777" w:rsidR="00E45705" w:rsidRPr="001B09E6" w:rsidRDefault="00E45705" w:rsidP="00E45705">
            <w:pPr>
              <w:pStyle w:val="TableCellText"/>
              <w:spacing w:before="0" w:after="0"/>
              <w:ind w:left="0" w:right="0"/>
            </w:pPr>
            <w:r w:rsidRPr="001B09E6">
              <w:t>6.9</w:t>
            </w:r>
          </w:p>
        </w:tc>
        <w:tc>
          <w:tcPr>
            <w:tcW w:w="434" w:type="pct"/>
            <w:tcBorders>
              <w:top w:val="single" w:sz="4" w:space="0" w:color="auto"/>
            </w:tcBorders>
            <w:shd w:val="clear" w:color="auto" w:fill="auto"/>
            <w:noWrap/>
            <w:hideMark/>
          </w:tcPr>
          <w:p w14:paraId="393C0048" w14:textId="77777777" w:rsidR="00E45705" w:rsidRPr="001B09E6" w:rsidRDefault="00E45705" w:rsidP="00E45705">
            <w:pPr>
              <w:pStyle w:val="TableCellText"/>
              <w:spacing w:before="0" w:after="0"/>
              <w:ind w:left="0" w:right="0"/>
            </w:pPr>
            <w:r w:rsidRPr="001B09E6">
              <w:t>7.6</w:t>
            </w:r>
          </w:p>
        </w:tc>
        <w:tc>
          <w:tcPr>
            <w:tcW w:w="434" w:type="pct"/>
            <w:tcBorders>
              <w:top w:val="single" w:sz="4" w:space="0" w:color="auto"/>
            </w:tcBorders>
            <w:shd w:val="clear" w:color="auto" w:fill="auto"/>
            <w:noWrap/>
            <w:hideMark/>
          </w:tcPr>
          <w:p w14:paraId="4DE38B32" w14:textId="77777777" w:rsidR="00E45705" w:rsidRPr="001B09E6" w:rsidRDefault="00E45705" w:rsidP="00E45705">
            <w:pPr>
              <w:pStyle w:val="TableCellText"/>
              <w:spacing w:before="0" w:after="0"/>
              <w:ind w:left="0" w:right="0"/>
            </w:pPr>
            <w:r w:rsidRPr="001B09E6">
              <w:t>7.7</w:t>
            </w:r>
          </w:p>
        </w:tc>
        <w:tc>
          <w:tcPr>
            <w:tcW w:w="434" w:type="pct"/>
            <w:tcBorders>
              <w:top w:val="single" w:sz="4" w:space="0" w:color="auto"/>
            </w:tcBorders>
            <w:shd w:val="clear" w:color="auto" w:fill="auto"/>
            <w:noWrap/>
            <w:hideMark/>
          </w:tcPr>
          <w:p w14:paraId="2D5FCA1E" w14:textId="77777777" w:rsidR="00E45705" w:rsidRPr="001B09E6" w:rsidRDefault="00E45705" w:rsidP="00E45705">
            <w:pPr>
              <w:pStyle w:val="TableCellText"/>
              <w:spacing w:before="0" w:after="0"/>
              <w:ind w:left="0" w:right="0"/>
            </w:pPr>
            <w:r w:rsidRPr="001B09E6">
              <w:t>7.1</w:t>
            </w:r>
          </w:p>
        </w:tc>
        <w:tc>
          <w:tcPr>
            <w:tcW w:w="434" w:type="pct"/>
            <w:tcBorders>
              <w:top w:val="single" w:sz="4" w:space="0" w:color="auto"/>
            </w:tcBorders>
            <w:shd w:val="clear" w:color="auto" w:fill="auto"/>
            <w:noWrap/>
            <w:hideMark/>
          </w:tcPr>
          <w:p w14:paraId="4ED9A947" w14:textId="77777777" w:rsidR="00E45705" w:rsidRPr="001B09E6" w:rsidRDefault="00E45705" w:rsidP="00E45705">
            <w:pPr>
              <w:pStyle w:val="TableCellText"/>
              <w:spacing w:before="0" w:after="0"/>
              <w:ind w:left="0" w:right="0"/>
            </w:pPr>
            <w:r w:rsidRPr="001B09E6">
              <w:t>6.8</w:t>
            </w:r>
          </w:p>
        </w:tc>
        <w:tc>
          <w:tcPr>
            <w:tcW w:w="434" w:type="pct"/>
            <w:tcBorders>
              <w:top w:val="single" w:sz="4" w:space="0" w:color="auto"/>
            </w:tcBorders>
            <w:shd w:val="clear" w:color="auto" w:fill="auto"/>
            <w:noWrap/>
            <w:hideMark/>
          </w:tcPr>
          <w:p w14:paraId="0F3FF478" w14:textId="77777777" w:rsidR="00E45705" w:rsidRPr="001B09E6" w:rsidRDefault="00E45705" w:rsidP="00E45705">
            <w:pPr>
              <w:pStyle w:val="TableCellText"/>
              <w:spacing w:before="0" w:after="0"/>
              <w:ind w:left="0" w:right="0"/>
            </w:pPr>
            <w:r w:rsidRPr="001B09E6">
              <w:t>6.9</w:t>
            </w:r>
          </w:p>
        </w:tc>
        <w:tc>
          <w:tcPr>
            <w:tcW w:w="434" w:type="pct"/>
            <w:tcBorders>
              <w:top w:val="single" w:sz="4" w:space="0" w:color="auto"/>
            </w:tcBorders>
            <w:shd w:val="clear" w:color="auto" w:fill="auto"/>
            <w:noWrap/>
            <w:hideMark/>
          </w:tcPr>
          <w:p w14:paraId="239253BF" w14:textId="77777777" w:rsidR="00E45705" w:rsidRPr="001B09E6" w:rsidRDefault="00E45705" w:rsidP="00E45705">
            <w:pPr>
              <w:pStyle w:val="TableCellText"/>
              <w:spacing w:before="0" w:after="0"/>
              <w:ind w:left="0" w:right="0"/>
            </w:pPr>
            <w:r w:rsidRPr="001B09E6">
              <w:t>7.3</w:t>
            </w:r>
          </w:p>
        </w:tc>
        <w:tc>
          <w:tcPr>
            <w:tcW w:w="434" w:type="pct"/>
            <w:tcBorders>
              <w:top w:val="single" w:sz="4" w:space="0" w:color="auto"/>
            </w:tcBorders>
            <w:shd w:val="clear" w:color="auto" w:fill="auto"/>
            <w:noWrap/>
            <w:hideMark/>
          </w:tcPr>
          <w:p w14:paraId="3FA38A0C" w14:textId="77777777" w:rsidR="00E45705" w:rsidRPr="001B09E6" w:rsidRDefault="00E45705" w:rsidP="00E45705">
            <w:pPr>
              <w:pStyle w:val="TableCellText"/>
              <w:spacing w:before="0" w:after="0"/>
              <w:ind w:left="0" w:right="0"/>
            </w:pPr>
            <w:r w:rsidRPr="001B09E6">
              <w:t>7.7</w:t>
            </w:r>
          </w:p>
        </w:tc>
      </w:tr>
      <w:tr w:rsidR="00E45705" w:rsidRPr="001B09E6" w14:paraId="0D648717" w14:textId="77777777" w:rsidTr="00E45705">
        <w:trPr>
          <w:trHeight w:val="225"/>
        </w:trPr>
        <w:tc>
          <w:tcPr>
            <w:tcW w:w="658" w:type="pct"/>
            <w:shd w:val="clear" w:color="auto" w:fill="auto"/>
            <w:noWrap/>
            <w:hideMark/>
          </w:tcPr>
          <w:p w14:paraId="4673BCC7" w14:textId="77777777" w:rsidR="00E45705" w:rsidRPr="001B09E6" w:rsidRDefault="00E45705" w:rsidP="00E45705">
            <w:pPr>
              <w:pStyle w:val="TableCellText"/>
              <w:spacing w:before="0" w:after="0"/>
              <w:ind w:left="0" w:right="0"/>
            </w:pPr>
            <w:r w:rsidRPr="001B09E6">
              <w:t>Without a disability</w:t>
            </w:r>
          </w:p>
        </w:tc>
        <w:tc>
          <w:tcPr>
            <w:tcW w:w="434" w:type="pct"/>
            <w:shd w:val="clear" w:color="auto" w:fill="auto"/>
            <w:noWrap/>
            <w:hideMark/>
          </w:tcPr>
          <w:p w14:paraId="611DF0CA" w14:textId="77777777" w:rsidR="00E45705" w:rsidRPr="001B09E6" w:rsidRDefault="00E45705" w:rsidP="00E45705">
            <w:pPr>
              <w:pStyle w:val="TableCellText"/>
              <w:spacing w:before="0" w:after="0"/>
              <w:ind w:left="0" w:right="0"/>
            </w:pPr>
            <w:r w:rsidRPr="001B09E6">
              <w:t>94.0</w:t>
            </w:r>
          </w:p>
        </w:tc>
        <w:tc>
          <w:tcPr>
            <w:tcW w:w="434" w:type="pct"/>
            <w:shd w:val="clear" w:color="auto" w:fill="auto"/>
            <w:noWrap/>
            <w:hideMark/>
          </w:tcPr>
          <w:p w14:paraId="54AB4EB2" w14:textId="77777777" w:rsidR="00E45705" w:rsidRPr="001B09E6" w:rsidRDefault="00E45705" w:rsidP="00E45705">
            <w:pPr>
              <w:pStyle w:val="TableCellText"/>
              <w:spacing w:before="0" w:after="0"/>
              <w:ind w:left="0" w:right="0"/>
            </w:pPr>
            <w:r w:rsidRPr="001B09E6">
              <w:t>93.6</w:t>
            </w:r>
          </w:p>
        </w:tc>
        <w:tc>
          <w:tcPr>
            <w:tcW w:w="434" w:type="pct"/>
            <w:shd w:val="clear" w:color="auto" w:fill="auto"/>
            <w:noWrap/>
            <w:hideMark/>
          </w:tcPr>
          <w:p w14:paraId="4AF6F049" w14:textId="77777777" w:rsidR="00E45705" w:rsidRPr="001B09E6" w:rsidRDefault="00E45705" w:rsidP="00E45705">
            <w:pPr>
              <w:pStyle w:val="TableCellText"/>
              <w:spacing w:before="0" w:after="0"/>
              <w:ind w:left="0" w:right="0"/>
            </w:pPr>
            <w:r w:rsidRPr="001B09E6">
              <w:t>93.1</w:t>
            </w:r>
          </w:p>
        </w:tc>
        <w:tc>
          <w:tcPr>
            <w:tcW w:w="434" w:type="pct"/>
            <w:shd w:val="clear" w:color="auto" w:fill="auto"/>
            <w:noWrap/>
            <w:hideMark/>
          </w:tcPr>
          <w:p w14:paraId="7E6CF064" w14:textId="77777777" w:rsidR="00E45705" w:rsidRPr="001B09E6" w:rsidRDefault="00E45705" w:rsidP="00E45705">
            <w:pPr>
              <w:pStyle w:val="TableCellText"/>
              <w:spacing w:before="0" w:after="0"/>
              <w:ind w:left="0" w:right="0"/>
            </w:pPr>
            <w:r w:rsidRPr="001B09E6">
              <w:t>92.4</w:t>
            </w:r>
          </w:p>
        </w:tc>
        <w:tc>
          <w:tcPr>
            <w:tcW w:w="434" w:type="pct"/>
            <w:shd w:val="clear" w:color="auto" w:fill="auto"/>
            <w:noWrap/>
            <w:hideMark/>
          </w:tcPr>
          <w:p w14:paraId="344F1E4C" w14:textId="77777777" w:rsidR="00E45705" w:rsidRPr="001B09E6" w:rsidRDefault="00E45705" w:rsidP="00E45705">
            <w:pPr>
              <w:pStyle w:val="TableCellText"/>
              <w:spacing w:before="0" w:after="0"/>
              <w:ind w:left="0" w:right="0"/>
            </w:pPr>
            <w:r w:rsidRPr="001B09E6">
              <w:t>92.3</w:t>
            </w:r>
          </w:p>
        </w:tc>
        <w:tc>
          <w:tcPr>
            <w:tcW w:w="434" w:type="pct"/>
            <w:shd w:val="clear" w:color="auto" w:fill="auto"/>
            <w:noWrap/>
            <w:hideMark/>
          </w:tcPr>
          <w:p w14:paraId="5A4A07B9" w14:textId="77777777" w:rsidR="00E45705" w:rsidRPr="001B09E6" w:rsidRDefault="00E45705" w:rsidP="00E45705">
            <w:pPr>
              <w:pStyle w:val="TableCellText"/>
              <w:spacing w:before="0" w:after="0"/>
              <w:ind w:left="0" w:right="0"/>
            </w:pPr>
            <w:r w:rsidRPr="001B09E6">
              <w:t>92.9</w:t>
            </w:r>
          </w:p>
        </w:tc>
        <w:tc>
          <w:tcPr>
            <w:tcW w:w="434" w:type="pct"/>
            <w:shd w:val="clear" w:color="auto" w:fill="auto"/>
            <w:noWrap/>
            <w:hideMark/>
          </w:tcPr>
          <w:p w14:paraId="6517344C" w14:textId="77777777" w:rsidR="00E45705" w:rsidRPr="001B09E6" w:rsidRDefault="00E45705" w:rsidP="00E45705">
            <w:pPr>
              <w:pStyle w:val="TableCellText"/>
              <w:spacing w:before="0" w:after="0"/>
              <w:ind w:left="0" w:right="0"/>
            </w:pPr>
            <w:r w:rsidRPr="001B09E6">
              <w:t>93.2</w:t>
            </w:r>
          </w:p>
        </w:tc>
        <w:tc>
          <w:tcPr>
            <w:tcW w:w="434" w:type="pct"/>
            <w:shd w:val="clear" w:color="auto" w:fill="auto"/>
            <w:noWrap/>
            <w:hideMark/>
          </w:tcPr>
          <w:p w14:paraId="463E3D9F" w14:textId="77777777" w:rsidR="00E45705" w:rsidRPr="001B09E6" w:rsidRDefault="00E45705" w:rsidP="00E45705">
            <w:pPr>
              <w:pStyle w:val="TableCellText"/>
              <w:spacing w:before="0" w:after="0"/>
              <w:ind w:left="0" w:right="0"/>
            </w:pPr>
            <w:r w:rsidRPr="001B09E6">
              <w:t>93.1</w:t>
            </w:r>
          </w:p>
        </w:tc>
        <w:tc>
          <w:tcPr>
            <w:tcW w:w="434" w:type="pct"/>
            <w:shd w:val="clear" w:color="auto" w:fill="auto"/>
            <w:noWrap/>
            <w:hideMark/>
          </w:tcPr>
          <w:p w14:paraId="5CCED9D2" w14:textId="77777777" w:rsidR="00E45705" w:rsidRPr="001B09E6" w:rsidRDefault="00E45705" w:rsidP="00E45705">
            <w:pPr>
              <w:pStyle w:val="TableCellText"/>
              <w:spacing w:before="0" w:after="0"/>
              <w:ind w:left="0" w:right="0"/>
            </w:pPr>
            <w:r w:rsidRPr="001B09E6">
              <w:t>92.7</w:t>
            </w:r>
          </w:p>
        </w:tc>
        <w:tc>
          <w:tcPr>
            <w:tcW w:w="434" w:type="pct"/>
            <w:shd w:val="clear" w:color="auto" w:fill="auto"/>
            <w:noWrap/>
            <w:hideMark/>
          </w:tcPr>
          <w:p w14:paraId="06873E0F" w14:textId="77777777" w:rsidR="00E45705" w:rsidRPr="001B09E6" w:rsidRDefault="00E45705" w:rsidP="00E45705">
            <w:pPr>
              <w:pStyle w:val="TableCellText"/>
              <w:spacing w:before="0" w:after="0"/>
              <w:ind w:left="0" w:right="0"/>
            </w:pPr>
            <w:r w:rsidRPr="001B09E6">
              <w:t>92.3</w:t>
            </w:r>
          </w:p>
        </w:tc>
      </w:tr>
    </w:tbl>
    <w:p w14:paraId="649F3553" w14:textId="77777777" w:rsidR="00E45705" w:rsidRPr="001B09E6" w:rsidRDefault="00E45705" w:rsidP="00E45705">
      <w:pPr>
        <w:pStyle w:val="Tablenote"/>
      </w:pPr>
      <w:r w:rsidRPr="001B09E6">
        <w:t xml:space="preserve">Source: National VET provider collection </w:t>
      </w:r>
    </w:p>
    <w:p w14:paraId="4ACDA54A" w14:textId="77777777" w:rsidR="00E45705" w:rsidRDefault="00E45705" w:rsidP="00E45705">
      <w:pPr>
        <w:spacing w:line="380" w:lineRule="atLeast"/>
        <w:rPr>
          <w:rFonts w:eastAsiaTheme="majorEastAsia" w:cstheme="majorBidi"/>
          <w:b/>
          <w:bCs/>
          <w:color w:val="808080"/>
          <w:sz w:val="24"/>
        </w:rPr>
      </w:pPr>
      <w:bookmarkStart w:id="163" w:name="_Toc192134404"/>
      <w:bookmarkStart w:id="164" w:name="_Toc333918993"/>
      <w:r>
        <w:br w:type="page"/>
      </w:r>
    </w:p>
    <w:p w14:paraId="4E4AF68D" w14:textId="77777777" w:rsidR="00E45705" w:rsidRPr="001B09E6" w:rsidRDefault="00E45705" w:rsidP="00E45705">
      <w:pPr>
        <w:pStyle w:val="Heading3NoNumbering"/>
      </w:pPr>
      <w:r w:rsidRPr="001B09E6">
        <w:t>Table A2.14: VET participation, remoteness</w:t>
      </w:r>
      <w:bookmarkEnd w:id="163"/>
      <w:bookmarkEnd w:id="164"/>
    </w:p>
    <w:p w14:paraId="2CE163EE" w14:textId="77777777" w:rsidR="00E45705" w:rsidRPr="001B09E6" w:rsidRDefault="00E45705" w:rsidP="00E45705">
      <w:pPr>
        <w:pStyle w:val="TableHeading"/>
        <w:spacing w:before="112"/>
        <w:ind w:left="0" w:firstLine="0"/>
      </w:pPr>
      <w:r w:rsidRPr="001B09E6">
        <w:t>PERSONS AGED 15-19 YEARS ENROLLED IN VET AS A PROPORTION OF THE RESIDENT POPULATION BY STUDENT REMOTENESS (ARIA+) REGION, 202-2011, EXCLUDING THOSE ATTENDING SCHOOL AND THOSE WHO HAVE COMPLETED YEAR 12 (%)</w:t>
      </w:r>
    </w:p>
    <w:tbl>
      <w:tblPr>
        <w:tblW w:w="5000" w:type="pct"/>
        <w:tblLook w:val="04A0" w:firstRow="1" w:lastRow="0" w:firstColumn="1" w:lastColumn="0" w:noHBand="0" w:noVBand="1"/>
        <w:tblCaption w:val="Table A2.14: VET participation, remoteness PERSONS AGED 15-19 YEARS ENROLLED IN VET AS A PROPORTION OF THE RESIDENT POPULATION BY STUDENT REMOTENESS (ARIA+) REGION, 202-2011, EXCLUDING THOSE ATTENDING SCHOOL AND THOSE WHO HAVE COMPLETED YEAR 12 (%) "/>
        <w:tblDescription w:val="Table A2.14: VET participation, remoteness&#10;PERSONS AGED 15-19 YEARS ENROLLED IN VET AS A PROPORTION OF THE RESIDENT POPULATION BY STUDENT REMOTENESS (ARIA+) REGION, 202-2011, EXCLUDING THOSE ATTENDING SCHOOL AND THOSE WHO HAVE COMPLETED YEAR 12 (%)&#10;"/>
      </w:tblPr>
      <w:tblGrid>
        <w:gridCol w:w="1778"/>
        <w:gridCol w:w="1284"/>
        <w:gridCol w:w="1284"/>
        <w:gridCol w:w="1284"/>
        <w:gridCol w:w="1284"/>
        <w:gridCol w:w="1284"/>
        <w:gridCol w:w="1284"/>
        <w:gridCol w:w="1284"/>
        <w:gridCol w:w="1284"/>
        <w:gridCol w:w="1283"/>
        <w:gridCol w:w="1283"/>
      </w:tblGrid>
      <w:tr w:rsidR="00E45705" w:rsidRPr="001B09E6" w14:paraId="0C68588F" w14:textId="77777777" w:rsidTr="00E45705">
        <w:trPr>
          <w:trHeight w:val="300"/>
        </w:trPr>
        <w:tc>
          <w:tcPr>
            <w:tcW w:w="608" w:type="pct"/>
            <w:tcBorders>
              <w:top w:val="single" w:sz="4" w:space="0" w:color="auto"/>
              <w:left w:val="nil"/>
              <w:bottom w:val="single" w:sz="4" w:space="0" w:color="auto"/>
            </w:tcBorders>
            <w:shd w:val="clear" w:color="auto" w:fill="auto"/>
            <w:noWrap/>
            <w:hideMark/>
          </w:tcPr>
          <w:p w14:paraId="5DC359BB" w14:textId="77777777" w:rsidR="00E45705" w:rsidRPr="001B09E6" w:rsidRDefault="00E45705" w:rsidP="00E45705">
            <w:pPr>
              <w:pStyle w:val="TableColumnHeading"/>
              <w:spacing w:before="0" w:after="0"/>
              <w:ind w:left="0" w:right="0"/>
            </w:pPr>
          </w:p>
        </w:tc>
        <w:tc>
          <w:tcPr>
            <w:tcW w:w="439" w:type="pct"/>
            <w:tcBorders>
              <w:top w:val="single" w:sz="4" w:space="0" w:color="auto"/>
              <w:bottom w:val="single" w:sz="4" w:space="0" w:color="auto"/>
            </w:tcBorders>
            <w:shd w:val="clear" w:color="auto" w:fill="auto"/>
            <w:noWrap/>
            <w:hideMark/>
          </w:tcPr>
          <w:p w14:paraId="2A564496" w14:textId="77777777" w:rsidR="00E45705" w:rsidRPr="001B09E6" w:rsidRDefault="00E45705" w:rsidP="00E45705">
            <w:pPr>
              <w:pStyle w:val="TableColumnHeading"/>
              <w:spacing w:before="0" w:after="0"/>
              <w:ind w:left="0" w:right="0"/>
              <w:jc w:val="center"/>
            </w:pPr>
            <w:r w:rsidRPr="001B09E6">
              <w:t>2002</w:t>
            </w:r>
          </w:p>
        </w:tc>
        <w:tc>
          <w:tcPr>
            <w:tcW w:w="439" w:type="pct"/>
            <w:tcBorders>
              <w:top w:val="single" w:sz="4" w:space="0" w:color="auto"/>
              <w:bottom w:val="single" w:sz="4" w:space="0" w:color="auto"/>
            </w:tcBorders>
            <w:shd w:val="clear" w:color="auto" w:fill="auto"/>
            <w:noWrap/>
            <w:hideMark/>
          </w:tcPr>
          <w:p w14:paraId="4A91E650" w14:textId="77777777" w:rsidR="00E45705" w:rsidRPr="001B09E6" w:rsidRDefault="00E45705" w:rsidP="00E45705">
            <w:pPr>
              <w:pStyle w:val="TableColumnHeading"/>
              <w:spacing w:before="0" w:after="0"/>
              <w:ind w:left="0" w:right="0"/>
              <w:jc w:val="center"/>
            </w:pPr>
            <w:r w:rsidRPr="001B09E6">
              <w:t>2003</w:t>
            </w:r>
          </w:p>
        </w:tc>
        <w:tc>
          <w:tcPr>
            <w:tcW w:w="439" w:type="pct"/>
            <w:tcBorders>
              <w:top w:val="single" w:sz="4" w:space="0" w:color="auto"/>
              <w:bottom w:val="single" w:sz="4" w:space="0" w:color="auto"/>
            </w:tcBorders>
            <w:shd w:val="clear" w:color="auto" w:fill="auto"/>
            <w:noWrap/>
            <w:hideMark/>
          </w:tcPr>
          <w:p w14:paraId="5A3D7143" w14:textId="77777777" w:rsidR="00E45705" w:rsidRPr="001B09E6" w:rsidRDefault="00E45705" w:rsidP="00E45705">
            <w:pPr>
              <w:pStyle w:val="TableColumnHeading"/>
              <w:spacing w:before="0" w:after="0"/>
              <w:ind w:left="0" w:right="0"/>
              <w:jc w:val="center"/>
            </w:pPr>
            <w:r w:rsidRPr="001B09E6">
              <w:t>2004</w:t>
            </w:r>
          </w:p>
        </w:tc>
        <w:tc>
          <w:tcPr>
            <w:tcW w:w="439" w:type="pct"/>
            <w:tcBorders>
              <w:top w:val="single" w:sz="4" w:space="0" w:color="auto"/>
              <w:bottom w:val="single" w:sz="4" w:space="0" w:color="auto"/>
            </w:tcBorders>
            <w:shd w:val="clear" w:color="auto" w:fill="auto"/>
            <w:noWrap/>
            <w:hideMark/>
          </w:tcPr>
          <w:p w14:paraId="022F0E41" w14:textId="77777777" w:rsidR="00E45705" w:rsidRPr="001B09E6" w:rsidRDefault="00E45705" w:rsidP="00E45705">
            <w:pPr>
              <w:pStyle w:val="TableColumnHeading"/>
              <w:spacing w:before="0" w:after="0"/>
              <w:ind w:left="0" w:right="0"/>
              <w:jc w:val="center"/>
            </w:pPr>
            <w:r w:rsidRPr="001B09E6">
              <w:t>2005</w:t>
            </w:r>
          </w:p>
        </w:tc>
        <w:tc>
          <w:tcPr>
            <w:tcW w:w="439" w:type="pct"/>
            <w:tcBorders>
              <w:top w:val="single" w:sz="4" w:space="0" w:color="auto"/>
              <w:bottom w:val="single" w:sz="4" w:space="0" w:color="auto"/>
            </w:tcBorders>
            <w:shd w:val="clear" w:color="auto" w:fill="auto"/>
            <w:noWrap/>
            <w:hideMark/>
          </w:tcPr>
          <w:p w14:paraId="62429134" w14:textId="77777777" w:rsidR="00E45705" w:rsidRPr="001B09E6" w:rsidRDefault="00E45705" w:rsidP="00E45705">
            <w:pPr>
              <w:pStyle w:val="TableColumnHeading"/>
              <w:spacing w:before="0" w:after="0"/>
              <w:ind w:left="0" w:right="0"/>
              <w:jc w:val="center"/>
            </w:pPr>
            <w:r w:rsidRPr="001B09E6">
              <w:t>2006</w:t>
            </w:r>
          </w:p>
        </w:tc>
        <w:tc>
          <w:tcPr>
            <w:tcW w:w="439" w:type="pct"/>
            <w:tcBorders>
              <w:top w:val="single" w:sz="4" w:space="0" w:color="auto"/>
              <w:bottom w:val="single" w:sz="4" w:space="0" w:color="auto"/>
            </w:tcBorders>
            <w:shd w:val="clear" w:color="auto" w:fill="auto"/>
            <w:noWrap/>
            <w:hideMark/>
          </w:tcPr>
          <w:p w14:paraId="2EC95D92" w14:textId="77777777" w:rsidR="00E45705" w:rsidRPr="001B09E6" w:rsidRDefault="00E45705" w:rsidP="00E45705">
            <w:pPr>
              <w:pStyle w:val="TableColumnHeading"/>
              <w:spacing w:before="0" w:after="0"/>
              <w:ind w:left="0" w:right="0"/>
              <w:jc w:val="center"/>
            </w:pPr>
            <w:r w:rsidRPr="001B09E6">
              <w:t>2007</w:t>
            </w:r>
          </w:p>
        </w:tc>
        <w:tc>
          <w:tcPr>
            <w:tcW w:w="439" w:type="pct"/>
            <w:tcBorders>
              <w:top w:val="single" w:sz="4" w:space="0" w:color="auto"/>
              <w:bottom w:val="single" w:sz="4" w:space="0" w:color="auto"/>
            </w:tcBorders>
            <w:shd w:val="clear" w:color="auto" w:fill="auto"/>
            <w:noWrap/>
            <w:hideMark/>
          </w:tcPr>
          <w:p w14:paraId="7E17872C" w14:textId="77777777" w:rsidR="00E45705" w:rsidRPr="001B09E6" w:rsidRDefault="00E45705" w:rsidP="00E45705">
            <w:pPr>
              <w:pStyle w:val="TableColumnHeading"/>
              <w:spacing w:before="0" w:after="0"/>
              <w:ind w:left="0" w:right="0"/>
              <w:jc w:val="center"/>
            </w:pPr>
            <w:r w:rsidRPr="001B09E6">
              <w:t>2008</w:t>
            </w:r>
          </w:p>
        </w:tc>
        <w:tc>
          <w:tcPr>
            <w:tcW w:w="439" w:type="pct"/>
            <w:tcBorders>
              <w:top w:val="single" w:sz="4" w:space="0" w:color="auto"/>
              <w:bottom w:val="single" w:sz="4" w:space="0" w:color="auto"/>
            </w:tcBorders>
            <w:shd w:val="clear" w:color="auto" w:fill="auto"/>
            <w:noWrap/>
            <w:hideMark/>
          </w:tcPr>
          <w:p w14:paraId="67A99AB8" w14:textId="77777777" w:rsidR="00E45705" w:rsidRPr="001B09E6" w:rsidRDefault="00E45705" w:rsidP="00E45705">
            <w:pPr>
              <w:pStyle w:val="TableColumnHeading"/>
              <w:spacing w:before="0" w:after="0"/>
              <w:ind w:left="0" w:right="0"/>
              <w:jc w:val="center"/>
            </w:pPr>
            <w:r w:rsidRPr="001B09E6">
              <w:t>2009</w:t>
            </w:r>
          </w:p>
        </w:tc>
        <w:tc>
          <w:tcPr>
            <w:tcW w:w="439" w:type="pct"/>
            <w:tcBorders>
              <w:top w:val="single" w:sz="4" w:space="0" w:color="auto"/>
              <w:bottom w:val="single" w:sz="4" w:space="0" w:color="auto"/>
            </w:tcBorders>
            <w:shd w:val="clear" w:color="auto" w:fill="auto"/>
            <w:noWrap/>
            <w:hideMark/>
          </w:tcPr>
          <w:p w14:paraId="70A168DF" w14:textId="77777777" w:rsidR="00E45705" w:rsidRPr="001B09E6" w:rsidRDefault="00E45705" w:rsidP="00E45705">
            <w:pPr>
              <w:pStyle w:val="TableColumnHeading"/>
              <w:spacing w:before="0" w:after="0"/>
              <w:ind w:left="0" w:right="0"/>
              <w:jc w:val="center"/>
            </w:pPr>
            <w:r w:rsidRPr="001B09E6">
              <w:t>2010</w:t>
            </w:r>
          </w:p>
        </w:tc>
        <w:tc>
          <w:tcPr>
            <w:tcW w:w="439" w:type="pct"/>
            <w:tcBorders>
              <w:top w:val="single" w:sz="4" w:space="0" w:color="auto"/>
              <w:bottom w:val="single" w:sz="4" w:space="0" w:color="auto"/>
              <w:right w:val="nil"/>
            </w:tcBorders>
            <w:shd w:val="clear" w:color="auto" w:fill="auto"/>
            <w:noWrap/>
            <w:hideMark/>
          </w:tcPr>
          <w:p w14:paraId="7B411FA8" w14:textId="77777777" w:rsidR="00E45705" w:rsidRPr="001B09E6" w:rsidRDefault="00E45705" w:rsidP="00E45705">
            <w:pPr>
              <w:pStyle w:val="TableColumnHeading"/>
              <w:spacing w:before="0" w:after="0"/>
              <w:ind w:left="0" w:right="0"/>
              <w:jc w:val="center"/>
            </w:pPr>
            <w:r w:rsidRPr="001B09E6">
              <w:t>2011</w:t>
            </w:r>
          </w:p>
        </w:tc>
      </w:tr>
      <w:tr w:rsidR="00E45705" w:rsidRPr="001B09E6" w14:paraId="54CD345B" w14:textId="77777777" w:rsidTr="00E45705">
        <w:trPr>
          <w:trHeight w:val="300"/>
        </w:trPr>
        <w:tc>
          <w:tcPr>
            <w:tcW w:w="608" w:type="pct"/>
            <w:tcBorders>
              <w:top w:val="single" w:sz="4" w:space="0" w:color="auto"/>
              <w:left w:val="nil"/>
              <w:bottom w:val="nil"/>
              <w:right w:val="nil"/>
            </w:tcBorders>
            <w:shd w:val="clear" w:color="auto" w:fill="auto"/>
            <w:noWrap/>
            <w:hideMark/>
          </w:tcPr>
          <w:p w14:paraId="1A1A286A" w14:textId="77777777" w:rsidR="00E45705" w:rsidRPr="001B09E6" w:rsidRDefault="00E45705" w:rsidP="00E45705">
            <w:pPr>
              <w:pStyle w:val="TableCellText"/>
              <w:spacing w:before="0" w:after="0"/>
              <w:ind w:left="0" w:right="0"/>
              <w:rPr>
                <w:lang w:eastAsia="en-AU"/>
              </w:rPr>
            </w:pPr>
            <w:r w:rsidRPr="001B09E6">
              <w:rPr>
                <w:lang w:eastAsia="en-AU"/>
              </w:rPr>
              <w:t>Major cities</w:t>
            </w:r>
          </w:p>
        </w:tc>
        <w:tc>
          <w:tcPr>
            <w:tcW w:w="439" w:type="pct"/>
            <w:tcBorders>
              <w:top w:val="single" w:sz="4" w:space="0" w:color="auto"/>
              <w:left w:val="nil"/>
              <w:bottom w:val="nil"/>
              <w:right w:val="nil"/>
            </w:tcBorders>
            <w:shd w:val="clear" w:color="auto" w:fill="auto"/>
            <w:noWrap/>
            <w:hideMark/>
          </w:tcPr>
          <w:p w14:paraId="788D2267" w14:textId="77777777" w:rsidR="00E45705" w:rsidRPr="001B09E6" w:rsidRDefault="00E45705" w:rsidP="00E45705">
            <w:pPr>
              <w:pStyle w:val="TableCellText"/>
              <w:spacing w:before="0" w:after="0"/>
              <w:ind w:left="0" w:right="0"/>
              <w:jc w:val="center"/>
              <w:rPr>
                <w:lang w:eastAsia="en-AU"/>
              </w:rPr>
            </w:pPr>
            <w:r w:rsidRPr="001B09E6">
              <w:rPr>
                <w:lang w:eastAsia="en-AU"/>
              </w:rPr>
              <w:t>0.7</w:t>
            </w:r>
          </w:p>
        </w:tc>
        <w:tc>
          <w:tcPr>
            <w:tcW w:w="439" w:type="pct"/>
            <w:tcBorders>
              <w:top w:val="single" w:sz="4" w:space="0" w:color="auto"/>
              <w:left w:val="nil"/>
              <w:bottom w:val="nil"/>
              <w:right w:val="nil"/>
            </w:tcBorders>
            <w:shd w:val="clear" w:color="auto" w:fill="auto"/>
            <w:noWrap/>
            <w:hideMark/>
          </w:tcPr>
          <w:p w14:paraId="596DB696"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single" w:sz="4" w:space="0" w:color="auto"/>
              <w:left w:val="nil"/>
              <w:bottom w:val="nil"/>
              <w:right w:val="nil"/>
            </w:tcBorders>
            <w:shd w:val="clear" w:color="auto" w:fill="auto"/>
            <w:noWrap/>
            <w:hideMark/>
          </w:tcPr>
          <w:p w14:paraId="61028B5B"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single" w:sz="4" w:space="0" w:color="auto"/>
              <w:left w:val="nil"/>
              <w:bottom w:val="nil"/>
              <w:right w:val="nil"/>
            </w:tcBorders>
            <w:shd w:val="clear" w:color="auto" w:fill="auto"/>
            <w:noWrap/>
            <w:hideMark/>
          </w:tcPr>
          <w:p w14:paraId="39A90D5B"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single" w:sz="4" w:space="0" w:color="auto"/>
              <w:left w:val="nil"/>
              <w:bottom w:val="nil"/>
              <w:right w:val="nil"/>
            </w:tcBorders>
            <w:shd w:val="clear" w:color="auto" w:fill="auto"/>
            <w:noWrap/>
            <w:hideMark/>
          </w:tcPr>
          <w:p w14:paraId="25723A18"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single" w:sz="4" w:space="0" w:color="auto"/>
              <w:left w:val="nil"/>
              <w:bottom w:val="nil"/>
              <w:right w:val="nil"/>
            </w:tcBorders>
            <w:shd w:val="clear" w:color="auto" w:fill="auto"/>
            <w:noWrap/>
            <w:hideMark/>
          </w:tcPr>
          <w:p w14:paraId="2A2B82FC"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single" w:sz="4" w:space="0" w:color="auto"/>
              <w:left w:val="nil"/>
              <w:bottom w:val="nil"/>
              <w:right w:val="nil"/>
            </w:tcBorders>
            <w:shd w:val="clear" w:color="auto" w:fill="auto"/>
            <w:noWrap/>
            <w:hideMark/>
          </w:tcPr>
          <w:p w14:paraId="624CD656"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single" w:sz="4" w:space="0" w:color="auto"/>
              <w:left w:val="nil"/>
              <w:bottom w:val="nil"/>
              <w:right w:val="nil"/>
            </w:tcBorders>
            <w:shd w:val="clear" w:color="auto" w:fill="auto"/>
            <w:noWrap/>
            <w:hideMark/>
          </w:tcPr>
          <w:p w14:paraId="38C78473"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single" w:sz="4" w:space="0" w:color="auto"/>
              <w:left w:val="nil"/>
              <w:bottom w:val="nil"/>
              <w:right w:val="nil"/>
            </w:tcBorders>
            <w:shd w:val="clear" w:color="auto" w:fill="auto"/>
            <w:noWrap/>
            <w:hideMark/>
          </w:tcPr>
          <w:p w14:paraId="5930F622"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single" w:sz="4" w:space="0" w:color="auto"/>
              <w:left w:val="nil"/>
              <w:bottom w:val="nil"/>
              <w:right w:val="nil"/>
            </w:tcBorders>
            <w:shd w:val="clear" w:color="auto" w:fill="auto"/>
            <w:noWrap/>
            <w:vAlign w:val="bottom"/>
            <w:hideMark/>
          </w:tcPr>
          <w:p w14:paraId="465F65B2" w14:textId="77777777" w:rsidR="00E45705" w:rsidRPr="001B09E6" w:rsidRDefault="00E45705" w:rsidP="00E45705">
            <w:pPr>
              <w:pStyle w:val="TableCellText"/>
              <w:spacing w:before="0" w:after="0"/>
              <w:ind w:left="0" w:right="0"/>
              <w:jc w:val="center"/>
              <w:rPr>
                <w:rFonts w:ascii="Arial" w:hAnsi="Arial" w:cs="Arial"/>
                <w:color w:val="000000"/>
                <w:sz w:val="16"/>
                <w:szCs w:val="16"/>
              </w:rPr>
            </w:pPr>
            <w:r w:rsidRPr="001B09E6">
              <w:rPr>
                <w:rFonts w:ascii="Arial" w:hAnsi="Arial" w:cs="Arial"/>
                <w:color w:val="000000"/>
                <w:sz w:val="16"/>
                <w:szCs w:val="16"/>
              </w:rPr>
              <w:t>0.6</w:t>
            </w:r>
          </w:p>
        </w:tc>
      </w:tr>
      <w:tr w:rsidR="00E45705" w:rsidRPr="001B09E6" w14:paraId="4948814B" w14:textId="77777777" w:rsidTr="00E45705">
        <w:trPr>
          <w:trHeight w:val="300"/>
        </w:trPr>
        <w:tc>
          <w:tcPr>
            <w:tcW w:w="608" w:type="pct"/>
            <w:tcBorders>
              <w:top w:val="nil"/>
              <w:left w:val="nil"/>
              <w:bottom w:val="nil"/>
              <w:right w:val="nil"/>
            </w:tcBorders>
            <w:shd w:val="clear" w:color="auto" w:fill="auto"/>
            <w:noWrap/>
            <w:hideMark/>
          </w:tcPr>
          <w:p w14:paraId="5F5E66F7" w14:textId="77777777" w:rsidR="00E45705" w:rsidRPr="001B09E6" w:rsidRDefault="00E45705" w:rsidP="00E45705">
            <w:pPr>
              <w:pStyle w:val="TableCellText"/>
              <w:spacing w:before="0" w:after="0"/>
              <w:ind w:left="0" w:right="0"/>
              <w:rPr>
                <w:lang w:eastAsia="en-AU"/>
              </w:rPr>
            </w:pPr>
            <w:r w:rsidRPr="001B09E6">
              <w:rPr>
                <w:lang w:eastAsia="en-AU"/>
              </w:rPr>
              <w:t>Inner regional</w:t>
            </w:r>
          </w:p>
        </w:tc>
        <w:tc>
          <w:tcPr>
            <w:tcW w:w="439" w:type="pct"/>
            <w:tcBorders>
              <w:top w:val="nil"/>
              <w:left w:val="nil"/>
              <w:bottom w:val="nil"/>
              <w:right w:val="nil"/>
            </w:tcBorders>
            <w:shd w:val="clear" w:color="auto" w:fill="auto"/>
            <w:noWrap/>
            <w:hideMark/>
          </w:tcPr>
          <w:p w14:paraId="43A0FEC0" w14:textId="77777777" w:rsidR="00E45705" w:rsidRPr="001B09E6" w:rsidRDefault="00E45705" w:rsidP="00E45705">
            <w:pPr>
              <w:pStyle w:val="TableCellText"/>
              <w:spacing w:before="0" w:after="0"/>
              <w:ind w:left="0" w:right="0"/>
              <w:jc w:val="center"/>
              <w:rPr>
                <w:lang w:eastAsia="en-AU"/>
              </w:rPr>
            </w:pPr>
            <w:r w:rsidRPr="001B09E6">
              <w:rPr>
                <w:lang w:eastAsia="en-AU"/>
              </w:rPr>
              <w:t>1.2</w:t>
            </w:r>
          </w:p>
        </w:tc>
        <w:tc>
          <w:tcPr>
            <w:tcW w:w="439" w:type="pct"/>
            <w:tcBorders>
              <w:top w:val="nil"/>
              <w:left w:val="nil"/>
              <w:bottom w:val="nil"/>
              <w:right w:val="nil"/>
            </w:tcBorders>
            <w:shd w:val="clear" w:color="auto" w:fill="auto"/>
            <w:noWrap/>
            <w:hideMark/>
          </w:tcPr>
          <w:p w14:paraId="1259F09B" w14:textId="77777777" w:rsidR="00E45705" w:rsidRPr="001B09E6" w:rsidRDefault="00E45705" w:rsidP="00E45705">
            <w:pPr>
              <w:pStyle w:val="TableCellText"/>
              <w:spacing w:before="0" w:after="0"/>
              <w:ind w:left="0" w:right="0"/>
              <w:jc w:val="center"/>
              <w:rPr>
                <w:lang w:eastAsia="en-AU"/>
              </w:rPr>
            </w:pPr>
            <w:r w:rsidRPr="001B09E6">
              <w:rPr>
                <w:lang w:eastAsia="en-AU"/>
              </w:rPr>
              <w:t>1.1</w:t>
            </w:r>
          </w:p>
        </w:tc>
        <w:tc>
          <w:tcPr>
            <w:tcW w:w="439" w:type="pct"/>
            <w:tcBorders>
              <w:top w:val="nil"/>
              <w:left w:val="nil"/>
              <w:bottom w:val="nil"/>
              <w:right w:val="nil"/>
            </w:tcBorders>
            <w:shd w:val="clear" w:color="auto" w:fill="auto"/>
            <w:noWrap/>
            <w:hideMark/>
          </w:tcPr>
          <w:p w14:paraId="1F703085" w14:textId="77777777" w:rsidR="00E45705" w:rsidRPr="001B09E6" w:rsidRDefault="00E45705" w:rsidP="00E45705">
            <w:pPr>
              <w:pStyle w:val="TableCellText"/>
              <w:spacing w:before="0" w:after="0"/>
              <w:ind w:left="0" w:right="0"/>
              <w:jc w:val="center"/>
              <w:rPr>
                <w:lang w:eastAsia="en-AU"/>
              </w:rPr>
            </w:pPr>
            <w:r w:rsidRPr="001B09E6">
              <w:rPr>
                <w:lang w:eastAsia="en-AU"/>
              </w:rPr>
              <w:t>1.1</w:t>
            </w:r>
          </w:p>
        </w:tc>
        <w:tc>
          <w:tcPr>
            <w:tcW w:w="439" w:type="pct"/>
            <w:tcBorders>
              <w:top w:val="nil"/>
              <w:left w:val="nil"/>
              <w:bottom w:val="nil"/>
              <w:right w:val="nil"/>
            </w:tcBorders>
            <w:shd w:val="clear" w:color="auto" w:fill="auto"/>
            <w:noWrap/>
            <w:hideMark/>
          </w:tcPr>
          <w:p w14:paraId="2E02195C" w14:textId="77777777" w:rsidR="00E45705" w:rsidRPr="001B09E6" w:rsidRDefault="00E45705" w:rsidP="00E45705">
            <w:pPr>
              <w:pStyle w:val="TableCellText"/>
              <w:spacing w:before="0" w:after="0"/>
              <w:ind w:left="0" w:right="0"/>
              <w:jc w:val="center"/>
              <w:rPr>
                <w:lang w:eastAsia="en-AU"/>
              </w:rPr>
            </w:pPr>
            <w:r w:rsidRPr="001B09E6">
              <w:rPr>
                <w:lang w:eastAsia="en-AU"/>
              </w:rPr>
              <w:t>1.1</w:t>
            </w:r>
          </w:p>
        </w:tc>
        <w:tc>
          <w:tcPr>
            <w:tcW w:w="439" w:type="pct"/>
            <w:tcBorders>
              <w:top w:val="nil"/>
              <w:left w:val="nil"/>
              <w:bottom w:val="nil"/>
              <w:right w:val="nil"/>
            </w:tcBorders>
            <w:shd w:val="clear" w:color="auto" w:fill="auto"/>
            <w:noWrap/>
            <w:hideMark/>
          </w:tcPr>
          <w:p w14:paraId="2193BD5C" w14:textId="77777777" w:rsidR="00E45705" w:rsidRPr="001B09E6" w:rsidRDefault="00E45705" w:rsidP="00E45705">
            <w:pPr>
              <w:pStyle w:val="TableCellText"/>
              <w:spacing w:before="0" w:after="0"/>
              <w:ind w:left="0" w:right="0"/>
              <w:jc w:val="center"/>
              <w:rPr>
                <w:lang w:eastAsia="en-AU"/>
              </w:rPr>
            </w:pPr>
            <w:r w:rsidRPr="001B09E6">
              <w:rPr>
                <w:lang w:eastAsia="en-AU"/>
              </w:rPr>
              <w:t>1.1</w:t>
            </w:r>
          </w:p>
        </w:tc>
        <w:tc>
          <w:tcPr>
            <w:tcW w:w="439" w:type="pct"/>
            <w:tcBorders>
              <w:top w:val="nil"/>
              <w:left w:val="nil"/>
              <w:bottom w:val="nil"/>
              <w:right w:val="nil"/>
            </w:tcBorders>
            <w:shd w:val="clear" w:color="auto" w:fill="auto"/>
            <w:noWrap/>
            <w:hideMark/>
          </w:tcPr>
          <w:p w14:paraId="3BD42B38" w14:textId="77777777" w:rsidR="00E45705" w:rsidRPr="001B09E6" w:rsidRDefault="00E45705" w:rsidP="00E45705">
            <w:pPr>
              <w:pStyle w:val="TableCellText"/>
              <w:spacing w:before="0" w:after="0"/>
              <w:ind w:left="0" w:right="0"/>
              <w:jc w:val="center"/>
              <w:rPr>
                <w:lang w:eastAsia="en-AU"/>
              </w:rPr>
            </w:pPr>
            <w:r w:rsidRPr="001B09E6">
              <w:rPr>
                <w:lang w:eastAsia="en-AU"/>
              </w:rPr>
              <w:t>1.1</w:t>
            </w:r>
          </w:p>
        </w:tc>
        <w:tc>
          <w:tcPr>
            <w:tcW w:w="439" w:type="pct"/>
            <w:tcBorders>
              <w:top w:val="nil"/>
              <w:left w:val="nil"/>
              <w:bottom w:val="nil"/>
              <w:right w:val="nil"/>
            </w:tcBorders>
            <w:shd w:val="clear" w:color="auto" w:fill="auto"/>
            <w:noWrap/>
            <w:hideMark/>
          </w:tcPr>
          <w:p w14:paraId="558AD10B" w14:textId="77777777" w:rsidR="00E45705" w:rsidRPr="001B09E6" w:rsidRDefault="00E45705" w:rsidP="00E45705">
            <w:pPr>
              <w:pStyle w:val="TableCellText"/>
              <w:spacing w:before="0" w:after="0"/>
              <w:ind w:left="0" w:right="0"/>
              <w:jc w:val="center"/>
              <w:rPr>
                <w:lang w:eastAsia="en-AU"/>
              </w:rPr>
            </w:pPr>
            <w:r w:rsidRPr="001B09E6">
              <w:rPr>
                <w:lang w:eastAsia="en-AU"/>
              </w:rPr>
              <w:t>1.1</w:t>
            </w:r>
          </w:p>
        </w:tc>
        <w:tc>
          <w:tcPr>
            <w:tcW w:w="439" w:type="pct"/>
            <w:tcBorders>
              <w:top w:val="nil"/>
              <w:left w:val="nil"/>
              <w:bottom w:val="nil"/>
              <w:right w:val="nil"/>
            </w:tcBorders>
            <w:shd w:val="clear" w:color="auto" w:fill="auto"/>
            <w:noWrap/>
            <w:hideMark/>
          </w:tcPr>
          <w:p w14:paraId="49827AB2" w14:textId="77777777" w:rsidR="00E45705" w:rsidRPr="001B09E6" w:rsidRDefault="00E45705" w:rsidP="00E45705">
            <w:pPr>
              <w:pStyle w:val="TableCellText"/>
              <w:spacing w:before="0" w:after="0"/>
              <w:ind w:left="0" w:right="0"/>
              <w:jc w:val="center"/>
              <w:rPr>
                <w:lang w:eastAsia="en-AU"/>
              </w:rPr>
            </w:pPr>
            <w:r w:rsidRPr="001B09E6">
              <w:rPr>
                <w:lang w:eastAsia="en-AU"/>
              </w:rPr>
              <w:t>1.1</w:t>
            </w:r>
          </w:p>
        </w:tc>
        <w:tc>
          <w:tcPr>
            <w:tcW w:w="439" w:type="pct"/>
            <w:tcBorders>
              <w:top w:val="nil"/>
              <w:left w:val="nil"/>
              <w:bottom w:val="nil"/>
              <w:right w:val="nil"/>
            </w:tcBorders>
            <w:shd w:val="clear" w:color="auto" w:fill="auto"/>
            <w:noWrap/>
            <w:hideMark/>
          </w:tcPr>
          <w:p w14:paraId="2DA9E77D" w14:textId="77777777" w:rsidR="00E45705" w:rsidRPr="001B09E6" w:rsidRDefault="00E45705" w:rsidP="00E45705">
            <w:pPr>
              <w:pStyle w:val="TableCellText"/>
              <w:spacing w:before="0" w:after="0"/>
              <w:ind w:left="0" w:right="0"/>
              <w:jc w:val="center"/>
              <w:rPr>
                <w:lang w:eastAsia="en-AU"/>
              </w:rPr>
            </w:pPr>
            <w:r w:rsidRPr="001B09E6">
              <w:rPr>
                <w:lang w:eastAsia="en-AU"/>
              </w:rPr>
              <w:t>1.1</w:t>
            </w:r>
          </w:p>
        </w:tc>
        <w:tc>
          <w:tcPr>
            <w:tcW w:w="439" w:type="pct"/>
            <w:tcBorders>
              <w:top w:val="nil"/>
              <w:left w:val="nil"/>
              <w:bottom w:val="nil"/>
              <w:right w:val="nil"/>
            </w:tcBorders>
            <w:shd w:val="clear" w:color="auto" w:fill="auto"/>
            <w:noWrap/>
            <w:vAlign w:val="bottom"/>
            <w:hideMark/>
          </w:tcPr>
          <w:p w14:paraId="6A2284AB" w14:textId="77777777" w:rsidR="00E45705" w:rsidRPr="001B09E6" w:rsidRDefault="00E45705" w:rsidP="00E45705">
            <w:pPr>
              <w:pStyle w:val="TableCellText"/>
              <w:spacing w:before="0" w:after="0"/>
              <w:ind w:left="0" w:right="0"/>
              <w:jc w:val="center"/>
              <w:rPr>
                <w:rFonts w:ascii="Arial" w:hAnsi="Arial" w:cs="Arial"/>
                <w:color w:val="000000"/>
                <w:sz w:val="16"/>
                <w:szCs w:val="16"/>
              </w:rPr>
            </w:pPr>
            <w:r w:rsidRPr="001B09E6">
              <w:rPr>
                <w:rFonts w:ascii="Arial" w:hAnsi="Arial" w:cs="Arial"/>
                <w:color w:val="000000"/>
                <w:sz w:val="16"/>
                <w:szCs w:val="16"/>
              </w:rPr>
              <w:t>1.1</w:t>
            </w:r>
          </w:p>
        </w:tc>
      </w:tr>
      <w:tr w:rsidR="00E45705" w:rsidRPr="001B09E6" w14:paraId="035FF71C" w14:textId="77777777" w:rsidTr="00E45705">
        <w:trPr>
          <w:trHeight w:val="300"/>
        </w:trPr>
        <w:tc>
          <w:tcPr>
            <w:tcW w:w="608" w:type="pct"/>
            <w:tcBorders>
              <w:top w:val="nil"/>
              <w:left w:val="nil"/>
              <w:bottom w:val="nil"/>
              <w:right w:val="nil"/>
            </w:tcBorders>
            <w:shd w:val="clear" w:color="auto" w:fill="auto"/>
            <w:noWrap/>
            <w:hideMark/>
          </w:tcPr>
          <w:p w14:paraId="7D94E6AB" w14:textId="77777777" w:rsidR="00E45705" w:rsidRPr="001B09E6" w:rsidRDefault="00E45705" w:rsidP="00E45705">
            <w:pPr>
              <w:pStyle w:val="TableCellText"/>
              <w:spacing w:before="0" w:after="0"/>
              <w:ind w:left="0" w:right="0"/>
              <w:rPr>
                <w:lang w:eastAsia="en-AU"/>
              </w:rPr>
            </w:pPr>
            <w:r w:rsidRPr="001B09E6">
              <w:rPr>
                <w:lang w:eastAsia="en-AU"/>
              </w:rPr>
              <w:t>Outer regional</w:t>
            </w:r>
          </w:p>
        </w:tc>
        <w:tc>
          <w:tcPr>
            <w:tcW w:w="439" w:type="pct"/>
            <w:tcBorders>
              <w:top w:val="nil"/>
              <w:left w:val="nil"/>
              <w:bottom w:val="nil"/>
              <w:right w:val="nil"/>
            </w:tcBorders>
            <w:shd w:val="clear" w:color="auto" w:fill="auto"/>
            <w:noWrap/>
            <w:hideMark/>
          </w:tcPr>
          <w:p w14:paraId="546238D0"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c>
          <w:tcPr>
            <w:tcW w:w="439" w:type="pct"/>
            <w:tcBorders>
              <w:top w:val="nil"/>
              <w:left w:val="nil"/>
              <w:bottom w:val="nil"/>
              <w:right w:val="nil"/>
            </w:tcBorders>
            <w:shd w:val="clear" w:color="auto" w:fill="auto"/>
            <w:noWrap/>
            <w:hideMark/>
          </w:tcPr>
          <w:p w14:paraId="572A65CB"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c>
          <w:tcPr>
            <w:tcW w:w="439" w:type="pct"/>
            <w:tcBorders>
              <w:top w:val="nil"/>
              <w:left w:val="nil"/>
              <w:bottom w:val="nil"/>
              <w:right w:val="nil"/>
            </w:tcBorders>
            <w:shd w:val="clear" w:color="auto" w:fill="auto"/>
            <w:noWrap/>
            <w:hideMark/>
          </w:tcPr>
          <w:p w14:paraId="108FFB9C"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c>
          <w:tcPr>
            <w:tcW w:w="439" w:type="pct"/>
            <w:tcBorders>
              <w:top w:val="nil"/>
              <w:left w:val="nil"/>
              <w:bottom w:val="nil"/>
              <w:right w:val="nil"/>
            </w:tcBorders>
            <w:shd w:val="clear" w:color="auto" w:fill="auto"/>
            <w:noWrap/>
            <w:hideMark/>
          </w:tcPr>
          <w:p w14:paraId="7EB4417F"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c>
          <w:tcPr>
            <w:tcW w:w="439" w:type="pct"/>
            <w:tcBorders>
              <w:top w:val="nil"/>
              <w:left w:val="nil"/>
              <w:bottom w:val="nil"/>
              <w:right w:val="nil"/>
            </w:tcBorders>
            <w:shd w:val="clear" w:color="auto" w:fill="auto"/>
            <w:noWrap/>
            <w:hideMark/>
          </w:tcPr>
          <w:p w14:paraId="64419D52"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c>
          <w:tcPr>
            <w:tcW w:w="439" w:type="pct"/>
            <w:tcBorders>
              <w:top w:val="nil"/>
              <w:left w:val="nil"/>
              <w:bottom w:val="nil"/>
              <w:right w:val="nil"/>
            </w:tcBorders>
            <w:shd w:val="clear" w:color="auto" w:fill="auto"/>
            <w:noWrap/>
            <w:hideMark/>
          </w:tcPr>
          <w:p w14:paraId="443D3A1E"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c>
          <w:tcPr>
            <w:tcW w:w="439" w:type="pct"/>
            <w:tcBorders>
              <w:top w:val="nil"/>
              <w:left w:val="nil"/>
              <w:bottom w:val="nil"/>
              <w:right w:val="nil"/>
            </w:tcBorders>
            <w:shd w:val="clear" w:color="auto" w:fill="auto"/>
            <w:noWrap/>
            <w:hideMark/>
          </w:tcPr>
          <w:p w14:paraId="7BEB56E1"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c>
          <w:tcPr>
            <w:tcW w:w="439" w:type="pct"/>
            <w:tcBorders>
              <w:top w:val="nil"/>
              <w:left w:val="nil"/>
              <w:bottom w:val="nil"/>
              <w:right w:val="nil"/>
            </w:tcBorders>
            <w:shd w:val="clear" w:color="auto" w:fill="auto"/>
            <w:noWrap/>
            <w:hideMark/>
          </w:tcPr>
          <w:p w14:paraId="0E70E89B"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c>
          <w:tcPr>
            <w:tcW w:w="439" w:type="pct"/>
            <w:tcBorders>
              <w:top w:val="nil"/>
              <w:left w:val="nil"/>
              <w:bottom w:val="nil"/>
              <w:right w:val="nil"/>
            </w:tcBorders>
            <w:shd w:val="clear" w:color="auto" w:fill="auto"/>
            <w:noWrap/>
            <w:hideMark/>
          </w:tcPr>
          <w:p w14:paraId="1C984752"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c>
          <w:tcPr>
            <w:tcW w:w="439" w:type="pct"/>
            <w:tcBorders>
              <w:top w:val="nil"/>
              <w:left w:val="nil"/>
              <w:bottom w:val="nil"/>
              <w:right w:val="nil"/>
            </w:tcBorders>
            <w:shd w:val="clear" w:color="auto" w:fill="auto"/>
            <w:noWrap/>
            <w:vAlign w:val="bottom"/>
            <w:hideMark/>
          </w:tcPr>
          <w:p w14:paraId="18F4D36F" w14:textId="77777777" w:rsidR="00E45705" w:rsidRPr="001B09E6" w:rsidRDefault="00E45705" w:rsidP="00E45705">
            <w:pPr>
              <w:pStyle w:val="TableCellText"/>
              <w:spacing w:before="0" w:after="0"/>
              <w:ind w:left="0" w:right="0"/>
              <w:jc w:val="center"/>
              <w:rPr>
                <w:rFonts w:ascii="Arial" w:hAnsi="Arial" w:cs="Arial"/>
                <w:color w:val="000000"/>
                <w:sz w:val="16"/>
                <w:szCs w:val="16"/>
              </w:rPr>
            </w:pPr>
            <w:r w:rsidRPr="001B09E6">
              <w:rPr>
                <w:rFonts w:ascii="Arial" w:hAnsi="Arial" w:cs="Arial"/>
                <w:color w:val="000000"/>
                <w:sz w:val="16"/>
                <w:szCs w:val="16"/>
              </w:rPr>
              <w:t>1.4</w:t>
            </w:r>
          </w:p>
        </w:tc>
      </w:tr>
      <w:tr w:rsidR="00E45705" w:rsidRPr="001B09E6" w14:paraId="2EE8E17D" w14:textId="77777777" w:rsidTr="00E45705">
        <w:trPr>
          <w:trHeight w:val="300"/>
        </w:trPr>
        <w:tc>
          <w:tcPr>
            <w:tcW w:w="608" w:type="pct"/>
            <w:tcBorders>
              <w:top w:val="nil"/>
              <w:left w:val="nil"/>
              <w:bottom w:val="nil"/>
              <w:right w:val="nil"/>
            </w:tcBorders>
            <w:shd w:val="clear" w:color="auto" w:fill="auto"/>
            <w:noWrap/>
            <w:hideMark/>
          </w:tcPr>
          <w:p w14:paraId="13979FFA" w14:textId="77777777" w:rsidR="00E45705" w:rsidRPr="001B09E6" w:rsidRDefault="00E45705" w:rsidP="00E45705">
            <w:pPr>
              <w:pStyle w:val="TableCellText"/>
              <w:spacing w:before="0" w:after="0"/>
              <w:ind w:left="0" w:right="0"/>
              <w:rPr>
                <w:lang w:eastAsia="en-AU"/>
              </w:rPr>
            </w:pPr>
            <w:r w:rsidRPr="001B09E6">
              <w:rPr>
                <w:lang w:eastAsia="en-AU"/>
              </w:rPr>
              <w:t>Remote</w:t>
            </w:r>
          </w:p>
        </w:tc>
        <w:tc>
          <w:tcPr>
            <w:tcW w:w="439" w:type="pct"/>
            <w:tcBorders>
              <w:top w:val="nil"/>
              <w:left w:val="nil"/>
              <w:bottom w:val="nil"/>
              <w:right w:val="nil"/>
            </w:tcBorders>
            <w:shd w:val="clear" w:color="auto" w:fill="auto"/>
            <w:noWrap/>
            <w:hideMark/>
          </w:tcPr>
          <w:p w14:paraId="3AE0F324"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c>
          <w:tcPr>
            <w:tcW w:w="439" w:type="pct"/>
            <w:tcBorders>
              <w:top w:val="nil"/>
              <w:left w:val="nil"/>
              <w:bottom w:val="nil"/>
              <w:right w:val="nil"/>
            </w:tcBorders>
            <w:shd w:val="clear" w:color="auto" w:fill="auto"/>
            <w:noWrap/>
            <w:hideMark/>
          </w:tcPr>
          <w:p w14:paraId="62DC8431"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c>
          <w:tcPr>
            <w:tcW w:w="439" w:type="pct"/>
            <w:tcBorders>
              <w:top w:val="nil"/>
              <w:left w:val="nil"/>
              <w:bottom w:val="nil"/>
              <w:right w:val="nil"/>
            </w:tcBorders>
            <w:shd w:val="clear" w:color="auto" w:fill="auto"/>
            <w:noWrap/>
            <w:hideMark/>
          </w:tcPr>
          <w:p w14:paraId="40C83D05" w14:textId="77777777" w:rsidR="00E45705" w:rsidRPr="001B09E6" w:rsidRDefault="00E45705" w:rsidP="00E45705">
            <w:pPr>
              <w:pStyle w:val="TableCellText"/>
              <w:spacing w:before="0" w:after="0"/>
              <w:ind w:left="0" w:right="0"/>
              <w:jc w:val="center"/>
              <w:rPr>
                <w:lang w:eastAsia="en-AU"/>
              </w:rPr>
            </w:pPr>
            <w:r w:rsidRPr="001B09E6">
              <w:rPr>
                <w:lang w:eastAsia="en-AU"/>
              </w:rPr>
              <w:t>1.2</w:t>
            </w:r>
          </w:p>
        </w:tc>
        <w:tc>
          <w:tcPr>
            <w:tcW w:w="439" w:type="pct"/>
            <w:tcBorders>
              <w:top w:val="nil"/>
              <w:left w:val="nil"/>
              <w:bottom w:val="nil"/>
              <w:right w:val="nil"/>
            </w:tcBorders>
            <w:shd w:val="clear" w:color="auto" w:fill="auto"/>
            <w:noWrap/>
            <w:hideMark/>
          </w:tcPr>
          <w:p w14:paraId="5CD9ADE6"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c>
          <w:tcPr>
            <w:tcW w:w="439" w:type="pct"/>
            <w:tcBorders>
              <w:top w:val="nil"/>
              <w:left w:val="nil"/>
              <w:bottom w:val="nil"/>
              <w:right w:val="nil"/>
            </w:tcBorders>
            <w:shd w:val="clear" w:color="auto" w:fill="auto"/>
            <w:noWrap/>
            <w:hideMark/>
          </w:tcPr>
          <w:p w14:paraId="25F13C87"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c>
          <w:tcPr>
            <w:tcW w:w="439" w:type="pct"/>
            <w:tcBorders>
              <w:top w:val="nil"/>
              <w:left w:val="nil"/>
              <w:bottom w:val="nil"/>
              <w:right w:val="nil"/>
            </w:tcBorders>
            <w:shd w:val="clear" w:color="auto" w:fill="auto"/>
            <w:noWrap/>
            <w:hideMark/>
          </w:tcPr>
          <w:p w14:paraId="32ABD711"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c>
          <w:tcPr>
            <w:tcW w:w="439" w:type="pct"/>
            <w:tcBorders>
              <w:top w:val="nil"/>
              <w:left w:val="nil"/>
              <w:bottom w:val="nil"/>
              <w:right w:val="nil"/>
            </w:tcBorders>
            <w:shd w:val="clear" w:color="auto" w:fill="auto"/>
            <w:noWrap/>
            <w:hideMark/>
          </w:tcPr>
          <w:p w14:paraId="056680B8" w14:textId="77777777" w:rsidR="00E45705" w:rsidRPr="001B09E6" w:rsidRDefault="00E45705" w:rsidP="00E45705">
            <w:pPr>
              <w:pStyle w:val="TableCellText"/>
              <w:spacing w:before="0" w:after="0"/>
              <w:ind w:left="0" w:right="0"/>
              <w:jc w:val="center"/>
              <w:rPr>
                <w:lang w:eastAsia="en-AU"/>
              </w:rPr>
            </w:pPr>
            <w:r w:rsidRPr="001B09E6">
              <w:rPr>
                <w:lang w:eastAsia="en-AU"/>
              </w:rPr>
              <w:t>1.2</w:t>
            </w:r>
          </w:p>
        </w:tc>
        <w:tc>
          <w:tcPr>
            <w:tcW w:w="439" w:type="pct"/>
            <w:tcBorders>
              <w:top w:val="nil"/>
              <w:left w:val="nil"/>
              <w:bottom w:val="nil"/>
              <w:right w:val="nil"/>
            </w:tcBorders>
            <w:shd w:val="clear" w:color="auto" w:fill="auto"/>
            <w:noWrap/>
            <w:hideMark/>
          </w:tcPr>
          <w:p w14:paraId="4864C8A4"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c>
          <w:tcPr>
            <w:tcW w:w="439" w:type="pct"/>
            <w:tcBorders>
              <w:top w:val="nil"/>
              <w:left w:val="nil"/>
              <w:bottom w:val="nil"/>
              <w:right w:val="nil"/>
            </w:tcBorders>
            <w:shd w:val="clear" w:color="auto" w:fill="auto"/>
            <w:noWrap/>
            <w:hideMark/>
          </w:tcPr>
          <w:p w14:paraId="5D722573"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c>
          <w:tcPr>
            <w:tcW w:w="439" w:type="pct"/>
            <w:tcBorders>
              <w:top w:val="nil"/>
              <w:left w:val="nil"/>
              <w:bottom w:val="nil"/>
              <w:right w:val="nil"/>
            </w:tcBorders>
            <w:shd w:val="clear" w:color="auto" w:fill="auto"/>
            <w:noWrap/>
            <w:vAlign w:val="bottom"/>
            <w:hideMark/>
          </w:tcPr>
          <w:p w14:paraId="7F139FDD" w14:textId="77777777" w:rsidR="00E45705" w:rsidRPr="001B09E6" w:rsidRDefault="00E45705" w:rsidP="00E45705">
            <w:pPr>
              <w:pStyle w:val="TableCellText"/>
              <w:spacing w:before="0" w:after="0"/>
              <w:ind w:left="0" w:right="0"/>
              <w:jc w:val="center"/>
              <w:rPr>
                <w:rFonts w:ascii="Arial" w:hAnsi="Arial" w:cs="Arial"/>
                <w:color w:val="000000"/>
                <w:sz w:val="16"/>
                <w:szCs w:val="16"/>
              </w:rPr>
            </w:pPr>
            <w:r w:rsidRPr="001B09E6">
              <w:rPr>
                <w:rFonts w:ascii="Arial" w:hAnsi="Arial" w:cs="Arial"/>
                <w:color w:val="000000"/>
                <w:sz w:val="16"/>
                <w:szCs w:val="16"/>
              </w:rPr>
              <w:t>1.3</w:t>
            </w:r>
          </w:p>
        </w:tc>
      </w:tr>
      <w:tr w:rsidR="00E45705" w:rsidRPr="001B09E6" w14:paraId="4C835696" w14:textId="77777777" w:rsidTr="00E45705">
        <w:trPr>
          <w:trHeight w:val="300"/>
        </w:trPr>
        <w:tc>
          <w:tcPr>
            <w:tcW w:w="608" w:type="pct"/>
            <w:tcBorders>
              <w:top w:val="nil"/>
              <w:left w:val="nil"/>
              <w:bottom w:val="single" w:sz="4" w:space="0" w:color="auto"/>
              <w:right w:val="nil"/>
            </w:tcBorders>
            <w:shd w:val="clear" w:color="auto" w:fill="auto"/>
            <w:noWrap/>
            <w:hideMark/>
          </w:tcPr>
          <w:p w14:paraId="371F4A28" w14:textId="77777777" w:rsidR="00E45705" w:rsidRPr="001B09E6" w:rsidRDefault="00E45705" w:rsidP="00E45705">
            <w:pPr>
              <w:pStyle w:val="TableCellText"/>
              <w:spacing w:before="0" w:after="0"/>
              <w:ind w:left="0" w:right="0"/>
              <w:rPr>
                <w:lang w:eastAsia="en-AU"/>
              </w:rPr>
            </w:pPr>
            <w:r w:rsidRPr="001B09E6">
              <w:rPr>
                <w:lang w:eastAsia="en-AU"/>
              </w:rPr>
              <w:t>Very remote</w:t>
            </w:r>
          </w:p>
        </w:tc>
        <w:tc>
          <w:tcPr>
            <w:tcW w:w="439" w:type="pct"/>
            <w:tcBorders>
              <w:top w:val="nil"/>
              <w:left w:val="nil"/>
              <w:bottom w:val="single" w:sz="4" w:space="0" w:color="auto"/>
              <w:right w:val="nil"/>
            </w:tcBorders>
            <w:shd w:val="clear" w:color="auto" w:fill="auto"/>
            <w:noWrap/>
            <w:hideMark/>
          </w:tcPr>
          <w:p w14:paraId="466CC0E4" w14:textId="77777777" w:rsidR="00E45705" w:rsidRPr="001B09E6" w:rsidRDefault="00E45705" w:rsidP="00E45705">
            <w:pPr>
              <w:pStyle w:val="TableCellText"/>
              <w:spacing w:before="0" w:after="0"/>
              <w:ind w:left="0" w:right="0"/>
              <w:jc w:val="center"/>
              <w:rPr>
                <w:lang w:eastAsia="en-AU"/>
              </w:rPr>
            </w:pPr>
            <w:r w:rsidRPr="001B09E6">
              <w:rPr>
                <w:lang w:eastAsia="en-AU"/>
              </w:rPr>
              <w:t>2.1</w:t>
            </w:r>
          </w:p>
        </w:tc>
        <w:tc>
          <w:tcPr>
            <w:tcW w:w="439" w:type="pct"/>
            <w:tcBorders>
              <w:top w:val="nil"/>
              <w:left w:val="nil"/>
              <w:bottom w:val="single" w:sz="4" w:space="0" w:color="auto"/>
              <w:right w:val="nil"/>
            </w:tcBorders>
            <w:shd w:val="clear" w:color="auto" w:fill="auto"/>
            <w:noWrap/>
            <w:hideMark/>
          </w:tcPr>
          <w:p w14:paraId="5530B4EE" w14:textId="77777777" w:rsidR="00E45705" w:rsidRPr="001B09E6" w:rsidRDefault="00E45705" w:rsidP="00E45705">
            <w:pPr>
              <w:pStyle w:val="TableCellText"/>
              <w:spacing w:before="0" w:after="0"/>
              <w:ind w:left="0" w:right="0"/>
              <w:jc w:val="center"/>
              <w:rPr>
                <w:lang w:eastAsia="en-AU"/>
              </w:rPr>
            </w:pPr>
            <w:r w:rsidRPr="001B09E6">
              <w:rPr>
                <w:lang w:eastAsia="en-AU"/>
              </w:rPr>
              <w:t>1.8</w:t>
            </w:r>
          </w:p>
        </w:tc>
        <w:tc>
          <w:tcPr>
            <w:tcW w:w="439" w:type="pct"/>
            <w:tcBorders>
              <w:top w:val="nil"/>
              <w:left w:val="nil"/>
              <w:bottom w:val="single" w:sz="4" w:space="0" w:color="auto"/>
              <w:right w:val="nil"/>
            </w:tcBorders>
            <w:shd w:val="clear" w:color="auto" w:fill="auto"/>
            <w:noWrap/>
            <w:hideMark/>
          </w:tcPr>
          <w:p w14:paraId="489A00F3" w14:textId="77777777" w:rsidR="00E45705" w:rsidRPr="001B09E6" w:rsidRDefault="00E45705" w:rsidP="00E45705">
            <w:pPr>
              <w:pStyle w:val="TableCellText"/>
              <w:spacing w:before="0" w:after="0"/>
              <w:ind w:left="0" w:right="0"/>
              <w:jc w:val="center"/>
              <w:rPr>
                <w:lang w:eastAsia="en-AU"/>
              </w:rPr>
            </w:pPr>
            <w:r w:rsidRPr="001B09E6">
              <w:rPr>
                <w:lang w:eastAsia="en-AU"/>
              </w:rPr>
              <w:t>1.6</w:t>
            </w:r>
          </w:p>
        </w:tc>
        <w:tc>
          <w:tcPr>
            <w:tcW w:w="439" w:type="pct"/>
            <w:tcBorders>
              <w:top w:val="nil"/>
              <w:left w:val="nil"/>
              <w:bottom w:val="single" w:sz="4" w:space="0" w:color="auto"/>
              <w:right w:val="nil"/>
            </w:tcBorders>
            <w:shd w:val="clear" w:color="auto" w:fill="auto"/>
            <w:noWrap/>
            <w:hideMark/>
          </w:tcPr>
          <w:p w14:paraId="57235918" w14:textId="77777777" w:rsidR="00E45705" w:rsidRPr="001B09E6" w:rsidRDefault="00E45705" w:rsidP="00E45705">
            <w:pPr>
              <w:pStyle w:val="TableCellText"/>
              <w:spacing w:before="0" w:after="0"/>
              <w:ind w:left="0" w:right="0"/>
              <w:jc w:val="center"/>
              <w:rPr>
                <w:lang w:eastAsia="en-AU"/>
              </w:rPr>
            </w:pPr>
            <w:r w:rsidRPr="001B09E6">
              <w:rPr>
                <w:lang w:eastAsia="en-AU"/>
              </w:rPr>
              <w:t>1.9</w:t>
            </w:r>
          </w:p>
        </w:tc>
        <w:tc>
          <w:tcPr>
            <w:tcW w:w="439" w:type="pct"/>
            <w:tcBorders>
              <w:top w:val="nil"/>
              <w:left w:val="nil"/>
              <w:bottom w:val="single" w:sz="4" w:space="0" w:color="auto"/>
              <w:right w:val="nil"/>
            </w:tcBorders>
            <w:shd w:val="clear" w:color="auto" w:fill="auto"/>
            <w:noWrap/>
            <w:hideMark/>
          </w:tcPr>
          <w:p w14:paraId="021DE05D" w14:textId="77777777" w:rsidR="00E45705" w:rsidRPr="001B09E6" w:rsidRDefault="00E45705" w:rsidP="00E45705">
            <w:pPr>
              <w:pStyle w:val="TableCellText"/>
              <w:spacing w:before="0" w:after="0"/>
              <w:ind w:left="0" w:right="0"/>
              <w:jc w:val="center"/>
              <w:rPr>
                <w:lang w:eastAsia="en-AU"/>
              </w:rPr>
            </w:pPr>
            <w:r w:rsidRPr="001B09E6">
              <w:rPr>
                <w:lang w:eastAsia="en-AU"/>
              </w:rPr>
              <w:t>2.0</w:t>
            </w:r>
          </w:p>
        </w:tc>
        <w:tc>
          <w:tcPr>
            <w:tcW w:w="439" w:type="pct"/>
            <w:tcBorders>
              <w:top w:val="nil"/>
              <w:left w:val="nil"/>
              <w:bottom w:val="single" w:sz="4" w:space="0" w:color="auto"/>
              <w:right w:val="nil"/>
            </w:tcBorders>
            <w:shd w:val="clear" w:color="auto" w:fill="auto"/>
            <w:noWrap/>
            <w:hideMark/>
          </w:tcPr>
          <w:p w14:paraId="4F34FFD0" w14:textId="77777777" w:rsidR="00E45705" w:rsidRPr="001B09E6" w:rsidRDefault="00E45705" w:rsidP="00E45705">
            <w:pPr>
              <w:pStyle w:val="TableCellText"/>
              <w:spacing w:before="0" w:after="0"/>
              <w:ind w:left="0" w:right="0"/>
              <w:jc w:val="center"/>
              <w:rPr>
                <w:lang w:eastAsia="en-AU"/>
              </w:rPr>
            </w:pPr>
            <w:r w:rsidRPr="001B09E6">
              <w:rPr>
                <w:lang w:eastAsia="en-AU"/>
              </w:rPr>
              <w:t>1.9</w:t>
            </w:r>
          </w:p>
        </w:tc>
        <w:tc>
          <w:tcPr>
            <w:tcW w:w="439" w:type="pct"/>
            <w:tcBorders>
              <w:top w:val="nil"/>
              <w:left w:val="nil"/>
              <w:bottom w:val="single" w:sz="4" w:space="0" w:color="auto"/>
              <w:right w:val="nil"/>
            </w:tcBorders>
            <w:shd w:val="clear" w:color="auto" w:fill="auto"/>
            <w:noWrap/>
            <w:hideMark/>
          </w:tcPr>
          <w:p w14:paraId="3F46B8F7" w14:textId="77777777" w:rsidR="00E45705" w:rsidRPr="001B09E6" w:rsidRDefault="00E45705" w:rsidP="00E45705">
            <w:pPr>
              <w:pStyle w:val="TableCellText"/>
              <w:spacing w:before="0" w:after="0"/>
              <w:ind w:left="0" w:right="0"/>
              <w:jc w:val="center"/>
              <w:rPr>
                <w:lang w:eastAsia="en-AU"/>
              </w:rPr>
            </w:pPr>
            <w:r w:rsidRPr="001B09E6">
              <w:rPr>
                <w:lang w:eastAsia="en-AU"/>
              </w:rPr>
              <w:t>2.0</w:t>
            </w:r>
          </w:p>
        </w:tc>
        <w:tc>
          <w:tcPr>
            <w:tcW w:w="439" w:type="pct"/>
            <w:tcBorders>
              <w:top w:val="nil"/>
              <w:left w:val="nil"/>
              <w:bottom w:val="single" w:sz="4" w:space="0" w:color="auto"/>
              <w:right w:val="nil"/>
            </w:tcBorders>
            <w:shd w:val="clear" w:color="auto" w:fill="auto"/>
            <w:noWrap/>
            <w:hideMark/>
          </w:tcPr>
          <w:p w14:paraId="1732A384" w14:textId="77777777" w:rsidR="00E45705" w:rsidRPr="001B09E6" w:rsidRDefault="00E45705" w:rsidP="00E45705">
            <w:pPr>
              <w:pStyle w:val="TableCellText"/>
              <w:spacing w:before="0" w:after="0"/>
              <w:ind w:left="0" w:right="0"/>
              <w:jc w:val="center"/>
              <w:rPr>
                <w:lang w:eastAsia="en-AU"/>
              </w:rPr>
            </w:pPr>
            <w:r w:rsidRPr="001B09E6">
              <w:rPr>
                <w:lang w:eastAsia="en-AU"/>
              </w:rPr>
              <w:t>1.9</w:t>
            </w:r>
          </w:p>
        </w:tc>
        <w:tc>
          <w:tcPr>
            <w:tcW w:w="439" w:type="pct"/>
            <w:tcBorders>
              <w:top w:val="nil"/>
              <w:left w:val="nil"/>
              <w:bottom w:val="single" w:sz="4" w:space="0" w:color="auto"/>
              <w:right w:val="nil"/>
            </w:tcBorders>
            <w:shd w:val="clear" w:color="auto" w:fill="auto"/>
            <w:noWrap/>
            <w:hideMark/>
          </w:tcPr>
          <w:p w14:paraId="0CB7B2E2" w14:textId="77777777" w:rsidR="00E45705" w:rsidRPr="001B09E6" w:rsidRDefault="00E45705" w:rsidP="00E45705">
            <w:pPr>
              <w:pStyle w:val="TableCellText"/>
              <w:spacing w:before="0" w:after="0"/>
              <w:ind w:left="0" w:right="0"/>
              <w:jc w:val="center"/>
              <w:rPr>
                <w:lang w:eastAsia="en-AU"/>
              </w:rPr>
            </w:pPr>
            <w:r w:rsidRPr="001B09E6">
              <w:rPr>
                <w:lang w:eastAsia="en-AU"/>
              </w:rPr>
              <w:t>1.8</w:t>
            </w:r>
          </w:p>
        </w:tc>
        <w:tc>
          <w:tcPr>
            <w:tcW w:w="439" w:type="pct"/>
            <w:tcBorders>
              <w:top w:val="nil"/>
              <w:left w:val="nil"/>
              <w:bottom w:val="single" w:sz="4" w:space="0" w:color="auto"/>
              <w:right w:val="nil"/>
            </w:tcBorders>
            <w:shd w:val="clear" w:color="auto" w:fill="auto"/>
            <w:noWrap/>
            <w:vAlign w:val="bottom"/>
            <w:hideMark/>
          </w:tcPr>
          <w:p w14:paraId="7E5636DA" w14:textId="77777777" w:rsidR="00E45705" w:rsidRPr="001B09E6" w:rsidRDefault="00E45705" w:rsidP="00E45705">
            <w:pPr>
              <w:pStyle w:val="TableCellText"/>
              <w:spacing w:before="0" w:after="0"/>
              <w:ind w:left="0" w:right="0"/>
              <w:jc w:val="center"/>
              <w:rPr>
                <w:rFonts w:ascii="Arial" w:hAnsi="Arial" w:cs="Arial"/>
                <w:color w:val="000000"/>
                <w:sz w:val="16"/>
                <w:szCs w:val="16"/>
              </w:rPr>
            </w:pPr>
            <w:r w:rsidRPr="001B09E6">
              <w:rPr>
                <w:rFonts w:ascii="Arial" w:hAnsi="Arial" w:cs="Arial"/>
                <w:color w:val="000000"/>
                <w:sz w:val="16"/>
                <w:szCs w:val="16"/>
              </w:rPr>
              <w:t>1.9</w:t>
            </w:r>
          </w:p>
        </w:tc>
      </w:tr>
    </w:tbl>
    <w:p w14:paraId="659D890A" w14:textId="77777777" w:rsidR="00E45705" w:rsidRPr="001B09E6" w:rsidRDefault="00E45705" w:rsidP="00E45705">
      <w:pPr>
        <w:pStyle w:val="Tablenote"/>
      </w:pPr>
      <w:r w:rsidRPr="001B09E6">
        <w:t>Note: Population not available by both remoteness region and age, so numbers are expressed as a percentage of the total population for that remoteness region</w:t>
      </w:r>
    </w:p>
    <w:p w14:paraId="679F2896" w14:textId="77777777" w:rsidR="00E45705" w:rsidRPr="001B09E6" w:rsidRDefault="00E45705" w:rsidP="00E45705">
      <w:pPr>
        <w:pStyle w:val="Tablenote"/>
      </w:pPr>
      <w:r w:rsidRPr="001B09E6">
        <w:t>Source:  National VET provider collection, ABS Regional Population Growth, Australia 3218.0</w:t>
      </w:r>
    </w:p>
    <w:p w14:paraId="5FE4E82B" w14:textId="77777777" w:rsidR="00E45705" w:rsidRPr="001B09E6" w:rsidRDefault="00E45705" w:rsidP="00E45705">
      <w:pPr>
        <w:pStyle w:val="TableHeading"/>
        <w:spacing w:before="112"/>
        <w:ind w:left="0" w:firstLine="0"/>
      </w:pPr>
      <w:r w:rsidRPr="001B09E6">
        <w:t>PERSONS AGED 20-24 YEARS ENROLLED IN VET AS A PROPORTION OF THE RESIDENT POPULATION BY STUDENT REMOTENESS (ARIA+) REGION, 202-2011, EXCLUDING THOSE ATTENDING SCHOOL AND THOSE WHO HAVE COMPLETED YEAR 12 (%)</w:t>
      </w:r>
    </w:p>
    <w:tbl>
      <w:tblPr>
        <w:tblW w:w="5000" w:type="pct"/>
        <w:tblLook w:val="04A0" w:firstRow="1" w:lastRow="0" w:firstColumn="1" w:lastColumn="0" w:noHBand="0" w:noVBand="1"/>
        <w:tblCaption w:val="PERSONS AGED 20-24 YEARS ENROLLED IN VET AS A PROPORTION OF THE RESIDENT POPULATION BY STUDENT REMOTENESS (ARIA+) REGION, 202-2011, EXCLUDING THOSE ATTENDING SCHOOL AND THOSE WHO HAVE COMPLETED YEAR 12 (%) "/>
        <w:tblDescription w:val="PERSONS AGED 20-24 YEARS ENROLLED IN VET AS A PROPORTION OF THE RESIDENT POPULATION BY STUDENT REMOTENESS (ARIA+) REGION, 202-2011, EXCLUDING THOSE ATTENDING SCHOOL AND THOSE WHO HAVE COMPLETED YEAR 12 (%)&#10;"/>
      </w:tblPr>
      <w:tblGrid>
        <w:gridCol w:w="1778"/>
        <w:gridCol w:w="1284"/>
        <w:gridCol w:w="1284"/>
        <w:gridCol w:w="1284"/>
        <w:gridCol w:w="1284"/>
        <w:gridCol w:w="1284"/>
        <w:gridCol w:w="1284"/>
        <w:gridCol w:w="1284"/>
        <w:gridCol w:w="1284"/>
        <w:gridCol w:w="1283"/>
        <w:gridCol w:w="1283"/>
      </w:tblGrid>
      <w:tr w:rsidR="00E45705" w:rsidRPr="001B09E6" w14:paraId="1C044A4A" w14:textId="77777777" w:rsidTr="00E45705">
        <w:trPr>
          <w:trHeight w:val="300"/>
        </w:trPr>
        <w:tc>
          <w:tcPr>
            <w:tcW w:w="608" w:type="pct"/>
            <w:tcBorders>
              <w:top w:val="single" w:sz="4" w:space="0" w:color="auto"/>
              <w:left w:val="nil"/>
              <w:bottom w:val="single" w:sz="4" w:space="0" w:color="auto"/>
            </w:tcBorders>
            <w:shd w:val="clear" w:color="auto" w:fill="auto"/>
            <w:noWrap/>
            <w:hideMark/>
          </w:tcPr>
          <w:p w14:paraId="6BABA61D" w14:textId="77777777" w:rsidR="00E45705" w:rsidRPr="001B09E6" w:rsidRDefault="00E45705" w:rsidP="00E45705">
            <w:pPr>
              <w:pStyle w:val="TableColumnHeading"/>
              <w:spacing w:before="0" w:after="0"/>
              <w:ind w:left="0" w:right="0"/>
              <w:jc w:val="center"/>
            </w:pPr>
          </w:p>
        </w:tc>
        <w:tc>
          <w:tcPr>
            <w:tcW w:w="439" w:type="pct"/>
            <w:tcBorders>
              <w:top w:val="single" w:sz="4" w:space="0" w:color="auto"/>
              <w:bottom w:val="single" w:sz="4" w:space="0" w:color="auto"/>
            </w:tcBorders>
            <w:shd w:val="clear" w:color="auto" w:fill="auto"/>
            <w:noWrap/>
            <w:hideMark/>
          </w:tcPr>
          <w:p w14:paraId="3310A757" w14:textId="77777777" w:rsidR="00E45705" w:rsidRPr="001B09E6" w:rsidRDefault="00E45705" w:rsidP="00E45705">
            <w:pPr>
              <w:pStyle w:val="TableColumnHeading"/>
              <w:spacing w:before="0" w:after="0"/>
              <w:ind w:left="0" w:right="0"/>
              <w:jc w:val="center"/>
            </w:pPr>
            <w:r w:rsidRPr="001B09E6">
              <w:t>2002</w:t>
            </w:r>
          </w:p>
        </w:tc>
        <w:tc>
          <w:tcPr>
            <w:tcW w:w="439" w:type="pct"/>
            <w:tcBorders>
              <w:top w:val="single" w:sz="4" w:space="0" w:color="auto"/>
              <w:bottom w:val="single" w:sz="4" w:space="0" w:color="auto"/>
            </w:tcBorders>
            <w:shd w:val="clear" w:color="auto" w:fill="auto"/>
            <w:noWrap/>
            <w:hideMark/>
          </w:tcPr>
          <w:p w14:paraId="20F07160" w14:textId="77777777" w:rsidR="00E45705" w:rsidRPr="001B09E6" w:rsidRDefault="00E45705" w:rsidP="00E45705">
            <w:pPr>
              <w:pStyle w:val="TableColumnHeading"/>
              <w:spacing w:before="0" w:after="0"/>
              <w:ind w:left="0" w:right="0"/>
              <w:jc w:val="center"/>
            </w:pPr>
            <w:r w:rsidRPr="001B09E6">
              <w:t>2003</w:t>
            </w:r>
          </w:p>
        </w:tc>
        <w:tc>
          <w:tcPr>
            <w:tcW w:w="439" w:type="pct"/>
            <w:tcBorders>
              <w:top w:val="single" w:sz="4" w:space="0" w:color="auto"/>
              <w:bottom w:val="single" w:sz="4" w:space="0" w:color="auto"/>
            </w:tcBorders>
            <w:shd w:val="clear" w:color="auto" w:fill="auto"/>
            <w:noWrap/>
            <w:hideMark/>
          </w:tcPr>
          <w:p w14:paraId="433A2F44" w14:textId="77777777" w:rsidR="00E45705" w:rsidRPr="001B09E6" w:rsidRDefault="00E45705" w:rsidP="00E45705">
            <w:pPr>
              <w:pStyle w:val="TableColumnHeading"/>
              <w:spacing w:before="0" w:after="0"/>
              <w:ind w:left="0" w:right="0"/>
              <w:jc w:val="center"/>
            </w:pPr>
            <w:r w:rsidRPr="001B09E6">
              <w:t>2004</w:t>
            </w:r>
          </w:p>
        </w:tc>
        <w:tc>
          <w:tcPr>
            <w:tcW w:w="439" w:type="pct"/>
            <w:tcBorders>
              <w:top w:val="single" w:sz="4" w:space="0" w:color="auto"/>
              <w:bottom w:val="single" w:sz="4" w:space="0" w:color="auto"/>
            </w:tcBorders>
            <w:shd w:val="clear" w:color="auto" w:fill="auto"/>
            <w:noWrap/>
            <w:hideMark/>
          </w:tcPr>
          <w:p w14:paraId="2A3410CE" w14:textId="77777777" w:rsidR="00E45705" w:rsidRPr="001B09E6" w:rsidRDefault="00E45705" w:rsidP="00E45705">
            <w:pPr>
              <w:pStyle w:val="TableColumnHeading"/>
              <w:spacing w:before="0" w:after="0"/>
              <w:ind w:left="0" w:right="0"/>
              <w:jc w:val="center"/>
            </w:pPr>
            <w:r w:rsidRPr="001B09E6">
              <w:t>2005</w:t>
            </w:r>
          </w:p>
        </w:tc>
        <w:tc>
          <w:tcPr>
            <w:tcW w:w="439" w:type="pct"/>
            <w:tcBorders>
              <w:top w:val="single" w:sz="4" w:space="0" w:color="auto"/>
              <w:bottom w:val="single" w:sz="4" w:space="0" w:color="auto"/>
            </w:tcBorders>
            <w:shd w:val="clear" w:color="auto" w:fill="auto"/>
            <w:noWrap/>
            <w:hideMark/>
          </w:tcPr>
          <w:p w14:paraId="2A758528" w14:textId="77777777" w:rsidR="00E45705" w:rsidRPr="001B09E6" w:rsidRDefault="00E45705" w:rsidP="00E45705">
            <w:pPr>
              <w:pStyle w:val="TableColumnHeading"/>
              <w:spacing w:before="0" w:after="0"/>
              <w:ind w:left="0" w:right="0"/>
              <w:jc w:val="center"/>
            </w:pPr>
            <w:r w:rsidRPr="001B09E6">
              <w:t>2006</w:t>
            </w:r>
          </w:p>
        </w:tc>
        <w:tc>
          <w:tcPr>
            <w:tcW w:w="439" w:type="pct"/>
            <w:tcBorders>
              <w:top w:val="single" w:sz="4" w:space="0" w:color="auto"/>
              <w:bottom w:val="single" w:sz="4" w:space="0" w:color="auto"/>
            </w:tcBorders>
            <w:shd w:val="clear" w:color="auto" w:fill="auto"/>
            <w:noWrap/>
            <w:hideMark/>
          </w:tcPr>
          <w:p w14:paraId="79820C98" w14:textId="77777777" w:rsidR="00E45705" w:rsidRPr="001B09E6" w:rsidRDefault="00E45705" w:rsidP="00E45705">
            <w:pPr>
              <w:pStyle w:val="TableColumnHeading"/>
              <w:spacing w:before="0" w:after="0"/>
              <w:ind w:left="0" w:right="0"/>
              <w:jc w:val="center"/>
            </w:pPr>
            <w:r w:rsidRPr="001B09E6">
              <w:t>2007</w:t>
            </w:r>
          </w:p>
        </w:tc>
        <w:tc>
          <w:tcPr>
            <w:tcW w:w="439" w:type="pct"/>
            <w:tcBorders>
              <w:top w:val="single" w:sz="4" w:space="0" w:color="auto"/>
              <w:bottom w:val="single" w:sz="4" w:space="0" w:color="auto"/>
            </w:tcBorders>
            <w:shd w:val="clear" w:color="auto" w:fill="auto"/>
            <w:noWrap/>
            <w:hideMark/>
          </w:tcPr>
          <w:p w14:paraId="0D2A24D9" w14:textId="77777777" w:rsidR="00E45705" w:rsidRPr="001B09E6" w:rsidRDefault="00E45705" w:rsidP="00E45705">
            <w:pPr>
              <w:pStyle w:val="TableColumnHeading"/>
              <w:spacing w:before="0" w:after="0"/>
              <w:ind w:left="0" w:right="0"/>
              <w:jc w:val="center"/>
            </w:pPr>
            <w:r w:rsidRPr="001B09E6">
              <w:t>2008</w:t>
            </w:r>
          </w:p>
        </w:tc>
        <w:tc>
          <w:tcPr>
            <w:tcW w:w="439" w:type="pct"/>
            <w:tcBorders>
              <w:top w:val="single" w:sz="4" w:space="0" w:color="auto"/>
              <w:bottom w:val="single" w:sz="4" w:space="0" w:color="auto"/>
            </w:tcBorders>
            <w:shd w:val="clear" w:color="auto" w:fill="auto"/>
            <w:noWrap/>
            <w:hideMark/>
          </w:tcPr>
          <w:p w14:paraId="24D4559A" w14:textId="77777777" w:rsidR="00E45705" w:rsidRPr="001B09E6" w:rsidRDefault="00E45705" w:rsidP="00E45705">
            <w:pPr>
              <w:pStyle w:val="TableColumnHeading"/>
              <w:spacing w:before="0" w:after="0"/>
              <w:ind w:left="0" w:right="0"/>
              <w:jc w:val="center"/>
            </w:pPr>
            <w:r w:rsidRPr="001B09E6">
              <w:t>2009</w:t>
            </w:r>
          </w:p>
        </w:tc>
        <w:tc>
          <w:tcPr>
            <w:tcW w:w="439" w:type="pct"/>
            <w:tcBorders>
              <w:top w:val="single" w:sz="4" w:space="0" w:color="auto"/>
              <w:bottom w:val="single" w:sz="4" w:space="0" w:color="auto"/>
            </w:tcBorders>
            <w:shd w:val="clear" w:color="auto" w:fill="auto"/>
            <w:noWrap/>
            <w:hideMark/>
          </w:tcPr>
          <w:p w14:paraId="00E4B457" w14:textId="77777777" w:rsidR="00E45705" w:rsidRPr="001B09E6" w:rsidRDefault="00E45705" w:rsidP="00E45705">
            <w:pPr>
              <w:pStyle w:val="TableColumnHeading"/>
              <w:spacing w:before="0" w:after="0"/>
              <w:ind w:left="0" w:right="0"/>
              <w:jc w:val="center"/>
            </w:pPr>
            <w:r w:rsidRPr="001B09E6">
              <w:t>2010</w:t>
            </w:r>
          </w:p>
        </w:tc>
        <w:tc>
          <w:tcPr>
            <w:tcW w:w="439" w:type="pct"/>
            <w:tcBorders>
              <w:top w:val="single" w:sz="4" w:space="0" w:color="auto"/>
              <w:bottom w:val="single" w:sz="4" w:space="0" w:color="auto"/>
              <w:right w:val="nil"/>
            </w:tcBorders>
            <w:shd w:val="clear" w:color="auto" w:fill="auto"/>
            <w:noWrap/>
            <w:hideMark/>
          </w:tcPr>
          <w:p w14:paraId="60E71457" w14:textId="77777777" w:rsidR="00E45705" w:rsidRPr="001B09E6" w:rsidRDefault="00E45705" w:rsidP="00E45705">
            <w:pPr>
              <w:pStyle w:val="TableColumnHeading"/>
              <w:spacing w:before="0" w:after="0"/>
              <w:ind w:left="0" w:right="0"/>
              <w:jc w:val="center"/>
            </w:pPr>
            <w:r w:rsidRPr="001B09E6">
              <w:t>2011</w:t>
            </w:r>
          </w:p>
        </w:tc>
      </w:tr>
      <w:tr w:rsidR="00E45705" w:rsidRPr="001B09E6" w14:paraId="7BED658E" w14:textId="77777777" w:rsidTr="00E45705">
        <w:trPr>
          <w:trHeight w:val="300"/>
        </w:trPr>
        <w:tc>
          <w:tcPr>
            <w:tcW w:w="608" w:type="pct"/>
            <w:tcBorders>
              <w:top w:val="single" w:sz="4" w:space="0" w:color="auto"/>
              <w:left w:val="nil"/>
              <w:bottom w:val="nil"/>
              <w:right w:val="nil"/>
            </w:tcBorders>
            <w:shd w:val="clear" w:color="auto" w:fill="auto"/>
            <w:noWrap/>
            <w:hideMark/>
          </w:tcPr>
          <w:p w14:paraId="6BA2C169" w14:textId="77777777" w:rsidR="00E45705" w:rsidRPr="001B09E6" w:rsidRDefault="00E45705" w:rsidP="00E45705">
            <w:pPr>
              <w:pStyle w:val="TableCellText"/>
              <w:spacing w:before="0" w:after="0"/>
              <w:ind w:left="0" w:right="0"/>
              <w:rPr>
                <w:rFonts w:asciiTheme="minorHAnsi" w:hAnsiTheme="minorHAnsi"/>
                <w:szCs w:val="18"/>
                <w:lang w:eastAsia="en-AU"/>
              </w:rPr>
            </w:pPr>
            <w:r w:rsidRPr="001B09E6">
              <w:rPr>
                <w:rFonts w:asciiTheme="minorHAnsi" w:hAnsiTheme="minorHAnsi"/>
                <w:szCs w:val="18"/>
                <w:lang w:eastAsia="en-AU"/>
              </w:rPr>
              <w:t>Major cities</w:t>
            </w:r>
          </w:p>
        </w:tc>
        <w:tc>
          <w:tcPr>
            <w:tcW w:w="439" w:type="pct"/>
            <w:tcBorders>
              <w:top w:val="single" w:sz="4" w:space="0" w:color="auto"/>
              <w:left w:val="nil"/>
              <w:bottom w:val="nil"/>
              <w:right w:val="nil"/>
            </w:tcBorders>
            <w:shd w:val="clear" w:color="auto" w:fill="auto"/>
            <w:noWrap/>
            <w:hideMark/>
          </w:tcPr>
          <w:p w14:paraId="5DE2D2C0" w14:textId="77777777" w:rsidR="00E45705" w:rsidRPr="001B09E6" w:rsidRDefault="00E45705" w:rsidP="00E45705">
            <w:pPr>
              <w:pStyle w:val="TableCellText"/>
              <w:spacing w:before="0" w:after="0"/>
              <w:ind w:left="0" w:right="0"/>
              <w:jc w:val="center"/>
              <w:rPr>
                <w:lang w:eastAsia="en-AU"/>
              </w:rPr>
            </w:pPr>
            <w:r w:rsidRPr="001B09E6">
              <w:rPr>
                <w:lang w:eastAsia="en-AU"/>
              </w:rPr>
              <w:t>0.5</w:t>
            </w:r>
          </w:p>
        </w:tc>
        <w:tc>
          <w:tcPr>
            <w:tcW w:w="439" w:type="pct"/>
            <w:tcBorders>
              <w:top w:val="single" w:sz="4" w:space="0" w:color="auto"/>
              <w:left w:val="nil"/>
              <w:bottom w:val="nil"/>
              <w:right w:val="nil"/>
            </w:tcBorders>
            <w:shd w:val="clear" w:color="auto" w:fill="auto"/>
            <w:noWrap/>
            <w:hideMark/>
          </w:tcPr>
          <w:p w14:paraId="61BC0875" w14:textId="77777777" w:rsidR="00E45705" w:rsidRPr="001B09E6" w:rsidRDefault="00E45705" w:rsidP="00E45705">
            <w:pPr>
              <w:pStyle w:val="TableCellText"/>
              <w:spacing w:before="0" w:after="0"/>
              <w:ind w:left="0" w:right="0"/>
              <w:jc w:val="center"/>
              <w:rPr>
                <w:lang w:eastAsia="en-AU"/>
              </w:rPr>
            </w:pPr>
            <w:r w:rsidRPr="001B09E6">
              <w:rPr>
                <w:lang w:eastAsia="en-AU"/>
              </w:rPr>
              <w:t>0.5</w:t>
            </w:r>
          </w:p>
        </w:tc>
        <w:tc>
          <w:tcPr>
            <w:tcW w:w="439" w:type="pct"/>
            <w:tcBorders>
              <w:top w:val="single" w:sz="4" w:space="0" w:color="auto"/>
              <w:left w:val="nil"/>
              <w:bottom w:val="nil"/>
              <w:right w:val="nil"/>
            </w:tcBorders>
            <w:shd w:val="clear" w:color="auto" w:fill="auto"/>
            <w:noWrap/>
            <w:hideMark/>
          </w:tcPr>
          <w:p w14:paraId="059D6240" w14:textId="77777777" w:rsidR="00E45705" w:rsidRPr="001B09E6" w:rsidRDefault="00E45705" w:rsidP="00E45705">
            <w:pPr>
              <w:pStyle w:val="TableCellText"/>
              <w:spacing w:before="0" w:after="0"/>
              <w:ind w:left="0" w:right="0"/>
              <w:jc w:val="center"/>
              <w:rPr>
                <w:lang w:eastAsia="en-AU"/>
              </w:rPr>
            </w:pPr>
            <w:r w:rsidRPr="001B09E6">
              <w:rPr>
                <w:lang w:eastAsia="en-AU"/>
              </w:rPr>
              <w:t>0.5</w:t>
            </w:r>
          </w:p>
        </w:tc>
        <w:tc>
          <w:tcPr>
            <w:tcW w:w="439" w:type="pct"/>
            <w:tcBorders>
              <w:top w:val="single" w:sz="4" w:space="0" w:color="auto"/>
              <w:left w:val="nil"/>
              <w:bottom w:val="nil"/>
              <w:right w:val="nil"/>
            </w:tcBorders>
            <w:shd w:val="clear" w:color="auto" w:fill="auto"/>
            <w:noWrap/>
            <w:hideMark/>
          </w:tcPr>
          <w:p w14:paraId="01CEDA64" w14:textId="77777777" w:rsidR="00E45705" w:rsidRPr="001B09E6" w:rsidRDefault="00E45705" w:rsidP="00E45705">
            <w:pPr>
              <w:pStyle w:val="TableCellText"/>
              <w:spacing w:before="0" w:after="0"/>
              <w:ind w:left="0" w:right="0"/>
              <w:jc w:val="center"/>
              <w:rPr>
                <w:lang w:eastAsia="en-AU"/>
              </w:rPr>
            </w:pPr>
            <w:r w:rsidRPr="001B09E6">
              <w:rPr>
                <w:lang w:eastAsia="en-AU"/>
              </w:rPr>
              <w:t>0.5</w:t>
            </w:r>
          </w:p>
        </w:tc>
        <w:tc>
          <w:tcPr>
            <w:tcW w:w="439" w:type="pct"/>
            <w:tcBorders>
              <w:top w:val="single" w:sz="4" w:space="0" w:color="auto"/>
              <w:left w:val="nil"/>
              <w:bottom w:val="nil"/>
              <w:right w:val="nil"/>
            </w:tcBorders>
            <w:shd w:val="clear" w:color="auto" w:fill="auto"/>
            <w:noWrap/>
            <w:hideMark/>
          </w:tcPr>
          <w:p w14:paraId="779CD716" w14:textId="77777777" w:rsidR="00E45705" w:rsidRPr="001B09E6" w:rsidRDefault="00E45705" w:rsidP="00E45705">
            <w:pPr>
              <w:pStyle w:val="TableCellText"/>
              <w:spacing w:before="0" w:after="0"/>
              <w:ind w:left="0" w:right="0"/>
              <w:jc w:val="center"/>
              <w:rPr>
                <w:lang w:eastAsia="en-AU"/>
              </w:rPr>
            </w:pPr>
            <w:r w:rsidRPr="001B09E6">
              <w:rPr>
                <w:lang w:eastAsia="en-AU"/>
              </w:rPr>
              <w:t>0.5</w:t>
            </w:r>
          </w:p>
        </w:tc>
        <w:tc>
          <w:tcPr>
            <w:tcW w:w="439" w:type="pct"/>
            <w:tcBorders>
              <w:top w:val="single" w:sz="4" w:space="0" w:color="auto"/>
              <w:left w:val="nil"/>
              <w:bottom w:val="nil"/>
              <w:right w:val="nil"/>
            </w:tcBorders>
            <w:shd w:val="clear" w:color="auto" w:fill="auto"/>
            <w:noWrap/>
            <w:hideMark/>
          </w:tcPr>
          <w:p w14:paraId="56F46001" w14:textId="77777777" w:rsidR="00E45705" w:rsidRPr="001B09E6" w:rsidRDefault="00E45705" w:rsidP="00E45705">
            <w:pPr>
              <w:pStyle w:val="TableCellText"/>
              <w:spacing w:before="0" w:after="0"/>
              <w:ind w:left="0" w:right="0"/>
              <w:jc w:val="center"/>
              <w:rPr>
                <w:lang w:eastAsia="en-AU"/>
              </w:rPr>
            </w:pPr>
            <w:r w:rsidRPr="001B09E6">
              <w:rPr>
                <w:lang w:eastAsia="en-AU"/>
              </w:rPr>
              <w:t>0.4</w:t>
            </w:r>
          </w:p>
        </w:tc>
        <w:tc>
          <w:tcPr>
            <w:tcW w:w="439" w:type="pct"/>
            <w:tcBorders>
              <w:top w:val="single" w:sz="4" w:space="0" w:color="auto"/>
              <w:left w:val="nil"/>
              <w:bottom w:val="nil"/>
              <w:right w:val="nil"/>
            </w:tcBorders>
            <w:shd w:val="clear" w:color="auto" w:fill="auto"/>
            <w:noWrap/>
            <w:hideMark/>
          </w:tcPr>
          <w:p w14:paraId="7813DE40" w14:textId="77777777" w:rsidR="00E45705" w:rsidRPr="001B09E6" w:rsidRDefault="00E45705" w:rsidP="00E45705">
            <w:pPr>
              <w:pStyle w:val="TableCellText"/>
              <w:spacing w:before="0" w:after="0"/>
              <w:ind w:left="0" w:right="0"/>
              <w:jc w:val="center"/>
              <w:rPr>
                <w:lang w:eastAsia="en-AU"/>
              </w:rPr>
            </w:pPr>
            <w:r w:rsidRPr="001B09E6">
              <w:rPr>
                <w:lang w:eastAsia="en-AU"/>
              </w:rPr>
              <w:t>0.4</w:t>
            </w:r>
          </w:p>
        </w:tc>
        <w:tc>
          <w:tcPr>
            <w:tcW w:w="439" w:type="pct"/>
            <w:tcBorders>
              <w:top w:val="single" w:sz="4" w:space="0" w:color="auto"/>
              <w:left w:val="nil"/>
              <w:bottom w:val="nil"/>
              <w:right w:val="nil"/>
            </w:tcBorders>
            <w:shd w:val="clear" w:color="auto" w:fill="auto"/>
            <w:noWrap/>
            <w:hideMark/>
          </w:tcPr>
          <w:p w14:paraId="2D423FED" w14:textId="77777777" w:rsidR="00E45705" w:rsidRPr="001B09E6" w:rsidRDefault="00E45705" w:rsidP="00E45705">
            <w:pPr>
              <w:pStyle w:val="TableCellText"/>
              <w:spacing w:before="0" w:after="0"/>
              <w:ind w:left="0" w:right="0"/>
              <w:jc w:val="center"/>
              <w:rPr>
                <w:lang w:eastAsia="en-AU"/>
              </w:rPr>
            </w:pPr>
            <w:r w:rsidRPr="001B09E6">
              <w:rPr>
                <w:lang w:eastAsia="en-AU"/>
              </w:rPr>
              <w:t>0.4</w:t>
            </w:r>
          </w:p>
        </w:tc>
        <w:tc>
          <w:tcPr>
            <w:tcW w:w="439" w:type="pct"/>
            <w:tcBorders>
              <w:top w:val="single" w:sz="4" w:space="0" w:color="auto"/>
              <w:left w:val="nil"/>
              <w:bottom w:val="nil"/>
              <w:right w:val="nil"/>
            </w:tcBorders>
            <w:shd w:val="clear" w:color="auto" w:fill="auto"/>
            <w:noWrap/>
            <w:hideMark/>
          </w:tcPr>
          <w:p w14:paraId="619B388B" w14:textId="77777777" w:rsidR="00E45705" w:rsidRPr="001B09E6" w:rsidRDefault="00E45705" w:rsidP="00E45705">
            <w:pPr>
              <w:pStyle w:val="TableCellText"/>
              <w:spacing w:before="0" w:after="0"/>
              <w:ind w:left="0" w:right="0"/>
              <w:jc w:val="center"/>
              <w:rPr>
                <w:lang w:eastAsia="en-AU"/>
              </w:rPr>
            </w:pPr>
            <w:r w:rsidRPr="001B09E6">
              <w:rPr>
                <w:lang w:eastAsia="en-AU"/>
              </w:rPr>
              <w:t>0.4</w:t>
            </w:r>
          </w:p>
        </w:tc>
        <w:tc>
          <w:tcPr>
            <w:tcW w:w="439" w:type="pct"/>
            <w:tcBorders>
              <w:top w:val="single" w:sz="4" w:space="0" w:color="auto"/>
              <w:left w:val="nil"/>
              <w:bottom w:val="nil"/>
              <w:right w:val="nil"/>
            </w:tcBorders>
            <w:shd w:val="clear" w:color="auto" w:fill="auto"/>
            <w:noWrap/>
            <w:hideMark/>
          </w:tcPr>
          <w:p w14:paraId="1AD51759" w14:textId="77777777" w:rsidR="00E45705" w:rsidRPr="001B09E6" w:rsidRDefault="00E45705" w:rsidP="00E45705">
            <w:pPr>
              <w:pStyle w:val="TableCellText"/>
              <w:spacing w:before="0" w:after="0"/>
              <w:ind w:left="0" w:right="0"/>
              <w:jc w:val="center"/>
              <w:rPr>
                <w:lang w:eastAsia="en-AU"/>
              </w:rPr>
            </w:pPr>
            <w:r w:rsidRPr="001B09E6">
              <w:rPr>
                <w:lang w:eastAsia="en-AU"/>
              </w:rPr>
              <w:t>0.4</w:t>
            </w:r>
          </w:p>
        </w:tc>
      </w:tr>
      <w:tr w:rsidR="00E45705" w:rsidRPr="001B09E6" w14:paraId="139F370C" w14:textId="77777777" w:rsidTr="00E45705">
        <w:trPr>
          <w:trHeight w:val="300"/>
        </w:trPr>
        <w:tc>
          <w:tcPr>
            <w:tcW w:w="608" w:type="pct"/>
            <w:tcBorders>
              <w:top w:val="nil"/>
              <w:left w:val="nil"/>
              <w:bottom w:val="nil"/>
              <w:right w:val="nil"/>
            </w:tcBorders>
            <w:shd w:val="clear" w:color="auto" w:fill="auto"/>
            <w:noWrap/>
            <w:hideMark/>
          </w:tcPr>
          <w:p w14:paraId="5D5DE994" w14:textId="77777777" w:rsidR="00E45705" w:rsidRPr="001B09E6" w:rsidRDefault="00E45705" w:rsidP="00E45705">
            <w:pPr>
              <w:pStyle w:val="TableCellText"/>
              <w:spacing w:before="0" w:after="0"/>
              <w:ind w:left="0" w:right="0"/>
              <w:rPr>
                <w:rFonts w:asciiTheme="minorHAnsi" w:hAnsiTheme="minorHAnsi"/>
                <w:szCs w:val="18"/>
                <w:lang w:eastAsia="en-AU"/>
              </w:rPr>
            </w:pPr>
            <w:r w:rsidRPr="001B09E6">
              <w:rPr>
                <w:rFonts w:asciiTheme="minorHAnsi" w:hAnsiTheme="minorHAnsi"/>
                <w:szCs w:val="18"/>
                <w:lang w:eastAsia="en-AU"/>
              </w:rPr>
              <w:t>Inner regional</w:t>
            </w:r>
          </w:p>
        </w:tc>
        <w:tc>
          <w:tcPr>
            <w:tcW w:w="439" w:type="pct"/>
            <w:tcBorders>
              <w:top w:val="nil"/>
              <w:left w:val="nil"/>
              <w:bottom w:val="nil"/>
              <w:right w:val="nil"/>
            </w:tcBorders>
            <w:shd w:val="clear" w:color="auto" w:fill="auto"/>
            <w:noWrap/>
            <w:hideMark/>
          </w:tcPr>
          <w:p w14:paraId="76D6A94E" w14:textId="77777777" w:rsidR="00E45705" w:rsidRPr="001B09E6" w:rsidRDefault="00E45705" w:rsidP="00E45705">
            <w:pPr>
              <w:pStyle w:val="TableCellText"/>
              <w:spacing w:before="0" w:after="0"/>
              <w:ind w:left="0" w:right="0"/>
              <w:jc w:val="center"/>
              <w:rPr>
                <w:lang w:eastAsia="en-AU"/>
              </w:rPr>
            </w:pPr>
            <w:r w:rsidRPr="001B09E6">
              <w:rPr>
                <w:lang w:eastAsia="en-AU"/>
              </w:rPr>
              <w:t>0.7</w:t>
            </w:r>
          </w:p>
        </w:tc>
        <w:tc>
          <w:tcPr>
            <w:tcW w:w="439" w:type="pct"/>
            <w:tcBorders>
              <w:top w:val="nil"/>
              <w:left w:val="nil"/>
              <w:bottom w:val="nil"/>
              <w:right w:val="nil"/>
            </w:tcBorders>
            <w:shd w:val="clear" w:color="auto" w:fill="auto"/>
            <w:noWrap/>
            <w:hideMark/>
          </w:tcPr>
          <w:p w14:paraId="242A0DAC" w14:textId="77777777" w:rsidR="00E45705" w:rsidRPr="001B09E6" w:rsidRDefault="00E45705" w:rsidP="00E45705">
            <w:pPr>
              <w:pStyle w:val="TableCellText"/>
              <w:spacing w:before="0" w:after="0"/>
              <w:ind w:left="0" w:right="0"/>
              <w:jc w:val="center"/>
              <w:rPr>
                <w:lang w:eastAsia="en-AU"/>
              </w:rPr>
            </w:pPr>
            <w:r w:rsidRPr="001B09E6">
              <w:rPr>
                <w:lang w:eastAsia="en-AU"/>
              </w:rPr>
              <w:t>0.7</w:t>
            </w:r>
          </w:p>
        </w:tc>
        <w:tc>
          <w:tcPr>
            <w:tcW w:w="439" w:type="pct"/>
            <w:tcBorders>
              <w:top w:val="nil"/>
              <w:left w:val="nil"/>
              <w:bottom w:val="nil"/>
              <w:right w:val="nil"/>
            </w:tcBorders>
            <w:shd w:val="clear" w:color="auto" w:fill="auto"/>
            <w:noWrap/>
            <w:hideMark/>
          </w:tcPr>
          <w:p w14:paraId="7C5B4E88" w14:textId="77777777" w:rsidR="00E45705" w:rsidRPr="001B09E6" w:rsidRDefault="00E45705" w:rsidP="00E45705">
            <w:pPr>
              <w:pStyle w:val="TableCellText"/>
              <w:spacing w:before="0" w:after="0"/>
              <w:ind w:left="0" w:right="0"/>
              <w:jc w:val="center"/>
              <w:rPr>
                <w:lang w:eastAsia="en-AU"/>
              </w:rPr>
            </w:pPr>
            <w:r w:rsidRPr="001B09E6">
              <w:rPr>
                <w:lang w:eastAsia="en-AU"/>
              </w:rPr>
              <w:t>0.7</w:t>
            </w:r>
          </w:p>
        </w:tc>
        <w:tc>
          <w:tcPr>
            <w:tcW w:w="439" w:type="pct"/>
            <w:tcBorders>
              <w:top w:val="nil"/>
              <w:left w:val="nil"/>
              <w:bottom w:val="nil"/>
              <w:right w:val="nil"/>
            </w:tcBorders>
            <w:shd w:val="clear" w:color="auto" w:fill="auto"/>
            <w:noWrap/>
            <w:hideMark/>
          </w:tcPr>
          <w:p w14:paraId="55E0A972" w14:textId="77777777" w:rsidR="00E45705" w:rsidRPr="001B09E6" w:rsidRDefault="00E45705" w:rsidP="00E45705">
            <w:pPr>
              <w:pStyle w:val="TableCellText"/>
              <w:spacing w:before="0" w:after="0"/>
              <w:ind w:left="0" w:right="0"/>
              <w:jc w:val="center"/>
              <w:rPr>
                <w:lang w:eastAsia="en-AU"/>
              </w:rPr>
            </w:pPr>
            <w:r w:rsidRPr="001B09E6">
              <w:rPr>
                <w:lang w:eastAsia="en-AU"/>
              </w:rPr>
              <w:t>0.7</w:t>
            </w:r>
          </w:p>
        </w:tc>
        <w:tc>
          <w:tcPr>
            <w:tcW w:w="439" w:type="pct"/>
            <w:tcBorders>
              <w:top w:val="nil"/>
              <w:left w:val="nil"/>
              <w:bottom w:val="nil"/>
              <w:right w:val="nil"/>
            </w:tcBorders>
            <w:shd w:val="clear" w:color="auto" w:fill="auto"/>
            <w:noWrap/>
            <w:hideMark/>
          </w:tcPr>
          <w:p w14:paraId="26D165F0" w14:textId="77777777" w:rsidR="00E45705" w:rsidRPr="001B09E6" w:rsidRDefault="00E45705" w:rsidP="00E45705">
            <w:pPr>
              <w:pStyle w:val="TableCellText"/>
              <w:spacing w:before="0" w:after="0"/>
              <w:ind w:left="0" w:right="0"/>
              <w:jc w:val="center"/>
              <w:rPr>
                <w:lang w:eastAsia="en-AU"/>
              </w:rPr>
            </w:pPr>
            <w:r w:rsidRPr="001B09E6">
              <w:rPr>
                <w:lang w:eastAsia="en-AU"/>
              </w:rPr>
              <w:t>0.7</w:t>
            </w:r>
          </w:p>
        </w:tc>
        <w:tc>
          <w:tcPr>
            <w:tcW w:w="439" w:type="pct"/>
            <w:tcBorders>
              <w:top w:val="nil"/>
              <w:left w:val="nil"/>
              <w:bottom w:val="nil"/>
              <w:right w:val="nil"/>
            </w:tcBorders>
            <w:shd w:val="clear" w:color="auto" w:fill="auto"/>
            <w:noWrap/>
            <w:hideMark/>
          </w:tcPr>
          <w:p w14:paraId="4A4074C4" w14:textId="77777777" w:rsidR="00E45705" w:rsidRPr="001B09E6" w:rsidRDefault="00E45705" w:rsidP="00E45705">
            <w:pPr>
              <w:pStyle w:val="TableCellText"/>
              <w:spacing w:before="0" w:after="0"/>
              <w:ind w:left="0" w:right="0"/>
              <w:jc w:val="center"/>
              <w:rPr>
                <w:lang w:eastAsia="en-AU"/>
              </w:rPr>
            </w:pPr>
            <w:r w:rsidRPr="001B09E6">
              <w:rPr>
                <w:lang w:eastAsia="en-AU"/>
              </w:rPr>
              <w:t>0.7</w:t>
            </w:r>
          </w:p>
        </w:tc>
        <w:tc>
          <w:tcPr>
            <w:tcW w:w="439" w:type="pct"/>
            <w:tcBorders>
              <w:top w:val="nil"/>
              <w:left w:val="nil"/>
              <w:bottom w:val="nil"/>
              <w:right w:val="nil"/>
            </w:tcBorders>
            <w:shd w:val="clear" w:color="auto" w:fill="auto"/>
            <w:noWrap/>
            <w:hideMark/>
          </w:tcPr>
          <w:p w14:paraId="25CC4F1B"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nil"/>
              <w:left w:val="nil"/>
              <w:bottom w:val="nil"/>
              <w:right w:val="nil"/>
            </w:tcBorders>
            <w:shd w:val="clear" w:color="auto" w:fill="auto"/>
            <w:noWrap/>
            <w:hideMark/>
          </w:tcPr>
          <w:p w14:paraId="2A0398B9"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439" w:type="pct"/>
            <w:tcBorders>
              <w:top w:val="nil"/>
              <w:left w:val="nil"/>
              <w:bottom w:val="nil"/>
              <w:right w:val="nil"/>
            </w:tcBorders>
            <w:shd w:val="clear" w:color="auto" w:fill="auto"/>
            <w:noWrap/>
            <w:hideMark/>
          </w:tcPr>
          <w:p w14:paraId="6706C9D8" w14:textId="77777777" w:rsidR="00E45705" w:rsidRPr="001B09E6" w:rsidRDefault="00E45705" w:rsidP="00E45705">
            <w:pPr>
              <w:pStyle w:val="TableCellText"/>
              <w:spacing w:before="0" w:after="0"/>
              <w:ind w:left="0" w:right="0"/>
              <w:jc w:val="center"/>
              <w:rPr>
                <w:lang w:eastAsia="en-AU"/>
              </w:rPr>
            </w:pPr>
            <w:r w:rsidRPr="001B09E6">
              <w:rPr>
                <w:lang w:eastAsia="en-AU"/>
              </w:rPr>
              <w:t>0.7</w:t>
            </w:r>
          </w:p>
        </w:tc>
        <w:tc>
          <w:tcPr>
            <w:tcW w:w="439" w:type="pct"/>
            <w:tcBorders>
              <w:top w:val="nil"/>
              <w:left w:val="nil"/>
              <w:bottom w:val="nil"/>
              <w:right w:val="nil"/>
            </w:tcBorders>
            <w:shd w:val="clear" w:color="auto" w:fill="auto"/>
            <w:noWrap/>
            <w:hideMark/>
          </w:tcPr>
          <w:p w14:paraId="0A7A5F1B" w14:textId="77777777" w:rsidR="00E45705" w:rsidRPr="001B09E6" w:rsidRDefault="00E45705" w:rsidP="00E45705">
            <w:pPr>
              <w:pStyle w:val="TableCellText"/>
              <w:spacing w:before="0" w:after="0"/>
              <w:ind w:left="0" w:right="0"/>
              <w:jc w:val="center"/>
              <w:rPr>
                <w:lang w:eastAsia="en-AU"/>
              </w:rPr>
            </w:pPr>
            <w:r w:rsidRPr="001B09E6">
              <w:rPr>
                <w:lang w:eastAsia="en-AU"/>
              </w:rPr>
              <w:t>0.7</w:t>
            </w:r>
          </w:p>
        </w:tc>
      </w:tr>
      <w:tr w:rsidR="00E45705" w:rsidRPr="001B09E6" w14:paraId="7F40521A" w14:textId="77777777" w:rsidTr="00E45705">
        <w:trPr>
          <w:trHeight w:val="300"/>
        </w:trPr>
        <w:tc>
          <w:tcPr>
            <w:tcW w:w="608" w:type="pct"/>
            <w:tcBorders>
              <w:top w:val="nil"/>
              <w:left w:val="nil"/>
              <w:bottom w:val="nil"/>
              <w:right w:val="nil"/>
            </w:tcBorders>
            <w:shd w:val="clear" w:color="auto" w:fill="auto"/>
            <w:noWrap/>
            <w:hideMark/>
          </w:tcPr>
          <w:p w14:paraId="5E0F8F97" w14:textId="77777777" w:rsidR="00E45705" w:rsidRPr="001B09E6" w:rsidRDefault="00E45705" w:rsidP="00E45705">
            <w:pPr>
              <w:pStyle w:val="TableCellText"/>
              <w:spacing w:before="0" w:after="0"/>
              <w:ind w:left="0" w:right="0"/>
              <w:rPr>
                <w:rFonts w:asciiTheme="minorHAnsi" w:hAnsiTheme="minorHAnsi"/>
                <w:szCs w:val="18"/>
                <w:lang w:eastAsia="en-AU"/>
              </w:rPr>
            </w:pPr>
            <w:r w:rsidRPr="001B09E6">
              <w:rPr>
                <w:rFonts w:asciiTheme="minorHAnsi" w:hAnsiTheme="minorHAnsi"/>
                <w:szCs w:val="18"/>
                <w:lang w:eastAsia="en-AU"/>
              </w:rPr>
              <w:t>Outer regional</w:t>
            </w:r>
          </w:p>
        </w:tc>
        <w:tc>
          <w:tcPr>
            <w:tcW w:w="439" w:type="pct"/>
            <w:tcBorders>
              <w:top w:val="nil"/>
              <w:left w:val="nil"/>
              <w:bottom w:val="nil"/>
              <w:right w:val="nil"/>
            </w:tcBorders>
            <w:shd w:val="clear" w:color="auto" w:fill="auto"/>
            <w:noWrap/>
            <w:hideMark/>
          </w:tcPr>
          <w:p w14:paraId="16047198"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4386909C"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1C6699F3"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272CBA9F"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7A003A34"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75C5D1ED" w14:textId="77777777" w:rsidR="00E45705" w:rsidRPr="001B09E6" w:rsidRDefault="00E45705" w:rsidP="00E45705">
            <w:pPr>
              <w:pStyle w:val="TableCellText"/>
              <w:spacing w:before="0" w:after="0"/>
              <w:ind w:left="0" w:right="0"/>
              <w:jc w:val="center"/>
              <w:rPr>
                <w:lang w:eastAsia="en-AU"/>
              </w:rPr>
            </w:pPr>
            <w:r w:rsidRPr="001B09E6">
              <w:rPr>
                <w:lang w:eastAsia="en-AU"/>
              </w:rPr>
              <w:t>0.8</w:t>
            </w:r>
          </w:p>
        </w:tc>
        <w:tc>
          <w:tcPr>
            <w:tcW w:w="439" w:type="pct"/>
            <w:tcBorders>
              <w:top w:val="nil"/>
              <w:left w:val="nil"/>
              <w:bottom w:val="nil"/>
              <w:right w:val="nil"/>
            </w:tcBorders>
            <w:shd w:val="clear" w:color="auto" w:fill="auto"/>
            <w:noWrap/>
            <w:hideMark/>
          </w:tcPr>
          <w:p w14:paraId="411366CF" w14:textId="77777777" w:rsidR="00E45705" w:rsidRPr="001B09E6" w:rsidRDefault="00E45705" w:rsidP="00E45705">
            <w:pPr>
              <w:pStyle w:val="TableCellText"/>
              <w:spacing w:before="0" w:after="0"/>
              <w:ind w:left="0" w:right="0"/>
              <w:jc w:val="center"/>
              <w:rPr>
                <w:lang w:eastAsia="en-AU"/>
              </w:rPr>
            </w:pPr>
            <w:r w:rsidRPr="001B09E6">
              <w:rPr>
                <w:lang w:eastAsia="en-AU"/>
              </w:rPr>
              <w:t>0.8</w:t>
            </w:r>
          </w:p>
        </w:tc>
        <w:tc>
          <w:tcPr>
            <w:tcW w:w="439" w:type="pct"/>
            <w:tcBorders>
              <w:top w:val="nil"/>
              <w:left w:val="nil"/>
              <w:bottom w:val="nil"/>
              <w:right w:val="nil"/>
            </w:tcBorders>
            <w:shd w:val="clear" w:color="auto" w:fill="auto"/>
            <w:noWrap/>
            <w:hideMark/>
          </w:tcPr>
          <w:p w14:paraId="205BFAD4" w14:textId="77777777" w:rsidR="00E45705" w:rsidRPr="001B09E6" w:rsidRDefault="00E45705" w:rsidP="00E45705">
            <w:pPr>
              <w:pStyle w:val="TableCellText"/>
              <w:spacing w:before="0" w:after="0"/>
              <w:ind w:left="0" w:right="0"/>
              <w:jc w:val="center"/>
              <w:rPr>
                <w:lang w:eastAsia="en-AU"/>
              </w:rPr>
            </w:pPr>
            <w:r w:rsidRPr="001B09E6">
              <w:rPr>
                <w:lang w:eastAsia="en-AU"/>
              </w:rPr>
              <w:t>0.8</w:t>
            </w:r>
          </w:p>
        </w:tc>
        <w:tc>
          <w:tcPr>
            <w:tcW w:w="439" w:type="pct"/>
            <w:tcBorders>
              <w:top w:val="nil"/>
              <w:left w:val="nil"/>
              <w:bottom w:val="nil"/>
              <w:right w:val="nil"/>
            </w:tcBorders>
            <w:shd w:val="clear" w:color="auto" w:fill="auto"/>
            <w:noWrap/>
            <w:hideMark/>
          </w:tcPr>
          <w:p w14:paraId="03B25283"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6B14279B"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r>
      <w:tr w:rsidR="00E45705" w:rsidRPr="001B09E6" w14:paraId="3DABD660" w14:textId="77777777" w:rsidTr="00E45705">
        <w:trPr>
          <w:trHeight w:val="300"/>
        </w:trPr>
        <w:tc>
          <w:tcPr>
            <w:tcW w:w="608" w:type="pct"/>
            <w:tcBorders>
              <w:top w:val="nil"/>
              <w:left w:val="nil"/>
              <w:bottom w:val="nil"/>
              <w:right w:val="nil"/>
            </w:tcBorders>
            <w:shd w:val="clear" w:color="auto" w:fill="auto"/>
            <w:noWrap/>
            <w:hideMark/>
          </w:tcPr>
          <w:p w14:paraId="619AA5C1" w14:textId="77777777" w:rsidR="00E45705" w:rsidRPr="001B09E6" w:rsidRDefault="00E45705" w:rsidP="00E45705">
            <w:pPr>
              <w:pStyle w:val="TableCellText"/>
              <w:spacing w:before="0" w:after="0"/>
              <w:ind w:left="0" w:right="0"/>
              <w:rPr>
                <w:rFonts w:asciiTheme="minorHAnsi" w:hAnsiTheme="minorHAnsi"/>
                <w:szCs w:val="18"/>
                <w:lang w:eastAsia="en-AU"/>
              </w:rPr>
            </w:pPr>
            <w:r w:rsidRPr="001B09E6">
              <w:rPr>
                <w:rFonts w:asciiTheme="minorHAnsi" w:hAnsiTheme="minorHAnsi"/>
                <w:szCs w:val="18"/>
                <w:lang w:eastAsia="en-AU"/>
              </w:rPr>
              <w:t>Remote</w:t>
            </w:r>
          </w:p>
        </w:tc>
        <w:tc>
          <w:tcPr>
            <w:tcW w:w="439" w:type="pct"/>
            <w:tcBorders>
              <w:top w:val="nil"/>
              <w:left w:val="nil"/>
              <w:bottom w:val="nil"/>
              <w:right w:val="nil"/>
            </w:tcBorders>
            <w:shd w:val="clear" w:color="auto" w:fill="auto"/>
            <w:noWrap/>
            <w:hideMark/>
          </w:tcPr>
          <w:p w14:paraId="04D5D620" w14:textId="77777777" w:rsidR="00E45705" w:rsidRPr="001B09E6" w:rsidRDefault="00E45705" w:rsidP="00E45705">
            <w:pPr>
              <w:pStyle w:val="TableCellText"/>
              <w:spacing w:before="0" w:after="0"/>
              <w:ind w:left="0" w:right="0"/>
              <w:jc w:val="center"/>
              <w:rPr>
                <w:lang w:eastAsia="en-AU"/>
              </w:rPr>
            </w:pPr>
            <w:r w:rsidRPr="001B09E6">
              <w:rPr>
                <w:lang w:eastAsia="en-AU"/>
              </w:rPr>
              <w:t>1.0</w:t>
            </w:r>
          </w:p>
        </w:tc>
        <w:tc>
          <w:tcPr>
            <w:tcW w:w="439" w:type="pct"/>
            <w:tcBorders>
              <w:top w:val="nil"/>
              <w:left w:val="nil"/>
              <w:bottom w:val="nil"/>
              <w:right w:val="nil"/>
            </w:tcBorders>
            <w:shd w:val="clear" w:color="auto" w:fill="auto"/>
            <w:noWrap/>
            <w:hideMark/>
          </w:tcPr>
          <w:p w14:paraId="1A844A84"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602B68F7"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7C66C2B7"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0D48D168" w14:textId="77777777" w:rsidR="00E45705" w:rsidRPr="001B09E6" w:rsidRDefault="00E45705" w:rsidP="00E45705">
            <w:pPr>
              <w:pStyle w:val="TableCellText"/>
              <w:spacing w:before="0" w:after="0"/>
              <w:ind w:left="0" w:right="0"/>
              <w:jc w:val="center"/>
              <w:rPr>
                <w:lang w:eastAsia="en-AU"/>
              </w:rPr>
            </w:pPr>
            <w:r w:rsidRPr="001B09E6">
              <w:rPr>
                <w:lang w:eastAsia="en-AU"/>
              </w:rPr>
              <w:t>1.0</w:t>
            </w:r>
          </w:p>
        </w:tc>
        <w:tc>
          <w:tcPr>
            <w:tcW w:w="439" w:type="pct"/>
            <w:tcBorders>
              <w:top w:val="nil"/>
              <w:left w:val="nil"/>
              <w:bottom w:val="nil"/>
              <w:right w:val="nil"/>
            </w:tcBorders>
            <w:shd w:val="clear" w:color="auto" w:fill="auto"/>
            <w:noWrap/>
            <w:hideMark/>
          </w:tcPr>
          <w:p w14:paraId="3D963E0D" w14:textId="77777777" w:rsidR="00E45705" w:rsidRPr="001B09E6" w:rsidRDefault="00E45705" w:rsidP="00E45705">
            <w:pPr>
              <w:pStyle w:val="TableCellText"/>
              <w:spacing w:before="0" w:after="0"/>
              <w:ind w:left="0" w:right="0"/>
              <w:jc w:val="center"/>
              <w:rPr>
                <w:lang w:eastAsia="en-AU"/>
              </w:rPr>
            </w:pPr>
            <w:r w:rsidRPr="001B09E6">
              <w:rPr>
                <w:lang w:eastAsia="en-AU"/>
              </w:rPr>
              <w:t>1.0</w:t>
            </w:r>
          </w:p>
        </w:tc>
        <w:tc>
          <w:tcPr>
            <w:tcW w:w="439" w:type="pct"/>
            <w:tcBorders>
              <w:top w:val="nil"/>
              <w:left w:val="nil"/>
              <w:bottom w:val="nil"/>
              <w:right w:val="nil"/>
            </w:tcBorders>
            <w:shd w:val="clear" w:color="auto" w:fill="auto"/>
            <w:noWrap/>
            <w:hideMark/>
          </w:tcPr>
          <w:p w14:paraId="47D74633"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28ACE553"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c>
          <w:tcPr>
            <w:tcW w:w="439" w:type="pct"/>
            <w:tcBorders>
              <w:top w:val="nil"/>
              <w:left w:val="nil"/>
              <w:bottom w:val="nil"/>
              <w:right w:val="nil"/>
            </w:tcBorders>
            <w:shd w:val="clear" w:color="auto" w:fill="auto"/>
            <w:noWrap/>
            <w:hideMark/>
          </w:tcPr>
          <w:p w14:paraId="0BE66FFB" w14:textId="77777777" w:rsidR="00E45705" w:rsidRPr="001B09E6" w:rsidRDefault="00E45705" w:rsidP="00E45705">
            <w:pPr>
              <w:pStyle w:val="TableCellText"/>
              <w:spacing w:before="0" w:after="0"/>
              <w:ind w:left="0" w:right="0"/>
              <w:jc w:val="center"/>
              <w:rPr>
                <w:lang w:eastAsia="en-AU"/>
              </w:rPr>
            </w:pPr>
            <w:r w:rsidRPr="001B09E6">
              <w:rPr>
                <w:lang w:eastAsia="en-AU"/>
              </w:rPr>
              <w:t>1.0</w:t>
            </w:r>
          </w:p>
        </w:tc>
        <w:tc>
          <w:tcPr>
            <w:tcW w:w="439" w:type="pct"/>
            <w:tcBorders>
              <w:top w:val="nil"/>
              <w:left w:val="nil"/>
              <w:bottom w:val="nil"/>
              <w:right w:val="nil"/>
            </w:tcBorders>
            <w:shd w:val="clear" w:color="auto" w:fill="auto"/>
            <w:noWrap/>
            <w:hideMark/>
          </w:tcPr>
          <w:p w14:paraId="2262A6F5" w14:textId="77777777" w:rsidR="00E45705" w:rsidRPr="001B09E6" w:rsidRDefault="00E45705" w:rsidP="00E45705">
            <w:pPr>
              <w:pStyle w:val="TableCellText"/>
              <w:spacing w:before="0" w:after="0"/>
              <w:ind w:left="0" w:right="0"/>
              <w:jc w:val="center"/>
              <w:rPr>
                <w:lang w:eastAsia="en-AU"/>
              </w:rPr>
            </w:pPr>
            <w:r w:rsidRPr="001B09E6">
              <w:rPr>
                <w:lang w:eastAsia="en-AU"/>
              </w:rPr>
              <w:t>1.0</w:t>
            </w:r>
          </w:p>
        </w:tc>
      </w:tr>
      <w:tr w:rsidR="00E45705" w:rsidRPr="001B09E6" w14:paraId="73FB2B1C" w14:textId="77777777" w:rsidTr="00E45705">
        <w:trPr>
          <w:trHeight w:val="300"/>
        </w:trPr>
        <w:tc>
          <w:tcPr>
            <w:tcW w:w="608" w:type="pct"/>
            <w:tcBorders>
              <w:top w:val="nil"/>
              <w:left w:val="nil"/>
              <w:bottom w:val="single" w:sz="4" w:space="0" w:color="auto"/>
              <w:right w:val="nil"/>
            </w:tcBorders>
            <w:shd w:val="clear" w:color="auto" w:fill="auto"/>
            <w:noWrap/>
            <w:hideMark/>
          </w:tcPr>
          <w:p w14:paraId="044C04C2" w14:textId="77777777" w:rsidR="00E45705" w:rsidRPr="001B09E6" w:rsidRDefault="00E45705" w:rsidP="00E45705">
            <w:pPr>
              <w:pStyle w:val="TableCellText"/>
              <w:spacing w:before="0" w:after="0"/>
              <w:ind w:left="0" w:right="0"/>
              <w:rPr>
                <w:rFonts w:asciiTheme="minorHAnsi" w:hAnsiTheme="minorHAnsi"/>
                <w:szCs w:val="18"/>
                <w:lang w:eastAsia="en-AU"/>
              </w:rPr>
            </w:pPr>
            <w:r w:rsidRPr="001B09E6">
              <w:rPr>
                <w:rFonts w:asciiTheme="minorHAnsi" w:hAnsiTheme="minorHAnsi"/>
                <w:szCs w:val="18"/>
                <w:lang w:eastAsia="en-AU"/>
              </w:rPr>
              <w:t>Very remote</w:t>
            </w:r>
          </w:p>
        </w:tc>
        <w:tc>
          <w:tcPr>
            <w:tcW w:w="439" w:type="pct"/>
            <w:tcBorders>
              <w:top w:val="nil"/>
              <w:left w:val="nil"/>
              <w:bottom w:val="single" w:sz="4" w:space="0" w:color="auto"/>
              <w:right w:val="nil"/>
            </w:tcBorders>
            <w:shd w:val="clear" w:color="auto" w:fill="auto"/>
            <w:noWrap/>
            <w:hideMark/>
          </w:tcPr>
          <w:p w14:paraId="735F3ED2" w14:textId="77777777" w:rsidR="00E45705" w:rsidRPr="001B09E6" w:rsidRDefault="00E45705" w:rsidP="00E45705">
            <w:pPr>
              <w:pStyle w:val="TableCellText"/>
              <w:spacing w:before="0" w:after="0"/>
              <w:ind w:left="0" w:right="0"/>
              <w:jc w:val="center"/>
              <w:rPr>
                <w:lang w:eastAsia="en-AU"/>
              </w:rPr>
            </w:pPr>
            <w:r w:rsidRPr="001B09E6">
              <w:rPr>
                <w:lang w:eastAsia="en-AU"/>
              </w:rPr>
              <w:t>1.8</w:t>
            </w:r>
          </w:p>
        </w:tc>
        <w:tc>
          <w:tcPr>
            <w:tcW w:w="439" w:type="pct"/>
            <w:tcBorders>
              <w:top w:val="nil"/>
              <w:left w:val="nil"/>
              <w:bottom w:val="single" w:sz="4" w:space="0" w:color="auto"/>
              <w:right w:val="nil"/>
            </w:tcBorders>
            <w:shd w:val="clear" w:color="auto" w:fill="auto"/>
            <w:noWrap/>
            <w:hideMark/>
          </w:tcPr>
          <w:p w14:paraId="27F9EEE8" w14:textId="77777777" w:rsidR="00E45705" w:rsidRPr="001B09E6" w:rsidRDefault="00E45705" w:rsidP="00E45705">
            <w:pPr>
              <w:pStyle w:val="TableCellText"/>
              <w:spacing w:before="0" w:after="0"/>
              <w:ind w:left="0" w:right="0"/>
              <w:jc w:val="center"/>
              <w:rPr>
                <w:lang w:eastAsia="en-AU"/>
              </w:rPr>
            </w:pPr>
            <w:r w:rsidRPr="001B09E6">
              <w:rPr>
                <w:lang w:eastAsia="en-AU"/>
              </w:rPr>
              <w:t>1.6</w:t>
            </w:r>
          </w:p>
        </w:tc>
        <w:tc>
          <w:tcPr>
            <w:tcW w:w="439" w:type="pct"/>
            <w:tcBorders>
              <w:top w:val="nil"/>
              <w:left w:val="nil"/>
              <w:bottom w:val="single" w:sz="4" w:space="0" w:color="auto"/>
              <w:right w:val="nil"/>
            </w:tcBorders>
            <w:shd w:val="clear" w:color="auto" w:fill="auto"/>
            <w:noWrap/>
            <w:hideMark/>
          </w:tcPr>
          <w:p w14:paraId="3A4F146C" w14:textId="77777777" w:rsidR="00E45705" w:rsidRPr="001B09E6" w:rsidRDefault="00E45705" w:rsidP="00E45705">
            <w:pPr>
              <w:pStyle w:val="TableCellText"/>
              <w:spacing w:before="0" w:after="0"/>
              <w:ind w:left="0" w:right="0"/>
              <w:jc w:val="center"/>
              <w:rPr>
                <w:lang w:eastAsia="en-AU"/>
              </w:rPr>
            </w:pPr>
            <w:r w:rsidRPr="001B09E6">
              <w:rPr>
                <w:lang w:eastAsia="en-AU"/>
              </w:rPr>
              <w:t>1.6</w:t>
            </w:r>
          </w:p>
        </w:tc>
        <w:tc>
          <w:tcPr>
            <w:tcW w:w="439" w:type="pct"/>
            <w:tcBorders>
              <w:top w:val="nil"/>
              <w:left w:val="nil"/>
              <w:bottom w:val="single" w:sz="4" w:space="0" w:color="auto"/>
              <w:right w:val="nil"/>
            </w:tcBorders>
            <w:shd w:val="clear" w:color="auto" w:fill="auto"/>
            <w:noWrap/>
            <w:hideMark/>
          </w:tcPr>
          <w:p w14:paraId="06CF3A6C" w14:textId="77777777" w:rsidR="00E45705" w:rsidRPr="001B09E6" w:rsidRDefault="00E45705" w:rsidP="00E45705">
            <w:pPr>
              <w:pStyle w:val="TableCellText"/>
              <w:spacing w:before="0" w:after="0"/>
              <w:ind w:left="0" w:right="0"/>
              <w:jc w:val="center"/>
              <w:rPr>
                <w:lang w:eastAsia="en-AU"/>
              </w:rPr>
            </w:pPr>
            <w:r w:rsidRPr="001B09E6">
              <w:rPr>
                <w:lang w:eastAsia="en-AU"/>
              </w:rPr>
              <w:t>1.6</w:t>
            </w:r>
          </w:p>
        </w:tc>
        <w:tc>
          <w:tcPr>
            <w:tcW w:w="439" w:type="pct"/>
            <w:tcBorders>
              <w:top w:val="nil"/>
              <w:left w:val="nil"/>
              <w:bottom w:val="single" w:sz="4" w:space="0" w:color="auto"/>
              <w:right w:val="nil"/>
            </w:tcBorders>
            <w:shd w:val="clear" w:color="auto" w:fill="auto"/>
            <w:noWrap/>
            <w:hideMark/>
          </w:tcPr>
          <w:p w14:paraId="5700E3C6" w14:textId="77777777" w:rsidR="00E45705" w:rsidRPr="001B09E6" w:rsidRDefault="00E45705" w:rsidP="00E45705">
            <w:pPr>
              <w:pStyle w:val="TableCellText"/>
              <w:spacing w:before="0" w:after="0"/>
              <w:ind w:left="0" w:right="0"/>
              <w:jc w:val="center"/>
              <w:rPr>
                <w:lang w:eastAsia="en-AU"/>
              </w:rPr>
            </w:pPr>
            <w:r w:rsidRPr="001B09E6">
              <w:rPr>
                <w:lang w:eastAsia="en-AU"/>
              </w:rPr>
              <w:t>1.9</w:t>
            </w:r>
          </w:p>
        </w:tc>
        <w:tc>
          <w:tcPr>
            <w:tcW w:w="439" w:type="pct"/>
            <w:tcBorders>
              <w:top w:val="nil"/>
              <w:left w:val="nil"/>
              <w:bottom w:val="single" w:sz="4" w:space="0" w:color="auto"/>
              <w:right w:val="nil"/>
            </w:tcBorders>
            <w:shd w:val="clear" w:color="auto" w:fill="auto"/>
            <w:noWrap/>
            <w:hideMark/>
          </w:tcPr>
          <w:p w14:paraId="582F1904" w14:textId="77777777" w:rsidR="00E45705" w:rsidRPr="001B09E6" w:rsidRDefault="00E45705" w:rsidP="00E45705">
            <w:pPr>
              <w:pStyle w:val="TableCellText"/>
              <w:spacing w:before="0" w:after="0"/>
              <w:ind w:left="0" w:right="0"/>
              <w:jc w:val="center"/>
              <w:rPr>
                <w:lang w:eastAsia="en-AU"/>
              </w:rPr>
            </w:pPr>
            <w:r w:rsidRPr="001B09E6">
              <w:rPr>
                <w:lang w:eastAsia="en-AU"/>
              </w:rPr>
              <w:t>2.0</w:t>
            </w:r>
          </w:p>
        </w:tc>
        <w:tc>
          <w:tcPr>
            <w:tcW w:w="439" w:type="pct"/>
            <w:tcBorders>
              <w:top w:val="nil"/>
              <w:left w:val="nil"/>
              <w:bottom w:val="single" w:sz="4" w:space="0" w:color="auto"/>
              <w:right w:val="nil"/>
            </w:tcBorders>
            <w:shd w:val="clear" w:color="auto" w:fill="auto"/>
            <w:noWrap/>
            <w:hideMark/>
          </w:tcPr>
          <w:p w14:paraId="21DF927C" w14:textId="77777777" w:rsidR="00E45705" w:rsidRPr="001B09E6" w:rsidRDefault="00E45705" w:rsidP="00E45705">
            <w:pPr>
              <w:pStyle w:val="TableCellText"/>
              <w:spacing w:before="0" w:after="0"/>
              <w:ind w:left="0" w:right="0"/>
              <w:jc w:val="center"/>
              <w:rPr>
                <w:lang w:eastAsia="en-AU"/>
              </w:rPr>
            </w:pPr>
            <w:r w:rsidRPr="001B09E6">
              <w:rPr>
                <w:lang w:eastAsia="en-AU"/>
              </w:rPr>
              <w:t>1.9</w:t>
            </w:r>
          </w:p>
        </w:tc>
        <w:tc>
          <w:tcPr>
            <w:tcW w:w="439" w:type="pct"/>
            <w:tcBorders>
              <w:top w:val="nil"/>
              <w:left w:val="nil"/>
              <w:bottom w:val="single" w:sz="4" w:space="0" w:color="auto"/>
              <w:right w:val="nil"/>
            </w:tcBorders>
            <w:shd w:val="clear" w:color="auto" w:fill="auto"/>
            <w:noWrap/>
            <w:hideMark/>
          </w:tcPr>
          <w:p w14:paraId="19036555" w14:textId="77777777" w:rsidR="00E45705" w:rsidRPr="001B09E6" w:rsidRDefault="00E45705" w:rsidP="00E45705">
            <w:pPr>
              <w:pStyle w:val="TableCellText"/>
              <w:spacing w:before="0" w:after="0"/>
              <w:ind w:left="0" w:right="0"/>
              <w:jc w:val="center"/>
              <w:rPr>
                <w:lang w:eastAsia="en-AU"/>
              </w:rPr>
            </w:pPr>
            <w:r w:rsidRPr="001B09E6">
              <w:rPr>
                <w:lang w:eastAsia="en-AU"/>
              </w:rPr>
              <w:t>1.9</w:t>
            </w:r>
          </w:p>
        </w:tc>
        <w:tc>
          <w:tcPr>
            <w:tcW w:w="439" w:type="pct"/>
            <w:tcBorders>
              <w:top w:val="nil"/>
              <w:left w:val="nil"/>
              <w:bottom w:val="single" w:sz="4" w:space="0" w:color="auto"/>
              <w:right w:val="nil"/>
            </w:tcBorders>
            <w:shd w:val="clear" w:color="auto" w:fill="auto"/>
            <w:noWrap/>
            <w:hideMark/>
          </w:tcPr>
          <w:p w14:paraId="32532FE4" w14:textId="77777777" w:rsidR="00E45705" w:rsidRPr="001B09E6" w:rsidRDefault="00E45705" w:rsidP="00E45705">
            <w:pPr>
              <w:pStyle w:val="TableCellText"/>
              <w:spacing w:before="0" w:after="0"/>
              <w:ind w:left="0" w:right="0"/>
              <w:jc w:val="center"/>
              <w:rPr>
                <w:lang w:eastAsia="en-AU"/>
              </w:rPr>
            </w:pPr>
            <w:r w:rsidRPr="001B09E6">
              <w:rPr>
                <w:lang w:eastAsia="en-AU"/>
              </w:rPr>
              <w:t>2.0</w:t>
            </w:r>
          </w:p>
        </w:tc>
        <w:tc>
          <w:tcPr>
            <w:tcW w:w="439" w:type="pct"/>
            <w:tcBorders>
              <w:top w:val="nil"/>
              <w:left w:val="nil"/>
              <w:bottom w:val="single" w:sz="4" w:space="0" w:color="auto"/>
              <w:right w:val="nil"/>
            </w:tcBorders>
            <w:shd w:val="clear" w:color="auto" w:fill="auto"/>
            <w:noWrap/>
            <w:hideMark/>
          </w:tcPr>
          <w:p w14:paraId="3C6118A4" w14:textId="77777777" w:rsidR="00E45705" w:rsidRPr="001B09E6" w:rsidRDefault="00E45705" w:rsidP="00E45705">
            <w:pPr>
              <w:pStyle w:val="TableCellText"/>
              <w:spacing w:before="0" w:after="0"/>
              <w:ind w:left="0" w:right="0"/>
              <w:jc w:val="center"/>
              <w:rPr>
                <w:lang w:eastAsia="en-AU"/>
              </w:rPr>
            </w:pPr>
            <w:r w:rsidRPr="001B09E6">
              <w:rPr>
                <w:lang w:eastAsia="en-AU"/>
              </w:rPr>
              <w:t>2.0</w:t>
            </w:r>
          </w:p>
        </w:tc>
      </w:tr>
    </w:tbl>
    <w:p w14:paraId="05B1C1B8" w14:textId="77777777" w:rsidR="00E45705" w:rsidRPr="001B09E6" w:rsidRDefault="00E45705" w:rsidP="00E45705">
      <w:pPr>
        <w:pStyle w:val="Tablenote"/>
      </w:pPr>
      <w:r w:rsidRPr="001B09E6">
        <w:t>Note: Population not available by both remoteness region and age, so numbers are expressed as a percentage of the total population for that remoteness region</w:t>
      </w:r>
    </w:p>
    <w:p w14:paraId="0F615CBB" w14:textId="77777777" w:rsidR="00E45705" w:rsidRPr="001B09E6" w:rsidRDefault="00E45705" w:rsidP="00E45705">
      <w:pPr>
        <w:pStyle w:val="Tablenote"/>
      </w:pPr>
      <w:r w:rsidRPr="001B09E6">
        <w:t>Source:  National VET provider collection, ABS Regional Population Growth, Australia 3218.0</w:t>
      </w:r>
    </w:p>
    <w:p w14:paraId="252F1DD8" w14:textId="77777777" w:rsidR="00E45705" w:rsidRDefault="00E45705" w:rsidP="00E45705">
      <w:pPr>
        <w:spacing w:line="380" w:lineRule="atLeast"/>
        <w:rPr>
          <w:rFonts w:eastAsiaTheme="majorEastAsia" w:cstheme="majorBidi"/>
          <w:bCs/>
          <w:color w:val="931B2F"/>
          <w:sz w:val="32"/>
          <w:szCs w:val="26"/>
        </w:rPr>
      </w:pPr>
      <w:bookmarkStart w:id="165" w:name="_Toc192134405"/>
      <w:bookmarkStart w:id="166" w:name="_Toc333918994"/>
      <w:bookmarkStart w:id="167" w:name="_Toc192134409"/>
      <w:r>
        <w:br w:type="page"/>
      </w:r>
    </w:p>
    <w:p w14:paraId="1B98ABE1" w14:textId="77777777" w:rsidR="00E45705" w:rsidRPr="001B09E6" w:rsidRDefault="00E45705" w:rsidP="00E45705">
      <w:pPr>
        <w:pStyle w:val="Heading2NoNumbering"/>
      </w:pPr>
      <w:bookmarkStart w:id="168" w:name="_Toc219347270"/>
      <w:r w:rsidRPr="001B09E6">
        <w:t>Attainment – overall</w:t>
      </w:r>
      <w:bookmarkEnd w:id="165"/>
      <w:bookmarkEnd w:id="166"/>
      <w:bookmarkEnd w:id="168"/>
    </w:p>
    <w:p w14:paraId="4B06AA5C" w14:textId="77777777" w:rsidR="00E45705" w:rsidRPr="001B09E6" w:rsidRDefault="00E45705" w:rsidP="00E45705">
      <w:pPr>
        <w:pStyle w:val="Heading3NoNumbering"/>
      </w:pPr>
      <w:bookmarkStart w:id="169" w:name="_Toc192134406"/>
      <w:bookmarkStart w:id="170" w:name="_Toc333918995"/>
      <w:r w:rsidRPr="001B09E6">
        <w:t>Table A2.15: Year 12 or Certificate II/III attainment</w:t>
      </w:r>
      <w:bookmarkEnd w:id="169"/>
      <w:bookmarkEnd w:id="170"/>
    </w:p>
    <w:tbl>
      <w:tblPr>
        <w:tblW w:w="13420" w:type="dxa"/>
        <w:tblCellMar>
          <w:left w:w="0" w:type="dxa"/>
          <w:right w:w="0" w:type="dxa"/>
        </w:tblCellMar>
        <w:tblLook w:val="04A0" w:firstRow="1" w:lastRow="0" w:firstColumn="1" w:lastColumn="0" w:noHBand="0" w:noVBand="1"/>
        <w:tblCaption w:val="Table A2.15: Year 12 or Certificate II/III attainment Proportion of persons aged 15–24 years who have completed Year 12 (or equivalent) or attained a formal qualification at Certificate II/III level or above (%) "/>
        <w:tblDescription w:val="Table A2.15: Year 12 or Certificate II/III attainment&#10;Proportion of persons aged 15–24 years who have completed Year 12 (or equivalent) or attained a formal qualification at Certificate II/III level or above (%)&#10;"/>
      </w:tblPr>
      <w:tblGrid>
        <w:gridCol w:w="2709"/>
        <w:gridCol w:w="1823"/>
        <w:gridCol w:w="808"/>
        <w:gridCol w:w="808"/>
        <w:gridCol w:w="808"/>
        <w:gridCol w:w="808"/>
        <w:gridCol w:w="808"/>
        <w:gridCol w:w="808"/>
        <w:gridCol w:w="808"/>
        <w:gridCol w:w="808"/>
        <w:gridCol w:w="808"/>
        <w:gridCol w:w="808"/>
        <w:gridCol w:w="808"/>
      </w:tblGrid>
      <w:tr w:rsidR="00E45705" w:rsidRPr="001B09E6" w14:paraId="100A2028" w14:textId="77777777" w:rsidTr="00E45705">
        <w:trPr>
          <w:trHeight w:val="376"/>
        </w:trPr>
        <w:tc>
          <w:tcPr>
            <w:tcW w:w="13420" w:type="dxa"/>
            <w:gridSpan w:val="13"/>
            <w:tcBorders>
              <w:top w:val="nil"/>
              <w:left w:val="nil"/>
              <w:bottom w:val="nil"/>
              <w:right w:val="nil"/>
            </w:tcBorders>
            <w:shd w:val="clear" w:color="auto" w:fill="auto"/>
            <w:tcMar>
              <w:top w:w="15" w:type="dxa"/>
              <w:left w:w="15" w:type="dxa"/>
              <w:bottom w:w="0" w:type="dxa"/>
              <w:right w:w="15" w:type="dxa"/>
            </w:tcMar>
            <w:vAlign w:val="bottom"/>
            <w:hideMark/>
          </w:tcPr>
          <w:p w14:paraId="59C25A2C" w14:textId="77777777" w:rsidR="00E45705" w:rsidRPr="001B09E6" w:rsidRDefault="00E45705" w:rsidP="00E45705">
            <w:pPr>
              <w:pStyle w:val="TableHeading"/>
              <w:spacing w:before="112"/>
            </w:pPr>
            <w:r w:rsidRPr="001B09E6">
              <w:t>Proportion of persons aged 15–24 years who have completed Year 12 (or equivalent) or attained a formal qualification at Certificate II/III level or above (%)</w:t>
            </w:r>
          </w:p>
        </w:tc>
      </w:tr>
      <w:tr w:rsidR="00E45705" w:rsidRPr="001B09E6" w14:paraId="6B72187B" w14:textId="77777777" w:rsidTr="00E45705">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F804DA9" w14:textId="77777777" w:rsidR="00E45705" w:rsidRPr="001B09E6" w:rsidRDefault="00E45705" w:rsidP="00E45705">
            <w:pPr>
              <w:pStyle w:val="TableColumnHeading"/>
              <w:spacing w:before="0" w:after="0"/>
              <w:ind w:left="0" w:right="0"/>
            </w:pPr>
            <w:r w:rsidRPr="001B09E6">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8302FE7" w14:textId="77777777" w:rsidR="00E45705" w:rsidRPr="001B09E6" w:rsidRDefault="00E45705" w:rsidP="00E45705">
            <w:pPr>
              <w:pStyle w:val="TableColumnHeading"/>
              <w:spacing w:before="0" w:after="0"/>
              <w:ind w:left="0" w:right="0"/>
            </w:pPr>
            <w:r w:rsidRPr="001B09E6">
              <w:t>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BAA6CC9" w14:textId="77777777" w:rsidR="00E45705" w:rsidRPr="001B09E6" w:rsidRDefault="00E45705" w:rsidP="00E45705">
            <w:pPr>
              <w:pStyle w:val="TableColumnHeading"/>
              <w:spacing w:before="0" w:after="0"/>
              <w:ind w:left="0" w:right="0"/>
            </w:pPr>
            <w:r w:rsidRPr="001B09E6">
              <w:t>2001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41C39E1" w14:textId="77777777" w:rsidR="00E45705" w:rsidRPr="001B09E6" w:rsidRDefault="00E45705" w:rsidP="00E45705">
            <w:pPr>
              <w:pStyle w:val="TableColumnHeading"/>
              <w:spacing w:before="0" w:after="0"/>
              <w:ind w:left="0" w:right="0"/>
            </w:pPr>
            <w:r w:rsidRPr="001B09E6">
              <w:t>2002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9E544EE" w14:textId="77777777" w:rsidR="00E45705" w:rsidRPr="001B09E6" w:rsidRDefault="00E45705" w:rsidP="00E45705">
            <w:pPr>
              <w:pStyle w:val="TableColumnHeading"/>
              <w:spacing w:before="0" w:after="0"/>
              <w:ind w:left="0" w:right="0"/>
            </w:pPr>
            <w:r w:rsidRPr="001B09E6">
              <w:t>2003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B923049" w14:textId="77777777" w:rsidR="00E45705" w:rsidRPr="001B09E6" w:rsidRDefault="00E45705" w:rsidP="00E45705">
            <w:pPr>
              <w:pStyle w:val="TableColumnHeading"/>
              <w:spacing w:before="0" w:after="0"/>
              <w:ind w:left="0" w:right="0"/>
            </w:pPr>
            <w:r w:rsidRPr="001B09E6">
              <w:t>2004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253217C" w14:textId="77777777" w:rsidR="00E45705" w:rsidRPr="001B09E6" w:rsidRDefault="00E45705" w:rsidP="00E45705">
            <w:pPr>
              <w:pStyle w:val="TableColumnHeading"/>
              <w:spacing w:before="0" w:after="0"/>
              <w:ind w:left="0" w:right="0"/>
            </w:pPr>
            <w:r w:rsidRPr="001B09E6">
              <w:t>2005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A385807" w14:textId="77777777" w:rsidR="00E45705" w:rsidRPr="001B09E6" w:rsidRDefault="00E45705" w:rsidP="00E45705">
            <w:pPr>
              <w:pStyle w:val="TableColumnHeading"/>
              <w:spacing w:before="0" w:after="0"/>
              <w:ind w:left="0" w:right="0"/>
            </w:pPr>
            <w:r w:rsidRPr="001B09E6">
              <w:t>2006</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E95F769" w14:textId="77777777" w:rsidR="00E45705" w:rsidRPr="001B09E6" w:rsidRDefault="00E45705" w:rsidP="00E45705">
            <w:pPr>
              <w:pStyle w:val="TableColumnHeading"/>
              <w:spacing w:before="0" w:after="0"/>
              <w:ind w:left="0" w:right="0"/>
            </w:pPr>
            <w:r w:rsidRPr="001B09E6">
              <w:t>2007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A413C15" w14:textId="77777777" w:rsidR="00E45705" w:rsidRPr="001B09E6" w:rsidRDefault="00E45705" w:rsidP="00E45705">
            <w:pPr>
              <w:pStyle w:val="TableColumnHeading"/>
              <w:spacing w:before="0" w:after="0"/>
              <w:ind w:left="0" w:right="0"/>
            </w:pPr>
            <w:r w:rsidRPr="001B09E6">
              <w:t>2008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3AAA94D" w14:textId="77777777" w:rsidR="00E45705" w:rsidRPr="001B09E6" w:rsidRDefault="00E45705" w:rsidP="00E45705">
            <w:pPr>
              <w:pStyle w:val="TableColumnHeading"/>
              <w:spacing w:before="0" w:after="0"/>
              <w:ind w:left="0" w:right="0"/>
            </w:pPr>
            <w:r w:rsidRPr="001B09E6">
              <w:t>2009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52DC73C" w14:textId="77777777" w:rsidR="00E45705" w:rsidRPr="001B09E6" w:rsidRDefault="00E45705" w:rsidP="00E45705">
            <w:pPr>
              <w:pStyle w:val="TableColumnHeading"/>
              <w:spacing w:before="0" w:after="0"/>
              <w:ind w:left="0" w:right="0"/>
            </w:pPr>
            <w:r w:rsidRPr="001B09E6">
              <w:t>2010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84147F4" w14:textId="77777777" w:rsidR="00E45705" w:rsidRPr="001B09E6" w:rsidRDefault="00E45705" w:rsidP="00E45705">
            <w:pPr>
              <w:pStyle w:val="TableColumnHeading"/>
              <w:spacing w:before="0" w:after="0"/>
              <w:ind w:left="0" w:right="0"/>
            </w:pPr>
            <w:r w:rsidRPr="001B09E6">
              <w:t>2011</w:t>
            </w:r>
          </w:p>
        </w:tc>
      </w:tr>
      <w:tr w:rsidR="00E45705" w:rsidRPr="001B09E6" w14:paraId="5BBCF62A" w14:textId="77777777" w:rsidTr="00E45705">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3221368" w14:textId="77777777" w:rsidR="00E45705" w:rsidRPr="001B09E6" w:rsidRDefault="00E45705" w:rsidP="00E45705">
            <w:pPr>
              <w:pStyle w:val="TableCellText"/>
              <w:spacing w:before="0" w:after="0"/>
              <w:ind w:left="0" w:right="0"/>
            </w:pPr>
            <w:r w:rsidRPr="001B09E6">
              <w:t>Year 12 or Cert II</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D4F45D7" w14:textId="77777777" w:rsidR="00E45705" w:rsidRPr="001B09E6" w:rsidRDefault="00E45705" w:rsidP="00E45705">
            <w:pPr>
              <w:pStyle w:val="TableCellText"/>
              <w:spacing w:before="0" w:after="0"/>
              <w:ind w:left="0" w:right="0"/>
            </w:pPr>
            <w:r w:rsidRPr="001B09E6">
              <w:t>15-19 years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5370068" w14:textId="77777777" w:rsidR="00E45705" w:rsidRPr="001B09E6" w:rsidRDefault="00E45705" w:rsidP="00E45705">
            <w:pPr>
              <w:pStyle w:val="TableCellText"/>
              <w:spacing w:before="0" w:after="0"/>
              <w:ind w:left="0" w:right="0"/>
            </w:pPr>
            <w:r w:rsidRPr="001B09E6">
              <w:t>31.4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A174B35" w14:textId="77777777" w:rsidR="00E45705" w:rsidRPr="001B09E6" w:rsidRDefault="00E45705" w:rsidP="00E45705">
            <w:pPr>
              <w:pStyle w:val="TableCellText"/>
              <w:spacing w:before="0" w:after="0"/>
              <w:ind w:left="0" w:right="0"/>
            </w:pPr>
            <w:r w:rsidRPr="001B09E6">
              <w:t>34.1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AACF749" w14:textId="77777777" w:rsidR="00E45705" w:rsidRPr="001B09E6" w:rsidRDefault="00E45705" w:rsidP="00E45705">
            <w:pPr>
              <w:pStyle w:val="TableCellText"/>
              <w:spacing w:before="0" w:after="0"/>
              <w:ind w:left="0" w:right="0"/>
            </w:pPr>
            <w:r w:rsidRPr="001B09E6">
              <w:t>32.9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8978CDA" w14:textId="77777777" w:rsidR="00E45705" w:rsidRPr="001B09E6" w:rsidRDefault="00E45705" w:rsidP="00E45705">
            <w:pPr>
              <w:pStyle w:val="TableCellText"/>
              <w:spacing w:before="0" w:after="0"/>
              <w:ind w:left="0" w:right="0"/>
            </w:pPr>
            <w:r w:rsidRPr="001B09E6">
              <w:t>33.4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9035F2A" w14:textId="77777777" w:rsidR="00E45705" w:rsidRPr="001B09E6" w:rsidRDefault="00E45705" w:rsidP="00E45705">
            <w:pPr>
              <w:pStyle w:val="TableCellText"/>
              <w:spacing w:before="0" w:after="0"/>
              <w:ind w:left="0" w:right="0"/>
            </w:pPr>
            <w:r w:rsidRPr="001B09E6">
              <w:t>33.7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1668B2E" w14:textId="77777777" w:rsidR="00E45705" w:rsidRPr="001B09E6" w:rsidRDefault="00E45705" w:rsidP="00E45705">
            <w:pPr>
              <w:pStyle w:val="TableCellText"/>
              <w:spacing w:before="0" w:after="0"/>
              <w:ind w:left="0" w:right="0"/>
            </w:pPr>
            <w:r w:rsidRPr="001B09E6">
              <w:t>34.3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5F60AAC" w14:textId="77777777" w:rsidR="00E45705" w:rsidRPr="001B09E6" w:rsidRDefault="00E45705" w:rsidP="00E45705">
            <w:pPr>
              <w:pStyle w:val="TableCellText"/>
              <w:spacing w:before="0" w:after="0"/>
              <w:ind w:left="0" w:right="0"/>
            </w:pPr>
            <w:r w:rsidRPr="001B09E6">
              <w:t>33.7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B0453B5" w14:textId="77777777" w:rsidR="00E45705" w:rsidRPr="001B09E6" w:rsidRDefault="00E45705" w:rsidP="00E45705">
            <w:pPr>
              <w:pStyle w:val="TableCellText"/>
              <w:spacing w:before="0" w:after="0"/>
              <w:ind w:left="0" w:right="0"/>
            </w:pPr>
            <w:r w:rsidRPr="001B09E6">
              <w:t>33.3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00C2949" w14:textId="77777777" w:rsidR="00E45705" w:rsidRPr="001B09E6" w:rsidRDefault="00E45705" w:rsidP="00E45705">
            <w:pPr>
              <w:pStyle w:val="TableCellText"/>
              <w:spacing w:before="0" w:after="0"/>
              <w:ind w:left="0" w:right="0"/>
            </w:pPr>
            <w:r w:rsidRPr="001B09E6">
              <w:t>32.8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D98A9E3" w14:textId="77777777" w:rsidR="00E45705" w:rsidRPr="001B09E6" w:rsidRDefault="00E45705" w:rsidP="00E45705">
            <w:pPr>
              <w:pStyle w:val="TableCellText"/>
              <w:spacing w:before="0" w:after="0"/>
              <w:ind w:left="0" w:right="0"/>
            </w:pPr>
            <w:r w:rsidRPr="001B09E6">
              <w:t>35.3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4BA5788" w14:textId="77777777" w:rsidR="00E45705" w:rsidRPr="001B09E6" w:rsidRDefault="00E45705" w:rsidP="00E45705">
            <w:pPr>
              <w:pStyle w:val="TableCellText"/>
              <w:spacing w:before="0" w:after="0"/>
              <w:ind w:left="0" w:right="0"/>
            </w:pPr>
            <w:r w:rsidRPr="001B09E6">
              <w:t>34.4</w:t>
            </w:r>
          </w:p>
        </w:tc>
      </w:tr>
      <w:tr w:rsidR="00E45705" w:rsidRPr="001B09E6" w14:paraId="582CA9CE" w14:textId="77777777" w:rsidTr="00E4570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3C8976" w14:textId="77777777" w:rsidR="00E45705" w:rsidRPr="001B09E6" w:rsidRDefault="00E45705" w:rsidP="00E45705">
            <w:pPr>
              <w:pStyle w:val="TableCellText"/>
              <w:spacing w:before="0" w:after="0"/>
              <w:ind w:left="0" w:right="0"/>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C727CC3" w14:textId="77777777" w:rsidR="00E45705" w:rsidRPr="001B09E6" w:rsidRDefault="00E45705" w:rsidP="00E45705">
            <w:pPr>
              <w:pStyle w:val="TableCellText"/>
              <w:spacing w:before="0" w:after="0"/>
              <w:ind w:left="0" w:right="0"/>
            </w:pPr>
            <w:r w:rsidRPr="001B09E6">
              <w:t>20-24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F291949" w14:textId="77777777" w:rsidR="00E45705" w:rsidRPr="001B09E6" w:rsidRDefault="00E45705" w:rsidP="00E45705">
            <w:pPr>
              <w:pStyle w:val="TableCellText"/>
              <w:spacing w:before="0" w:after="0"/>
              <w:ind w:left="0" w:right="0"/>
            </w:pPr>
            <w:r w:rsidRPr="001B09E6">
              <w:t>79.1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6BBD431" w14:textId="77777777" w:rsidR="00E45705" w:rsidRPr="001B09E6" w:rsidRDefault="00E45705" w:rsidP="00E45705">
            <w:pPr>
              <w:pStyle w:val="TableCellText"/>
              <w:spacing w:before="0" w:after="0"/>
              <w:ind w:left="0" w:right="0"/>
            </w:pPr>
            <w:r w:rsidRPr="001B09E6">
              <w:t>80.0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EC8515C" w14:textId="77777777" w:rsidR="00E45705" w:rsidRPr="001B09E6" w:rsidRDefault="00E45705" w:rsidP="00E45705">
            <w:pPr>
              <w:pStyle w:val="TableCellText"/>
              <w:spacing w:before="0" w:after="0"/>
              <w:ind w:left="0" w:right="0"/>
            </w:pPr>
            <w:r w:rsidRPr="001B09E6">
              <w:t>80.4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E63666" w14:textId="77777777" w:rsidR="00E45705" w:rsidRPr="001B09E6" w:rsidRDefault="00E45705" w:rsidP="00E45705">
            <w:pPr>
              <w:pStyle w:val="TableCellText"/>
              <w:spacing w:before="0" w:after="0"/>
              <w:ind w:left="0" w:right="0"/>
            </w:pPr>
            <w:r w:rsidRPr="001B09E6">
              <w:t>81.3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BC1CA2F" w14:textId="77777777" w:rsidR="00E45705" w:rsidRPr="001B09E6" w:rsidRDefault="00E45705" w:rsidP="00E45705">
            <w:pPr>
              <w:pStyle w:val="TableCellText"/>
              <w:spacing w:before="0" w:after="0"/>
              <w:ind w:left="0" w:right="0"/>
            </w:pPr>
            <w:r w:rsidRPr="001B09E6">
              <w:t>81.2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7652D3" w14:textId="77777777" w:rsidR="00E45705" w:rsidRPr="001B09E6" w:rsidRDefault="00E45705" w:rsidP="00E45705">
            <w:pPr>
              <w:pStyle w:val="TableCellText"/>
              <w:spacing w:before="0" w:after="0"/>
              <w:ind w:left="0" w:right="0"/>
            </w:pPr>
            <w:r w:rsidRPr="001B09E6">
              <w:t>81.9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A545C1E" w14:textId="77777777" w:rsidR="00E45705" w:rsidRPr="001B09E6" w:rsidRDefault="00E45705" w:rsidP="00E45705">
            <w:pPr>
              <w:pStyle w:val="TableCellText"/>
              <w:spacing w:before="0" w:after="0"/>
              <w:ind w:left="0" w:right="0"/>
            </w:pPr>
            <w:r w:rsidRPr="001B09E6">
              <w:t>83.5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15EC138" w14:textId="77777777" w:rsidR="00E45705" w:rsidRPr="001B09E6" w:rsidRDefault="00E45705" w:rsidP="00E45705">
            <w:pPr>
              <w:pStyle w:val="TableCellText"/>
              <w:spacing w:before="0" w:after="0"/>
              <w:ind w:left="0" w:right="0"/>
            </w:pPr>
            <w:r w:rsidRPr="001B09E6">
              <w:t>84.2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B273E69" w14:textId="77777777" w:rsidR="00E45705" w:rsidRPr="001B09E6" w:rsidRDefault="00E45705" w:rsidP="00E45705">
            <w:pPr>
              <w:pStyle w:val="TableCellText"/>
              <w:spacing w:before="0" w:after="0"/>
              <w:ind w:left="0" w:right="0"/>
            </w:pPr>
            <w:r w:rsidRPr="001B09E6">
              <w:t>84.5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B921D69" w14:textId="77777777" w:rsidR="00E45705" w:rsidRPr="001B09E6" w:rsidRDefault="00E45705" w:rsidP="00E45705">
            <w:pPr>
              <w:pStyle w:val="TableCellText"/>
              <w:spacing w:before="0" w:after="0"/>
              <w:ind w:left="0" w:right="0"/>
            </w:pPr>
            <w:r w:rsidRPr="001B09E6">
              <w:t>85.6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F7F0D43" w14:textId="77777777" w:rsidR="00E45705" w:rsidRPr="001B09E6" w:rsidRDefault="00E45705" w:rsidP="00E45705">
            <w:pPr>
              <w:pStyle w:val="TableCellText"/>
              <w:spacing w:before="0" w:after="0"/>
              <w:ind w:left="0" w:right="0"/>
            </w:pPr>
            <w:r w:rsidRPr="001B09E6">
              <w:t>84.1</w:t>
            </w:r>
          </w:p>
        </w:tc>
      </w:tr>
      <w:tr w:rsidR="00E45705" w:rsidRPr="001B09E6" w14:paraId="2C2DD81E" w14:textId="77777777" w:rsidTr="00E4570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7B198E" w14:textId="77777777" w:rsidR="00E45705" w:rsidRPr="001B09E6" w:rsidRDefault="00E45705" w:rsidP="00E45705">
            <w:pPr>
              <w:pStyle w:val="TableCellText"/>
              <w:spacing w:before="0" w:after="0"/>
              <w:ind w:left="0" w:right="0"/>
            </w:pPr>
            <w:r w:rsidRPr="001B09E6">
              <w:t>Year 12 or Cert III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902EA2" w14:textId="77777777" w:rsidR="00E45705" w:rsidRPr="001B09E6" w:rsidRDefault="00E45705" w:rsidP="00E45705">
            <w:pPr>
              <w:pStyle w:val="TableCellText"/>
              <w:spacing w:before="0" w:after="0"/>
              <w:ind w:left="0" w:right="0"/>
            </w:pPr>
            <w:r w:rsidRPr="001B09E6">
              <w:t>15-19 years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59D2B8" w14:textId="77777777" w:rsidR="00E45705" w:rsidRPr="001B09E6" w:rsidRDefault="00E45705" w:rsidP="00E45705">
            <w:pPr>
              <w:pStyle w:val="TableCellText"/>
              <w:spacing w:before="0" w:after="0"/>
              <w:ind w:left="0" w:right="0"/>
            </w:pPr>
            <w:r w:rsidRPr="001B09E6">
              <w:t>30.8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F5BCD4" w14:textId="77777777" w:rsidR="00E45705" w:rsidRPr="001B09E6" w:rsidRDefault="00E45705" w:rsidP="00E45705">
            <w:pPr>
              <w:pStyle w:val="TableCellText"/>
              <w:spacing w:before="0" w:after="0"/>
              <w:ind w:left="0" w:right="0"/>
            </w:pPr>
            <w:r w:rsidRPr="001B09E6">
              <w:t>33.2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59DEA4" w14:textId="77777777" w:rsidR="00E45705" w:rsidRPr="001B09E6" w:rsidRDefault="00E45705" w:rsidP="00E45705">
            <w:pPr>
              <w:pStyle w:val="TableCellText"/>
              <w:spacing w:before="0" w:after="0"/>
              <w:ind w:left="0" w:right="0"/>
            </w:pPr>
            <w:r w:rsidRPr="001B09E6">
              <w:t>31.9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BF1A50" w14:textId="77777777" w:rsidR="00E45705" w:rsidRPr="001B09E6" w:rsidRDefault="00E45705" w:rsidP="00E45705">
            <w:pPr>
              <w:pStyle w:val="TableCellText"/>
              <w:spacing w:before="0" w:after="0"/>
              <w:ind w:left="0" w:right="0"/>
            </w:pPr>
            <w:r w:rsidRPr="001B09E6">
              <w:t>32.1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6135A5" w14:textId="77777777" w:rsidR="00E45705" w:rsidRPr="001B09E6" w:rsidRDefault="00E45705" w:rsidP="00E45705">
            <w:pPr>
              <w:pStyle w:val="TableCellText"/>
              <w:spacing w:before="0" w:after="0"/>
              <w:ind w:left="0" w:right="0"/>
            </w:pPr>
            <w:r w:rsidRPr="001B09E6">
              <w:t>32.5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53D8D3" w14:textId="77777777" w:rsidR="00E45705" w:rsidRPr="001B09E6" w:rsidRDefault="00E45705" w:rsidP="00E45705">
            <w:pPr>
              <w:pStyle w:val="TableCellText"/>
              <w:spacing w:before="0" w:after="0"/>
              <w:ind w:left="0" w:right="0"/>
            </w:pPr>
            <w:r w:rsidRPr="001B09E6">
              <w:t>33.3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B20758" w14:textId="77777777" w:rsidR="00E45705" w:rsidRPr="001B09E6" w:rsidRDefault="00E45705" w:rsidP="00E45705">
            <w:pPr>
              <w:pStyle w:val="TableCellText"/>
              <w:spacing w:before="0" w:after="0"/>
              <w:ind w:left="0" w:right="0"/>
            </w:pPr>
            <w:r w:rsidRPr="001B09E6">
              <w:t>32.9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D09C01" w14:textId="77777777" w:rsidR="00E45705" w:rsidRPr="001B09E6" w:rsidRDefault="00E45705" w:rsidP="00E45705">
            <w:pPr>
              <w:pStyle w:val="TableCellText"/>
              <w:spacing w:before="0" w:after="0"/>
              <w:ind w:left="0" w:right="0"/>
            </w:pPr>
            <w:r w:rsidRPr="001B09E6">
              <w:t>32.3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FD8E75" w14:textId="77777777" w:rsidR="00E45705" w:rsidRPr="001B09E6" w:rsidRDefault="00E45705" w:rsidP="00E45705">
            <w:pPr>
              <w:pStyle w:val="TableCellText"/>
              <w:spacing w:before="0" w:after="0"/>
              <w:ind w:left="0" w:right="0"/>
            </w:pPr>
            <w:r w:rsidRPr="001B09E6">
              <w:t>32.0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4EEBE7" w14:textId="77777777" w:rsidR="00E45705" w:rsidRPr="001B09E6" w:rsidRDefault="00E45705" w:rsidP="00E45705">
            <w:pPr>
              <w:pStyle w:val="TableCellText"/>
              <w:spacing w:before="0" w:after="0"/>
              <w:ind w:left="0" w:right="0"/>
            </w:pPr>
            <w:r w:rsidRPr="001B09E6">
              <w:t>33.9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BCEF1C" w14:textId="77777777" w:rsidR="00E45705" w:rsidRPr="001B09E6" w:rsidRDefault="00E45705" w:rsidP="00E45705">
            <w:pPr>
              <w:pStyle w:val="TableCellText"/>
              <w:spacing w:before="0" w:after="0"/>
              <w:ind w:left="0" w:right="0"/>
            </w:pPr>
            <w:r w:rsidRPr="001B09E6">
              <w:t>32.9</w:t>
            </w:r>
          </w:p>
        </w:tc>
      </w:tr>
      <w:tr w:rsidR="00E45705" w:rsidRPr="001B09E6" w14:paraId="5D7F2786" w14:textId="77777777" w:rsidTr="00E45705">
        <w:trPr>
          <w:trHeight w:val="30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5C8D3A8" w14:textId="77777777" w:rsidR="00E45705" w:rsidRPr="001B09E6" w:rsidRDefault="00E45705" w:rsidP="00E45705">
            <w:pPr>
              <w:pStyle w:val="TableCellText"/>
              <w:spacing w:before="0" w:after="0"/>
              <w:ind w:left="0" w:right="0"/>
            </w:pPr>
            <w:r w:rsidRPr="001B09E6">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46CCF4A" w14:textId="77777777" w:rsidR="00E45705" w:rsidRPr="001B09E6" w:rsidRDefault="00E45705" w:rsidP="00E45705">
            <w:pPr>
              <w:pStyle w:val="TableCellText"/>
              <w:spacing w:before="0" w:after="0"/>
              <w:ind w:left="0" w:right="0"/>
            </w:pPr>
            <w:r w:rsidRPr="001B09E6">
              <w:t>20-24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D591C14" w14:textId="77777777" w:rsidR="00E45705" w:rsidRPr="001B09E6" w:rsidRDefault="00E45705" w:rsidP="00E45705">
            <w:pPr>
              <w:pStyle w:val="TableCellText"/>
              <w:spacing w:before="0" w:after="0"/>
              <w:ind w:left="0" w:right="0"/>
            </w:pPr>
            <w:r w:rsidRPr="001B09E6">
              <w:t>77.1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E970F11" w14:textId="77777777" w:rsidR="00E45705" w:rsidRPr="001B09E6" w:rsidRDefault="00E45705" w:rsidP="00E45705">
            <w:pPr>
              <w:pStyle w:val="TableCellText"/>
              <w:spacing w:before="0" w:after="0"/>
              <w:ind w:left="0" w:right="0"/>
            </w:pPr>
            <w:r w:rsidRPr="001B09E6">
              <w:t>78.3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429FD48" w14:textId="77777777" w:rsidR="00E45705" w:rsidRPr="001B09E6" w:rsidRDefault="00E45705" w:rsidP="00E45705">
            <w:pPr>
              <w:pStyle w:val="TableCellText"/>
              <w:spacing w:before="0" w:after="0"/>
              <w:ind w:left="0" w:right="0"/>
            </w:pPr>
            <w:r w:rsidRPr="001B09E6">
              <w:t>78.9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9E6819B" w14:textId="77777777" w:rsidR="00E45705" w:rsidRPr="001B09E6" w:rsidRDefault="00E45705" w:rsidP="00E45705">
            <w:pPr>
              <w:pStyle w:val="TableCellText"/>
              <w:spacing w:before="0" w:after="0"/>
              <w:ind w:left="0" w:right="0"/>
            </w:pPr>
            <w:r w:rsidRPr="001B09E6">
              <w:t>80.3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B06F7F8" w14:textId="77777777" w:rsidR="00E45705" w:rsidRPr="001B09E6" w:rsidRDefault="00E45705" w:rsidP="00E45705">
            <w:pPr>
              <w:pStyle w:val="TableCellText"/>
              <w:spacing w:before="0" w:after="0"/>
              <w:ind w:left="0" w:right="0"/>
            </w:pPr>
            <w:r w:rsidRPr="001B09E6">
              <w:t>79.9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563A4B5" w14:textId="77777777" w:rsidR="00E45705" w:rsidRPr="001B09E6" w:rsidRDefault="00E45705" w:rsidP="00E45705">
            <w:pPr>
              <w:pStyle w:val="TableCellText"/>
              <w:spacing w:before="0" w:after="0"/>
              <w:ind w:left="0" w:right="0"/>
            </w:pPr>
            <w:r w:rsidRPr="001B09E6">
              <w:t>80.7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AB295C3" w14:textId="77777777" w:rsidR="00E45705" w:rsidRPr="001B09E6" w:rsidRDefault="00E45705" w:rsidP="00E45705">
            <w:pPr>
              <w:pStyle w:val="TableCellText"/>
              <w:spacing w:before="0" w:after="0"/>
              <w:ind w:left="0" w:right="0"/>
            </w:pPr>
            <w:r w:rsidRPr="001B09E6">
              <w:t>82.3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02823CB" w14:textId="77777777" w:rsidR="00E45705" w:rsidRPr="001B09E6" w:rsidRDefault="00E45705" w:rsidP="00E45705">
            <w:pPr>
              <w:pStyle w:val="TableCellText"/>
              <w:spacing w:before="0" w:after="0"/>
              <w:ind w:left="0" w:right="0"/>
            </w:pPr>
            <w:r w:rsidRPr="001B09E6">
              <w:t>83.2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F2074D" w14:textId="77777777" w:rsidR="00E45705" w:rsidRPr="001B09E6" w:rsidRDefault="00E45705" w:rsidP="00E45705">
            <w:pPr>
              <w:pStyle w:val="TableCellText"/>
              <w:spacing w:before="0" w:after="0"/>
              <w:ind w:left="0" w:right="0"/>
            </w:pPr>
            <w:r w:rsidRPr="001B09E6">
              <w:t>83.5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0EE5AC" w14:textId="77777777" w:rsidR="00E45705" w:rsidRPr="001B09E6" w:rsidRDefault="00E45705" w:rsidP="00E45705">
            <w:pPr>
              <w:pStyle w:val="TableCellText"/>
              <w:spacing w:before="0" w:after="0"/>
              <w:ind w:left="0" w:right="0"/>
            </w:pPr>
            <w:r w:rsidRPr="001B09E6">
              <w:t>84.5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8DC303" w14:textId="77777777" w:rsidR="00E45705" w:rsidRPr="001B09E6" w:rsidRDefault="00E45705" w:rsidP="00E45705">
            <w:pPr>
              <w:pStyle w:val="TableCellText"/>
              <w:spacing w:before="0" w:after="0"/>
              <w:ind w:left="0" w:right="0"/>
            </w:pPr>
            <w:r w:rsidRPr="001B09E6">
              <w:t>82.7</w:t>
            </w:r>
          </w:p>
        </w:tc>
      </w:tr>
    </w:tbl>
    <w:p w14:paraId="721C2CEC" w14:textId="77777777" w:rsidR="00E45705" w:rsidRPr="001B09E6" w:rsidRDefault="00E45705" w:rsidP="00E45705">
      <w:pPr>
        <w:pStyle w:val="TableHeading"/>
        <w:spacing w:before="112"/>
      </w:pPr>
      <w:r w:rsidRPr="001B09E6">
        <w:t>95% confidence interval for proportion of persons aged 15–24 years who have completed Year 12 (or equivalent) or attained a formal qualification at Certificate II/III level or abo</w:t>
      </w:r>
    </w:p>
    <w:tbl>
      <w:tblPr>
        <w:tblW w:w="5000" w:type="pct"/>
        <w:tblCellMar>
          <w:left w:w="0" w:type="dxa"/>
          <w:right w:w="0" w:type="dxa"/>
        </w:tblCellMar>
        <w:tblLook w:val="04A0" w:firstRow="1" w:lastRow="0" w:firstColumn="1" w:lastColumn="0" w:noHBand="0" w:noVBand="1"/>
        <w:tblCaption w:val="95% confidence interval for proportion of persons aged 15–24 years who have completed Year 12 (or equivalent) or attained a formal qualification at Certificate II/III level or abo "/>
        <w:tblDescription w:val="95% confidence interval for proportion of persons aged 15–24 years who have completed Year 12 (or equivalent) or attained a formal qualification at Certificate II/III level or abo&#10;"/>
      </w:tblPr>
      <w:tblGrid>
        <w:gridCol w:w="2318"/>
        <w:gridCol w:w="1681"/>
        <w:gridCol w:w="950"/>
        <w:gridCol w:w="950"/>
        <w:gridCol w:w="950"/>
        <w:gridCol w:w="949"/>
        <w:gridCol w:w="949"/>
        <w:gridCol w:w="949"/>
        <w:gridCol w:w="949"/>
        <w:gridCol w:w="949"/>
        <w:gridCol w:w="949"/>
        <w:gridCol w:w="949"/>
        <w:gridCol w:w="938"/>
      </w:tblGrid>
      <w:tr w:rsidR="00E45705" w:rsidRPr="001B09E6" w14:paraId="00131F2E" w14:textId="77777777" w:rsidTr="00E45705">
        <w:trPr>
          <w:trHeight w:val="300"/>
        </w:trPr>
        <w:tc>
          <w:tcPr>
            <w:tcW w:w="803"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DF4537E" w14:textId="77777777" w:rsidR="00E45705" w:rsidRPr="001B09E6" w:rsidRDefault="00E45705" w:rsidP="00E45705">
            <w:pPr>
              <w:pStyle w:val="TableColumnHeading"/>
              <w:spacing w:before="0" w:after="0"/>
              <w:ind w:left="0" w:right="0"/>
            </w:pPr>
            <w:r w:rsidRPr="001B09E6">
              <w:t> </w:t>
            </w:r>
          </w:p>
        </w:tc>
        <w:tc>
          <w:tcPr>
            <w:tcW w:w="58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133E90E" w14:textId="77777777" w:rsidR="00E45705" w:rsidRPr="001B09E6" w:rsidRDefault="00E45705" w:rsidP="00E45705">
            <w:pPr>
              <w:pStyle w:val="TableColumnHeading"/>
              <w:spacing w:before="0" w:after="0"/>
              <w:ind w:left="0" w:right="0"/>
            </w:pPr>
            <w:r w:rsidRPr="001B09E6">
              <w:t> </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F80A796" w14:textId="77777777" w:rsidR="00E45705" w:rsidRPr="001B09E6" w:rsidRDefault="00E45705" w:rsidP="00E45705">
            <w:pPr>
              <w:pStyle w:val="TableColumnHeading"/>
              <w:spacing w:before="0" w:after="0"/>
              <w:ind w:left="0" w:right="0"/>
            </w:pPr>
            <w:r w:rsidRPr="001B09E6">
              <w:t>2001</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5A9F5BE" w14:textId="77777777" w:rsidR="00E45705" w:rsidRPr="001B09E6" w:rsidRDefault="00E45705" w:rsidP="00E45705">
            <w:pPr>
              <w:pStyle w:val="TableColumnHeading"/>
              <w:spacing w:before="0" w:after="0"/>
              <w:ind w:left="0" w:right="0"/>
            </w:pPr>
            <w:r w:rsidRPr="001B09E6">
              <w:t>2002</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445421C" w14:textId="77777777" w:rsidR="00E45705" w:rsidRPr="001B09E6" w:rsidRDefault="00E45705" w:rsidP="00E45705">
            <w:pPr>
              <w:pStyle w:val="TableColumnHeading"/>
              <w:spacing w:before="0" w:after="0"/>
              <w:ind w:left="0" w:right="0"/>
            </w:pPr>
            <w:r w:rsidRPr="001B09E6">
              <w:t>2003</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005D59B" w14:textId="77777777" w:rsidR="00E45705" w:rsidRPr="001B09E6" w:rsidRDefault="00E45705" w:rsidP="00E45705">
            <w:pPr>
              <w:pStyle w:val="TableColumnHeading"/>
              <w:spacing w:before="0" w:after="0"/>
              <w:ind w:left="0" w:right="0"/>
            </w:pPr>
            <w:r w:rsidRPr="001B09E6">
              <w:t>2004</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AE0864F" w14:textId="77777777" w:rsidR="00E45705" w:rsidRPr="001B09E6" w:rsidRDefault="00E45705" w:rsidP="00E45705">
            <w:pPr>
              <w:pStyle w:val="TableColumnHeading"/>
              <w:spacing w:before="0" w:after="0"/>
              <w:ind w:left="0" w:right="0"/>
            </w:pPr>
            <w:r w:rsidRPr="001B09E6">
              <w:t>2005</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28D46DD" w14:textId="77777777" w:rsidR="00E45705" w:rsidRPr="001B09E6" w:rsidRDefault="00E45705" w:rsidP="00E45705">
            <w:pPr>
              <w:pStyle w:val="TableColumnHeading"/>
              <w:spacing w:before="0" w:after="0"/>
              <w:ind w:left="0" w:right="0"/>
            </w:pPr>
            <w:r w:rsidRPr="001B09E6">
              <w:t>2006</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0E44EAD" w14:textId="77777777" w:rsidR="00E45705" w:rsidRPr="001B09E6" w:rsidRDefault="00E45705" w:rsidP="00E45705">
            <w:pPr>
              <w:pStyle w:val="TableColumnHeading"/>
              <w:spacing w:before="0" w:after="0"/>
              <w:ind w:left="0" w:right="0"/>
            </w:pPr>
            <w:r w:rsidRPr="001B09E6">
              <w:t>2007</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1AAF3C7" w14:textId="77777777" w:rsidR="00E45705" w:rsidRPr="001B09E6" w:rsidRDefault="00E45705" w:rsidP="00E45705">
            <w:pPr>
              <w:pStyle w:val="TableColumnHeading"/>
              <w:spacing w:before="0" w:after="0"/>
              <w:ind w:left="0" w:right="0"/>
            </w:pPr>
            <w:r w:rsidRPr="001B09E6">
              <w:t>2008</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656FB38" w14:textId="77777777" w:rsidR="00E45705" w:rsidRPr="001B09E6" w:rsidRDefault="00E45705" w:rsidP="00E45705">
            <w:pPr>
              <w:pStyle w:val="TableColumnHeading"/>
              <w:spacing w:before="0" w:after="0"/>
              <w:ind w:left="0" w:right="0"/>
            </w:pPr>
            <w:r w:rsidRPr="001B09E6">
              <w:t>2009</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1F06995" w14:textId="77777777" w:rsidR="00E45705" w:rsidRPr="001B09E6" w:rsidRDefault="00E45705" w:rsidP="00E45705">
            <w:pPr>
              <w:pStyle w:val="TableColumnHeading"/>
              <w:spacing w:before="0" w:after="0"/>
              <w:ind w:left="0" w:right="0"/>
            </w:pPr>
            <w:r w:rsidRPr="001B09E6">
              <w:t>2010</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F0F7BF4" w14:textId="77777777" w:rsidR="00E45705" w:rsidRPr="001B09E6" w:rsidRDefault="00E45705" w:rsidP="00E45705">
            <w:pPr>
              <w:pStyle w:val="TableColumnHeading"/>
              <w:spacing w:before="0" w:after="0"/>
              <w:ind w:left="0" w:right="0"/>
            </w:pPr>
            <w:r w:rsidRPr="001B09E6">
              <w:t>2011</w:t>
            </w:r>
          </w:p>
        </w:tc>
      </w:tr>
      <w:tr w:rsidR="00E45705" w:rsidRPr="001B09E6" w14:paraId="08B67764" w14:textId="77777777" w:rsidTr="00E45705">
        <w:trPr>
          <w:trHeight w:val="300"/>
        </w:trPr>
        <w:tc>
          <w:tcPr>
            <w:tcW w:w="803"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89FCB86" w14:textId="77777777" w:rsidR="00E45705" w:rsidRPr="001B09E6" w:rsidRDefault="00E45705" w:rsidP="00E45705">
            <w:pPr>
              <w:pStyle w:val="TableCellText"/>
              <w:spacing w:before="0" w:after="0"/>
              <w:ind w:left="0" w:right="0"/>
            </w:pPr>
            <w:r w:rsidRPr="001B09E6">
              <w:t>Year 12 or Cert II</w:t>
            </w:r>
          </w:p>
        </w:tc>
        <w:tc>
          <w:tcPr>
            <w:tcW w:w="58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54FCD24" w14:textId="77777777" w:rsidR="00E45705" w:rsidRPr="001B09E6" w:rsidRDefault="00E45705" w:rsidP="00E45705">
            <w:pPr>
              <w:pStyle w:val="TableCellText"/>
              <w:spacing w:before="0" w:after="0"/>
              <w:ind w:left="0" w:right="0"/>
            </w:pPr>
            <w:r w:rsidRPr="001B09E6">
              <w:t>15-19 years</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17DB021" w14:textId="77777777" w:rsidR="00E45705" w:rsidRPr="001B09E6" w:rsidRDefault="00E45705" w:rsidP="00E45705">
            <w:pPr>
              <w:pStyle w:val="TableCellText"/>
              <w:spacing w:before="0" w:after="0"/>
              <w:ind w:left="0" w:right="0"/>
            </w:pPr>
            <w:r w:rsidRPr="001B09E6">
              <w:t>0.7</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DDA917E" w14:textId="77777777" w:rsidR="00E45705" w:rsidRPr="001B09E6" w:rsidRDefault="00E45705" w:rsidP="00E45705">
            <w:pPr>
              <w:pStyle w:val="TableCellText"/>
              <w:spacing w:before="0" w:after="0"/>
              <w:ind w:left="0" w:right="0"/>
            </w:pPr>
            <w:r w:rsidRPr="001B09E6">
              <w:t>1.4</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50C6EC2" w14:textId="77777777" w:rsidR="00E45705" w:rsidRPr="001B09E6" w:rsidRDefault="00E45705" w:rsidP="00E45705">
            <w:pPr>
              <w:pStyle w:val="TableCellText"/>
              <w:spacing w:before="0" w:after="0"/>
              <w:ind w:left="0" w:right="0"/>
            </w:pPr>
            <w:r w:rsidRPr="001B09E6">
              <w:t>1.3</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901E191" w14:textId="77777777" w:rsidR="00E45705" w:rsidRPr="001B09E6" w:rsidRDefault="00E45705" w:rsidP="00E45705">
            <w:pPr>
              <w:pStyle w:val="TableCellText"/>
              <w:spacing w:before="0" w:after="0"/>
              <w:ind w:left="0" w:right="0"/>
            </w:pPr>
            <w:r w:rsidRPr="001B09E6">
              <w:t>1.3</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8375064" w14:textId="77777777" w:rsidR="00E45705" w:rsidRPr="001B09E6" w:rsidRDefault="00E45705" w:rsidP="00E45705">
            <w:pPr>
              <w:pStyle w:val="TableCellText"/>
              <w:spacing w:before="0" w:after="0"/>
              <w:ind w:left="0" w:right="0"/>
            </w:pPr>
            <w:r w:rsidRPr="001B09E6">
              <w:t>1.0</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D13E891" w14:textId="77777777" w:rsidR="00E45705" w:rsidRPr="001B09E6" w:rsidRDefault="00E45705" w:rsidP="00E45705">
            <w:pPr>
              <w:pStyle w:val="TableCellText"/>
              <w:spacing w:before="0" w:after="0"/>
              <w:ind w:left="0" w:right="0"/>
            </w:pPr>
            <w:r w:rsidRPr="001B09E6">
              <w:t>1.3</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FCDCD28" w14:textId="77777777" w:rsidR="00E45705" w:rsidRPr="001B09E6" w:rsidRDefault="00E45705" w:rsidP="00E45705">
            <w:pPr>
              <w:pStyle w:val="TableCellText"/>
              <w:spacing w:before="0" w:after="0"/>
              <w:ind w:left="0" w:right="0"/>
            </w:pPr>
            <w:r w:rsidRPr="001B09E6">
              <w:t>1.2</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5444023" w14:textId="77777777" w:rsidR="00E45705" w:rsidRPr="001B09E6" w:rsidRDefault="00E45705" w:rsidP="00E45705">
            <w:pPr>
              <w:pStyle w:val="TableCellText"/>
              <w:spacing w:before="0" w:after="0"/>
              <w:ind w:left="0" w:right="0"/>
            </w:pPr>
            <w:r w:rsidRPr="001B09E6">
              <w:t>1.1</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65D58EE" w14:textId="77777777" w:rsidR="00E45705" w:rsidRPr="001B09E6" w:rsidRDefault="00E45705" w:rsidP="00E45705">
            <w:pPr>
              <w:pStyle w:val="TableCellText"/>
              <w:spacing w:before="0" w:after="0"/>
              <w:ind w:left="0" w:right="0"/>
            </w:pPr>
            <w:r w:rsidRPr="001B09E6">
              <w:t>1.3</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629709D" w14:textId="77777777" w:rsidR="00E45705" w:rsidRPr="001B09E6" w:rsidRDefault="00E45705" w:rsidP="00E45705">
            <w:pPr>
              <w:pStyle w:val="TableCellText"/>
              <w:spacing w:before="0" w:after="0"/>
              <w:ind w:left="0" w:right="0"/>
            </w:pPr>
            <w:r w:rsidRPr="001B09E6">
              <w:t>1.0</w:t>
            </w:r>
          </w:p>
        </w:tc>
        <w:tc>
          <w:tcPr>
            <w:tcW w:w="32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ED1FBD1" w14:textId="77777777" w:rsidR="00E45705" w:rsidRPr="001B09E6" w:rsidRDefault="00E45705" w:rsidP="00E45705">
            <w:pPr>
              <w:pStyle w:val="TableCellText"/>
              <w:spacing w:before="0" w:after="0"/>
              <w:ind w:left="0" w:right="0"/>
            </w:pPr>
            <w:r w:rsidRPr="001B09E6">
              <w:t>1.5</w:t>
            </w:r>
          </w:p>
        </w:tc>
      </w:tr>
      <w:tr w:rsidR="00E45705" w:rsidRPr="001B09E6" w14:paraId="27FAE0CF" w14:textId="77777777" w:rsidTr="00E45705">
        <w:trPr>
          <w:trHeight w:val="300"/>
        </w:trPr>
        <w:tc>
          <w:tcPr>
            <w:tcW w:w="803" w:type="pct"/>
            <w:tcBorders>
              <w:top w:val="nil"/>
              <w:left w:val="nil"/>
              <w:bottom w:val="nil"/>
              <w:right w:val="nil"/>
            </w:tcBorders>
            <w:shd w:val="clear" w:color="auto" w:fill="auto"/>
            <w:noWrap/>
            <w:tcMar>
              <w:top w:w="15" w:type="dxa"/>
              <w:left w:w="15" w:type="dxa"/>
              <w:bottom w:w="0" w:type="dxa"/>
              <w:right w:w="15" w:type="dxa"/>
            </w:tcMar>
            <w:vAlign w:val="bottom"/>
            <w:hideMark/>
          </w:tcPr>
          <w:p w14:paraId="5B0EF18C" w14:textId="77777777" w:rsidR="00E45705" w:rsidRPr="001B09E6" w:rsidRDefault="00E45705" w:rsidP="00E45705">
            <w:pPr>
              <w:pStyle w:val="TableCellText"/>
              <w:spacing w:before="0" w:after="0"/>
              <w:ind w:left="0" w:right="0"/>
            </w:pPr>
          </w:p>
        </w:tc>
        <w:tc>
          <w:tcPr>
            <w:tcW w:w="58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5566DE" w14:textId="77777777" w:rsidR="00E45705" w:rsidRPr="001B09E6" w:rsidRDefault="00E45705" w:rsidP="00E45705">
            <w:pPr>
              <w:pStyle w:val="TableCellText"/>
              <w:spacing w:before="0" w:after="0"/>
              <w:ind w:left="0" w:right="0"/>
            </w:pPr>
            <w:r w:rsidRPr="001B09E6">
              <w:t>20-24 years</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5838C6" w14:textId="77777777" w:rsidR="00E45705" w:rsidRPr="001B09E6" w:rsidRDefault="00E45705" w:rsidP="00E45705">
            <w:pPr>
              <w:pStyle w:val="TableCellText"/>
              <w:spacing w:before="0" w:after="0"/>
              <w:ind w:left="0" w:right="0"/>
            </w:pPr>
            <w:r w:rsidRPr="001B09E6">
              <w:t>0.5</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D86F3E0" w14:textId="77777777" w:rsidR="00E45705" w:rsidRPr="001B09E6" w:rsidRDefault="00E45705" w:rsidP="00E45705">
            <w:pPr>
              <w:pStyle w:val="TableCellText"/>
              <w:spacing w:before="0" w:after="0"/>
              <w:ind w:left="0" w:right="0"/>
            </w:pPr>
            <w:r w:rsidRPr="001B09E6">
              <w:t>1.1</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D469A16" w14:textId="77777777" w:rsidR="00E45705" w:rsidRPr="001B09E6" w:rsidRDefault="00E45705" w:rsidP="00E45705">
            <w:pPr>
              <w:pStyle w:val="TableCellText"/>
              <w:spacing w:before="0" w:after="0"/>
              <w:ind w:left="0" w:right="0"/>
            </w:pPr>
            <w:r w:rsidRPr="001B09E6">
              <w:t>1.1</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892234B" w14:textId="77777777" w:rsidR="00E45705" w:rsidRPr="001B09E6" w:rsidRDefault="00E45705" w:rsidP="00E45705">
            <w:pPr>
              <w:pStyle w:val="TableCellText"/>
              <w:spacing w:before="0" w:after="0"/>
              <w:ind w:left="0" w:right="0"/>
            </w:pPr>
            <w:r w:rsidRPr="001B09E6">
              <w:t>1.6</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960E444" w14:textId="77777777" w:rsidR="00E45705" w:rsidRPr="001B09E6" w:rsidRDefault="00E45705" w:rsidP="00E45705">
            <w:pPr>
              <w:pStyle w:val="TableCellText"/>
              <w:spacing w:before="0" w:after="0"/>
              <w:ind w:left="0" w:right="0"/>
            </w:pPr>
            <w:r w:rsidRPr="001B09E6">
              <w:t>1.6</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21CD76" w14:textId="77777777" w:rsidR="00E45705" w:rsidRPr="001B09E6" w:rsidRDefault="00E45705" w:rsidP="00E45705">
            <w:pPr>
              <w:pStyle w:val="TableCellText"/>
              <w:spacing w:before="0" w:after="0"/>
              <w:ind w:left="0" w:right="0"/>
            </w:pPr>
            <w:r w:rsidRPr="001B09E6">
              <w:t>1.3</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CD3E9A7" w14:textId="77777777" w:rsidR="00E45705" w:rsidRPr="001B09E6" w:rsidRDefault="00E45705" w:rsidP="00E45705">
            <w:pPr>
              <w:pStyle w:val="TableCellText"/>
              <w:spacing w:before="0" w:after="0"/>
              <w:ind w:left="0" w:right="0"/>
            </w:pPr>
            <w:r w:rsidRPr="001B09E6">
              <w:t>1.1</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B797F1" w14:textId="77777777" w:rsidR="00E45705" w:rsidRPr="001B09E6" w:rsidRDefault="00E45705" w:rsidP="00E45705">
            <w:pPr>
              <w:pStyle w:val="TableCellText"/>
              <w:spacing w:before="0" w:after="0"/>
              <w:ind w:left="0" w:right="0"/>
            </w:pPr>
            <w:r w:rsidRPr="001B09E6">
              <w:t>1.2</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64CBE28" w14:textId="77777777" w:rsidR="00E45705" w:rsidRPr="001B09E6" w:rsidRDefault="00E45705" w:rsidP="00E45705">
            <w:pPr>
              <w:pStyle w:val="TableCellText"/>
              <w:spacing w:before="0" w:after="0"/>
              <w:ind w:left="0" w:right="0"/>
            </w:pPr>
            <w:r w:rsidRPr="001B09E6">
              <w:t>1.6</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927FAEB" w14:textId="77777777" w:rsidR="00E45705" w:rsidRPr="001B09E6" w:rsidRDefault="00E45705" w:rsidP="00E45705">
            <w:pPr>
              <w:pStyle w:val="TableCellText"/>
              <w:spacing w:before="0" w:after="0"/>
              <w:ind w:left="0" w:right="0"/>
            </w:pPr>
            <w:r w:rsidRPr="001B09E6">
              <w:t>1.3</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DD1E2E8" w14:textId="77777777" w:rsidR="00E45705" w:rsidRPr="001B09E6" w:rsidRDefault="00E45705" w:rsidP="00E45705">
            <w:pPr>
              <w:pStyle w:val="TableCellText"/>
              <w:spacing w:before="0" w:after="0"/>
              <w:ind w:left="0" w:right="0"/>
            </w:pPr>
            <w:r w:rsidRPr="001B09E6">
              <w:t>1.3</w:t>
            </w:r>
          </w:p>
        </w:tc>
      </w:tr>
      <w:tr w:rsidR="00E45705" w:rsidRPr="001B09E6" w14:paraId="2D434BBD" w14:textId="77777777" w:rsidTr="00E45705">
        <w:trPr>
          <w:trHeight w:val="300"/>
        </w:trPr>
        <w:tc>
          <w:tcPr>
            <w:tcW w:w="803" w:type="pct"/>
            <w:tcBorders>
              <w:top w:val="nil"/>
              <w:left w:val="nil"/>
              <w:bottom w:val="nil"/>
              <w:right w:val="nil"/>
            </w:tcBorders>
            <w:shd w:val="clear" w:color="auto" w:fill="auto"/>
            <w:noWrap/>
            <w:tcMar>
              <w:top w:w="15" w:type="dxa"/>
              <w:left w:w="15" w:type="dxa"/>
              <w:bottom w:w="0" w:type="dxa"/>
              <w:right w:w="15" w:type="dxa"/>
            </w:tcMar>
            <w:vAlign w:val="bottom"/>
            <w:hideMark/>
          </w:tcPr>
          <w:p w14:paraId="5E8F28DC" w14:textId="77777777" w:rsidR="00E45705" w:rsidRPr="001B09E6" w:rsidRDefault="00E45705" w:rsidP="00E45705">
            <w:pPr>
              <w:pStyle w:val="TableCellText"/>
              <w:spacing w:before="0" w:after="0"/>
              <w:ind w:left="0" w:right="0"/>
            </w:pPr>
            <w:r w:rsidRPr="001B09E6">
              <w:t>Year 12 or Cert III</w:t>
            </w:r>
          </w:p>
        </w:tc>
        <w:tc>
          <w:tcPr>
            <w:tcW w:w="582" w:type="pct"/>
            <w:tcBorders>
              <w:top w:val="nil"/>
              <w:left w:val="nil"/>
              <w:bottom w:val="nil"/>
              <w:right w:val="nil"/>
            </w:tcBorders>
            <w:shd w:val="clear" w:color="auto" w:fill="auto"/>
            <w:noWrap/>
            <w:tcMar>
              <w:top w:w="15" w:type="dxa"/>
              <w:left w:w="15" w:type="dxa"/>
              <w:bottom w:w="0" w:type="dxa"/>
              <w:right w:w="15" w:type="dxa"/>
            </w:tcMar>
            <w:vAlign w:val="bottom"/>
            <w:hideMark/>
          </w:tcPr>
          <w:p w14:paraId="351F5A96" w14:textId="77777777" w:rsidR="00E45705" w:rsidRPr="001B09E6" w:rsidRDefault="00E45705" w:rsidP="00E45705">
            <w:pPr>
              <w:pStyle w:val="TableCellText"/>
              <w:spacing w:before="0" w:after="0"/>
              <w:ind w:left="0" w:right="0"/>
            </w:pPr>
            <w:r w:rsidRPr="001B09E6">
              <w:t>15-19 years</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0EE2FE18" w14:textId="77777777" w:rsidR="00E45705" w:rsidRPr="001B09E6" w:rsidRDefault="00E45705" w:rsidP="00E45705">
            <w:pPr>
              <w:pStyle w:val="TableCellText"/>
              <w:spacing w:before="0" w:after="0"/>
              <w:ind w:left="0" w:right="0"/>
            </w:pPr>
            <w:r w:rsidRPr="001B09E6">
              <w:t>0.7</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353A8AC7" w14:textId="77777777" w:rsidR="00E45705" w:rsidRPr="001B09E6" w:rsidRDefault="00E45705" w:rsidP="00E45705">
            <w:pPr>
              <w:pStyle w:val="TableCellText"/>
              <w:spacing w:before="0" w:after="0"/>
              <w:ind w:left="0" w:right="0"/>
            </w:pPr>
            <w:r w:rsidRPr="001B09E6">
              <w:t>1.4</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21EAC6A4" w14:textId="77777777" w:rsidR="00E45705" w:rsidRPr="001B09E6" w:rsidRDefault="00E45705" w:rsidP="00E45705">
            <w:pPr>
              <w:pStyle w:val="TableCellText"/>
              <w:spacing w:before="0" w:after="0"/>
              <w:ind w:left="0" w:right="0"/>
            </w:pPr>
            <w:r w:rsidRPr="001B09E6">
              <w:t>1.3</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46D34CF5" w14:textId="77777777" w:rsidR="00E45705" w:rsidRPr="001B09E6" w:rsidRDefault="00E45705" w:rsidP="00E45705">
            <w:pPr>
              <w:pStyle w:val="TableCellText"/>
              <w:spacing w:before="0" w:after="0"/>
              <w:ind w:left="0" w:right="0"/>
            </w:pPr>
            <w:r w:rsidRPr="001B09E6">
              <w:t>1.2</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333C2281" w14:textId="77777777" w:rsidR="00E45705" w:rsidRPr="001B09E6" w:rsidRDefault="00E45705" w:rsidP="00E45705">
            <w:pPr>
              <w:pStyle w:val="TableCellText"/>
              <w:spacing w:before="0" w:after="0"/>
              <w:ind w:left="0" w:right="0"/>
            </w:pPr>
            <w:r w:rsidRPr="001B09E6">
              <w:t>1.1</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25047DFD" w14:textId="77777777" w:rsidR="00E45705" w:rsidRPr="001B09E6" w:rsidRDefault="00E45705" w:rsidP="00E45705">
            <w:pPr>
              <w:pStyle w:val="TableCellText"/>
              <w:spacing w:before="0" w:after="0"/>
              <w:ind w:left="0" w:right="0"/>
            </w:pPr>
            <w:r w:rsidRPr="001B09E6">
              <w:t>1.4</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3862258F" w14:textId="77777777" w:rsidR="00E45705" w:rsidRPr="001B09E6" w:rsidRDefault="00E45705" w:rsidP="00E45705">
            <w:pPr>
              <w:pStyle w:val="TableCellText"/>
              <w:spacing w:before="0" w:after="0"/>
              <w:ind w:left="0" w:right="0"/>
            </w:pPr>
            <w:r w:rsidRPr="001B09E6">
              <w:t>1.3</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28479FD7" w14:textId="77777777" w:rsidR="00E45705" w:rsidRPr="001B09E6" w:rsidRDefault="00E45705" w:rsidP="00E45705">
            <w:pPr>
              <w:pStyle w:val="TableCellText"/>
              <w:spacing w:before="0" w:after="0"/>
              <w:ind w:left="0" w:right="0"/>
            </w:pPr>
            <w:r w:rsidRPr="001B09E6">
              <w:t>1.1</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5ECBBA1E" w14:textId="77777777" w:rsidR="00E45705" w:rsidRPr="001B09E6" w:rsidRDefault="00E45705" w:rsidP="00E45705">
            <w:pPr>
              <w:pStyle w:val="TableCellText"/>
              <w:spacing w:before="0" w:after="0"/>
              <w:ind w:left="0" w:right="0"/>
            </w:pPr>
            <w:r w:rsidRPr="001B09E6">
              <w:t>1.3</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48B007E2" w14:textId="77777777" w:rsidR="00E45705" w:rsidRPr="001B09E6" w:rsidRDefault="00E45705" w:rsidP="00E45705">
            <w:pPr>
              <w:pStyle w:val="TableCellText"/>
              <w:spacing w:before="0" w:after="0"/>
              <w:ind w:left="0" w:right="0"/>
            </w:pPr>
            <w:r w:rsidRPr="001B09E6">
              <w:t>0.9</w:t>
            </w:r>
          </w:p>
        </w:tc>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242B5407" w14:textId="77777777" w:rsidR="00E45705" w:rsidRPr="001B09E6" w:rsidRDefault="00E45705" w:rsidP="00E45705">
            <w:pPr>
              <w:pStyle w:val="TableCellText"/>
              <w:spacing w:before="0" w:after="0"/>
              <w:ind w:left="0" w:right="0"/>
            </w:pPr>
            <w:r w:rsidRPr="001B09E6">
              <w:t>1.5</w:t>
            </w:r>
          </w:p>
        </w:tc>
      </w:tr>
      <w:tr w:rsidR="00E45705" w:rsidRPr="001B09E6" w14:paraId="28BCB549" w14:textId="77777777" w:rsidTr="00E45705">
        <w:trPr>
          <w:trHeight w:val="300"/>
        </w:trPr>
        <w:tc>
          <w:tcPr>
            <w:tcW w:w="803"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9BD582C" w14:textId="77777777" w:rsidR="00E45705" w:rsidRPr="001B09E6" w:rsidRDefault="00E45705" w:rsidP="00E45705">
            <w:pPr>
              <w:pStyle w:val="TableCellText"/>
              <w:spacing w:before="0" w:after="0"/>
              <w:ind w:left="0" w:right="0"/>
            </w:pPr>
            <w:r w:rsidRPr="001B09E6">
              <w:t> </w:t>
            </w:r>
          </w:p>
        </w:tc>
        <w:tc>
          <w:tcPr>
            <w:tcW w:w="58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FEC408A" w14:textId="77777777" w:rsidR="00E45705" w:rsidRPr="001B09E6" w:rsidRDefault="00E45705" w:rsidP="00E45705">
            <w:pPr>
              <w:pStyle w:val="TableCellText"/>
              <w:spacing w:before="0" w:after="0"/>
              <w:ind w:left="0" w:right="0"/>
            </w:pPr>
            <w:r w:rsidRPr="001B09E6">
              <w:t>20-24 years</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74BC95" w14:textId="77777777" w:rsidR="00E45705" w:rsidRPr="001B09E6" w:rsidRDefault="00E45705" w:rsidP="00E45705">
            <w:pPr>
              <w:pStyle w:val="TableCellText"/>
              <w:spacing w:before="0" w:after="0"/>
              <w:ind w:left="0" w:right="0"/>
            </w:pPr>
            <w:r w:rsidRPr="001B09E6">
              <w:t>0.5</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A7380C9" w14:textId="77777777" w:rsidR="00E45705" w:rsidRPr="001B09E6" w:rsidRDefault="00E45705" w:rsidP="00E45705">
            <w:pPr>
              <w:pStyle w:val="TableCellText"/>
              <w:spacing w:before="0" w:after="0"/>
              <w:ind w:left="0" w:right="0"/>
            </w:pPr>
            <w:r w:rsidRPr="001B09E6">
              <w:t>1.1</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C2084FF" w14:textId="77777777" w:rsidR="00E45705" w:rsidRPr="001B09E6" w:rsidRDefault="00E45705" w:rsidP="00E45705">
            <w:pPr>
              <w:pStyle w:val="TableCellText"/>
              <w:spacing w:before="0" w:after="0"/>
              <w:ind w:left="0" w:right="0"/>
            </w:pPr>
            <w:r w:rsidRPr="001B09E6">
              <w:t>1.1</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9B0CA5" w14:textId="77777777" w:rsidR="00E45705" w:rsidRPr="001B09E6" w:rsidRDefault="00E45705" w:rsidP="00E45705">
            <w:pPr>
              <w:pStyle w:val="TableCellText"/>
              <w:spacing w:before="0" w:after="0"/>
              <w:ind w:left="0" w:right="0"/>
            </w:pPr>
            <w:r w:rsidRPr="001B09E6">
              <w:t>1.6</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540DFE5" w14:textId="77777777" w:rsidR="00E45705" w:rsidRPr="001B09E6" w:rsidRDefault="00E45705" w:rsidP="00E45705">
            <w:pPr>
              <w:pStyle w:val="TableCellText"/>
              <w:spacing w:before="0" w:after="0"/>
              <w:ind w:left="0" w:right="0"/>
            </w:pPr>
            <w:r w:rsidRPr="001B09E6">
              <w:t>1.7</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4DA38BF" w14:textId="77777777" w:rsidR="00E45705" w:rsidRPr="001B09E6" w:rsidRDefault="00E45705" w:rsidP="00E45705">
            <w:pPr>
              <w:pStyle w:val="TableCellText"/>
              <w:spacing w:before="0" w:after="0"/>
              <w:ind w:left="0" w:right="0"/>
            </w:pPr>
            <w:r w:rsidRPr="001B09E6">
              <w:t>1.3</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2BFC816" w14:textId="77777777" w:rsidR="00E45705" w:rsidRPr="001B09E6" w:rsidRDefault="00E45705" w:rsidP="00E45705">
            <w:pPr>
              <w:pStyle w:val="TableCellText"/>
              <w:spacing w:before="0" w:after="0"/>
              <w:ind w:left="0" w:right="0"/>
            </w:pPr>
            <w:r w:rsidRPr="001B09E6">
              <w:t>1.2</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26BBF86" w14:textId="77777777" w:rsidR="00E45705" w:rsidRPr="001B09E6" w:rsidRDefault="00E45705" w:rsidP="00E45705">
            <w:pPr>
              <w:pStyle w:val="TableCellText"/>
              <w:spacing w:before="0" w:after="0"/>
              <w:ind w:left="0" w:right="0"/>
            </w:pPr>
            <w:r w:rsidRPr="001B09E6">
              <w:t>1.3</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A9F2EC0" w14:textId="77777777" w:rsidR="00E45705" w:rsidRPr="001B09E6" w:rsidRDefault="00E45705" w:rsidP="00E45705">
            <w:pPr>
              <w:pStyle w:val="TableCellText"/>
              <w:spacing w:before="0" w:after="0"/>
              <w:ind w:left="0" w:right="0"/>
            </w:pPr>
            <w:r w:rsidRPr="001B09E6">
              <w:t>1.7</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D168FF" w14:textId="77777777" w:rsidR="00E45705" w:rsidRPr="001B09E6" w:rsidRDefault="00E45705" w:rsidP="00E45705">
            <w:pPr>
              <w:pStyle w:val="TableCellText"/>
              <w:spacing w:before="0" w:after="0"/>
              <w:ind w:left="0" w:right="0"/>
            </w:pPr>
            <w:r w:rsidRPr="001B09E6">
              <w:t>1.5</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B5E91C" w14:textId="77777777" w:rsidR="00E45705" w:rsidRPr="001B09E6" w:rsidRDefault="00E45705" w:rsidP="00E45705">
            <w:pPr>
              <w:pStyle w:val="TableCellText"/>
              <w:spacing w:before="0" w:after="0"/>
              <w:ind w:left="0" w:right="0"/>
            </w:pPr>
            <w:r w:rsidRPr="001B09E6">
              <w:t>1.3</w:t>
            </w:r>
          </w:p>
        </w:tc>
      </w:tr>
    </w:tbl>
    <w:p w14:paraId="6A836A63" w14:textId="77777777" w:rsidR="00E45705" w:rsidRPr="001B09E6" w:rsidRDefault="00E45705" w:rsidP="00E45705">
      <w:pPr>
        <w:pStyle w:val="Tablenote"/>
      </w:pPr>
      <w:r w:rsidRPr="001B09E6">
        <w:t>Source: ABS Survey of Education and Work 6227.0</w:t>
      </w:r>
    </w:p>
    <w:p w14:paraId="4E9552FF" w14:textId="77777777" w:rsidR="00E45705" w:rsidRPr="001B09E6" w:rsidRDefault="00E45705" w:rsidP="00E45705">
      <w:pPr>
        <w:pStyle w:val="Heading2NoNumbering"/>
      </w:pPr>
      <w:bookmarkStart w:id="171" w:name="_Toc192134407"/>
      <w:bookmarkStart w:id="172" w:name="_Toc333918996"/>
      <w:bookmarkStart w:id="173" w:name="_Toc219347271"/>
      <w:r w:rsidRPr="001B09E6">
        <w:t>Attainment – by sector</w:t>
      </w:r>
      <w:bookmarkEnd w:id="171"/>
      <w:bookmarkEnd w:id="172"/>
      <w:bookmarkEnd w:id="173"/>
    </w:p>
    <w:p w14:paraId="519DE437" w14:textId="77777777" w:rsidR="00E45705" w:rsidRPr="001B09E6" w:rsidRDefault="00E45705" w:rsidP="00E45705">
      <w:pPr>
        <w:pStyle w:val="Heading3NoNumbering"/>
      </w:pPr>
      <w:bookmarkStart w:id="174" w:name="_Toc192134408"/>
      <w:bookmarkStart w:id="175" w:name="_Toc333918997"/>
      <w:r w:rsidRPr="001B09E6">
        <w:t>Table A2.16: Secondary school attainment – Year 10 completion</w:t>
      </w:r>
      <w:bookmarkEnd w:id="174"/>
      <w:bookmarkEnd w:id="175"/>
    </w:p>
    <w:p w14:paraId="3148FB2E" w14:textId="77777777" w:rsidR="00E45705" w:rsidRPr="001B09E6" w:rsidRDefault="00E45705" w:rsidP="00E45705">
      <w:pPr>
        <w:pStyle w:val="TableHeading"/>
        <w:spacing w:before="112"/>
      </w:pPr>
      <w:r w:rsidRPr="001B09E6">
        <w:t>Proportion of school leavers aged 15 to 24 who have completed at least Year 10, 2000-11 (%)</w:t>
      </w:r>
    </w:p>
    <w:tbl>
      <w:tblPr>
        <w:tblW w:w="5000" w:type="pct"/>
        <w:tblLook w:val="04A0" w:firstRow="1" w:lastRow="0" w:firstColumn="1" w:lastColumn="0" w:noHBand="0" w:noVBand="1"/>
        <w:tblCaption w:val="Table A2.16: Secondary school attainment – Year 10 completion Proportion of school leavers aged 15 to 24 who have completed at least Year 10, 2000-11 (%) "/>
        <w:tblDescription w:val="Table A2.16: Secondary school attainment – Year 10 completion&#10;Proportion of school leavers aged 15 to 24 who have completed at least Year 10, 2000-11 (%)&#10;"/>
      </w:tblPr>
      <w:tblGrid>
        <w:gridCol w:w="1682"/>
        <w:gridCol w:w="1175"/>
        <w:gridCol w:w="1175"/>
        <w:gridCol w:w="1175"/>
        <w:gridCol w:w="1175"/>
        <w:gridCol w:w="1175"/>
        <w:gridCol w:w="1175"/>
        <w:gridCol w:w="1175"/>
        <w:gridCol w:w="1175"/>
        <w:gridCol w:w="1175"/>
        <w:gridCol w:w="1175"/>
        <w:gridCol w:w="1184"/>
      </w:tblGrid>
      <w:tr w:rsidR="00E45705" w:rsidRPr="001B09E6" w14:paraId="4309AD2A" w14:textId="77777777" w:rsidTr="00E45705">
        <w:trPr>
          <w:trHeight w:val="225"/>
        </w:trPr>
        <w:tc>
          <w:tcPr>
            <w:tcW w:w="575" w:type="pct"/>
            <w:tcBorders>
              <w:top w:val="single" w:sz="4" w:space="0" w:color="auto"/>
              <w:left w:val="nil"/>
              <w:bottom w:val="single" w:sz="4" w:space="0" w:color="auto"/>
              <w:right w:val="nil"/>
            </w:tcBorders>
            <w:shd w:val="clear" w:color="auto" w:fill="auto"/>
            <w:noWrap/>
            <w:vAlign w:val="bottom"/>
            <w:hideMark/>
          </w:tcPr>
          <w:p w14:paraId="57D8EE73" w14:textId="77777777" w:rsidR="00E45705" w:rsidRPr="001B09E6" w:rsidRDefault="00E45705" w:rsidP="00E45705">
            <w:pPr>
              <w:pStyle w:val="TableColumnHeading"/>
              <w:spacing w:before="0" w:after="0"/>
              <w:ind w:left="0" w:right="0"/>
              <w:jc w:val="right"/>
              <w:rPr>
                <w:lang w:eastAsia="en-AU"/>
              </w:rPr>
            </w:pPr>
            <w:r w:rsidRPr="001B09E6">
              <w:rPr>
                <w:lang w:eastAsia="en-AU"/>
              </w:rPr>
              <w:t>2000</w:t>
            </w:r>
          </w:p>
        </w:tc>
        <w:tc>
          <w:tcPr>
            <w:tcW w:w="402" w:type="pct"/>
            <w:tcBorders>
              <w:top w:val="single" w:sz="4" w:space="0" w:color="auto"/>
              <w:left w:val="nil"/>
              <w:bottom w:val="single" w:sz="4" w:space="0" w:color="auto"/>
              <w:right w:val="nil"/>
            </w:tcBorders>
            <w:shd w:val="clear" w:color="auto" w:fill="auto"/>
            <w:noWrap/>
            <w:vAlign w:val="bottom"/>
            <w:hideMark/>
          </w:tcPr>
          <w:p w14:paraId="38408A58" w14:textId="77777777" w:rsidR="00E45705" w:rsidRPr="001B09E6" w:rsidRDefault="00E45705" w:rsidP="00E45705">
            <w:pPr>
              <w:pStyle w:val="TableColumnHeading"/>
              <w:spacing w:before="0" w:after="0"/>
              <w:ind w:left="0" w:right="0"/>
              <w:rPr>
                <w:lang w:eastAsia="en-AU"/>
              </w:rPr>
            </w:pPr>
            <w:r w:rsidRPr="001B09E6">
              <w:rPr>
                <w:lang w:eastAsia="en-AU"/>
              </w:rPr>
              <w:t>2001</w:t>
            </w:r>
          </w:p>
        </w:tc>
        <w:tc>
          <w:tcPr>
            <w:tcW w:w="402" w:type="pct"/>
            <w:tcBorders>
              <w:top w:val="single" w:sz="4" w:space="0" w:color="auto"/>
              <w:left w:val="nil"/>
              <w:bottom w:val="single" w:sz="4" w:space="0" w:color="auto"/>
              <w:right w:val="nil"/>
            </w:tcBorders>
            <w:shd w:val="clear" w:color="auto" w:fill="auto"/>
            <w:noWrap/>
            <w:vAlign w:val="bottom"/>
            <w:hideMark/>
          </w:tcPr>
          <w:p w14:paraId="1F082045" w14:textId="77777777" w:rsidR="00E45705" w:rsidRPr="001B09E6" w:rsidRDefault="00E45705" w:rsidP="00E45705">
            <w:pPr>
              <w:pStyle w:val="TableColumnHeading"/>
              <w:spacing w:before="0" w:after="0"/>
              <w:ind w:left="0" w:right="0"/>
              <w:rPr>
                <w:lang w:eastAsia="en-AU"/>
              </w:rPr>
            </w:pPr>
            <w:r w:rsidRPr="001B09E6">
              <w:rPr>
                <w:lang w:eastAsia="en-AU"/>
              </w:rPr>
              <w:t>2002</w:t>
            </w:r>
          </w:p>
        </w:tc>
        <w:tc>
          <w:tcPr>
            <w:tcW w:w="402" w:type="pct"/>
            <w:tcBorders>
              <w:top w:val="single" w:sz="4" w:space="0" w:color="auto"/>
              <w:left w:val="nil"/>
              <w:bottom w:val="single" w:sz="4" w:space="0" w:color="auto"/>
              <w:right w:val="nil"/>
            </w:tcBorders>
            <w:shd w:val="clear" w:color="auto" w:fill="auto"/>
            <w:noWrap/>
            <w:vAlign w:val="bottom"/>
            <w:hideMark/>
          </w:tcPr>
          <w:p w14:paraId="15CAC9CA" w14:textId="77777777" w:rsidR="00E45705" w:rsidRPr="001B09E6" w:rsidRDefault="00E45705" w:rsidP="00E45705">
            <w:pPr>
              <w:pStyle w:val="TableColumnHeading"/>
              <w:spacing w:before="0" w:after="0"/>
              <w:ind w:left="0" w:right="0"/>
              <w:rPr>
                <w:lang w:eastAsia="en-AU"/>
              </w:rPr>
            </w:pPr>
            <w:r w:rsidRPr="001B09E6">
              <w:rPr>
                <w:lang w:eastAsia="en-AU"/>
              </w:rPr>
              <w:t>2003</w:t>
            </w:r>
          </w:p>
        </w:tc>
        <w:tc>
          <w:tcPr>
            <w:tcW w:w="402" w:type="pct"/>
            <w:tcBorders>
              <w:top w:val="single" w:sz="4" w:space="0" w:color="auto"/>
              <w:left w:val="nil"/>
              <w:bottom w:val="single" w:sz="4" w:space="0" w:color="auto"/>
              <w:right w:val="nil"/>
            </w:tcBorders>
            <w:shd w:val="clear" w:color="auto" w:fill="auto"/>
            <w:noWrap/>
            <w:vAlign w:val="bottom"/>
            <w:hideMark/>
          </w:tcPr>
          <w:p w14:paraId="1FAC123E" w14:textId="77777777" w:rsidR="00E45705" w:rsidRPr="001B09E6" w:rsidRDefault="00E45705" w:rsidP="00E45705">
            <w:pPr>
              <w:pStyle w:val="TableColumnHeading"/>
              <w:spacing w:before="0" w:after="0"/>
              <w:ind w:left="0" w:right="0"/>
              <w:rPr>
                <w:lang w:eastAsia="en-AU"/>
              </w:rPr>
            </w:pPr>
            <w:r w:rsidRPr="001B09E6">
              <w:rPr>
                <w:lang w:eastAsia="en-AU"/>
              </w:rPr>
              <w:t>2004</w:t>
            </w:r>
          </w:p>
        </w:tc>
        <w:tc>
          <w:tcPr>
            <w:tcW w:w="402" w:type="pct"/>
            <w:tcBorders>
              <w:top w:val="single" w:sz="4" w:space="0" w:color="auto"/>
              <w:left w:val="nil"/>
              <w:bottom w:val="single" w:sz="4" w:space="0" w:color="auto"/>
              <w:right w:val="nil"/>
            </w:tcBorders>
            <w:shd w:val="clear" w:color="auto" w:fill="auto"/>
            <w:noWrap/>
            <w:vAlign w:val="bottom"/>
            <w:hideMark/>
          </w:tcPr>
          <w:p w14:paraId="27448F6B" w14:textId="77777777" w:rsidR="00E45705" w:rsidRPr="001B09E6" w:rsidRDefault="00E45705" w:rsidP="00E45705">
            <w:pPr>
              <w:pStyle w:val="TableColumnHeading"/>
              <w:spacing w:before="0" w:after="0"/>
              <w:ind w:left="0" w:right="0"/>
              <w:rPr>
                <w:lang w:eastAsia="en-AU"/>
              </w:rPr>
            </w:pPr>
            <w:r w:rsidRPr="001B09E6">
              <w:rPr>
                <w:lang w:eastAsia="en-AU"/>
              </w:rPr>
              <w:t>2005</w:t>
            </w:r>
          </w:p>
        </w:tc>
        <w:tc>
          <w:tcPr>
            <w:tcW w:w="402" w:type="pct"/>
            <w:tcBorders>
              <w:top w:val="single" w:sz="4" w:space="0" w:color="auto"/>
              <w:left w:val="nil"/>
              <w:bottom w:val="single" w:sz="4" w:space="0" w:color="auto"/>
              <w:right w:val="nil"/>
            </w:tcBorders>
            <w:shd w:val="clear" w:color="auto" w:fill="auto"/>
            <w:noWrap/>
            <w:vAlign w:val="bottom"/>
            <w:hideMark/>
          </w:tcPr>
          <w:p w14:paraId="0C3ECCDF" w14:textId="77777777" w:rsidR="00E45705" w:rsidRPr="001B09E6" w:rsidRDefault="00E45705" w:rsidP="00E45705">
            <w:pPr>
              <w:pStyle w:val="TableColumnHeading"/>
              <w:spacing w:before="0" w:after="0"/>
              <w:ind w:left="0" w:right="0"/>
              <w:rPr>
                <w:lang w:eastAsia="en-AU"/>
              </w:rPr>
            </w:pPr>
            <w:r w:rsidRPr="001B09E6">
              <w:rPr>
                <w:lang w:eastAsia="en-AU"/>
              </w:rPr>
              <w:t>2006</w:t>
            </w:r>
          </w:p>
        </w:tc>
        <w:tc>
          <w:tcPr>
            <w:tcW w:w="402" w:type="pct"/>
            <w:tcBorders>
              <w:top w:val="single" w:sz="4" w:space="0" w:color="auto"/>
              <w:left w:val="nil"/>
              <w:bottom w:val="single" w:sz="4" w:space="0" w:color="auto"/>
              <w:right w:val="nil"/>
            </w:tcBorders>
            <w:shd w:val="clear" w:color="auto" w:fill="auto"/>
            <w:noWrap/>
            <w:vAlign w:val="bottom"/>
            <w:hideMark/>
          </w:tcPr>
          <w:p w14:paraId="6046480C" w14:textId="77777777" w:rsidR="00E45705" w:rsidRPr="001B09E6" w:rsidRDefault="00E45705" w:rsidP="00E45705">
            <w:pPr>
              <w:pStyle w:val="TableColumnHeading"/>
              <w:spacing w:before="0" w:after="0"/>
              <w:ind w:left="0" w:right="0"/>
              <w:rPr>
                <w:lang w:eastAsia="en-AU"/>
              </w:rPr>
            </w:pPr>
            <w:r w:rsidRPr="001B09E6">
              <w:rPr>
                <w:lang w:eastAsia="en-AU"/>
              </w:rPr>
              <w:t>2007</w:t>
            </w:r>
          </w:p>
        </w:tc>
        <w:tc>
          <w:tcPr>
            <w:tcW w:w="402" w:type="pct"/>
            <w:tcBorders>
              <w:top w:val="single" w:sz="4" w:space="0" w:color="auto"/>
              <w:left w:val="nil"/>
              <w:bottom w:val="single" w:sz="4" w:space="0" w:color="auto"/>
              <w:right w:val="nil"/>
            </w:tcBorders>
            <w:shd w:val="clear" w:color="auto" w:fill="auto"/>
            <w:noWrap/>
            <w:vAlign w:val="bottom"/>
            <w:hideMark/>
          </w:tcPr>
          <w:p w14:paraId="0346E7AE" w14:textId="77777777" w:rsidR="00E45705" w:rsidRPr="001B09E6" w:rsidRDefault="00E45705" w:rsidP="00E45705">
            <w:pPr>
              <w:pStyle w:val="TableColumnHeading"/>
              <w:spacing w:before="0" w:after="0"/>
              <w:ind w:left="0" w:right="0"/>
              <w:rPr>
                <w:lang w:eastAsia="en-AU"/>
              </w:rPr>
            </w:pPr>
            <w:r w:rsidRPr="001B09E6">
              <w:rPr>
                <w:lang w:eastAsia="en-AU"/>
              </w:rPr>
              <w:t>2008</w:t>
            </w:r>
          </w:p>
        </w:tc>
        <w:tc>
          <w:tcPr>
            <w:tcW w:w="402" w:type="pct"/>
            <w:tcBorders>
              <w:top w:val="single" w:sz="4" w:space="0" w:color="auto"/>
              <w:left w:val="nil"/>
              <w:bottom w:val="single" w:sz="4" w:space="0" w:color="auto"/>
              <w:right w:val="nil"/>
            </w:tcBorders>
            <w:shd w:val="clear" w:color="auto" w:fill="auto"/>
            <w:noWrap/>
            <w:vAlign w:val="bottom"/>
            <w:hideMark/>
          </w:tcPr>
          <w:p w14:paraId="5232A03A" w14:textId="77777777" w:rsidR="00E45705" w:rsidRPr="001B09E6" w:rsidRDefault="00E45705" w:rsidP="00E45705">
            <w:pPr>
              <w:pStyle w:val="TableColumnHeading"/>
              <w:spacing w:before="0" w:after="0"/>
              <w:ind w:left="0" w:right="0"/>
              <w:rPr>
                <w:lang w:eastAsia="en-AU"/>
              </w:rPr>
            </w:pPr>
            <w:r w:rsidRPr="001B09E6">
              <w:rPr>
                <w:lang w:eastAsia="en-AU"/>
              </w:rPr>
              <w:t>2009</w:t>
            </w:r>
          </w:p>
        </w:tc>
        <w:tc>
          <w:tcPr>
            <w:tcW w:w="402" w:type="pct"/>
            <w:tcBorders>
              <w:top w:val="single" w:sz="4" w:space="0" w:color="auto"/>
              <w:left w:val="nil"/>
              <w:bottom w:val="single" w:sz="4" w:space="0" w:color="auto"/>
              <w:right w:val="nil"/>
            </w:tcBorders>
            <w:shd w:val="clear" w:color="auto" w:fill="auto"/>
            <w:noWrap/>
            <w:vAlign w:val="bottom"/>
            <w:hideMark/>
          </w:tcPr>
          <w:p w14:paraId="7B39BCBE" w14:textId="77777777" w:rsidR="00E45705" w:rsidRPr="001B09E6" w:rsidRDefault="00E45705" w:rsidP="00E45705">
            <w:pPr>
              <w:pStyle w:val="TableColumnHeading"/>
              <w:spacing w:before="0" w:after="0"/>
              <w:ind w:left="0" w:right="0"/>
              <w:rPr>
                <w:lang w:eastAsia="en-AU"/>
              </w:rPr>
            </w:pPr>
            <w:r w:rsidRPr="001B09E6">
              <w:rPr>
                <w:lang w:eastAsia="en-AU"/>
              </w:rPr>
              <w:t>2010</w:t>
            </w:r>
          </w:p>
        </w:tc>
        <w:tc>
          <w:tcPr>
            <w:tcW w:w="402" w:type="pct"/>
            <w:tcBorders>
              <w:top w:val="single" w:sz="4" w:space="0" w:color="auto"/>
              <w:left w:val="nil"/>
              <w:bottom w:val="single" w:sz="4" w:space="0" w:color="auto"/>
              <w:right w:val="nil"/>
            </w:tcBorders>
            <w:shd w:val="clear" w:color="auto" w:fill="auto"/>
            <w:noWrap/>
            <w:vAlign w:val="bottom"/>
            <w:hideMark/>
          </w:tcPr>
          <w:p w14:paraId="710AB68A" w14:textId="77777777" w:rsidR="00E45705" w:rsidRPr="001B09E6" w:rsidRDefault="00E45705" w:rsidP="00E45705">
            <w:pPr>
              <w:pStyle w:val="TableColumnHeading"/>
              <w:spacing w:before="0" w:after="0"/>
              <w:ind w:left="0" w:right="0"/>
              <w:rPr>
                <w:lang w:eastAsia="en-AU"/>
              </w:rPr>
            </w:pPr>
            <w:r w:rsidRPr="001B09E6">
              <w:rPr>
                <w:lang w:eastAsia="en-AU"/>
              </w:rPr>
              <w:t>2011</w:t>
            </w:r>
          </w:p>
        </w:tc>
      </w:tr>
      <w:tr w:rsidR="00E45705" w:rsidRPr="001B09E6" w14:paraId="2935B0C5" w14:textId="77777777" w:rsidTr="00E45705">
        <w:trPr>
          <w:trHeight w:val="225"/>
        </w:trPr>
        <w:tc>
          <w:tcPr>
            <w:tcW w:w="575" w:type="pct"/>
            <w:tcBorders>
              <w:top w:val="nil"/>
              <w:left w:val="nil"/>
              <w:bottom w:val="single" w:sz="4" w:space="0" w:color="auto"/>
              <w:right w:val="nil"/>
            </w:tcBorders>
            <w:shd w:val="clear" w:color="auto" w:fill="auto"/>
            <w:noWrap/>
            <w:vAlign w:val="bottom"/>
            <w:hideMark/>
          </w:tcPr>
          <w:p w14:paraId="654506C9" w14:textId="77777777" w:rsidR="00E45705" w:rsidRPr="001B09E6" w:rsidRDefault="00E45705" w:rsidP="00E45705">
            <w:pPr>
              <w:pStyle w:val="TableCellText"/>
              <w:spacing w:before="0" w:after="0"/>
              <w:ind w:left="0" w:right="0"/>
              <w:jc w:val="right"/>
              <w:rPr>
                <w:lang w:eastAsia="en-AU"/>
              </w:rPr>
            </w:pPr>
            <w:r w:rsidRPr="001B09E6">
              <w:rPr>
                <w:lang w:eastAsia="en-AU"/>
              </w:rPr>
              <w:t>95.6</w:t>
            </w:r>
          </w:p>
        </w:tc>
        <w:tc>
          <w:tcPr>
            <w:tcW w:w="804" w:type="pct"/>
            <w:gridSpan w:val="2"/>
            <w:tcBorders>
              <w:top w:val="single" w:sz="4" w:space="0" w:color="auto"/>
              <w:left w:val="nil"/>
              <w:bottom w:val="single" w:sz="4" w:space="0" w:color="auto"/>
              <w:right w:val="nil"/>
            </w:tcBorders>
            <w:shd w:val="clear" w:color="auto" w:fill="auto"/>
            <w:noWrap/>
            <w:vAlign w:val="bottom"/>
            <w:hideMark/>
          </w:tcPr>
          <w:p w14:paraId="242247C1" w14:textId="77777777" w:rsidR="00E45705" w:rsidRPr="001B09E6" w:rsidRDefault="00E45705" w:rsidP="00E45705">
            <w:pPr>
              <w:pStyle w:val="TableCellText"/>
              <w:spacing w:before="0" w:after="0"/>
              <w:ind w:left="0" w:right="0"/>
              <w:rPr>
                <w:lang w:eastAsia="en-AU"/>
              </w:rPr>
            </w:pPr>
            <w:r w:rsidRPr="001B09E6">
              <w:rPr>
                <w:lang w:eastAsia="en-AU"/>
              </w:rPr>
              <w:t>not available</w:t>
            </w:r>
          </w:p>
        </w:tc>
        <w:tc>
          <w:tcPr>
            <w:tcW w:w="402" w:type="pct"/>
            <w:tcBorders>
              <w:top w:val="nil"/>
              <w:left w:val="nil"/>
              <w:bottom w:val="single" w:sz="4" w:space="0" w:color="auto"/>
              <w:right w:val="nil"/>
            </w:tcBorders>
            <w:shd w:val="clear" w:color="auto" w:fill="auto"/>
            <w:noWrap/>
            <w:vAlign w:val="bottom"/>
            <w:hideMark/>
          </w:tcPr>
          <w:p w14:paraId="52277ED2" w14:textId="77777777" w:rsidR="00E45705" w:rsidRPr="001B09E6" w:rsidRDefault="00E45705" w:rsidP="00E45705">
            <w:pPr>
              <w:pStyle w:val="TableCellText"/>
              <w:spacing w:before="0" w:after="0"/>
              <w:ind w:left="0" w:right="0"/>
              <w:rPr>
                <w:lang w:eastAsia="en-AU"/>
              </w:rPr>
            </w:pPr>
            <w:r w:rsidRPr="001B09E6">
              <w:rPr>
                <w:lang w:eastAsia="en-AU"/>
              </w:rPr>
              <w:t>95.6</w:t>
            </w:r>
          </w:p>
        </w:tc>
        <w:tc>
          <w:tcPr>
            <w:tcW w:w="402" w:type="pct"/>
            <w:tcBorders>
              <w:top w:val="nil"/>
              <w:left w:val="nil"/>
              <w:bottom w:val="single" w:sz="4" w:space="0" w:color="auto"/>
              <w:right w:val="nil"/>
            </w:tcBorders>
            <w:shd w:val="clear" w:color="auto" w:fill="auto"/>
            <w:noWrap/>
            <w:vAlign w:val="bottom"/>
            <w:hideMark/>
          </w:tcPr>
          <w:p w14:paraId="5039119C" w14:textId="77777777" w:rsidR="00E45705" w:rsidRPr="001B09E6" w:rsidRDefault="00E45705" w:rsidP="00E45705">
            <w:pPr>
              <w:pStyle w:val="TableCellText"/>
              <w:spacing w:before="0" w:after="0"/>
              <w:ind w:left="0" w:right="0"/>
              <w:rPr>
                <w:lang w:eastAsia="en-AU"/>
              </w:rPr>
            </w:pPr>
            <w:r w:rsidRPr="001B09E6">
              <w:rPr>
                <w:lang w:eastAsia="en-AU"/>
              </w:rPr>
              <w:t>95</w:t>
            </w:r>
          </w:p>
        </w:tc>
        <w:tc>
          <w:tcPr>
            <w:tcW w:w="402" w:type="pct"/>
            <w:tcBorders>
              <w:top w:val="nil"/>
              <w:left w:val="nil"/>
              <w:bottom w:val="single" w:sz="4" w:space="0" w:color="auto"/>
              <w:right w:val="nil"/>
            </w:tcBorders>
            <w:shd w:val="clear" w:color="auto" w:fill="auto"/>
            <w:noWrap/>
            <w:vAlign w:val="bottom"/>
            <w:hideMark/>
          </w:tcPr>
          <w:p w14:paraId="386566EA" w14:textId="77777777" w:rsidR="00E45705" w:rsidRPr="001B09E6" w:rsidRDefault="00E45705" w:rsidP="00E45705">
            <w:pPr>
              <w:pStyle w:val="TableCellText"/>
              <w:spacing w:before="0" w:after="0"/>
              <w:ind w:left="0" w:right="0"/>
              <w:rPr>
                <w:lang w:eastAsia="en-AU"/>
              </w:rPr>
            </w:pPr>
            <w:r w:rsidRPr="001B09E6">
              <w:rPr>
                <w:lang w:eastAsia="en-AU"/>
              </w:rPr>
              <w:t>94.3</w:t>
            </w:r>
          </w:p>
        </w:tc>
        <w:tc>
          <w:tcPr>
            <w:tcW w:w="402" w:type="pct"/>
            <w:tcBorders>
              <w:top w:val="nil"/>
              <w:left w:val="nil"/>
              <w:bottom w:val="single" w:sz="4" w:space="0" w:color="auto"/>
              <w:right w:val="nil"/>
            </w:tcBorders>
            <w:shd w:val="clear" w:color="auto" w:fill="auto"/>
            <w:noWrap/>
            <w:vAlign w:val="bottom"/>
            <w:hideMark/>
          </w:tcPr>
          <w:p w14:paraId="2529DF4C" w14:textId="77777777" w:rsidR="00E45705" w:rsidRPr="001B09E6" w:rsidRDefault="00E45705" w:rsidP="00E45705">
            <w:pPr>
              <w:pStyle w:val="TableCellText"/>
              <w:spacing w:before="0" w:after="0"/>
              <w:ind w:left="0" w:right="0"/>
              <w:rPr>
                <w:lang w:eastAsia="en-AU"/>
              </w:rPr>
            </w:pPr>
            <w:r w:rsidRPr="001B09E6">
              <w:rPr>
                <w:lang w:eastAsia="en-AU"/>
              </w:rPr>
              <w:t>93.7</w:t>
            </w:r>
          </w:p>
        </w:tc>
        <w:tc>
          <w:tcPr>
            <w:tcW w:w="402" w:type="pct"/>
            <w:tcBorders>
              <w:top w:val="nil"/>
              <w:left w:val="nil"/>
              <w:bottom w:val="single" w:sz="4" w:space="0" w:color="auto"/>
              <w:right w:val="nil"/>
            </w:tcBorders>
            <w:shd w:val="clear" w:color="auto" w:fill="auto"/>
            <w:noWrap/>
            <w:vAlign w:val="bottom"/>
            <w:hideMark/>
          </w:tcPr>
          <w:p w14:paraId="52683A9A" w14:textId="77777777" w:rsidR="00E45705" w:rsidRPr="001B09E6" w:rsidRDefault="00E45705" w:rsidP="00E45705">
            <w:pPr>
              <w:pStyle w:val="TableCellText"/>
              <w:spacing w:before="0" w:after="0"/>
              <w:ind w:left="0" w:right="0"/>
              <w:rPr>
                <w:lang w:eastAsia="en-AU"/>
              </w:rPr>
            </w:pPr>
            <w:r w:rsidRPr="001B09E6">
              <w:rPr>
                <w:lang w:eastAsia="en-AU"/>
              </w:rPr>
              <w:t>95.9</w:t>
            </w:r>
          </w:p>
        </w:tc>
        <w:tc>
          <w:tcPr>
            <w:tcW w:w="402" w:type="pct"/>
            <w:tcBorders>
              <w:top w:val="nil"/>
              <w:left w:val="nil"/>
              <w:bottom w:val="single" w:sz="4" w:space="0" w:color="auto"/>
              <w:right w:val="nil"/>
            </w:tcBorders>
            <w:shd w:val="clear" w:color="auto" w:fill="auto"/>
            <w:noWrap/>
            <w:vAlign w:val="bottom"/>
            <w:hideMark/>
          </w:tcPr>
          <w:p w14:paraId="039D178A" w14:textId="77777777" w:rsidR="00E45705" w:rsidRPr="001B09E6" w:rsidRDefault="00E45705" w:rsidP="00E45705">
            <w:pPr>
              <w:pStyle w:val="TableCellText"/>
              <w:spacing w:before="0" w:after="0"/>
              <w:ind w:left="0" w:right="0"/>
              <w:rPr>
                <w:lang w:eastAsia="en-AU"/>
              </w:rPr>
            </w:pPr>
            <w:r w:rsidRPr="001B09E6">
              <w:rPr>
                <w:lang w:eastAsia="en-AU"/>
              </w:rPr>
              <w:t>95.6</w:t>
            </w:r>
          </w:p>
        </w:tc>
        <w:tc>
          <w:tcPr>
            <w:tcW w:w="402" w:type="pct"/>
            <w:tcBorders>
              <w:top w:val="nil"/>
              <w:left w:val="nil"/>
              <w:bottom w:val="single" w:sz="4" w:space="0" w:color="auto"/>
              <w:right w:val="nil"/>
            </w:tcBorders>
            <w:shd w:val="clear" w:color="auto" w:fill="auto"/>
            <w:noWrap/>
            <w:vAlign w:val="bottom"/>
            <w:hideMark/>
          </w:tcPr>
          <w:p w14:paraId="3C9CCAB2" w14:textId="77777777" w:rsidR="00E45705" w:rsidRPr="001B09E6" w:rsidRDefault="00E45705" w:rsidP="00E45705">
            <w:pPr>
              <w:pStyle w:val="TableCellText"/>
              <w:spacing w:before="0" w:after="0"/>
              <w:ind w:left="0" w:right="0"/>
              <w:rPr>
                <w:lang w:eastAsia="en-AU"/>
              </w:rPr>
            </w:pPr>
            <w:r w:rsidRPr="001B09E6">
              <w:rPr>
                <w:lang w:eastAsia="en-AU"/>
              </w:rPr>
              <w:t>94.5</w:t>
            </w:r>
          </w:p>
        </w:tc>
        <w:tc>
          <w:tcPr>
            <w:tcW w:w="402" w:type="pct"/>
            <w:tcBorders>
              <w:top w:val="nil"/>
              <w:left w:val="nil"/>
              <w:bottom w:val="single" w:sz="4" w:space="0" w:color="auto"/>
              <w:right w:val="nil"/>
            </w:tcBorders>
            <w:shd w:val="clear" w:color="auto" w:fill="auto"/>
            <w:noWrap/>
            <w:vAlign w:val="bottom"/>
            <w:hideMark/>
          </w:tcPr>
          <w:p w14:paraId="6618E607" w14:textId="77777777" w:rsidR="00E45705" w:rsidRPr="001B09E6" w:rsidRDefault="00E45705" w:rsidP="00E45705">
            <w:pPr>
              <w:pStyle w:val="TableCellText"/>
              <w:spacing w:before="0" w:after="0"/>
              <w:ind w:left="0" w:right="0"/>
              <w:rPr>
                <w:lang w:eastAsia="en-AU"/>
              </w:rPr>
            </w:pPr>
            <w:r w:rsidRPr="001B09E6">
              <w:rPr>
                <w:lang w:eastAsia="en-AU"/>
              </w:rPr>
              <w:t>96</w:t>
            </w:r>
          </w:p>
        </w:tc>
        <w:tc>
          <w:tcPr>
            <w:tcW w:w="402" w:type="pct"/>
            <w:tcBorders>
              <w:top w:val="nil"/>
              <w:left w:val="nil"/>
              <w:bottom w:val="single" w:sz="4" w:space="0" w:color="auto"/>
              <w:right w:val="nil"/>
            </w:tcBorders>
            <w:shd w:val="clear" w:color="auto" w:fill="auto"/>
            <w:noWrap/>
            <w:vAlign w:val="bottom"/>
            <w:hideMark/>
          </w:tcPr>
          <w:p w14:paraId="643D92CD" w14:textId="77777777" w:rsidR="00E45705" w:rsidRPr="001B09E6" w:rsidRDefault="00E45705" w:rsidP="00E45705">
            <w:pPr>
              <w:pStyle w:val="TableCellText"/>
              <w:spacing w:before="0" w:after="0"/>
              <w:ind w:left="0" w:right="0"/>
              <w:rPr>
                <w:lang w:eastAsia="en-AU"/>
              </w:rPr>
            </w:pPr>
            <w:r w:rsidRPr="001B09E6">
              <w:rPr>
                <w:lang w:eastAsia="en-AU"/>
              </w:rPr>
              <w:t>95.4</w:t>
            </w:r>
          </w:p>
        </w:tc>
      </w:tr>
      <w:tr w:rsidR="00E45705" w:rsidRPr="001B09E6" w14:paraId="0E1A43D7" w14:textId="77777777" w:rsidTr="00E45705">
        <w:trPr>
          <w:trHeight w:val="225"/>
        </w:trPr>
        <w:tc>
          <w:tcPr>
            <w:tcW w:w="5000" w:type="pct"/>
            <w:gridSpan w:val="12"/>
            <w:tcBorders>
              <w:top w:val="nil"/>
              <w:left w:val="nil"/>
              <w:bottom w:val="nil"/>
              <w:right w:val="nil"/>
            </w:tcBorders>
            <w:shd w:val="clear" w:color="auto" w:fill="auto"/>
            <w:noWrap/>
            <w:vAlign w:val="bottom"/>
            <w:hideMark/>
          </w:tcPr>
          <w:p w14:paraId="0BCB376F" w14:textId="77777777" w:rsidR="00E45705" w:rsidRPr="001B09E6" w:rsidRDefault="00E45705" w:rsidP="00E45705">
            <w:pPr>
              <w:pStyle w:val="Tablenote"/>
              <w:rPr>
                <w:lang w:eastAsia="en-AU"/>
              </w:rPr>
            </w:pPr>
            <w:r w:rsidRPr="001B09E6">
              <w:rPr>
                <w:lang w:eastAsia="en-AU"/>
              </w:rPr>
              <w:t>Source: ABS Survey of Education and Work 6227.0</w:t>
            </w:r>
          </w:p>
        </w:tc>
      </w:tr>
    </w:tbl>
    <w:p w14:paraId="20A95085" w14:textId="77777777" w:rsidR="00E45705" w:rsidRDefault="00E45705" w:rsidP="00E45705">
      <w:pPr>
        <w:pStyle w:val="Heading3NoNumbering"/>
      </w:pPr>
      <w:bookmarkStart w:id="176" w:name="_Toc333918998"/>
    </w:p>
    <w:p w14:paraId="1A82C7C0" w14:textId="77777777" w:rsidR="00E45705" w:rsidRDefault="00E45705" w:rsidP="00E45705">
      <w:pPr>
        <w:spacing w:line="380" w:lineRule="atLeast"/>
        <w:rPr>
          <w:rFonts w:eastAsiaTheme="majorEastAsia" w:cstheme="majorBidi"/>
          <w:b/>
          <w:bCs/>
          <w:color w:val="808080"/>
          <w:sz w:val="24"/>
        </w:rPr>
      </w:pPr>
      <w:r>
        <w:br w:type="page"/>
      </w:r>
    </w:p>
    <w:p w14:paraId="2635C487" w14:textId="77777777" w:rsidR="00E45705" w:rsidRPr="001B09E6" w:rsidRDefault="00E45705" w:rsidP="00E45705">
      <w:pPr>
        <w:pStyle w:val="Heading3NoNumbering"/>
      </w:pPr>
      <w:r w:rsidRPr="001B09E6">
        <w:t>Table A2.17: Secondary school attainment – Year 12 retention</w:t>
      </w:r>
      <w:bookmarkEnd w:id="167"/>
      <w:bookmarkEnd w:id="176"/>
    </w:p>
    <w:p w14:paraId="77C13639" w14:textId="77777777" w:rsidR="00E45705" w:rsidRPr="001B09E6" w:rsidRDefault="00E45705" w:rsidP="00E45705">
      <w:pPr>
        <w:pStyle w:val="TableHeading"/>
        <w:spacing w:before="112"/>
      </w:pPr>
      <w:r w:rsidRPr="001B09E6">
        <w:t>APPARENT RETENTION RATES, 2000-2011</w:t>
      </w:r>
    </w:p>
    <w:tbl>
      <w:tblPr>
        <w:tblW w:w="5000" w:type="pct"/>
        <w:tblLook w:val="04A0" w:firstRow="1" w:lastRow="0" w:firstColumn="1" w:lastColumn="0" w:noHBand="0" w:noVBand="1"/>
        <w:tblCaption w:val="Table A2.17: Secondary school attainment – Year 12 retention APPARENT RETENTION RATES, 2000-2011 "/>
        <w:tblDescription w:val="Table A2.17: Secondary school attainment – Year 12 retention&#10;APPARENT RETENTION RATES, 2000-2011&#10;"/>
      </w:tblPr>
      <w:tblGrid>
        <w:gridCol w:w="2193"/>
        <w:gridCol w:w="1036"/>
        <w:gridCol w:w="1036"/>
        <w:gridCol w:w="1036"/>
        <w:gridCol w:w="1035"/>
        <w:gridCol w:w="1035"/>
        <w:gridCol w:w="1035"/>
        <w:gridCol w:w="1035"/>
        <w:gridCol w:w="1035"/>
        <w:gridCol w:w="1035"/>
        <w:gridCol w:w="1035"/>
        <w:gridCol w:w="1035"/>
        <w:gridCol w:w="1035"/>
      </w:tblGrid>
      <w:tr w:rsidR="00E45705" w:rsidRPr="001B09E6" w14:paraId="3B907506" w14:textId="77777777" w:rsidTr="00E45705">
        <w:trPr>
          <w:trHeight w:val="300"/>
        </w:trPr>
        <w:tc>
          <w:tcPr>
            <w:tcW w:w="750" w:type="pct"/>
            <w:tcBorders>
              <w:top w:val="single" w:sz="4" w:space="0" w:color="auto"/>
              <w:left w:val="nil"/>
              <w:bottom w:val="single" w:sz="4" w:space="0" w:color="auto"/>
              <w:right w:val="nil"/>
            </w:tcBorders>
            <w:shd w:val="clear" w:color="auto" w:fill="auto"/>
            <w:noWrap/>
            <w:hideMark/>
          </w:tcPr>
          <w:p w14:paraId="4A4A17FA" w14:textId="77777777" w:rsidR="00E45705" w:rsidRPr="001B09E6" w:rsidRDefault="00E45705" w:rsidP="00E45705">
            <w:pPr>
              <w:pStyle w:val="TableColumnHeading"/>
              <w:spacing w:before="0" w:after="0"/>
              <w:ind w:left="0" w:right="0"/>
            </w:pPr>
          </w:p>
        </w:tc>
        <w:tc>
          <w:tcPr>
            <w:tcW w:w="354" w:type="pct"/>
            <w:tcBorders>
              <w:top w:val="single" w:sz="4" w:space="0" w:color="auto"/>
              <w:left w:val="nil"/>
              <w:bottom w:val="single" w:sz="4" w:space="0" w:color="auto"/>
              <w:right w:val="nil"/>
            </w:tcBorders>
            <w:shd w:val="clear" w:color="auto" w:fill="auto"/>
            <w:noWrap/>
            <w:hideMark/>
          </w:tcPr>
          <w:p w14:paraId="1786A19F" w14:textId="77777777" w:rsidR="00E45705" w:rsidRPr="001B09E6" w:rsidRDefault="00E45705" w:rsidP="00E45705">
            <w:pPr>
              <w:pStyle w:val="TableColumnHeading"/>
              <w:spacing w:before="0" w:after="0"/>
              <w:ind w:left="0" w:right="0"/>
            </w:pPr>
            <w:r w:rsidRPr="001B09E6">
              <w:t>2000</w:t>
            </w:r>
          </w:p>
        </w:tc>
        <w:tc>
          <w:tcPr>
            <w:tcW w:w="354" w:type="pct"/>
            <w:tcBorders>
              <w:top w:val="single" w:sz="4" w:space="0" w:color="auto"/>
              <w:left w:val="nil"/>
              <w:bottom w:val="single" w:sz="4" w:space="0" w:color="auto"/>
              <w:right w:val="nil"/>
            </w:tcBorders>
            <w:shd w:val="clear" w:color="auto" w:fill="auto"/>
            <w:noWrap/>
            <w:hideMark/>
          </w:tcPr>
          <w:p w14:paraId="22F31566" w14:textId="77777777" w:rsidR="00E45705" w:rsidRPr="001B09E6" w:rsidRDefault="00E45705" w:rsidP="00E45705">
            <w:pPr>
              <w:pStyle w:val="TableColumnHeading"/>
              <w:spacing w:before="0" w:after="0"/>
              <w:ind w:left="0" w:right="0"/>
            </w:pPr>
            <w:r w:rsidRPr="001B09E6">
              <w:t>2001</w:t>
            </w:r>
          </w:p>
        </w:tc>
        <w:tc>
          <w:tcPr>
            <w:tcW w:w="354" w:type="pct"/>
            <w:tcBorders>
              <w:top w:val="single" w:sz="4" w:space="0" w:color="auto"/>
              <w:left w:val="nil"/>
              <w:bottom w:val="single" w:sz="4" w:space="0" w:color="auto"/>
              <w:right w:val="nil"/>
            </w:tcBorders>
            <w:shd w:val="clear" w:color="auto" w:fill="auto"/>
            <w:noWrap/>
            <w:hideMark/>
          </w:tcPr>
          <w:p w14:paraId="6288AC37" w14:textId="77777777" w:rsidR="00E45705" w:rsidRPr="001B09E6" w:rsidRDefault="00E45705" w:rsidP="00E45705">
            <w:pPr>
              <w:pStyle w:val="TableColumnHeading"/>
              <w:spacing w:before="0" w:after="0"/>
              <w:ind w:left="0" w:right="0"/>
            </w:pPr>
            <w:r w:rsidRPr="001B09E6">
              <w:t>2002</w:t>
            </w:r>
          </w:p>
        </w:tc>
        <w:tc>
          <w:tcPr>
            <w:tcW w:w="354" w:type="pct"/>
            <w:tcBorders>
              <w:top w:val="single" w:sz="4" w:space="0" w:color="auto"/>
              <w:left w:val="nil"/>
              <w:bottom w:val="single" w:sz="4" w:space="0" w:color="auto"/>
              <w:right w:val="nil"/>
            </w:tcBorders>
            <w:shd w:val="clear" w:color="auto" w:fill="auto"/>
            <w:noWrap/>
            <w:hideMark/>
          </w:tcPr>
          <w:p w14:paraId="3043A2BB" w14:textId="77777777" w:rsidR="00E45705" w:rsidRPr="001B09E6" w:rsidRDefault="00E45705" w:rsidP="00E45705">
            <w:pPr>
              <w:pStyle w:val="TableColumnHeading"/>
              <w:spacing w:before="0" w:after="0"/>
              <w:ind w:left="0" w:right="0"/>
            </w:pPr>
            <w:r w:rsidRPr="001B09E6">
              <w:t>2003</w:t>
            </w:r>
          </w:p>
        </w:tc>
        <w:tc>
          <w:tcPr>
            <w:tcW w:w="354" w:type="pct"/>
            <w:tcBorders>
              <w:top w:val="single" w:sz="4" w:space="0" w:color="auto"/>
              <w:left w:val="nil"/>
              <w:bottom w:val="single" w:sz="4" w:space="0" w:color="auto"/>
              <w:right w:val="nil"/>
            </w:tcBorders>
            <w:shd w:val="clear" w:color="auto" w:fill="auto"/>
            <w:noWrap/>
            <w:hideMark/>
          </w:tcPr>
          <w:p w14:paraId="2DC6B73A" w14:textId="77777777" w:rsidR="00E45705" w:rsidRPr="001B09E6" w:rsidRDefault="00E45705" w:rsidP="00E45705">
            <w:pPr>
              <w:pStyle w:val="TableColumnHeading"/>
              <w:spacing w:before="0" w:after="0"/>
              <w:ind w:left="0" w:right="0"/>
            </w:pPr>
            <w:r w:rsidRPr="001B09E6">
              <w:t>2004</w:t>
            </w:r>
          </w:p>
        </w:tc>
        <w:tc>
          <w:tcPr>
            <w:tcW w:w="354" w:type="pct"/>
            <w:tcBorders>
              <w:top w:val="single" w:sz="4" w:space="0" w:color="auto"/>
              <w:left w:val="nil"/>
              <w:bottom w:val="single" w:sz="4" w:space="0" w:color="auto"/>
              <w:right w:val="nil"/>
            </w:tcBorders>
            <w:shd w:val="clear" w:color="auto" w:fill="auto"/>
            <w:noWrap/>
            <w:hideMark/>
          </w:tcPr>
          <w:p w14:paraId="3B6FF700" w14:textId="77777777" w:rsidR="00E45705" w:rsidRPr="001B09E6" w:rsidRDefault="00E45705" w:rsidP="00E45705">
            <w:pPr>
              <w:pStyle w:val="TableColumnHeading"/>
              <w:spacing w:before="0" w:after="0"/>
              <w:ind w:left="0" w:right="0"/>
            </w:pPr>
            <w:r w:rsidRPr="001B09E6">
              <w:t>2005</w:t>
            </w:r>
          </w:p>
        </w:tc>
        <w:tc>
          <w:tcPr>
            <w:tcW w:w="354" w:type="pct"/>
            <w:tcBorders>
              <w:top w:val="single" w:sz="4" w:space="0" w:color="auto"/>
              <w:left w:val="nil"/>
              <w:bottom w:val="single" w:sz="4" w:space="0" w:color="auto"/>
              <w:right w:val="nil"/>
            </w:tcBorders>
            <w:shd w:val="clear" w:color="auto" w:fill="auto"/>
            <w:noWrap/>
            <w:hideMark/>
          </w:tcPr>
          <w:p w14:paraId="5163870D" w14:textId="77777777" w:rsidR="00E45705" w:rsidRPr="001B09E6" w:rsidRDefault="00E45705" w:rsidP="00E45705">
            <w:pPr>
              <w:pStyle w:val="TableColumnHeading"/>
              <w:spacing w:before="0" w:after="0"/>
              <w:ind w:left="0" w:right="0"/>
            </w:pPr>
            <w:r w:rsidRPr="001B09E6">
              <w:t>2006</w:t>
            </w:r>
          </w:p>
        </w:tc>
        <w:tc>
          <w:tcPr>
            <w:tcW w:w="354" w:type="pct"/>
            <w:tcBorders>
              <w:top w:val="single" w:sz="4" w:space="0" w:color="auto"/>
              <w:left w:val="nil"/>
              <w:bottom w:val="single" w:sz="4" w:space="0" w:color="auto"/>
              <w:right w:val="nil"/>
            </w:tcBorders>
            <w:shd w:val="clear" w:color="auto" w:fill="auto"/>
            <w:noWrap/>
            <w:hideMark/>
          </w:tcPr>
          <w:p w14:paraId="7240E592" w14:textId="77777777" w:rsidR="00E45705" w:rsidRPr="001B09E6" w:rsidRDefault="00E45705" w:rsidP="00E45705">
            <w:pPr>
              <w:pStyle w:val="TableColumnHeading"/>
              <w:spacing w:before="0" w:after="0"/>
              <w:ind w:left="0" w:right="0"/>
            </w:pPr>
            <w:r w:rsidRPr="001B09E6">
              <w:t>2007</w:t>
            </w:r>
          </w:p>
        </w:tc>
        <w:tc>
          <w:tcPr>
            <w:tcW w:w="354" w:type="pct"/>
            <w:tcBorders>
              <w:top w:val="single" w:sz="4" w:space="0" w:color="auto"/>
              <w:left w:val="nil"/>
              <w:bottom w:val="single" w:sz="4" w:space="0" w:color="auto"/>
              <w:right w:val="nil"/>
            </w:tcBorders>
            <w:shd w:val="clear" w:color="auto" w:fill="auto"/>
            <w:noWrap/>
            <w:hideMark/>
          </w:tcPr>
          <w:p w14:paraId="3EB408CD" w14:textId="77777777" w:rsidR="00E45705" w:rsidRPr="001B09E6" w:rsidRDefault="00E45705" w:rsidP="00E45705">
            <w:pPr>
              <w:pStyle w:val="TableColumnHeading"/>
              <w:spacing w:before="0" w:after="0"/>
              <w:ind w:left="0" w:right="0"/>
            </w:pPr>
            <w:r w:rsidRPr="001B09E6">
              <w:t>2008</w:t>
            </w:r>
          </w:p>
        </w:tc>
        <w:tc>
          <w:tcPr>
            <w:tcW w:w="354" w:type="pct"/>
            <w:tcBorders>
              <w:top w:val="single" w:sz="4" w:space="0" w:color="auto"/>
              <w:left w:val="nil"/>
              <w:bottom w:val="single" w:sz="4" w:space="0" w:color="auto"/>
              <w:right w:val="nil"/>
            </w:tcBorders>
            <w:shd w:val="clear" w:color="auto" w:fill="auto"/>
            <w:noWrap/>
            <w:hideMark/>
          </w:tcPr>
          <w:p w14:paraId="1BC27691" w14:textId="77777777" w:rsidR="00E45705" w:rsidRPr="001B09E6" w:rsidRDefault="00E45705" w:rsidP="00E45705">
            <w:pPr>
              <w:pStyle w:val="TableColumnHeading"/>
              <w:spacing w:before="0" w:after="0"/>
              <w:ind w:left="0" w:right="0"/>
            </w:pPr>
            <w:r w:rsidRPr="001B09E6">
              <w:t>2009</w:t>
            </w:r>
          </w:p>
        </w:tc>
        <w:tc>
          <w:tcPr>
            <w:tcW w:w="354" w:type="pct"/>
            <w:tcBorders>
              <w:top w:val="single" w:sz="4" w:space="0" w:color="auto"/>
              <w:left w:val="nil"/>
              <w:bottom w:val="single" w:sz="4" w:space="0" w:color="auto"/>
              <w:right w:val="nil"/>
            </w:tcBorders>
            <w:shd w:val="clear" w:color="auto" w:fill="auto"/>
            <w:noWrap/>
            <w:hideMark/>
          </w:tcPr>
          <w:p w14:paraId="0E4B6734" w14:textId="77777777" w:rsidR="00E45705" w:rsidRPr="001B09E6" w:rsidRDefault="00E45705" w:rsidP="00E45705">
            <w:pPr>
              <w:pStyle w:val="TableColumnHeading"/>
              <w:spacing w:before="0" w:after="0"/>
              <w:ind w:left="0" w:right="0"/>
            </w:pPr>
            <w:r w:rsidRPr="001B09E6">
              <w:t>2010</w:t>
            </w:r>
          </w:p>
        </w:tc>
        <w:tc>
          <w:tcPr>
            <w:tcW w:w="354" w:type="pct"/>
            <w:tcBorders>
              <w:top w:val="single" w:sz="4" w:space="0" w:color="auto"/>
              <w:left w:val="nil"/>
              <w:bottom w:val="single" w:sz="4" w:space="0" w:color="auto"/>
              <w:right w:val="nil"/>
            </w:tcBorders>
            <w:shd w:val="clear" w:color="auto" w:fill="auto"/>
            <w:noWrap/>
            <w:hideMark/>
          </w:tcPr>
          <w:p w14:paraId="7DC2F726" w14:textId="77777777" w:rsidR="00E45705" w:rsidRPr="001B09E6" w:rsidRDefault="00E45705" w:rsidP="00E45705">
            <w:pPr>
              <w:pStyle w:val="TableColumnHeading"/>
              <w:spacing w:before="0" w:after="0"/>
              <w:ind w:left="0" w:right="0"/>
            </w:pPr>
            <w:r w:rsidRPr="001B09E6">
              <w:t>2011</w:t>
            </w:r>
          </w:p>
        </w:tc>
      </w:tr>
      <w:tr w:rsidR="00E45705" w:rsidRPr="001B09E6" w14:paraId="5811D715" w14:textId="77777777" w:rsidTr="00E45705">
        <w:trPr>
          <w:trHeight w:val="300"/>
        </w:trPr>
        <w:tc>
          <w:tcPr>
            <w:tcW w:w="750" w:type="pct"/>
            <w:tcBorders>
              <w:top w:val="single" w:sz="4" w:space="0" w:color="auto"/>
              <w:left w:val="nil"/>
              <w:bottom w:val="single" w:sz="4" w:space="0" w:color="auto"/>
              <w:right w:val="nil"/>
            </w:tcBorders>
            <w:shd w:val="clear" w:color="auto" w:fill="auto"/>
            <w:noWrap/>
            <w:hideMark/>
          </w:tcPr>
          <w:p w14:paraId="2FE649B6" w14:textId="77777777" w:rsidR="00E45705" w:rsidRPr="001B09E6" w:rsidRDefault="00E45705" w:rsidP="00E45705">
            <w:pPr>
              <w:pStyle w:val="TableCellText"/>
              <w:spacing w:before="0" w:after="0"/>
              <w:ind w:left="0" w:right="0"/>
            </w:pPr>
            <w:r w:rsidRPr="001B09E6">
              <w:t>Year 7/8 - Year 12</w:t>
            </w:r>
          </w:p>
        </w:tc>
        <w:tc>
          <w:tcPr>
            <w:tcW w:w="354" w:type="pct"/>
            <w:tcBorders>
              <w:top w:val="single" w:sz="4" w:space="0" w:color="auto"/>
              <w:left w:val="nil"/>
              <w:bottom w:val="single" w:sz="4" w:space="0" w:color="auto"/>
              <w:right w:val="nil"/>
            </w:tcBorders>
            <w:shd w:val="clear" w:color="auto" w:fill="auto"/>
            <w:noWrap/>
            <w:hideMark/>
          </w:tcPr>
          <w:p w14:paraId="30A69F7D" w14:textId="77777777" w:rsidR="00E45705" w:rsidRPr="001B09E6" w:rsidRDefault="00E45705" w:rsidP="00E45705">
            <w:pPr>
              <w:pStyle w:val="TableCellText"/>
              <w:spacing w:before="0" w:after="0"/>
              <w:ind w:left="0" w:right="0"/>
              <w:jc w:val="center"/>
            </w:pPr>
            <w:r w:rsidRPr="001B09E6">
              <w:t>72.3</w:t>
            </w:r>
          </w:p>
        </w:tc>
        <w:tc>
          <w:tcPr>
            <w:tcW w:w="354" w:type="pct"/>
            <w:tcBorders>
              <w:top w:val="single" w:sz="4" w:space="0" w:color="auto"/>
              <w:left w:val="nil"/>
              <w:bottom w:val="single" w:sz="4" w:space="0" w:color="auto"/>
              <w:right w:val="nil"/>
            </w:tcBorders>
            <w:shd w:val="clear" w:color="auto" w:fill="auto"/>
            <w:noWrap/>
            <w:hideMark/>
          </w:tcPr>
          <w:p w14:paraId="0341461F" w14:textId="77777777" w:rsidR="00E45705" w:rsidRPr="001B09E6" w:rsidRDefault="00E45705" w:rsidP="00E45705">
            <w:pPr>
              <w:pStyle w:val="TableCellText"/>
              <w:spacing w:before="0" w:after="0"/>
              <w:ind w:left="0" w:right="0"/>
              <w:jc w:val="center"/>
            </w:pPr>
            <w:r w:rsidRPr="001B09E6">
              <w:t>73.4</w:t>
            </w:r>
          </w:p>
        </w:tc>
        <w:tc>
          <w:tcPr>
            <w:tcW w:w="354" w:type="pct"/>
            <w:tcBorders>
              <w:top w:val="single" w:sz="4" w:space="0" w:color="auto"/>
              <w:left w:val="nil"/>
              <w:bottom w:val="single" w:sz="4" w:space="0" w:color="auto"/>
              <w:right w:val="nil"/>
            </w:tcBorders>
            <w:shd w:val="clear" w:color="auto" w:fill="auto"/>
            <w:noWrap/>
            <w:hideMark/>
          </w:tcPr>
          <w:p w14:paraId="7A2BC037" w14:textId="77777777" w:rsidR="00E45705" w:rsidRPr="001B09E6" w:rsidRDefault="00E45705" w:rsidP="00E45705">
            <w:pPr>
              <w:pStyle w:val="TableCellText"/>
              <w:spacing w:before="0" w:after="0"/>
              <w:ind w:left="0" w:right="0"/>
              <w:jc w:val="center"/>
            </w:pPr>
            <w:r w:rsidRPr="001B09E6">
              <w:t>75.1</w:t>
            </w:r>
          </w:p>
        </w:tc>
        <w:tc>
          <w:tcPr>
            <w:tcW w:w="354" w:type="pct"/>
            <w:tcBorders>
              <w:top w:val="single" w:sz="4" w:space="0" w:color="auto"/>
              <w:left w:val="nil"/>
              <w:bottom w:val="single" w:sz="4" w:space="0" w:color="auto"/>
              <w:right w:val="nil"/>
            </w:tcBorders>
            <w:shd w:val="clear" w:color="auto" w:fill="auto"/>
            <w:noWrap/>
            <w:hideMark/>
          </w:tcPr>
          <w:p w14:paraId="7B79FD95" w14:textId="77777777" w:rsidR="00E45705" w:rsidRPr="001B09E6" w:rsidRDefault="00E45705" w:rsidP="00E45705">
            <w:pPr>
              <w:pStyle w:val="TableCellText"/>
              <w:spacing w:before="0" w:after="0"/>
              <w:ind w:left="0" w:right="0"/>
              <w:jc w:val="center"/>
            </w:pPr>
            <w:r w:rsidRPr="001B09E6">
              <w:t>75.4</w:t>
            </w:r>
          </w:p>
        </w:tc>
        <w:tc>
          <w:tcPr>
            <w:tcW w:w="354" w:type="pct"/>
            <w:tcBorders>
              <w:top w:val="single" w:sz="4" w:space="0" w:color="auto"/>
              <w:left w:val="nil"/>
              <w:bottom w:val="single" w:sz="4" w:space="0" w:color="auto"/>
              <w:right w:val="nil"/>
            </w:tcBorders>
            <w:shd w:val="clear" w:color="auto" w:fill="auto"/>
            <w:noWrap/>
            <w:hideMark/>
          </w:tcPr>
          <w:p w14:paraId="12023AC9" w14:textId="77777777" w:rsidR="00E45705" w:rsidRPr="001B09E6" w:rsidRDefault="00E45705" w:rsidP="00E45705">
            <w:pPr>
              <w:pStyle w:val="TableCellText"/>
              <w:spacing w:before="0" w:after="0"/>
              <w:ind w:left="0" w:right="0"/>
              <w:jc w:val="center"/>
            </w:pPr>
            <w:r w:rsidRPr="001B09E6">
              <w:t>75.7</w:t>
            </w:r>
          </w:p>
        </w:tc>
        <w:tc>
          <w:tcPr>
            <w:tcW w:w="354" w:type="pct"/>
            <w:tcBorders>
              <w:top w:val="single" w:sz="4" w:space="0" w:color="auto"/>
              <w:left w:val="nil"/>
              <w:bottom w:val="single" w:sz="4" w:space="0" w:color="auto"/>
              <w:right w:val="nil"/>
            </w:tcBorders>
            <w:shd w:val="clear" w:color="auto" w:fill="auto"/>
            <w:noWrap/>
            <w:hideMark/>
          </w:tcPr>
          <w:p w14:paraId="7A95FC05" w14:textId="77777777" w:rsidR="00E45705" w:rsidRPr="001B09E6" w:rsidRDefault="00E45705" w:rsidP="00E45705">
            <w:pPr>
              <w:pStyle w:val="TableCellText"/>
              <w:spacing w:before="0" w:after="0"/>
              <w:ind w:left="0" w:right="0"/>
              <w:jc w:val="center"/>
            </w:pPr>
            <w:r w:rsidRPr="001B09E6">
              <w:t>75.3</w:t>
            </w:r>
          </w:p>
        </w:tc>
        <w:tc>
          <w:tcPr>
            <w:tcW w:w="354" w:type="pct"/>
            <w:tcBorders>
              <w:top w:val="single" w:sz="4" w:space="0" w:color="auto"/>
              <w:left w:val="nil"/>
              <w:bottom w:val="single" w:sz="4" w:space="0" w:color="auto"/>
              <w:right w:val="nil"/>
            </w:tcBorders>
            <w:shd w:val="clear" w:color="auto" w:fill="auto"/>
            <w:noWrap/>
            <w:hideMark/>
          </w:tcPr>
          <w:p w14:paraId="66F24533" w14:textId="77777777" w:rsidR="00E45705" w:rsidRPr="001B09E6" w:rsidRDefault="00E45705" w:rsidP="00E45705">
            <w:pPr>
              <w:pStyle w:val="TableCellText"/>
              <w:spacing w:before="0" w:after="0"/>
              <w:ind w:left="0" w:right="0"/>
              <w:jc w:val="center"/>
            </w:pPr>
            <w:r w:rsidRPr="001B09E6">
              <w:t>74.7</w:t>
            </w:r>
          </w:p>
        </w:tc>
        <w:tc>
          <w:tcPr>
            <w:tcW w:w="354" w:type="pct"/>
            <w:tcBorders>
              <w:top w:val="single" w:sz="4" w:space="0" w:color="auto"/>
              <w:left w:val="nil"/>
              <w:bottom w:val="single" w:sz="4" w:space="0" w:color="auto"/>
              <w:right w:val="nil"/>
            </w:tcBorders>
            <w:shd w:val="clear" w:color="auto" w:fill="auto"/>
            <w:noWrap/>
            <w:hideMark/>
          </w:tcPr>
          <w:p w14:paraId="77559941" w14:textId="77777777" w:rsidR="00E45705" w:rsidRPr="001B09E6" w:rsidRDefault="00E45705" w:rsidP="00E45705">
            <w:pPr>
              <w:pStyle w:val="TableCellText"/>
              <w:spacing w:before="0" w:after="0"/>
              <w:ind w:left="0" w:right="0"/>
              <w:jc w:val="center"/>
            </w:pPr>
            <w:r w:rsidRPr="001B09E6">
              <w:t>74.3</w:t>
            </w:r>
          </w:p>
        </w:tc>
        <w:tc>
          <w:tcPr>
            <w:tcW w:w="354" w:type="pct"/>
            <w:tcBorders>
              <w:top w:val="single" w:sz="4" w:space="0" w:color="auto"/>
              <w:left w:val="nil"/>
              <w:bottom w:val="single" w:sz="4" w:space="0" w:color="auto"/>
              <w:right w:val="nil"/>
            </w:tcBorders>
            <w:shd w:val="clear" w:color="auto" w:fill="auto"/>
            <w:noWrap/>
            <w:hideMark/>
          </w:tcPr>
          <w:p w14:paraId="29E549C0" w14:textId="77777777" w:rsidR="00E45705" w:rsidRPr="001B09E6" w:rsidRDefault="00E45705" w:rsidP="00E45705">
            <w:pPr>
              <w:pStyle w:val="TableCellText"/>
              <w:spacing w:before="0" w:after="0"/>
              <w:ind w:left="0" w:right="0"/>
              <w:jc w:val="center"/>
            </w:pPr>
            <w:r w:rsidRPr="001B09E6">
              <w:t>74.6</w:t>
            </w:r>
          </w:p>
        </w:tc>
        <w:tc>
          <w:tcPr>
            <w:tcW w:w="354" w:type="pct"/>
            <w:tcBorders>
              <w:top w:val="single" w:sz="4" w:space="0" w:color="auto"/>
              <w:left w:val="nil"/>
              <w:bottom w:val="single" w:sz="4" w:space="0" w:color="auto"/>
              <w:right w:val="nil"/>
            </w:tcBorders>
            <w:shd w:val="clear" w:color="auto" w:fill="auto"/>
            <w:noWrap/>
            <w:hideMark/>
          </w:tcPr>
          <w:p w14:paraId="5C4B1D65" w14:textId="77777777" w:rsidR="00E45705" w:rsidRPr="001B09E6" w:rsidRDefault="00E45705" w:rsidP="00E45705">
            <w:pPr>
              <w:pStyle w:val="TableCellText"/>
              <w:spacing w:before="0" w:after="0"/>
              <w:ind w:left="0" w:right="0"/>
              <w:jc w:val="center"/>
            </w:pPr>
            <w:r w:rsidRPr="001B09E6">
              <w:t>76</w:t>
            </w:r>
          </w:p>
        </w:tc>
        <w:tc>
          <w:tcPr>
            <w:tcW w:w="354" w:type="pct"/>
            <w:tcBorders>
              <w:top w:val="single" w:sz="4" w:space="0" w:color="auto"/>
              <w:left w:val="nil"/>
              <w:bottom w:val="single" w:sz="4" w:space="0" w:color="auto"/>
              <w:right w:val="nil"/>
            </w:tcBorders>
            <w:shd w:val="clear" w:color="auto" w:fill="auto"/>
            <w:noWrap/>
            <w:hideMark/>
          </w:tcPr>
          <w:p w14:paraId="48B392F1" w14:textId="77777777" w:rsidR="00E45705" w:rsidRPr="001B09E6" w:rsidRDefault="00E45705" w:rsidP="00E45705">
            <w:pPr>
              <w:pStyle w:val="TableCellText"/>
              <w:spacing w:before="0" w:after="0"/>
              <w:ind w:left="0" w:right="0"/>
              <w:jc w:val="center"/>
            </w:pPr>
            <w:r w:rsidRPr="001B09E6">
              <w:t>78</w:t>
            </w:r>
          </w:p>
        </w:tc>
        <w:tc>
          <w:tcPr>
            <w:tcW w:w="354" w:type="pct"/>
            <w:tcBorders>
              <w:top w:val="single" w:sz="4" w:space="0" w:color="auto"/>
              <w:left w:val="nil"/>
              <w:bottom w:val="single" w:sz="4" w:space="0" w:color="auto"/>
              <w:right w:val="nil"/>
            </w:tcBorders>
            <w:shd w:val="clear" w:color="auto" w:fill="auto"/>
            <w:noWrap/>
            <w:hideMark/>
          </w:tcPr>
          <w:p w14:paraId="2C190CEE" w14:textId="77777777" w:rsidR="00E45705" w:rsidRPr="001B09E6" w:rsidRDefault="00E45705" w:rsidP="00E45705">
            <w:pPr>
              <w:pStyle w:val="TableCellText"/>
              <w:spacing w:before="0" w:after="0"/>
              <w:ind w:left="0" w:right="0"/>
              <w:jc w:val="center"/>
            </w:pPr>
            <w:r w:rsidRPr="001B09E6">
              <w:t>79.3</w:t>
            </w:r>
          </w:p>
        </w:tc>
      </w:tr>
    </w:tbl>
    <w:p w14:paraId="3F752B8D" w14:textId="77777777" w:rsidR="00E45705" w:rsidRPr="001B09E6" w:rsidRDefault="00E45705" w:rsidP="00E45705">
      <w:pPr>
        <w:pStyle w:val="Tablenote"/>
      </w:pPr>
      <w:r w:rsidRPr="001B09E6">
        <w:t>Source: Nation Schools Statistics Collection</w:t>
      </w:r>
    </w:p>
    <w:p w14:paraId="0D14A1C8" w14:textId="77777777" w:rsidR="00E45705" w:rsidRPr="001B09E6" w:rsidRDefault="00E45705" w:rsidP="00E45705">
      <w:pPr>
        <w:pStyle w:val="Heading3NoNumbering"/>
      </w:pPr>
      <w:bookmarkStart w:id="177" w:name="_Toc192134410"/>
      <w:bookmarkStart w:id="178" w:name="_Toc333918999"/>
      <w:bookmarkStart w:id="179" w:name="_Toc192134411"/>
      <w:r w:rsidRPr="001B09E6">
        <w:t>Table A2.18: VET in Schools qualification attainment</w:t>
      </w:r>
      <w:bookmarkEnd w:id="177"/>
      <w:bookmarkEnd w:id="178"/>
    </w:p>
    <w:p w14:paraId="6B8F3C29" w14:textId="77777777" w:rsidR="00E45705" w:rsidRPr="001B09E6" w:rsidRDefault="00E45705" w:rsidP="00E45705">
      <w:pPr>
        <w:pStyle w:val="TableHeading"/>
        <w:spacing w:before="112"/>
      </w:pPr>
      <w:r w:rsidRPr="001B09E6">
        <w:t>PERCENTAGE OF VET in Schools course completions as a percentage of total 15 to 17 year olds, 2005-9, excluding South Australia</w:t>
      </w:r>
    </w:p>
    <w:tbl>
      <w:tblPr>
        <w:tblW w:w="5000" w:type="pct"/>
        <w:tblLook w:val="04A0" w:firstRow="1" w:lastRow="0" w:firstColumn="1" w:lastColumn="0" w:noHBand="0" w:noVBand="1"/>
        <w:tblCaption w:val="Table A2.18: VET in Schools qualification attainment PERCENTAGE OF VET in Schools course completions as a percentage of total 15 to 17 year olds, 2005-9, excluding South Australia "/>
        <w:tblDescription w:val="Table A2.18: VET in Schools qualification attainment&#10;PERCENTAGE OF VET in Schools course completions as a percentage of total 15 to 17 year olds, 2005-9, excluding South Australia&#10;"/>
      </w:tblPr>
      <w:tblGrid>
        <w:gridCol w:w="3231"/>
        <w:gridCol w:w="2277"/>
        <w:gridCol w:w="2277"/>
        <w:gridCol w:w="2277"/>
        <w:gridCol w:w="2277"/>
        <w:gridCol w:w="2277"/>
      </w:tblGrid>
      <w:tr w:rsidR="00E45705" w:rsidRPr="001B09E6" w14:paraId="13651F41" w14:textId="77777777" w:rsidTr="00E45705">
        <w:trPr>
          <w:trHeight w:val="300"/>
        </w:trPr>
        <w:tc>
          <w:tcPr>
            <w:tcW w:w="1105" w:type="pct"/>
            <w:tcBorders>
              <w:top w:val="single" w:sz="4" w:space="0" w:color="auto"/>
              <w:left w:val="nil"/>
              <w:bottom w:val="single" w:sz="4" w:space="0" w:color="auto"/>
              <w:right w:val="nil"/>
            </w:tcBorders>
            <w:shd w:val="clear" w:color="auto" w:fill="auto"/>
            <w:noWrap/>
            <w:vAlign w:val="bottom"/>
            <w:hideMark/>
          </w:tcPr>
          <w:p w14:paraId="7103EE2C" w14:textId="77777777" w:rsidR="00E45705" w:rsidRPr="001B09E6" w:rsidRDefault="00E45705" w:rsidP="00E45705">
            <w:pPr>
              <w:pStyle w:val="TableColumnHeading"/>
              <w:spacing w:before="0" w:after="0"/>
              <w:ind w:left="0" w:right="0"/>
              <w:rPr>
                <w:lang w:eastAsia="en-AU"/>
              </w:rPr>
            </w:pPr>
            <w:r w:rsidRPr="001B09E6">
              <w:rPr>
                <w:lang w:eastAsia="en-AU"/>
              </w:rPr>
              <w:t> </w:t>
            </w:r>
          </w:p>
        </w:tc>
        <w:tc>
          <w:tcPr>
            <w:tcW w:w="779" w:type="pct"/>
            <w:tcBorders>
              <w:top w:val="single" w:sz="4" w:space="0" w:color="auto"/>
              <w:left w:val="nil"/>
              <w:bottom w:val="single" w:sz="4" w:space="0" w:color="auto"/>
              <w:right w:val="nil"/>
            </w:tcBorders>
            <w:shd w:val="clear" w:color="auto" w:fill="auto"/>
            <w:noWrap/>
            <w:vAlign w:val="bottom"/>
            <w:hideMark/>
          </w:tcPr>
          <w:p w14:paraId="3ED502CC" w14:textId="77777777" w:rsidR="00E45705" w:rsidRPr="001B09E6" w:rsidRDefault="00E45705" w:rsidP="00E45705">
            <w:pPr>
              <w:pStyle w:val="TableColumnHeading"/>
              <w:spacing w:before="0" w:after="0"/>
              <w:ind w:left="0" w:right="0"/>
              <w:jc w:val="center"/>
              <w:rPr>
                <w:lang w:eastAsia="en-AU"/>
              </w:rPr>
            </w:pPr>
            <w:r w:rsidRPr="001B09E6">
              <w:rPr>
                <w:lang w:eastAsia="en-AU"/>
              </w:rPr>
              <w:t>2005</w:t>
            </w:r>
          </w:p>
          <w:p w14:paraId="0CD92CD8" w14:textId="77777777" w:rsidR="00E45705" w:rsidRPr="001B09E6" w:rsidRDefault="00E45705" w:rsidP="00E45705">
            <w:pPr>
              <w:pStyle w:val="TableColumnHeading"/>
              <w:spacing w:before="0" w:after="0"/>
              <w:ind w:left="0" w:right="0"/>
              <w:jc w:val="center"/>
              <w:rPr>
                <w:lang w:eastAsia="en-AU"/>
              </w:rPr>
            </w:pPr>
          </w:p>
        </w:tc>
        <w:tc>
          <w:tcPr>
            <w:tcW w:w="779" w:type="pct"/>
            <w:tcBorders>
              <w:top w:val="single" w:sz="4" w:space="0" w:color="auto"/>
              <w:left w:val="nil"/>
              <w:bottom w:val="single" w:sz="4" w:space="0" w:color="auto"/>
              <w:right w:val="nil"/>
            </w:tcBorders>
            <w:shd w:val="clear" w:color="auto" w:fill="auto"/>
            <w:noWrap/>
            <w:vAlign w:val="bottom"/>
            <w:hideMark/>
          </w:tcPr>
          <w:p w14:paraId="029A210E" w14:textId="77777777" w:rsidR="00E45705" w:rsidRPr="001B09E6" w:rsidRDefault="00E45705" w:rsidP="00E45705">
            <w:pPr>
              <w:pStyle w:val="TableColumnHeading"/>
              <w:spacing w:before="0" w:after="0"/>
              <w:ind w:left="0" w:right="0"/>
              <w:jc w:val="center"/>
              <w:rPr>
                <w:lang w:eastAsia="en-AU"/>
              </w:rPr>
            </w:pPr>
            <w:r w:rsidRPr="001B09E6">
              <w:rPr>
                <w:lang w:eastAsia="en-AU"/>
              </w:rPr>
              <w:t>2006</w:t>
            </w:r>
          </w:p>
          <w:p w14:paraId="6DF2CD9B" w14:textId="77777777" w:rsidR="00E45705" w:rsidRPr="001B09E6" w:rsidRDefault="00E45705" w:rsidP="00E45705">
            <w:pPr>
              <w:pStyle w:val="TableColumnHeading"/>
              <w:spacing w:before="0" w:after="0"/>
              <w:ind w:left="0" w:right="0"/>
              <w:jc w:val="center"/>
              <w:rPr>
                <w:lang w:eastAsia="en-AU"/>
              </w:rPr>
            </w:pPr>
          </w:p>
        </w:tc>
        <w:tc>
          <w:tcPr>
            <w:tcW w:w="779" w:type="pct"/>
            <w:tcBorders>
              <w:top w:val="single" w:sz="4" w:space="0" w:color="auto"/>
              <w:left w:val="nil"/>
              <w:bottom w:val="single" w:sz="4" w:space="0" w:color="auto"/>
              <w:right w:val="nil"/>
            </w:tcBorders>
            <w:shd w:val="clear" w:color="auto" w:fill="auto"/>
            <w:noWrap/>
            <w:vAlign w:val="bottom"/>
            <w:hideMark/>
          </w:tcPr>
          <w:p w14:paraId="16C6A402" w14:textId="77777777" w:rsidR="00E45705" w:rsidRPr="001B09E6" w:rsidRDefault="00E45705" w:rsidP="00E45705">
            <w:pPr>
              <w:pStyle w:val="TableColumnHeading"/>
              <w:spacing w:before="0" w:after="0"/>
              <w:ind w:left="0" w:right="0"/>
              <w:jc w:val="center"/>
              <w:rPr>
                <w:lang w:eastAsia="en-AU"/>
              </w:rPr>
            </w:pPr>
            <w:r w:rsidRPr="001B09E6">
              <w:rPr>
                <w:lang w:eastAsia="en-AU"/>
              </w:rPr>
              <w:t>2007</w:t>
            </w:r>
          </w:p>
          <w:p w14:paraId="5D8E8C1C" w14:textId="77777777" w:rsidR="00E45705" w:rsidRPr="001B09E6" w:rsidRDefault="00E45705" w:rsidP="00E45705">
            <w:pPr>
              <w:pStyle w:val="TableColumnHeading"/>
              <w:spacing w:before="0" w:after="0"/>
              <w:ind w:left="0" w:right="0"/>
              <w:jc w:val="center"/>
              <w:rPr>
                <w:lang w:eastAsia="en-AU"/>
              </w:rPr>
            </w:pPr>
          </w:p>
        </w:tc>
        <w:tc>
          <w:tcPr>
            <w:tcW w:w="779" w:type="pct"/>
            <w:tcBorders>
              <w:top w:val="single" w:sz="4" w:space="0" w:color="auto"/>
              <w:left w:val="nil"/>
              <w:bottom w:val="single" w:sz="4" w:space="0" w:color="auto"/>
              <w:right w:val="nil"/>
            </w:tcBorders>
            <w:shd w:val="clear" w:color="auto" w:fill="auto"/>
            <w:noWrap/>
            <w:vAlign w:val="bottom"/>
            <w:hideMark/>
          </w:tcPr>
          <w:p w14:paraId="40A1EE88" w14:textId="77777777" w:rsidR="00E45705" w:rsidRPr="001B09E6" w:rsidRDefault="00E45705" w:rsidP="00E45705">
            <w:pPr>
              <w:pStyle w:val="TableColumnHeading"/>
              <w:spacing w:before="0" w:after="0"/>
              <w:ind w:left="0" w:right="0"/>
              <w:jc w:val="center"/>
              <w:rPr>
                <w:lang w:eastAsia="en-AU"/>
              </w:rPr>
            </w:pPr>
            <w:r w:rsidRPr="001B09E6">
              <w:rPr>
                <w:lang w:eastAsia="en-AU"/>
              </w:rPr>
              <w:t>2008</w:t>
            </w:r>
          </w:p>
          <w:p w14:paraId="1F48A183" w14:textId="77777777" w:rsidR="00E45705" w:rsidRPr="001B09E6" w:rsidRDefault="00E45705" w:rsidP="00E45705">
            <w:pPr>
              <w:pStyle w:val="TableColumnHeading"/>
              <w:spacing w:before="0" w:after="0"/>
              <w:ind w:left="0" w:right="0"/>
              <w:jc w:val="center"/>
              <w:rPr>
                <w:lang w:eastAsia="en-AU"/>
              </w:rPr>
            </w:pPr>
          </w:p>
        </w:tc>
        <w:tc>
          <w:tcPr>
            <w:tcW w:w="779" w:type="pct"/>
            <w:tcBorders>
              <w:top w:val="single" w:sz="4" w:space="0" w:color="auto"/>
              <w:left w:val="nil"/>
              <w:bottom w:val="single" w:sz="4" w:space="0" w:color="auto"/>
              <w:right w:val="nil"/>
            </w:tcBorders>
            <w:shd w:val="clear" w:color="auto" w:fill="auto"/>
            <w:noWrap/>
            <w:vAlign w:val="bottom"/>
            <w:hideMark/>
          </w:tcPr>
          <w:p w14:paraId="4068EAB8" w14:textId="77777777" w:rsidR="00E45705" w:rsidRPr="001B09E6" w:rsidRDefault="00E45705" w:rsidP="00E45705">
            <w:pPr>
              <w:pStyle w:val="TableColumnHeading"/>
              <w:spacing w:before="0" w:after="0"/>
              <w:ind w:left="0" w:right="0"/>
              <w:jc w:val="center"/>
              <w:rPr>
                <w:lang w:eastAsia="en-AU"/>
              </w:rPr>
            </w:pPr>
            <w:r w:rsidRPr="001B09E6">
              <w:rPr>
                <w:lang w:eastAsia="en-AU"/>
              </w:rPr>
              <w:t>2009</w:t>
            </w:r>
          </w:p>
          <w:p w14:paraId="14015D4D" w14:textId="77777777" w:rsidR="00E45705" w:rsidRPr="001B09E6" w:rsidRDefault="00E45705" w:rsidP="00E45705">
            <w:pPr>
              <w:pStyle w:val="TableColumnHeading"/>
              <w:spacing w:before="0" w:after="0"/>
              <w:ind w:left="0" w:right="0"/>
              <w:jc w:val="center"/>
              <w:rPr>
                <w:lang w:eastAsia="en-AU"/>
              </w:rPr>
            </w:pPr>
          </w:p>
        </w:tc>
      </w:tr>
      <w:tr w:rsidR="00E45705" w:rsidRPr="001B09E6" w14:paraId="4FFEA742" w14:textId="77777777" w:rsidTr="00E45705">
        <w:trPr>
          <w:trHeight w:val="300"/>
        </w:trPr>
        <w:tc>
          <w:tcPr>
            <w:tcW w:w="1105" w:type="pct"/>
            <w:tcBorders>
              <w:top w:val="nil"/>
              <w:left w:val="nil"/>
              <w:bottom w:val="nil"/>
              <w:right w:val="nil"/>
            </w:tcBorders>
            <w:shd w:val="clear" w:color="auto" w:fill="auto"/>
            <w:noWrap/>
            <w:vAlign w:val="bottom"/>
            <w:hideMark/>
          </w:tcPr>
          <w:p w14:paraId="296CB0A5" w14:textId="77777777" w:rsidR="00E45705" w:rsidRPr="001B09E6" w:rsidRDefault="00E45705" w:rsidP="00E45705">
            <w:pPr>
              <w:pStyle w:val="TableCellText"/>
              <w:spacing w:before="0" w:after="0"/>
              <w:ind w:left="0" w:right="0"/>
              <w:rPr>
                <w:lang w:eastAsia="en-AU"/>
              </w:rPr>
            </w:pPr>
            <w:r w:rsidRPr="001B09E6">
              <w:rPr>
                <w:lang w:eastAsia="en-AU"/>
              </w:rPr>
              <w:t>Age 15</w:t>
            </w:r>
          </w:p>
        </w:tc>
        <w:tc>
          <w:tcPr>
            <w:tcW w:w="779" w:type="pct"/>
            <w:tcBorders>
              <w:top w:val="nil"/>
              <w:left w:val="nil"/>
              <w:bottom w:val="nil"/>
              <w:right w:val="nil"/>
            </w:tcBorders>
            <w:shd w:val="clear" w:color="auto" w:fill="auto"/>
            <w:noWrap/>
            <w:vAlign w:val="bottom"/>
            <w:hideMark/>
          </w:tcPr>
          <w:p w14:paraId="49C16DFA" w14:textId="77777777" w:rsidR="00E45705" w:rsidRPr="001B09E6" w:rsidRDefault="00E45705" w:rsidP="00E45705">
            <w:pPr>
              <w:pStyle w:val="TableCellText"/>
              <w:spacing w:before="0" w:after="0"/>
              <w:ind w:left="0" w:right="0"/>
              <w:jc w:val="center"/>
              <w:rPr>
                <w:lang w:eastAsia="en-AU"/>
              </w:rPr>
            </w:pPr>
            <w:r w:rsidRPr="001B09E6">
              <w:rPr>
                <w:lang w:eastAsia="en-AU"/>
              </w:rPr>
              <w:t>0.8</w:t>
            </w:r>
          </w:p>
        </w:tc>
        <w:tc>
          <w:tcPr>
            <w:tcW w:w="779" w:type="pct"/>
            <w:tcBorders>
              <w:top w:val="nil"/>
              <w:left w:val="nil"/>
              <w:bottom w:val="nil"/>
              <w:right w:val="nil"/>
            </w:tcBorders>
            <w:shd w:val="clear" w:color="auto" w:fill="auto"/>
            <w:noWrap/>
            <w:vAlign w:val="bottom"/>
            <w:hideMark/>
          </w:tcPr>
          <w:p w14:paraId="1CA4E6F7" w14:textId="77777777" w:rsidR="00E45705" w:rsidRPr="001B09E6" w:rsidRDefault="00E45705" w:rsidP="00E45705">
            <w:pPr>
              <w:pStyle w:val="TableCellText"/>
              <w:spacing w:before="0" w:after="0"/>
              <w:ind w:left="0" w:right="0"/>
              <w:jc w:val="center"/>
              <w:rPr>
                <w:lang w:eastAsia="en-AU"/>
              </w:rPr>
            </w:pPr>
            <w:r w:rsidRPr="001B09E6">
              <w:rPr>
                <w:lang w:eastAsia="en-AU"/>
              </w:rPr>
              <w:t>1.0</w:t>
            </w:r>
          </w:p>
        </w:tc>
        <w:tc>
          <w:tcPr>
            <w:tcW w:w="779" w:type="pct"/>
            <w:tcBorders>
              <w:top w:val="nil"/>
              <w:left w:val="nil"/>
              <w:bottom w:val="nil"/>
              <w:right w:val="nil"/>
            </w:tcBorders>
            <w:shd w:val="clear" w:color="auto" w:fill="auto"/>
            <w:noWrap/>
            <w:vAlign w:val="bottom"/>
            <w:hideMark/>
          </w:tcPr>
          <w:p w14:paraId="7D3D4EB8"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c>
          <w:tcPr>
            <w:tcW w:w="779" w:type="pct"/>
            <w:tcBorders>
              <w:top w:val="nil"/>
              <w:left w:val="nil"/>
              <w:bottom w:val="nil"/>
              <w:right w:val="nil"/>
            </w:tcBorders>
            <w:shd w:val="clear" w:color="auto" w:fill="auto"/>
            <w:noWrap/>
            <w:vAlign w:val="bottom"/>
            <w:hideMark/>
          </w:tcPr>
          <w:p w14:paraId="3401E381" w14:textId="77777777" w:rsidR="00E45705" w:rsidRPr="001B09E6" w:rsidRDefault="00E45705" w:rsidP="00E45705">
            <w:pPr>
              <w:pStyle w:val="TableCellText"/>
              <w:spacing w:before="0" w:after="0"/>
              <w:ind w:left="0" w:right="0"/>
              <w:jc w:val="center"/>
              <w:rPr>
                <w:lang w:eastAsia="en-AU"/>
              </w:rPr>
            </w:pPr>
            <w:r w:rsidRPr="001B09E6">
              <w:rPr>
                <w:lang w:eastAsia="en-AU"/>
              </w:rPr>
              <w:t>3.3</w:t>
            </w:r>
          </w:p>
        </w:tc>
        <w:tc>
          <w:tcPr>
            <w:tcW w:w="779" w:type="pct"/>
            <w:tcBorders>
              <w:top w:val="nil"/>
              <w:left w:val="nil"/>
              <w:bottom w:val="nil"/>
              <w:right w:val="nil"/>
            </w:tcBorders>
            <w:shd w:val="clear" w:color="auto" w:fill="auto"/>
            <w:noWrap/>
            <w:vAlign w:val="bottom"/>
            <w:hideMark/>
          </w:tcPr>
          <w:p w14:paraId="47818CAD" w14:textId="77777777" w:rsidR="00E45705" w:rsidRPr="001B09E6" w:rsidRDefault="00E45705" w:rsidP="00E45705">
            <w:pPr>
              <w:pStyle w:val="TableCellText"/>
              <w:spacing w:before="0" w:after="0"/>
              <w:ind w:left="0" w:right="0"/>
              <w:jc w:val="center"/>
              <w:rPr>
                <w:lang w:eastAsia="en-AU"/>
              </w:rPr>
            </w:pPr>
            <w:r w:rsidRPr="001B09E6">
              <w:rPr>
                <w:lang w:eastAsia="en-AU"/>
              </w:rPr>
              <w:t>4.5</w:t>
            </w:r>
          </w:p>
        </w:tc>
      </w:tr>
      <w:tr w:rsidR="00E45705" w:rsidRPr="001B09E6" w14:paraId="52928CAC" w14:textId="77777777" w:rsidTr="00E45705">
        <w:trPr>
          <w:trHeight w:val="300"/>
        </w:trPr>
        <w:tc>
          <w:tcPr>
            <w:tcW w:w="1105" w:type="pct"/>
            <w:tcBorders>
              <w:top w:val="nil"/>
              <w:left w:val="nil"/>
              <w:bottom w:val="nil"/>
              <w:right w:val="nil"/>
            </w:tcBorders>
            <w:shd w:val="clear" w:color="auto" w:fill="auto"/>
            <w:noWrap/>
            <w:vAlign w:val="bottom"/>
            <w:hideMark/>
          </w:tcPr>
          <w:p w14:paraId="776363B8" w14:textId="77777777" w:rsidR="00E45705" w:rsidRPr="001B09E6" w:rsidRDefault="00E45705" w:rsidP="00E45705">
            <w:pPr>
              <w:pStyle w:val="TableCellText"/>
              <w:spacing w:before="0" w:after="0"/>
              <w:ind w:left="0" w:right="0"/>
              <w:rPr>
                <w:lang w:eastAsia="en-AU"/>
              </w:rPr>
            </w:pPr>
            <w:r w:rsidRPr="001B09E6">
              <w:rPr>
                <w:lang w:eastAsia="en-AU"/>
              </w:rPr>
              <w:t>Age 16</w:t>
            </w:r>
          </w:p>
        </w:tc>
        <w:tc>
          <w:tcPr>
            <w:tcW w:w="779" w:type="pct"/>
            <w:tcBorders>
              <w:top w:val="nil"/>
              <w:left w:val="nil"/>
              <w:bottom w:val="nil"/>
              <w:right w:val="nil"/>
            </w:tcBorders>
            <w:shd w:val="clear" w:color="auto" w:fill="auto"/>
            <w:noWrap/>
            <w:vAlign w:val="bottom"/>
            <w:hideMark/>
          </w:tcPr>
          <w:p w14:paraId="3AF57464" w14:textId="77777777" w:rsidR="00E45705" w:rsidRPr="001B09E6" w:rsidRDefault="00E45705" w:rsidP="00E45705">
            <w:pPr>
              <w:pStyle w:val="TableCellText"/>
              <w:spacing w:before="0" w:after="0"/>
              <w:ind w:left="0" w:right="0"/>
              <w:jc w:val="center"/>
              <w:rPr>
                <w:lang w:eastAsia="en-AU"/>
              </w:rPr>
            </w:pPr>
            <w:r w:rsidRPr="001B09E6">
              <w:rPr>
                <w:lang w:eastAsia="en-AU"/>
              </w:rPr>
              <w:t>6.5</w:t>
            </w:r>
          </w:p>
        </w:tc>
        <w:tc>
          <w:tcPr>
            <w:tcW w:w="779" w:type="pct"/>
            <w:tcBorders>
              <w:top w:val="nil"/>
              <w:left w:val="nil"/>
              <w:bottom w:val="nil"/>
              <w:right w:val="nil"/>
            </w:tcBorders>
            <w:shd w:val="clear" w:color="auto" w:fill="auto"/>
            <w:noWrap/>
            <w:vAlign w:val="bottom"/>
            <w:hideMark/>
          </w:tcPr>
          <w:p w14:paraId="757F058E" w14:textId="77777777" w:rsidR="00E45705" w:rsidRPr="001B09E6" w:rsidRDefault="00E45705" w:rsidP="00E45705">
            <w:pPr>
              <w:pStyle w:val="TableCellText"/>
              <w:spacing w:before="0" w:after="0"/>
              <w:ind w:left="0" w:right="0"/>
              <w:jc w:val="center"/>
              <w:rPr>
                <w:lang w:eastAsia="en-AU"/>
              </w:rPr>
            </w:pPr>
            <w:r w:rsidRPr="001B09E6">
              <w:rPr>
                <w:lang w:eastAsia="en-AU"/>
              </w:rPr>
              <w:t>5.7</w:t>
            </w:r>
          </w:p>
        </w:tc>
        <w:tc>
          <w:tcPr>
            <w:tcW w:w="779" w:type="pct"/>
            <w:tcBorders>
              <w:top w:val="nil"/>
              <w:left w:val="nil"/>
              <w:bottom w:val="nil"/>
              <w:right w:val="nil"/>
            </w:tcBorders>
            <w:shd w:val="clear" w:color="auto" w:fill="auto"/>
            <w:noWrap/>
            <w:vAlign w:val="bottom"/>
            <w:hideMark/>
          </w:tcPr>
          <w:p w14:paraId="250501A3" w14:textId="77777777" w:rsidR="00E45705" w:rsidRPr="001B09E6" w:rsidRDefault="00E45705" w:rsidP="00E45705">
            <w:pPr>
              <w:pStyle w:val="TableCellText"/>
              <w:spacing w:before="0" w:after="0"/>
              <w:ind w:left="0" w:right="0"/>
              <w:jc w:val="center"/>
              <w:rPr>
                <w:lang w:eastAsia="en-AU"/>
              </w:rPr>
            </w:pPr>
            <w:r w:rsidRPr="001B09E6">
              <w:rPr>
                <w:lang w:eastAsia="en-AU"/>
              </w:rPr>
              <w:t>7.3</w:t>
            </w:r>
          </w:p>
        </w:tc>
        <w:tc>
          <w:tcPr>
            <w:tcW w:w="779" w:type="pct"/>
            <w:tcBorders>
              <w:top w:val="nil"/>
              <w:left w:val="nil"/>
              <w:bottom w:val="nil"/>
              <w:right w:val="nil"/>
            </w:tcBorders>
            <w:shd w:val="clear" w:color="auto" w:fill="auto"/>
            <w:noWrap/>
            <w:vAlign w:val="bottom"/>
            <w:hideMark/>
          </w:tcPr>
          <w:p w14:paraId="4C1C972A" w14:textId="77777777" w:rsidR="00E45705" w:rsidRPr="001B09E6" w:rsidRDefault="00E45705" w:rsidP="00E45705">
            <w:pPr>
              <w:pStyle w:val="TableCellText"/>
              <w:spacing w:before="0" w:after="0"/>
              <w:ind w:left="0" w:right="0"/>
              <w:jc w:val="center"/>
              <w:rPr>
                <w:lang w:eastAsia="en-AU"/>
              </w:rPr>
            </w:pPr>
            <w:r w:rsidRPr="001B09E6">
              <w:rPr>
                <w:lang w:eastAsia="en-AU"/>
              </w:rPr>
              <w:t>9.6</w:t>
            </w:r>
          </w:p>
        </w:tc>
        <w:tc>
          <w:tcPr>
            <w:tcW w:w="779" w:type="pct"/>
            <w:tcBorders>
              <w:top w:val="nil"/>
              <w:left w:val="nil"/>
              <w:bottom w:val="nil"/>
              <w:right w:val="nil"/>
            </w:tcBorders>
            <w:shd w:val="clear" w:color="auto" w:fill="auto"/>
            <w:noWrap/>
            <w:vAlign w:val="bottom"/>
            <w:hideMark/>
          </w:tcPr>
          <w:p w14:paraId="7FE01500" w14:textId="77777777" w:rsidR="00E45705" w:rsidRPr="001B09E6" w:rsidRDefault="00E45705" w:rsidP="00E45705">
            <w:pPr>
              <w:pStyle w:val="TableCellText"/>
              <w:spacing w:before="0" w:after="0"/>
              <w:ind w:left="0" w:right="0"/>
              <w:jc w:val="center"/>
              <w:rPr>
                <w:lang w:eastAsia="en-AU"/>
              </w:rPr>
            </w:pPr>
            <w:r w:rsidRPr="001B09E6">
              <w:rPr>
                <w:lang w:eastAsia="en-AU"/>
              </w:rPr>
              <w:t>10.9</w:t>
            </w:r>
          </w:p>
        </w:tc>
      </w:tr>
      <w:tr w:rsidR="00E45705" w:rsidRPr="001B09E6" w14:paraId="72041DE5" w14:textId="77777777" w:rsidTr="00E45705">
        <w:trPr>
          <w:trHeight w:val="300"/>
        </w:trPr>
        <w:tc>
          <w:tcPr>
            <w:tcW w:w="1105" w:type="pct"/>
            <w:tcBorders>
              <w:top w:val="nil"/>
              <w:left w:val="nil"/>
              <w:bottom w:val="single" w:sz="4" w:space="0" w:color="auto"/>
              <w:right w:val="nil"/>
            </w:tcBorders>
            <w:shd w:val="clear" w:color="auto" w:fill="auto"/>
            <w:noWrap/>
            <w:vAlign w:val="bottom"/>
            <w:hideMark/>
          </w:tcPr>
          <w:p w14:paraId="5B2B7D12" w14:textId="77777777" w:rsidR="00E45705" w:rsidRPr="001B09E6" w:rsidRDefault="00E45705" w:rsidP="00E45705">
            <w:pPr>
              <w:pStyle w:val="TableCellText"/>
              <w:spacing w:before="0" w:after="0"/>
              <w:ind w:left="0" w:right="0"/>
              <w:rPr>
                <w:lang w:eastAsia="en-AU"/>
              </w:rPr>
            </w:pPr>
            <w:r w:rsidRPr="001B09E6">
              <w:rPr>
                <w:lang w:eastAsia="en-AU"/>
              </w:rPr>
              <w:t>Age 17</w:t>
            </w:r>
          </w:p>
        </w:tc>
        <w:tc>
          <w:tcPr>
            <w:tcW w:w="779" w:type="pct"/>
            <w:tcBorders>
              <w:top w:val="nil"/>
              <w:left w:val="nil"/>
              <w:bottom w:val="single" w:sz="4" w:space="0" w:color="auto"/>
              <w:right w:val="nil"/>
            </w:tcBorders>
            <w:shd w:val="clear" w:color="auto" w:fill="auto"/>
            <w:noWrap/>
            <w:vAlign w:val="bottom"/>
            <w:hideMark/>
          </w:tcPr>
          <w:p w14:paraId="2E6A0C88" w14:textId="77777777" w:rsidR="00E45705" w:rsidRPr="001B09E6" w:rsidRDefault="00E45705" w:rsidP="00E45705">
            <w:pPr>
              <w:pStyle w:val="TableCellText"/>
              <w:spacing w:before="0" w:after="0"/>
              <w:ind w:left="0" w:right="0"/>
              <w:jc w:val="center"/>
              <w:rPr>
                <w:lang w:eastAsia="en-AU"/>
              </w:rPr>
            </w:pPr>
            <w:r w:rsidRPr="001B09E6">
              <w:rPr>
                <w:lang w:eastAsia="en-AU"/>
              </w:rPr>
              <w:t>12.8</w:t>
            </w:r>
          </w:p>
        </w:tc>
        <w:tc>
          <w:tcPr>
            <w:tcW w:w="779" w:type="pct"/>
            <w:tcBorders>
              <w:top w:val="nil"/>
              <w:left w:val="nil"/>
              <w:bottom w:val="single" w:sz="4" w:space="0" w:color="auto"/>
              <w:right w:val="nil"/>
            </w:tcBorders>
            <w:shd w:val="clear" w:color="auto" w:fill="auto"/>
            <w:noWrap/>
            <w:vAlign w:val="bottom"/>
            <w:hideMark/>
          </w:tcPr>
          <w:p w14:paraId="356F93F3" w14:textId="77777777" w:rsidR="00E45705" w:rsidRPr="001B09E6" w:rsidRDefault="00E45705" w:rsidP="00E45705">
            <w:pPr>
              <w:pStyle w:val="TableCellText"/>
              <w:spacing w:before="0" w:after="0"/>
              <w:ind w:left="0" w:right="0"/>
              <w:jc w:val="center"/>
              <w:rPr>
                <w:lang w:eastAsia="en-AU"/>
              </w:rPr>
            </w:pPr>
            <w:r w:rsidRPr="001B09E6">
              <w:rPr>
                <w:lang w:eastAsia="en-AU"/>
              </w:rPr>
              <w:t>11.3</w:t>
            </w:r>
          </w:p>
        </w:tc>
        <w:tc>
          <w:tcPr>
            <w:tcW w:w="779" w:type="pct"/>
            <w:tcBorders>
              <w:top w:val="nil"/>
              <w:left w:val="nil"/>
              <w:bottom w:val="single" w:sz="4" w:space="0" w:color="auto"/>
              <w:right w:val="nil"/>
            </w:tcBorders>
            <w:shd w:val="clear" w:color="auto" w:fill="auto"/>
            <w:noWrap/>
            <w:vAlign w:val="bottom"/>
            <w:hideMark/>
          </w:tcPr>
          <w:p w14:paraId="148BA340" w14:textId="77777777" w:rsidR="00E45705" w:rsidRPr="001B09E6" w:rsidRDefault="00E45705" w:rsidP="00E45705">
            <w:pPr>
              <w:pStyle w:val="TableCellText"/>
              <w:spacing w:before="0" w:after="0"/>
              <w:ind w:left="0" w:right="0"/>
              <w:jc w:val="center"/>
              <w:rPr>
                <w:lang w:eastAsia="en-AU"/>
              </w:rPr>
            </w:pPr>
            <w:r w:rsidRPr="001B09E6">
              <w:rPr>
                <w:lang w:eastAsia="en-AU"/>
              </w:rPr>
              <w:t>12.7</w:t>
            </w:r>
          </w:p>
        </w:tc>
        <w:tc>
          <w:tcPr>
            <w:tcW w:w="779" w:type="pct"/>
            <w:tcBorders>
              <w:top w:val="nil"/>
              <w:left w:val="nil"/>
              <w:bottom w:val="single" w:sz="4" w:space="0" w:color="auto"/>
              <w:right w:val="nil"/>
            </w:tcBorders>
            <w:shd w:val="clear" w:color="auto" w:fill="auto"/>
            <w:noWrap/>
            <w:vAlign w:val="bottom"/>
            <w:hideMark/>
          </w:tcPr>
          <w:p w14:paraId="4C029D26" w14:textId="77777777" w:rsidR="00E45705" w:rsidRPr="001B09E6" w:rsidRDefault="00E45705" w:rsidP="00E45705">
            <w:pPr>
              <w:pStyle w:val="TableCellText"/>
              <w:spacing w:before="0" w:after="0"/>
              <w:ind w:left="0" w:right="0"/>
              <w:jc w:val="center"/>
              <w:rPr>
                <w:lang w:eastAsia="en-AU"/>
              </w:rPr>
            </w:pPr>
            <w:r w:rsidRPr="001B09E6">
              <w:rPr>
                <w:lang w:eastAsia="en-AU"/>
              </w:rPr>
              <w:t>15.0</w:t>
            </w:r>
          </w:p>
        </w:tc>
        <w:tc>
          <w:tcPr>
            <w:tcW w:w="779" w:type="pct"/>
            <w:tcBorders>
              <w:top w:val="nil"/>
              <w:left w:val="nil"/>
              <w:bottom w:val="single" w:sz="4" w:space="0" w:color="auto"/>
              <w:right w:val="nil"/>
            </w:tcBorders>
            <w:shd w:val="clear" w:color="auto" w:fill="auto"/>
            <w:noWrap/>
            <w:vAlign w:val="bottom"/>
            <w:hideMark/>
          </w:tcPr>
          <w:p w14:paraId="1B539EE9" w14:textId="77777777" w:rsidR="00E45705" w:rsidRPr="001B09E6" w:rsidRDefault="00E45705" w:rsidP="00E45705">
            <w:pPr>
              <w:pStyle w:val="TableCellText"/>
              <w:spacing w:before="0" w:after="0"/>
              <w:ind w:left="0" w:right="0"/>
              <w:jc w:val="center"/>
              <w:rPr>
                <w:lang w:eastAsia="en-AU"/>
              </w:rPr>
            </w:pPr>
            <w:r w:rsidRPr="001B09E6">
              <w:rPr>
                <w:lang w:eastAsia="en-AU"/>
              </w:rPr>
              <w:t>16.5</w:t>
            </w:r>
          </w:p>
        </w:tc>
      </w:tr>
    </w:tbl>
    <w:p w14:paraId="22FBBE73" w14:textId="77777777" w:rsidR="00E45705" w:rsidRPr="001B09E6" w:rsidRDefault="00E45705" w:rsidP="00E45705"/>
    <w:tbl>
      <w:tblPr>
        <w:tblW w:w="6379" w:type="dxa"/>
        <w:tblInd w:w="108" w:type="dxa"/>
        <w:tblLook w:val="04A0" w:firstRow="1" w:lastRow="0" w:firstColumn="1" w:lastColumn="0" w:noHBand="0" w:noVBand="1"/>
      </w:tblPr>
      <w:tblGrid>
        <w:gridCol w:w="6379"/>
      </w:tblGrid>
      <w:tr w:rsidR="00E45705" w:rsidRPr="001B09E6" w14:paraId="7B980DB2" w14:textId="77777777" w:rsidTr="00E45705">
        <w:trPr>
          <w:trHeight w:val="300"/>
        </w:trPr>
        <w:tc>
          <w:tcPr>
            <w:tcW w:w="6379" w:type="dxa"/>
            <w:tcBorders>
              <w:top w:val="nil"/>
              <w:left w:val="nil"/>
              <w:bottom w:val="nil"/>
              <w:right w:val="nil"/>
            </w:tcBorders>
            <w:shd w:val="clear" w:color="auto" w:fill="auto"/>
            <w:vAlign w:val="bottom"/>
            <w:hideMark/>
          </w:tcPr>
          <w:p w14:paraId="2EC5F6C1" w14:textId="77777777" w:rsidR="00E45705" w:rsidRPr="001B09E6" w:rsidRDefault="00E45705" w:rsidP="00E45705">
            <w:pPr>
              <w:pStyle w:val="Tablenote"/>
              <w:rPr>
                <w:lang w:eastAsia="en-AU"/>
              </w:rPr>
            </w:pPr>
            <w:r w:rsidRPr="001B09E6">
              <w:rPr>
                <w:lang w:eastAsia="en-AU"/>
              </w:rPr>
              <w:t>Note: South Australia did not submit a complete dataset for qualifications completed.</w:t>
            </w:r>
          </w:p>
        </w:tc>
      </w:tr>
      <w:tr w:rsidR="00E45705" w:rsidRPr="001B09E6" w14:paraId="5A2F1200" w14:textId="77777777" w:rsidTr="00E45705">
        <w:trPr>
          <w:trHeight w:val="300"/>
        </w:trPr>
        <w:tc>
          <w:tcPr>
            <w:tcW w:w="6379" w:type="dxa"/>
            <w:tcBorders>
              <w:top w:val="nil"/>
              <w:left w:val="nil"/>
              <w:bottom w:val="nil"/>
              <w:right w:val="nil"/>
            </w:tcBorders>
            <w:shd w:val="clear" w:color="auto" w:fill="auto"/>
            <w:noWrap/>
            <w:vAlign w:val="bottom"/>
            <w:hideMark/>
          </w:tcPr>
          <w:p w14:paraId="13525FBA" w14:textId="77777777" w:rsidR="00E45705" w:rsidRPr="001B09E6" w:rsidRDefault="00E45705" w:rsidP="00E45705">
            <w:pPr>
              <w:pStyle w:val="Tablenote"/>
              <w:rPr>
                <w:lang w:eastAsia="en-AU"/>
              </w:rPr>
            </w:pPr>
            <w:r w:rsidRPr="001B09E6">
              <w:rPr>
                <w:lang w:eastAsia="en-AU"/>
              </w:rPr>
              <w:t>Source: National VET in Schools Collection, ABS Population by Age and Sex 3201.0</w:t>
            </w:r>
          </w:p>
        </w:tc>
      </w:tr>
    </w:tbl>
    <w:p w14:paraId="5AD26303" w14:textId="77777777" w:rsidR="00E45705" w:rsidRPr="001B09E6" w:rsidRDefault="00E45705" w:rsidP="00E45705">
      <w:pPr>
        <w:pStyle w:val="Heading3NoNumbering"/>
      </w:pPr>
      <w:bookmarkStart w:id="180" w:name="_Toc333919000"/>
      <w:r w:rsidRPr="001B09E6">
        <w:t>Table A2.19: VET Certificate II and above attainment</w:t>
      </w:r>
      <w:bookmarkEnd w:id="179"/>
      <w:bookmarkEnd w:id="180"/>
    </w:p>
    <w:p w14:paraId="542D6233" w14:textId="77777777" w:rsidR="00E45705" w:rsidRPr="001B09E6" w:rsidRDefault="00E45705" w:rsidP="00E45705">
      <w:pPr>
        <w:pStyle w:val="TableHeading"/>
        <w:spacing w:before="112"/>
      </w:pPr>
      <w:r w:rsidRPr="001B09E6">
        <w:t>Course completions at Certificate II level or above as a percentage of total 15-24 year olds, 2002-10, excluding those attending school</w:t>
      </w:r>
    </w:p>
    <w:tbl>
      <w:tblPr>
        <w:tblW w:w="5000" w:type="pct"/>
        <w:tblLook w:val="04A0" w:firstRow="1" w:lastRow="0" w:firstColumn="1" w:lastColumn="0" w:noHBand="0" w:noVBand="1"/>
        <w:tblCaption w:val="Table A2.19: VET Certificate II and above attainment Course completions at Certificate II level or above as a percentage of total 15-24 year olds, 2002-10, excluding those attending school "/>
        <w:tblDescription w:val="Table A2.19: VET Certificate II and above attainment&#10;Course completions at Certificate II level or above as a percentage of total 15-24 year olds, 2002-10, excluding those attending school&#10;"/>
      </w:tblPr>
      <w:tblGrid>
        <w:gridCol w:w="1956"/>
        <w:gridCol w:w="1409"/>
        <w:gridCol w:w="1409"/>
        <w:gridCol w:w="1406"/>
        <w:gridCol w:w="1406"/>
        <w:gridCol w:w="1406"/>
        <w:gridCol w:w="1406"/>
        <w:gridCol w:w="1406"/>
        <w:gridCol w:w="1406"/>
        <w:gridCol w:w="1406"/>
      </w:tblGrid>
      <w:tr w:rsidR="00E45705" w:rsidRPr="001B09E6" w14:paraId="6753A8B9" w14:textId="77777777" w:rsidTr="00E45705">
        <w:trPr>
          <w:trHeight w:val="225"/>
        </w:trPr>
        <w:tc>
          <w:tcPr>
            <w:tcW w:w="669" w:type="pct"/>
            <w:tcBorders>
              <w:top w:val="single" w:sz="4" w:space="0" w:color="auto"/>
              <w:left w:val="nil"/>
              <w:bottom w:val="single" w:sz="4" w:space="0" w:color="auto"/>
            </w:tcBorders>
            <w:shd w:val="clear" w:color="auto" w:fill="auto"/>
            <w:noWrap/>
            <w:hideMark/>
          </w:tcPr>
          <w:p w14:paraId="6C1D1EE2" w14:textId="77777777" w:rsidR="00E45705" w:rsidRPr="001B09E6" w:rsidRDefault="00E45705" w:rsidP="00E45705">
            <w:pPr>
              <w:pStyle w:val="TableColumnHeading"/>
              <w:spacing w:before="0" w:after="0"/>
              <w:ind w:left="0" w:right="0"/>
            </w:pPr>
          </w:p>
        </w:tc>
        <w:tc>
          <w:tcPr>
            <w:tcW w:w="482" w:type="pct"/>
            <w:tcBorders>
              <w:top w:val="single" w:sz="4" w:space="0" w:color="auto"/>
              <w:bottom w:val="single" w:sz="4" w:space="0" w:color="auto"/>
            </w:tcBorders>
            <w:shd w:val="clear" w:color="auto" w:fill="auto"/>
            <w:noWrap/>
            <w:hideMark/>
          </w:tcPr>
          <w:p w14:paraId="3436B492" w14:textId="77777777" w:rsidR="00E45705" w:rsidRPr="001B09E6" w:rsidRDefault="00E45705" w:rsidP="00E45705">
            <w:pPr>
              <w:pStyle w:val="TableColumnHeading"/>
              <w:spacing w:before="0" w:after="0"/>
              <w:ind w:left="0" w:right="0"/>
            </w:pPr>
            <w:r w:rsidRPr="001B09E6">
              <w:t>2002</w:t>
            </w:r>
          </w:p>
        </w:tc>
        <w:tc>
          <w:tcPr>
            <w:tcW w:w="482" w:type="pct"/>
            <w:tcBorders>
              <w:top w:val="single" w:sz="4" w:space="0" w:color="auto"/>
              <w:bottom w:val="single" w:sz="4" w:space="0" w:color="auto"/>
            </w:tcBorders>
            <w:shd w:val="clear" w:color="auto" w:fill="auto"/>
            <w:noWrap/>
            <w:hideMark/>
          </w:tcPr>
          <w:p w14:paraId="31BA113E" w14:textId="77777777" w:rsidR="00E45705" w:rsidRPr="001B09E6" w:rsidRDefault="00E45705" w:rsidP="00E45705">
            <w:pPr>
              <w:pStyle w:val="TableColumnHeading"/>
              <w:spacing w:before="0" w:after="0"/>
              <w:ind w:left="0" w:right="0"/>
            </w:pPr>
            <w:r w:rsidRPr="001B09E6">
              <w:t>2003</w:t>
            </w:r>
          </w:p>
        </w:tc>
        <w:tc>
          <w:tcPr>
            <w:tcW w:w="481" w:type="pct"/>
            <w:tcBorders>
              <w:top w:val="single" w:sz="4" w:space="0" w:color="auto"/>
              <w:bottom w:val="single" w:sz="4" w:space="0" w:color="auto"/>
            </w:tcBorders>
            <w:shd w:val="clear" w:color="auto" w:fill="auto"/>
            <w:noWrap/>
            <w:hideMark/>
          </w:tcPr>
          <w:p w14:paraId="4A3446F2" w14:textId="77777777" w:rsidR="00E45705" w:rsidRPr="001B09E6" w:rsidRDefault="00E45705" w:rsidP="00E45705">
            <w:pPr>
              <w:pStyle w:val="TableColumnHeading"/>
              <w:spacing w:before="0" w:after="0"/>
              <w:ind w:left="0" w:right="0"/>
            </w:pPr>
            <w:r w:rsidRPr="001B09E6">
              <w:t>2004</w:t>
            </w:r>
          </w:p>
        </w:tc>
        <w:tc>
          <w:tcPr>
            <w:tcW w:w="481" w:type="pct"/>
            <w:tcBorders>
              <w:top w:val="single" w:sz="4" w:space="0" w:color="auto"/>
              <w:bottom w:val="single" w:sz="4" w:space="0" w:color="auto"/>
            </w:tcBorders>
            <w:shd w:val="clear" w:color="auto" w:fill="auto"/>
            <w:noWrap/>
            <w:hideMark/>
          </w:tcPr>
          <w:p w14:paraId="5292A06F" w14:textId="77777777" w:rsidR="00E45705" w:rsidRPr="001B09E6" w:rsidRDefault="00E45705" w:rsidP="00E45705">
            <w:pPr>
              <w:pStyle w:val="TableColumnHeading"/>
              <w:spacing w:before="0" w:after="0"/>
              <w:ind w:left="0" w:right="0"/>
            </w:pPr>
            <w:r w:rsidRPr="001B09E6">
              <w:t>2005</w:t>
            </w:r>
          </w:p>
        </w:tc>
        <w:tc>
          <w:tcPr>
            <w:tcW w:w="481" w:type="pct"/>
            <w:tcBorders>
              <w:top w:val="single" w:sz="4" w:space="0" w:color="auto"/>
              <w:bottom w:val="single" w:sz="4" w:space="0" w:color="auto"/>
            </w:tcBorders>
            <w:shd w:val="clear" w:color="auto" w:fill="auto"/>
            <w:noWrap/>
            <w:hideMark/>
          </w:tcPr>
          <w:p w14:paraId="5E219917" w14:textId="77777777" w:rsidR="00E45705" w:rsidRPr="001B09E6" w:rsidRDefault="00E45705" w:rsidP="00E45705">
            <w:pPr>
              <w:pStyle w:val="TableColumnHeading"/>
              <w:spacing w:before="0" w:after="0"/>
              <w:ind w:left="0" w:right="0"/>
            </w:pPr>
            <w:r w:rsidRPr="001B09E6">
              <w:t>2006</w:t>
            </w:r>
          </w:p>
        </w:tc>
        <w:tc>
          <w:tcPr>
            <w:tcW w:w="481" w:type="pct"/>
            <w:tcBorders>
              <w:top w:val="single" w:sz="4" w:space="0" w:color="auto"/>
              <w:bottom w:val="single" w:sz="4" w:space="0" w:color="auto"/>
            </w:tcBorders>
            <w:shd w:val="clear" w:color="auto" w:fill="auto"/>
            <w:noWrap/>
            <w:hideMark/>
          </w:tcPr>
          <w:p w14:paraId="49FAEE3B" w14:textId="77777777" w:rsidR="00E45705" w:rsidRPr="001B09E6" w:rsidRDefault="00E45705" w:rsidP="00E45705">
            <w:pPr>
              <w:pStyle w:val="TableColumnHeading"/>
              <w:spacing w:before="0" w:after="0"/>
              <w:ind w:left="0" w:right="0"/>
            </w:pPr>
            <w:r w:rsidRPr="001B09E6">
              <w:t>2007</w:t>
            </w:r>
          </w:p>
        </w:tc>
        <w:tc>
          <w:tcPr>
            <w:tcW w:w="481" w:type="pct"/>
            <w:tcBorders>
              <w:top w:val="single" w:sz="4" w:space="0" w:color="auto"/>
              <w:bottom w:val="single" w:sz="4" w:space="0" w:color="auto"/>
            </w:tcBorders>
            <w:shd w:val="clear" w:color="auto" w:fill="auto"/>
            <w:noWrap/>
            <w:hideMark/>
          </w:tcPr>
          <w:p w14:paraId="3A923655" w14:textId="77777777" w:rsidR="00E45705" w:rsidRPr="001B09E6" w:rsidRDefault="00E45705" w:rsidP="00E45705">
            <w:pPr>
              <w:pStyle w:val="TableColumnHeading"/>
              <w:spacing w:before="0" w:after="0"/>
              <w:ind w:left="0" w:right="0"/>
            </w:pPr>
            <w:r w:rsidRPr="001B09E6">
              <w:t>2008</w:t>
            </w:r>
          </w:p>
        </w:tc>
        <w:tc>
          <w:tcPr>
            <w:tcW w:w="481" w:type="pct"/>
            <w:tcBorders>
              <w:top w:val="single" w:sz="4" w:space="0" w:color="auto"/>
              <w:bottom w:val="single" w:sz="4" w:space="0" w:color="auto"/>
            </w:tcBorders>
            <w:shd w:val="clear" w:color="auto" w:fill="auto"/>
            <w:noWrap/>
            <w:hideMark/>
          </w:tcPr>
          <w:p w14:paraId="163B401C" w14:textId="77777777" w:rsidR="00E45705" w:rsidRPr="001B09E6" w:rsidRDefault="00E45705" w:rsidP="00E45705">
            <w:pPr>
              <w:pStyle w:val="TableColumnHeading"/>
              <w:spacing w:before="0" w:after="0"/>
              <w:ind w:left="0" w:right="0"/>
            </w:pPr>
            <w:r w:rsidRPr="001B09E6">
              <w:t>2009</w:t>
            </w:r>
          </w:p>
        </w:tc>
        <w:tc>
          <w:tcPr>
            <w:tcW w:w="481" w:type="pct"/>
            <w:tcBorders>
              <w:top w:val="single" w:sz="4" w:space="0" w:color="auto"/>
              <w:bottom w:val="single" w:sz="4" w:space="0" w:color="auto"/>
            </w:tcBorders>
            <w:shd w:val="clear" w:color="auto" w:fill="auto"/>
            <w:noWrap/>
            <w:hideMark/>
          </w:tcPr>
          <w:p w14:paraId="7A1734DB" w14:textId="77777777" w:rsidR="00E45705" w:rsidRPr="001B09E6" w:rsidRDefault="00E45705" w:rsidP="00E45705">
            <w:pPr>
              <w:pStyle w:val="TableColumnHeading"/>
              <w:spacing w:before="0" w:after="0"/>
              <w:ind w:left="0" w:right="0"/>
            </w:pPr>
            <w:r w:rsidRPr="001B09E6">
              <w:t>2010</w:t>
            </w:r>
          </w:p>
        </w:tc>
      </w:tr>
      <w:tr w:rsidR="00E45705" w:rsidRPr="001B09E6" w14:paraId="05E5F557" w14:textId="77777777" w:rsidTr="00E45705">
        <w:trPr>
          <w:trHeight w:val="225"/>
        </w:trPr>
        <w:tc>
          <w:tcPr>
            <w:tcW w:w="669" w:type="pct"/>
            <w:tcBorders>
              <w:top w:val="nil"/>
              <w:left w:val="nil"/>
              <w:right w:val="nil"/>
            </w:tcBorders>
            <w:shd w:val="clear" w:color="auto" w:fill="auto"/>
            <w:noWrap/>
            <w:hideMark/>
          </w:tcPr>
          <w:p w14:paraId="0F7CA218" w14:textId="77777777" w:rsidR="00E45705" w:rsidRPr="001B09E6" w:rsidRDefault="00E45705" w:rsidP="00E45705">
            <w:pPr>
              <w:pStyle w:val="TableCellText"/>
              <w:spacing w:before="0" w:after="0"/>
              <w:ind w:left="0" w:right="0"/>
            </w:pPr>
            <w:r w:rsidRPr="001B09E6">
              <w:t>15 to 19 years</w:t>
            </w:r>
          </w:p>
        </w:tc>
        <w:tc>
          <w:tcPr>
            <w:tcW w:w="482" w:type="pct"/>
            <w:tcBorders>
              <w:top w:val="nil"/>
              <w:left w:val="nil"/>
              <w:bottom w:val="nil"/>
              <w:right w:val="nil"/>
            </w:tcBorders>
            <w:shd w:val="clear" w:color="auto" w:fill="auto"/>
            <w:noWrap/>
            <w:hideMark/>
          </w:tcPr>
          <w:p w14:paraId="3B6320E0" w14:textId="77777777" w:rsidR="00E45705" w:rsidRPr="001B09E6" w:rsidRDefault="00E45705" w:rsidP="00E45705">
            <w:pPr>
              <w:pStyle w:val="TableCellText"/>
              <w:spacing w:before="0" w:after="0"/>
              <w:ind w:left="0" w:right="0"/>
            </w:pPr>
            <w:r w:rsidRPr="001B09E6">
              <w:t>3.4</w:t>
            </w:r>
          </w:p>
        </w:tc>
        <w:tc>
          <w:tcPr>
            <w:tcW w:w="482" w:type="pct"/>
            <w:tcBorders>
              <w:top w:val="nil"/>
              <w:left w:val="nil"/>
              <w:bottom w:val="nil"/>
              <w:right w:val="nil"/>
            </w:tcBorders>
            <w:shd w:val="clear" w:color="auto" w:fill="auto"/>
            <w:noWrap/>
            <w:hideMark/>
          </w:tcPr>
          <w:p w14:paraId="64F10704" w14:textId="77777777" w:rsidR="00E45705" w:rsidRPr="001B09E6" w:rsidRDefault="00E45705" w:rsidP="00E45705">
            <w:pPr>
              <w:pStyle w:val="TableCellText"/>
              <w:spacing w:before="0" w:after="0"/>
              <w:ind w:left="0" w:right="0"/>
            </w:pPr>
            <w:r w:rsidRPr="001B09E6">
              <w:t>3.4</w:t>
            </w:r>
          </w:p>
        </w:tc>
        <w:tc>
          <w:tcPr>
            <w:tcW w:w="481" w:type="pct"/>
            <w:tcBorders>
              <w:top w:val="nil"/>
              <w:left w:val="nil"/>
              <w:bottom w:val="nil"/>
              <w:right w:val="nil"/>
            </w:tcBorders>
            <w:shd w:val="clear" w:color="auto" w:fill="auto"/>
            <w:noWrap/>
            <w:hideMark/>
          </w:tcPr>
          <w:p w14:paraId="0DA715E6" w14:textId="77777777" w:rsidR="00E45705" w:rsidRPr="001B09E6" w:rsidRDefault="00E45705" w:rsidP="00E45705">
            <w:pPr>
              <w:pStyle w:val="TableCellText"/>
              <w:spacing w:before="0" w:after="0"/>
              <w:ind w:left="0" w:right="0"/>
            </w:pPr>
            <w:r w:rsidRPr="001B09E6">
              <w:t>3.4</w:t>
            </w:r>
          </w:p>
        </w:tc>
        <w:tc>
          <w:tcPr>
            <w:tcW w:w="481" w:type="pct"/>
            <w:tcBorders>
              <w:top w:val="nil"/>
              <w:left w:val="nil"/>
              <w:bottom w:val="nil"/>
              <w:right w:val="nil"/>
            </w:tcBorders>
            <w:shd w:val="clear" w:color="auto" w:fill="auto"/>
            <w:noWrap/>
            <w:hideMark/>
          </w:tcPr>
          <w:p w14:paraId="5DFFCC2E" w14:textId="77777777" w:rsidR="00E45705" w:rsidRPr="001B09E6" w:rsidRDefault="00E45705" w:rsidP="00E45705">
            <w:pPr>
              <w:pStyle w:val="TableCellText"/>
              <w:spacing w:before="0" w:after="0"/>
              <w:ind w:left="0" w:right="0"/>
            </w:pPr>
            <w:r w:rsidRPr="001B09E6">
              <w:t>3.5</w:t>
            </w:r>
          </w:p>
        </w:tc>
        <w:tc>
          <w:tcPr>
            <w:tcW w:w="481" w:type="pct"/>
            <w:tcBorders>
              <w:top w:val="nil"/>
              <w:left w:val="nil"/>
              <w:bottom w:val="nil"/>
              <w:right w:val="nil"/>
            </w:tcBorders>
            <w:shd w:val="clear" w:color="auto" w:fill="auto"/>
            <w:noWrap/>
            <w:hideMark/>
          </w:tcPr>
          <w:p w14:paraId="3948E052" w14:textId="77777777" w:rsidR="00E45705" w:rsidRPr="001B09E6" w:rsidRDefault="00E45705" w:rsidP="00E45705">
            <w:pPr>
              <w:pStyle w:val="TableCellText"/>
              <w:spacing w:before="0" w:after="0"/>
              <w:ind w:left="0" w:right="0"/>
            </w:pPr>
            <w:r w:rsidRPr="001B09E6">
              <w:t>3.3</w:t>
            </w:r>
          </w:p>
        </w:tc>
        <w:tc>
          <w:tcPr>
            <w:tcW w:w="481" w:type="pct"/>
            <w:tcBorders>
              <w:top w:val="nil"/>
              <w:left w:val="nil"/>
              <w:bottom w:val="nil"/>
              <w:right w:val="nil"/>
            </w:tcBorders>
            <w:shd w:val="clear" w:color="auto" w:fill="auto"/>
            <w:noWrap/>
            <w:hideMark/>
          </w:tcPr>
          <w:p w14:paraId="3BD27AF0" w14:textId="77777777" w:rsidR="00E45705" w:rsidRPr="001B09E6" w:rsidRDefault="00E45705" w:rsidP="00E45705">
            <w:pPr>
              <w:pStyle w:val="TableCellText"/>
              <w:spacing w:before="0" w:after="0"/>
              <w:ind w:left="0" w:right="0"/>
            </w:pPr>
            <w:r w:rsidRPr="001B09E6">
              <w:t>3.2</w:t>
            </w:r>
          </w:p>
        </w:tc>
        <w:tc>
          <w:tcPr>
            <w:tcW w:w="481" w:type="pct"/>
            <w:tcBorders>
              <w:top w:val="nil"/>
              <w:left w:val="nil"/>
              <w:bottom w:val="nil"/>
              <w:right w:val="nil"/>
            </w:tcBorders>
            <w:shd w:val="clear" w:color="auto" w:fill="auto"/>
            <w:noWrap/>
            <w:hideMark/>
          </w:tcPr>
          <w:p w14:paraId="14C3182A" w14:textId="77777777" w:rsidR="00E45705" w:rsidRPr="001B09E6" w:rsidRDefault="00E45705" w:rsidP="00E45705">
            <w:pPr>
              <w:pStyle w:val="TableCellText"/>
              <w:spacing w:before="0" w:after="0"/>
              <w:ind w:left="0" w:right="0"/>
            </w:pPr>
            <w:r w:rsidRPr="001B09E6">
              <w:t>3.3</w:t>
            </w:r>
          </w:p>
        </w:tc>
        <w:tc>
          <w:tcPr>
            <w:tcW w:w="481" w:type="pct"/>
            <w:tcBorders>
              <w:top w:val="nil"/>
              <w:left w:val="nil"/>
              <w:bottom w:val="nil"/>
              <w:right w:val="nil"/>
            </w:tcBorders>
            <w:shd w:val="clear" w:color="auto" w:fill="auto"/>
            <w:noWrap/>
            <w:hideMark/>
          </w:tcPr>
          <w:p w14:paraId="1B82C7F8" w14:textId="77777777" w:rsidR="00E45705" w:rsidRPr="001B09E6" w:rsidRDefault="00E45705" w:rsidP="00E45705">
            <w:pPr>
              <w:pStyle w:val="TableCellText"/>
              <w:spacing w:before="0" w:after="0"/>
              <w:ind w:left="0" w:right="0"/>
            </w:pPr>
            <w:r w:rsidRPr="001B09E6">
              <w:t>3.8</w:t>
            </w:r>
          </w:p>
        </w:tc>
        <w:tc>
          <w:tcPr>
            <w:tcW w:w="481" w:type="pct"/>
            <w:tcBorders>
              <w:top w:val="nil"/>
              <w:left w:val="nil"/>
              <w:bottom w:val="nil"/>
              <w:right w:val="nil"/>
            </w:tcBorders>
            <w:shd w:val="clear" w:color="auto" w:fill="auto"/>
            <w:noWrap/>
            <w:hideMark/>
          </w:tcPr>
          <w:p w14:paraId="033E3E3A" w14:textId="77777777" w:rsidR="00E45705" w:rsidRPr="001B09E6" w:rsidRDefault="00E45705" w:rsidP="00E45705">
            <w:pPr>
              <w:pStyle w:val="TableCellText"/>
              <w:spacing w:before="0" w:after="0"/>
              <w:ind w:left="0" w:right="0"/>
            </w:pPr>
            <w:r w:rsidRPr="001B09E6">
              <w:t>4.2</w:t>
            </w:r>
          </w:p>
        </w:tc>
      </w:tr>
      <w:tr w:rsidR="00E45705" w:rsidRPr="001B09E6" w14:paraId="1376AE6A" w14:textId="77777777" w:rsidTr="00E45705">
        <w:trPr>
          <w:trHeight w:val="225"/>
        </w:trPr>
        <w:tc>
          <w:tcPr>
            <w:tcW w:w="669" w:type="pct"/>
            <w:tcBorders>
              <w:top w:val="nil"/>
              <w:left w:val="nil"/>
              <w:bottom w:val="single" w:sz="4" w:space="0" w:color="auto"/>
              <w:right w:val="nil"/>
            </w:tcBorders>
            <w:shd w:val="clear" w:color="auto" w:fill="auto"/>
            <w:noWrap/>
            <w:hideMark/>
          </w:tcPr>
          <w:p w14:paraId="6201BBE9" w14:textId="77777777" w:rsidR="00E45705" w:rsidRPr="001B09E6" w:rsidRDefault="00E45705" w:rsidP="00E45705">
            <w:pPr>
              <w:pStyle w:val="TableCellText"/>
              <w:spacing w:before="0" w:after="0"/>
              <w:ind w:left="0" w:right="0"/>
            </w:pPr>
            <w:r w:rsidRPr="001B09E6">
              <w:t>20 to 24 years</w:t>
            </w:r>
          </w:p>
        </w:tc>
        <w:tc>
          <w:tcPr>
            <w:tcW w:w="482" w:type="pct"/>
            <w:tcBorders>
              <w:top w:val="nil"/>
              <w:left w:val="nil"/>
              <w:bottom w:val="single" w:sz="4" w:space="0" w:color="auto"/>
              <w:right w:val="nil"/>
            </w:tcBorders>
            <w:shd w:val="clear" w:color="auto" w:fill="auto"/>
            <w:noWrap/>
            <w:hideMark/>
          </w:tcPr>
          <w:p w14:paraId="7792B80B" w14:textId="77777777" w:rsidR="00E45705" w:rsidRPr="001B09E6" w:rsidRDefault="00E45705" w:rsidP="00E45705">
            <w:pPr>
              <w:pStyle w:val="TableCellText"/>
              <w:spacing w:before="0" w:after="0"/>
              <w:ind w:left="0" w:right="0"/>
            </w:pPr>
            <w:r w:rsidRPr="001B09E6">
              <w:t>4.4</w:t>
            </w:r>
          </w:p>
        </w:tc>
        <w:tc>
          <w:tcPr>
            <w:tcW w:w="482" w:type="pct"/>
            <w:tcBorders>
              <w:top w:val="nil"/>
              <w:left w:val="nil"/>
              <w:bottom w:val="single" w:sz="4" w:space="0" w:color="auto"/>
              <w:right w:val="nil"/>
            </w:tcBorders>
            <w:shd w:val="clear" w:color="auto" w:fill="auto"/>
            <w:noWrap/>
            <w:hideMark/>
          </w:tcPr>
          <w:p w14:paraId="52AB69D1" w14:textId="77777777" w:rsidR="00E45705" w:rsidRPr="001B09E6" w:rsidRDefault="00E45705" w:rsidP="00E45705">
            <w:pPr>
              <w:pStyle w:val="TableCellText"/>
              <w:spacing w:before="0" w:after="0"/>
              <w:ind w:left="0" w:right="0"/>
            </w:pPr>
            <w:r w:rsidRPr="001B09E6">
              <w:t>4.2</w:t>
            </w:r>
          </w:p>
        </w:tc>
        <w:tc>
          <w:tcPr>
            <w:tcW w:w="481" w:type="pct"/>
            <w:tcBorders>
              <w:top w:val="nil"/>
              <w:left w:val="nil"/>
              <w:bottom w:val="single" w:sz="4" w:space="0" w:color="auto"/>
              <w:right w:val="nil"/>
            </w:tcBorders>
            <w:shd w:val="clear" w:color="auto" w:fill="auto"/>
            <w:noWrap/>
            <w:hideMark/>
          </w:tcPr>
          <w:p w14:paraId="15075F74" w14:textId="77777777" w:rsidR="00E45705" w:rsidRPr="001B09E6" w:rsidRDefault="00E45705" w:rsidP="00E45705">
            <w:pPr>
              <w:pStyle w:val="TableCellText"/>
              <w:spacing w:before="0" w:after="0"/>
              <w:ind w:left="0" w:right="0"/>
            </w:pPr>
            <w:r w:rsidRPr="001B09E6">
              <w:t>4.2</w:t>
            </w:r>
          </w:p>
        </w:tc>
        <w:tc>
          <w:tcPr>
            <w:tcW w:w="481" w:type="pct"/>
            <w:tcBorders>
              <w:top w:val="nil"/>
              <w:left w:val="nil"/>
              <w:bottom w:val="single" w:sz="4" w:space="0" w:color="auto"/>
              <w:right w:val="nil"/>
            </w:tcBorders>
            <w:shd w:val="clear" w:color="auto" w:fill="auto"/>
            <w:noWrap/>
            <w:hideMark/>
          </w:tcPr>
          <w:p w14:paraId="56E5A787" w14:textId="77777777" w:rsidR="00E45705" w:rsidRPr="001B09E6" w:rsidRDefault="00E45705" w:rsidP="00E45705">
            <w:pPr>
              <w:pStyle w:val="TableCellText"/>
              <w:spacing w:before="0" w:after="0"/>
              <w:ind w:left="0" w:right="0"/>
            </w:pPr>
            <w:r w:rsidRPr="001B09E6">
              <w:t>4.5</w:t>
            </w:r>
          </w:p>
        </w:tc>
        <w:tc>
          <w:tcPr>
            <w:tcW w:w="481" w:type="pct"/>
            <w:tcBorders>
              <w:top w:val="nil"/>
              <w:left w:val="nil"/>
              <w:bottom w:val="single" w:sz="4" w:space="0" w:color="auto"/>
              <w:right w:val="nil"/>
            </w:tcBorders>
            <w:shd w:val="clear" w:color="auto" w:fill="auto"/>
            <w:noWrap/>
            <w:hideMark/>
          </w:tcPr>
          <w:p w14:paraId="4358BD56" w14:textId="77777777" w:rsidR="00E45705" w:rsidRPr="001B09E6" w:rsidRDefault="00E45705" w:rsidP="00E45705">
            <w:pPr>
              <w:pStyle w:val="TableCellText"/>
              <w:spacing w:before="0" w:after="0"/>
              <w:ind w:left="0" w:right="0"/>
            </w:pPr>
            <w:r w:rsidRPr="001B09E6">
              <w:t>4.4</w:t>
            </w:r>
          </w:p>
        </w:tc>
        <w:tc>
          <w:tcPr>
            <w:tcW w:w="481" w:type="pct"/>
            <w:tcBorders>
              <w:top w:val="nil"/>
              <w:left w:val="nil"/>
              <w:bottom w:val="single" w:sz="4" w:space="0" w:color="auto"/>
              <w:right w:val="nil"/>
            </w:tcBorders>
            <w:shd w:val="clear" w:color="auto" w:fill="auto"/>
            <w:noWrap/>
            <w:hideMark/>
          </w:tcPr>
          <w:p w14:paraId="3E64572C" w14:textId="77777777" w:rsidR="00E45705" w:rsidRPr="001B09E6" w:rsidRDefault="00E45705" w:rsidP="00E45705">
            <w:pPr>
              <w:pStyle w:val="TableCellText"/>
              <w:spacing w:before="0" w:after="0"/>
              <w:ind w:left="0" w:right="0"/>
            </w:pPr>
            <w:r w:rsidRPr="001B09E6">
              <w:t>4.8</w:t>
            </w:r>
          </w:p>
        </w:tc>
        <w:tc>
          <w:tcPr>
            <w:tcW w:w="481" w:type="pct"/>
            <w:tcBorders>
              <w:top w:val="nil"/>
              <w:left w:val="nil"/>
              <w:bottom w:val="single" w:sz="4" w:space="0" w:color="auto"/>
              <w:right w:val="nil"/>
            </w:tcBorders>
            <w:shd w:val="clear" w:color="auto" w:fill="auto"/>
            <w:noWrap/>
            <w:hideMark/>
          </w:tcPr>
          <w:p w14:paraId="2A70FF0A" w14:textId="77777777" w:rsidR="00E45705" w:rsidRPr="001B09E6" w:rsidRDefault="00E45705" w:rsidP="00E45705">
            <w:pPr>
              <w:pStyle w:val="TableCellText"/>
              <w:spacing w:before="0" w:after="0"/>
              <w:ind w:left="0" w:right="0"/>
            </w:pPr>
            <w:r w:rsidRPr="001B09E6">
              <w:t>4.9</w:t>
            </w:r>
          </w:p>
        </w:tc>
        <w:tc>
          <w:tcPr>
            <w:tcW w:w="481" w:type="pct"/>
            <w:tcBorders>
              <w:top w:val="nil"/>
              <w:left w:val="nil"/>
              <w:bottom w:val="single" w:sz="4" w:space="0" w:color="auto"/>
              <w:right w:val="nil"/>
            </w:tcBorders>
            <w:shd w:val="clear" w:color="auto" w:fill="auto"/>
            <w:noWrap/>
            <w:hideMark/>
          </w:tcPr>
          <w:p w14:paraId="4BF4E41F" w14:textId="77777777" w:rsidR="00E45705" w:rsidRPr="001B09E6" w:rsidRDefault="00E45705" w:rsidP="00E45705">
            <w:pPr>
              <w:pStyle w:val="TableCellText"/>
              <w:spacing w:before="0" w:after="0"/>
              <w:ind w:left="0" w:right="0"/>
            </w:pPr>
            <w:r w:rsidRPr="001B09E6">
              <w:t>5.2</w:t>
            </w:r>
          </w:p>
        </w:tc>
        <w:tc>
          <w:tcPr>
            <w:tcW w:w="481" w:type="pct"/>
            <w:tcBorders>
              <w:top w:val="nil"/>
              <w:left w:val="nil"/>
              <w:bottom w:val="single" w:sz="4" w:space="0" w:color="auto"/>
              <w:right w:val="nil"/>
            </w:tcBorders>
            <w:shd w:val="clear" w:color="auto" w:fill="auto"/>
            <w:noWrap/>
            <w:hideMark/>
          </w:tcPr>
          <w:p w14:paraId="0CE049AA" w14:textId="77777777" w:rsidR="00E45705" w:rsidRPr="001B09E6" w:rsidRDefault="00E45705" w:rsidP="00E45705">
            <w:pPr>
              <w:pStyle w:val="TableCellText"/>
              <w:spacing w:before="0" w:after="0"/>
              <w:ind w:left="0" w:right="0"/>
            </w:pPr>
            <w:r w:rsidRPr="001B09E6">
              <w:t>5.7</w:t>
            </w:r>
          </w:p>
        </w:tc>
      </w:tr>
    </w:tbl>
    <w:p w14:paraId="4B0DE010" w14:textId="77777777" w:rsidR="00E45705" w:rsidRPr="001B09E6" w:rsidRDefault="00E45705" w:rsidP="00E45705">
      <w:pPr>
        <w:pStyle w:val="Tablenote"/>
      </w:pPr>
      <w:r w:rsidRPr="001B09E6">
        <w:t>Source: National VET Provider Collection, ABS Population by Age and Sex 3201.0</w:t>
      </w:r>
    </w:p>
    <w:p w14:paraId="6E59B18F" w14:textId="77777777" w:rsidR="00E45705" w:rsidRDefault="00E45705" w:rsidP="00E45705">
      <w:pPr>
        <w:spacing w:line="380" w:lineRule="atLeast"/>
        <w:rPr>
          <w:rFonts w:eastAsiaTheme="majorEastAsia" w:cstheme="majorBidi"/>
          <w:bCs/>
          <w:color w:val="931B2F"/>
          <w:sz w:val="32"/>
          <w:szCs w:val="26"/>
        </w:rPr>
      </w:pPr>
      <w:bookmarkStart w:id="181" w:name="_Toc192134412"/>
      <w:bookmarkStart w:id="182" w:name="_Toc333919001"/>
      <w:r>
        <w:br w:type="page"/>
      </w:r>
    </w:p>
    <w:p w14:paraId="01FD9C6F" w14:textId="77777777" w:rsidR="00E45705" w:rsidRPr="001B09E6" w:rsidRDefault="00E45705" w:rsidP="00E45705">
      <w:pPr>
        <w:pStyle w:val="Heading2NoNumbering"/>
      </w:pPr>
      <w:bookmarkStart w:id="183" w:name="_Toc219347272"/>
      <w:r w:rsidRPr="001B09E6">
        <w:t>Attainment – Indigenous</w:t>
      </w:r>
      <w:bookmarkEnd w:id="181"/>
      <w:bookmarkEnd w:id="182"/>
      <w:bookmarkEnd w:id="183"/>
    </w:p>
    <w:p w14:paraId="79670DEF" w14:textId="77777777" w:rsidR="00E45705" w:rsidRPr="001B09E6" w:rsidRDefault="00E45705" w:rsidP="00E45705">
      <w:pPr>
        <w:pStyle w:val="Heading3NoNumbering"/>
      </w:pPr>
      <w:bookmarkStart w:id="184" w:name="_Toc333919002"/>
      <w:r w:rsidRPr="001B09E6">
        <w:t>Table A2.20: Indigenous Year 10 retention</w:t>
      </w:r>
      <w:bookmarkEnd w:id="184"/>
    </w:p>
    <w:p w14:paraId="018E9233" w14:textId="77777777" w:rsidR="00E45705" w:rsidRPr="001B09E6" w:rsidRDefault="00E45705" w:rsidP="00E45705">
      <w:pPr>
        <w:pStyle w:val="TableHeading"/>
        <w:spacing w:before="112"/>
      </w:pPr>
      <w:r w:rsidRPr="001B09E6">
        <w:t>APPARENT RETENTION RATES FROM YEAR 7/8-YEAR10 BY INDIGENOUS STATUS, 2000-2011</w:t>
      </w:r>
    </w:p>
    <w:tbl>
      <w:tblPr>
        <w:tblW w:w="5000" w:type="pct"/>
        <w:tblLook w:val="04A0" w:firstRow="1" w:lastRow="0" w:firstColumn="1" w:lastColumn="0" w:noHBand="0" w:noVBand="1"/>
        <w:tblCaption w:val="Table A2.20: Indigenous Year 10 retention APPARENT RETENTION RATES FROM YEAR 7/8-YEAR10 BY INDIGENOUS STATUS, 2000-2011 "/>
        <w:tblDescription w:val="Table A2.20: Indigenous Year 10 retention&#10;APPARENT RETENTION RATES FROM YEAR 7/8-YEAR10 BY INDIGENOUS STATUS, 2000-2011&#10;"/>
      </w:tblPr>
      <w:tblGrid>
        <w:gridCol w:w="2018"/>
        <w:gridCol w:w="1050"/>
        <w:gridCol w:w="1050"/>
        <w:gridCol w:w="1050"/>
        <w:gridCol w:w="1050"/>
        <w:gridCol w:w="1050"/>
        <w:gridCol w:w="1050"/>
        <w:gridCol w:w="1050"/>
        <w:gridCol w:w="1050"/>
        <w:gridCol w:w="1050"/>
        <w:gridCol w:w="1050"/>
        <w:gridCol w:w="1049"/>
        <w:gridCol w:w="1049"/>
      </w:tblGrid>
      <w:tr w:rsidR="00E45705" w:rsidRPr="001B09E6" w14:paraId="0F77C024" w14:textId="77777777" w:rsidTr="00E45705">
        <w:trPr>
          <w:trHeight w:val="300"/>
        </w:trPr>
        <w:tc>
          <w:tcPr>
            <w:tcW w:w="690" w:type="pct"/>
            <w:tcBorders>
              <w:top w:val="single" w:sz="4" w:space="0" w:color="auto"/>
              <w:left w:val="nil"/>
              <w:bottom w:val="single" w:sz="4" w:space="0" w:color="auto"/>
              <w:right w:val="nil"/>
            </w:tcBorders>
            <w:shd w:val="clear" w:color="auto" w:fill="auto"/>
            <w:noWrap/>
            <w:hideMark/>
          </w:tcPr>
          <w:p w14:paraId="558B6932" w14:textId="77777777" w:rsidR="00E45705" w:rsidRPr="001B09E6" w:rsidRDefault="00E45705" w:rsidP="00E45705">
            <w:pPr>
              <w:pStyle w:val="TableColumnHeading"/>
              <w:spacing w:before="0" w:after="0"/>
              <w:ind w:left="0" w:right="0"/>
            </w:pPr>
          </w:p>
        </w:tc>
        <w:tc>
          <w:tcPr>
            <w:tcW w:w="359" w:type="pct"/>
            <w:tcBorders>
              <w:top w:val="single" w:sz="4" w:space="0" w:color="auto"/>
              <w:left w:val="nil"/>
              <w:bottom w:val="single" w:sz="4" w:space="0" w:color="auto"/>
              <w:right w:val="nil"/>
            </w:tcBorders>
            <w:shd w:val="clear" w:color="auto" w:fill="auto"/>
            <w:noWrap/>
            <w:hideMark/>
          </w:tcPr>
          <w:p w14:paraId="604F859F" w14:textId="77777777" w:rsidR="00E45705" w:rsidRPr="001B09E6" w:rsidRDefault="00E45705" w:rsidP="00E45705">
            <w:pPr>
              <w:pStyle w:val="TableColumnHeading"/>
              <w:spacing w:before="0" w:after="0"/>
              <w:ind w:left="0" w:right="0"/>
            </w:pPr>
            <w:r w:rsidRPr="001B09E6">
              <w:t>2000</w:t>
            </w:r>
          </w:p>
        </w:tc>
        <w:tc>
          <w:tcPr>
            <w:tcW w:w="359" w:type="pct"/>
            <w:tcBorders>
              <w:top w:val="single" w:sz="4" w:space="0" w:color="auto"/>
              <w:left w:val="nil"/>
              <w:bottom w:val="single" w:sz="4" w:space="0" w:color="auto"/>
              <w:right w:val="nil"/>
            </w:tcBorders>
            <w:shd w:val="clear" w:color="auto" w:fill="auto"/>
            <w:noWrap/>
            <w:hideMark/>
          </w:tcPr>
          <w:p w14:paraId="65C5FDA0" w14:textId="77777777" w:rsidR="00E45705" w:rsidRPr="001B09E6" w:rsidRDefault="00E45705" w:rsidP="00E45705">
            <w:pPr>
              <w:pStyle w:val="TableColumnHeading"/>
              <w:spacing w:before="0" w:after="0"/>
              <w:ind w:left="0" w:right="0"/>
            </w:pPr>
            <w:r w:rsidRPr="001B09E6">
              <w:t>2001</w:t>
            </w:r>
          </w:p>
        </w:tc>
        <w:tc>
          <w:tcPr>
            <w:tcW w:w="359" w:type="pct"/>
            <w:tcBorders>
              <w:top w:val="single" w:sz="4" w:space="0" w:color="auto"/>
              <w:left w:val="nil"/>
              <w:bottom w:val="single" w:sz="4" w:space="0" w:color="auto"/>
              <w:right w:val="nil"/>
            </w:tcBorders>
            <w:shd w:val="clear" w:color="auto" w:fill="auto"/>
            <w:noWrap/>
            <w:hideMark/>
          </w:tcPr>
          <w:p w14:paraId="779FCD4C" w14:textId="77777777" w:rsidR="00E45705" w:rsidRPr="001B09E6" w:rsidRDefault="00E45705" w:rsidP="00E45705">
            <w:pPr>
              <w:pStyle w:val="TableColumnHeading"/>
              <w:spacing w:before="0" w:after="0"/>
              <w:ind w:left="0" w:right="0"/>
            </w:pPr>
            <w:r w:rsidRPr="001B09E6">
              <w:t>2002</w:t>
            </w:r>
          </w:p>
        </w:tc>
        <w:tc>
          <w:tcPr>
            <w:tcW w:w="359" w:type="pct"/>
            <w:tcBorders>
              <w:top w:val="single" w:sz="4" w:space="0" w:color="auto"/>
              <w:left w:val="nil"/>
              <w:bottom w:val="single" w:sz="4" w:space="0" w:color="auto"/>
              <w:right w:val="nil"/>
            </w:tcBorders>
            <w:shd w:val="clear" w:color="auto" w:fill="auto"/>
            <w:noWrap/>
            <w:hideMark/>
          </w:tcPr>
          <w:p w14:paraId="4893C536" w14:textId="77777777" w:rsidR="00E45705" w:rsidRPr="001B09E6" w:rsidRDefault="00E45705" w:rsidP="00E45705">
            <w:pPr>
              <w:pStyle w:val="TableColumnHeading"/>
              <w:spacing w:before="0" w:after="0"/>
              <w:ind w:left="0" w:right="0"/>
            </w:pPr>
            <w:r w:rsidRPr="001B09E6">
              <w:t>2003</w:t>
            </w:r>
          </w:p>
        </w:tc>
        <w:tc>
          <w:tcPr>
            <w:tcW w:w="359" w:type="pct"/>
            <w:tcBorders>
              <w:top w:val="single" w:sz="4" w:space="0" w:color="auto"/>
              <w:left w:val="nil"/>
              <w:bottom w:val="single" w:sz="4" w:space="0" w:color="auto"/>
              <w:right w:val="nil"/>
            </w:tcBorders>
            <w:shd w:val="clear" w:color="auto" w:fill="auto"/>
            <w:noWrap/>
            <w:hideMark/>
          </w:tcPr>
          <w:p w14:paraId="680171F8" w14:textId="77777777" w:rsidR="00E45705" w:rsidRPr="001B09E6" w:rsidRDefault="00E45705" w:rsidP="00E45705">
            <w:pPr>
              <w:pStyle w:val="TableColumnHeading"/>
              <w:spacing w:before="0" w:after="0"/>
              <w:ind w:left="0" w:right="0"/>
            </w:pPr>
            <w:r w:rsidRPr="001B09E6">
              <w:t>2004</w:t>
            </w:r>
          </w:p>
        </w:tc>
        <w:tc>
          <w:tcPr>
            <w:tcW w:w="359" w:type="pct"/>
            <w:tcBorders>
              <w:top w:val="single" w:sz="4" w:space="0" w:color="auto"/>
              <w:left w:val="nil"/>
              <w:bottom w:val="single" w:sz="4" w:space="0" w:color="auto"/>
              <w:right w:val="nil"/>
            </w:tcBorders>
            <w:shd w:val="clear" w:color="auto" w:fill="auto"/>
            <w:noWrap/>
            <w:hideMark/>
          </w:tcPr>
          <w:p w14:paraId="1A7E30A1" w14:textId="77777777" w:rsidR="00E45705" w:rsidRPr="001B09E6" w:rsidRDefault="00E45705" w:rsidP="00E45705">
            <w:pPr>
              <w:pStyle w:val="TableColumnHeading"/>
              <w:spacing w:before="0" w:after="0"/>
              <w:ind w:left="0" w:right="0"/>
            </w:pPr>
            <w:r w:rsidRPr="001B09E6">
              <w:t>2005</w:t>
            </w:r>
          </w:p>
        </w:tc>
        <w:tc>
          <w:tcPr>
            <w:tcW w:w="359" w:type="pct"/>
            <w:tcBorders>
              <w:top w:val="single" w:sz="4" w:space="0" w:color="auto"/>
              <w:left w:val="nil"/>
              <w:bottom w:val="single" w:sz="4" w:space="0" w:color="auto"/>
              <w:right w:val="nil"/>
            </w:tcBorders>
            <w:shd w:val="clear" w:color="auto" w:fill="auto"/>
            <w:noWrap/>
            <w:hideMark/>
          </w:tcPr>
          <w:p w14:paraId="761C5BCA" w14:textId="77777777" w:rsidR="00E45705" w:rsidRPr="001B09E6" w:rsidRDefault="00E45705" w:rsidP="00E45705">
            <w:pPr>
              <w:pStyle w:val="TableColumnHeading"/>
              <w:spacing w:before="0" w:after="0"/>
              <w:ind w:left="0" w:right="0"/>
            </w:pPr>
            <w:r w:rsidRPr="001B09E6">
              <w:t>2006</w:t>
            </w:r>
          </w:p>
        </w:tc>
        <w:tc>
          <w:tcPr>
            <w:tcW w:w="359" w:type="pct"/>
            <w:tcBorders>
              <w:top w:val="single" w:sz="4" w:space="0" w:color="auto"/>
              <w:left w:val="nil"/>
              <w:bottom w:val="single" w:sz="4" w:space="0" w:color="auto"/>
              <w:right w:val="nil"/>
            </w:tcBorders>
            <w:shd w:val="clear" w:color="auto" w:fill="auto"/>
            <w:noWrap/>
            <w:hideMark/>
          </w:tcPr>
          <w:p w14:paraId="38FA4347" w14:textId="77777777" w:rsidR="00E45705" w:rsidRPr="001B09E6" w:rsidRDefault="00E45705" w:rsidP="00E45705">
            <w:pPr>
              <w:pStyle w:val="TableColumnHeading"/>
              <w:spacing w:before="0" w:after="0"/>
              <w:ind w:left="0" w:right="0"/>
            </w:pPr>
            <w:r w:rsidRPr="001B09E6">
              <w:t>2007</w:t>
            </w:r>
          </w:p>
        </w:tc>
        <w:tc>
          <w:tcPr>
            <w:tcW w:w="359" w:type="pct"/>
            <w:tcBorders>
              <w:top w:val="single" w:sz="4" w:space="0" w:color="auto"/>
              <w:left w:val="nil"/>
              <w:bottom w:val="single" w:sz="4" w:space="0" w:color="auto"/>
              <w:right w:val="nil"/>
            </w:tcBorders>
            <w:shd w:val="clear" w:color="auto" w:fill="auto"/>
            <w:noWrap/>
            <w:hideMark/>
          </w:tcPr>
          <w:p w14:paraId="73F3CE09" w14:textId="77777777" w:rsidR="00E45705" w:rsidRPr="001B09E6" w:rsidRDefault="00E45705" w:rsidP="00E45705">
            <w:pPr>
              <w:pStyle w:val="TableColumnHeading"/>
              <w:spacing w:before="0" w:after="0"/>
              <w:ind w:left="0" w:right="0"/>
            </w:pPr>
            <w:r w:rsidRPr="001B09E6">
              <w:t>2008</w:t>
            </w:r>
          </w:p>
        </w:tc>
        <w:tc>
          <w:tcPr>
            <w:tcW w:w="359" w:type="pct"/>
            <w:tcBorders>
              <w:top w:val="single" w:sz="4" w:space="0" w:color="auto"/>
              <w:left w:val="nil"/>
              <w:bottom w:val="single" w:sz="4" w:space="0" w:color="auto"/>
              <w:right w:val="nil"/>
            </w:tcBorders>
            <w:shd w:val="clear" w:color="auto" w:fill="auto"/>
            <w:noWrap/>
            <w:hideMark/>
          </w:tcPr>
          <w:p w14:paraId="6B3427E7" w14:textId="77777777" w:rsidR="00E45705" w:rsidRPr="001B09E6" w:rsidRDefault="00E45705" w:rsidP="00E45705">
            <w:pPr>
              <w:pStyle w:val="TableColumnHeading"/>
              <w:spacing w:before="0" w:after="0"/>
              <w:ind w:left="0" w:right="0"/>
            </w:pPr>
            <w:r w:rsidRPr="001B09E6">
              <w:t>2009</w:t>
            </w:r>
          </w:p>
        </w:tc>
        <w:tc>
          <w:tcPr>
            <w:tcW w:w="359" w:type="pct"/>
            <w:tcBorders>
              <w:top w:val="single" w:sz="4" w:space="0" w:color="auto"/>
              <w:left w:val="nil"/>
              <w:bottom w:val="single" w:sz="4" w:space="0" w:color="auto"/>
              <w:right w:val="nil"/>
            </w:tcBorders>
            <w:shd w:val="clear" w:color="auto" w:fill="auto"/>
            <w:noWrap/>
            <w:hideMark/>
          </w:tcPr>
          <w:p w14:paraId="4AEBB3D7" w14:textId="77777777" w:rsidR="00E45705" w:rsidRPr="001B09E6" w:rsidRDefault="00E45705" w:rsidP="00E45705">
            <w:pPr>
              <w:pStyle w:val="TableColumnHeading"/>
              <w:spacing w:before="0" w:after="0"/>
              <w:ind w:left="0" w:right="0"/>
            </w:pPr>
            <w:r w:rsidRPr="001B09E6">
              <w:t>2010</w:t>
            </w:r>
          </w:p>
        </w:tc>
        <w:tc>
          <w:tcPr>
            <w:tcW w:w="359" w:type="pct"/>
            <w:tcBorders>
              <w:top w:val="single" w:sz="4" w:space="0" w:color="auto"/>
              <w:left w:val="nil"/>
              <w:bottom w:val="single" w:sz="4" w:space="0" w:color="auto"/>
              <w:right w:val="nil"/>
            </w:tcBorders>
            <w:shd w:val="clear" w:color="auto" w:fill="auto"/>
            <w:noWrap/>
            <w:hideMark/>
          </w:tcPr>
          <w:p w14:paraId="4F5F20BD" w14:textId="77777777" w:rsidR="00E45705" w:rsidRPr="001B09E6" w:rsidRDefault="00E45705" w:rsidP="00E45705">
            <w:pPr>
              <w:pStyle w:val="TableColumnHeading"/>
              <w:spacing w:before="0" w:after="0"/>
              <w:ind w:left="0" w:right="0"/>
            </w:pPr>
            <w:r w:rsidRPr="001B09E6">
              <w:t>2011</w:t>
            </w:r>
          </w:p>
        </w:tc>
      </w:tr>
      <w:tr w:rsidR="00E45705" w:rsidRPr="001B09E6" w14:paraId="4E6EFFD2" w14:textId="77777777" w:rsidTr="00E45705">
        <w:trPr>
          <w:trHeight w:val="300"/>
        </w:trPr>
        <w:tc>
          <w:tcPr>
            <w:tcW w:w="690" w:type="pct"/>
            <w:tcBorders>
              <w:top w:val="single" w:sz="4" w:space="0" w:color="auto"/>
              <w:left w:val="nil"/>
              <w:bottom w:val="nil"/>
              <w:right w:val="nil"/>
            </w:tcBorders>
            <w:shd w:val="clear" w:color="auto" w:fill="auto"/>
            <w:noWrap/>
            <w:hideMark/>
          </w:tcPr>
          <w:p w14:paraId="0012D184" w14:textId="77777777" w:rsidR="00E45705" w:rsidRPr="001B09E6" w:rsidRDefault="00E45705" w:rsidP="00E45705">
            <w:pPr>
              <w:pStyle w:val="TableCellText"/>
              <w:spacing w:before="0" w:after="0"/>
              <w:ind w:left="0" w:right="0"/>
            </w:pPr>
            <w:r w:rsidRPr="001B09E6">
              <w:t>Indigenous</w:t>
            </w:r>
          </w:p>
        </w:tc>
        <w:tc>
          <w:tcPr>
            <w:tcW w:w="359" w:type="pct"/>
            <w:tcBorders>
              <w:top w:val="single" w:sz="4" w:space="0" w:color="auto"/>
              <w:left w:val="nil"/>
              <w:bottom w:val="nil"/>
              <w:right w:val="nil"/>
            </w:tcBorders>
            <w:shd w:val="clear" w:color="auto" w:fill="auto"/>
            <w:noWrap/>
            <w:hideMark/>
          </w:tcPr>
          <w:p w14:paraId="6CFC5D69" w14:textId="77777777" w:rsidR="00E45705" w:rsidRPr="001B09E6" w:rsidRDefault="00E45705" w:rsidP="00E45705">
            <w:pPr>
              <w:pStyle w:val="TableCellText"/>
              <w:spacing w:before="0" w:after="0"/>
              <w:ind w:left="0" w:right="0"/>
            </w:pPr>
            <w:r w:rsidRPr="001B09E6">
              <w:t>83.0</w:t>
            </w:r>
          </w:p>
        </w:tc>
        <w:tc>
          <w:tcPr>
            <w:tcW w:w="359" w:type="pct"/>
            <w:tcBorders>
              <w:top w:val="single" w:sz="4" w:space="0" w:color="auto"/>
              <w:left w:val="nil"/>
              <w:bottom w:val="nil"/>
              <w:right w:val="nil"/>
            </w:tcBorders>
            <w:shd w:val="clear" w:color="auto" w:fill="auto"/>
            <w:noWrap/>
            <w:hideMark/>
          </w:tcPr>
          <w:p w14:paraId="289888A6" w14:textId="77777777" w:rsidR="00E45705" w:rsidRPr="001B09E6" w:rsidRDefault="00E45705" w:rsidP="00E45705">
            <w:pPr>
              <w:pStyle w:val="TableCellText"/>
              <w:spacing w:before="0" w:after="0"/>
              <w:ind w:left="0" w:right="0"/>
            </w:pPr>
            <w:r w:rsidRPr="001B09E6">
              <w:t>85.7</w:t>
            </w:r>
          </w:p>
        </w:tc>
        <w:tc>
          <w:tcPr>
            <w:tcW w:w="359" w:type="pct"/>
            <w:tcBorders>
              <w:top w:val="single" w:sz="4" w:space="0" w:color="auto"/>
              <w:left w:val="nil"/>
              <w:bottom w:val="nil"/>
              <w:right w:val="nil"/>
            </w:tcBorders>
            <w:shd w:val="clear" w:color="auto" w:fill="auto"/>
            <w:noWrap/>
            <w:hideMark/>
          </w:tcPr>
          <w:p w14:paraId="7EBF0106" w14:textId="77777777" w:rsidR="00E45705" w:rsidRPr="001B09E6" w:rsidRDefault="00E45705" w:rsidP="00E45705">
            <w:pPr>
              <w:pStyle w:val="TableCellText"/>
              <w:spacing w:before="0" w:after="0"/>
              <w:ind w:left="0" w:right="0"/>
            </w:pPr>
            <w:r w:rsidRPr="001B09E6">
              <w:t>86.4</w:t>
            </w:r>
          </w:p>
        </w:tc>
        <w:tc>
          <w:tcPr>
            <w:tcW w:w="359" w:type="pct"/>
            <w:tcBorders>
              <w:top w:val="single" w:sz="4" w:space="0" w:color="auto"/>
              <w:left w:val="nil"/>
              <w:bottom w:val="nil"/>
              <w:right w:val="nil"/>
            </w:tcBorders>
            <w:shd w:val="clear" w:color="auto" w:fill="auto"/>
            <w:noWrap/>
            <w:hideMark/>
          </w:tcPr>
          <w:p w14:paraId="00973048" w14:textId="77777777" w:rsidR="00E45705" w:rsidRPr="001B09E6" w:rsidRDefault="00E45705" w:rsidP="00E45705">
            <w:pPr>
              <w:pStyle w:val="TableCellText"/>
              <w:spacing w:before="0" w:after="0"/>
              <w:ind w:left="0" w:right="0"/>
            </w:pPr>
            <w:r w:rsidRPr="001B09E6">
              <w:t>87.2</w:t>
            </w:r>
          </w:p>
        </w:tc>
        <w:tc>
          <w:tcPr>
            <w:tcW w:w="359" w:type="pct"/>
            <w:tcBorders>
              <w:top w:val="single" w:sz="4" w:space="0" w:color="auto"/>
              <w:left w:val="nil"/>
              <w:bottom w:val="nil"/>
              <w:right w:val="nil"/>
            </w:tcBorders>
            <w:shd w:val="clear" w:color="auto" w:fill="auto"/>
            <w:noWrap/>
            <w:hideMark/>
          </w:tcPr>
          <w:p w14:paraId="4323D940" w14:textId="77777777" w:rsidR="00E45705" w:rsidRPr="001B09E6" w:rsidRDefault="00E45705" w:rsidP="00E45705">
            <w:pPr>
              <w:pStyle w:val="TableCellText"/>
              <w:spacing w:before="0" w:after="0"/>
              <w:ind w:left="0" w:right="0"/>
            </w:pPr>
            <w:r w:rsidRPr="001B09E6">
              <w:t>85.8</w:t>
            </w:r>
          </w:p>
        </w:tc>
        <w:tc>
          <w:tcPr>
            <w:tcW w:w="359" w:type="pct"/>
            <w:tcBorders>
              <w:top w:val="single" w:sz="4" w:space="0" w:color="auto"/>
              <w:left w:val="nil"/>
              <w:bottom w:val="nil"/>
              <w:right w:val="nil"/>
            </w:tcBorders>
            <w:shd w:val="clear" w:color="auto" w:fill="auto"/>
            <w:noWrap/>
            <w:hideMark/>
          </w:tcPr>
          <w:p w14:paraId="515254B3" w14:textId="77777777" w:rsidR="00E45705" w:rsidRPr="001B09E6" w:rsidRDefault="00E45705" w:rsidP="00E45705">
            <w:pPr>
              <w:pStyle w:val="TableCellText"/>
              <w:spacing w:before="0" w:after="0"/>
              <w:ind w:left="0" w:right="0"/>
            </w:pPr>
            <w:r w:rsidRPr="001B09E6">
              <w:t>88.3</w:t>
            </w:r>
          </w:p>
        </w:tc>
        <w:tc>
          <w:tcPr>
            <w:tcW w:w="359" w:type="pct"/>
            <w:tcBorders>
              <w:top w:val="single" w:sz="4" w:space="0" w:color="auto"/>
              <w:left w:val="nil"/>
              <w:bottom w:val="nil"/>
              <w:right w:val="nil"/>
            </w:tcBorders>
            <w:shd w:val="clear" w:color="auto" w:fill="auto"/>
            <w:noWrap/>
            <w:hideMark/>
          </w:tcPr>
          <w:p w14:paraId="5E884445" w14:textId="77777777" w:rsidR="00E45705" w:rsidRPr="001B09E6" w:rsidRDefault="00E45705" w:rsidP="00E45705">
            <w:pPr>
              <w:pStyle w:val="TableCellText"/>
              <w:spacing w:before="0" w:after="0"/>
              <w:ind w:left="0" w:right="0"/>
            </w:pPr>
            <w:r w:rsidRPr="001B09E6">
              <w:t>91.3</w:t>
            </w:r>
          </w:p>
        </w:tc>
        <w:tc>
          <w:tcPr>
            <w:tcW w:w="359" w:type="pct"/>
            <w:tcBorders>
              <w:top w:val="single" w:sz="4" w:space="0" w:color="auto"/>
              <w:left w:val="nil"/>
              <w:bottom w:val="nil"/>
              <w:right w:val="nil"/>
            </w:tcBorders>
            <w:shd w:val="clear" w:color="auto" w:fill="auto"/>
            <w:noWrap/>
            <w:hideMark/>
          </w:tcPr>
          <w:p w14:paraId="2CB004D4" w14:textId="77777777" w:rsidR="00E45705" w:rsidRPr="001B09E6" w:rsidRDefault="00E45705" w:rsidP="00E45705">
            <w:pPr>
              <w:pStyle w:val="TableCellText"/>
              <w:spacing w:before="0" w:after="0"/>
              <w:ind w:left="0" w:right="0"/>
            </w:pPr>
            <w:r w:rsidRPr="001B09E6">
              <w:t>90.5</w:t>
            </w:r>
          </w:p>
        </w:tc>
        <w:tc>
          <w:tcPr>
            <w:tcW w:w="359" w:type="pct"/>
            <w:tcBorders>
              <w:top w:val="single" w:sz="4" w:space="0" w:color="auto"/>
              <w:left w:val="nil"/>
              <w:bottom w:val="nil"/>
              <w:right w:val="nil"/>
            </w:tcBorders>
            <w:shd w:val="clear" w:color="auto" w:fill="auto"/>
            <w:noWrap/>
            <w:hideMark/>
          </w:tcPr>
          <w:p w14:paraId="77B5F2DB" w14:textId="77777777" w:rsidR="00E45705" w:rsidRPr="001B09E6" w:rsidRDefault="00E45705" w:rsidP="00E45705">
            <w:pPr>
              <w:pStyle w:val="TableCellText"/>
              <w:spacing w:before="0" w:after="0"/>
              <w:ind w:left="0" w:right="0"/>
            </w:pPr>
            <w:r w:rsidRPr="001B09E6">
              <w:t>89.8</w:t>
            </w:r>
          </w:p>
        </w:tc>
        <w:tc>
          <w:tcPr>
            <w:tcW w:w="359" w:type="pct"/>
            <w:tcBorders>
              <w:top w:val="single" w:sz="4" w:space="0" w:color="auto"/>
              <w:left w:val="nil"/>
              <w:bottom w:val="nil"/>
              <w:right w:val="nil"/>
            </w:tcBorders>
            <w:shd w:val="clear" w:color="auto" w:fill="auto"/>
            <w:noWrap/>
            <w:hideMark/>
          </w:tcPr>
          <w:p w14:paraId="1A32C475" w14:textId="77777777" w:rsidR="00E45705" w:rsidRPr="001B09E6" w:rsidRDefault="00E45705" w:rsidP="00E45705">
            <w:pPr>
              <w:pStyle w:val="TableCellText"/>
              <w:spacing w:before="0" w:after="0"/>
              <w:ind w:left="0" w:right="0"/>
            </w:pPr>
            <w:r w:rsidRPr="001B09E6">
              <w:t>90.9</w:t>
            </w:r>
          </w:p>
        </w:tc>
        <w:tc>
          <w:tcPr>
            <w:tcW w:w="359" w:type="pct"/>
            <w:tcBorders>
              <w:top w:val="single" w:sz="4" w:space="0" w:color="auto"/>
              <w:left w:val="nil"/>
              <w:bottom w:val="nil"/>
              <w:right w:val="nil"/>
            </w:tcBorders>
            <w:shd w:val="clear" w:color="auto" w:fill="auto"/>
            <w:noWrap/>
            <w:hideMark/>
          </w:tcPr>
          <w:p w14:paraId="28A76A96" w14:textId="77777777" w:rsidR="00E45705" w:rsidRPr="001B09E6" w:rsidRDefault="00E45705" w:rsidP="00E45705">
            <w:pPr>
              <w:pStyle w:val="TableCellText"/>
              <w:spacing w:before="0" w:after="0"/>
              <w:ind w:left="0" w:right="0"/>
            </w:pPr>
            <w:r w:rsidRPr="001B09E6">
              <w:t>95.8</w:t>
            </w:r>
          </w:p>
        </w:tc>
        <w:tc>
          <w:tcPr>
            <w:tcW w:w="359" w:type="pct"/>
            <w:tcBorders>
              <w:top w:val="single" w:sz="4" w:space="0" w:color="auto"/>
              <w:left w:val="nil"/>
              <w:bottom w:val="nil"/>
              <w:right w:val="nil"/>
            </w:tcBorders>
            <w:shd w:val="clear" w:color="auto" w:fill="auto"/>
            <w:noWrap/>
            <w:hideMark/>
          </w:tcPr>
          <w:p w14:paraId="39B0CB2B" w14:textId="77777777" w:rsidR="00E45705" w:rsidRPr="001B09E6" w:rsidRDefault="00E45705" w:rsidP="00E45705">
            <w:pPr>
              <w:pStyle w:val="TableCellText"/>
              <w:spacing w:before="0" w:after="0"/>
              <w:ind w:left="0" w:right="0"/>
            </w:pPr>
            <w:r w:rsidRPr="001B09E6">
              <w:t>98.7</w:t>
            </w:r>
          </w:p>
        </w:tc>
      </w:tr>
      <w:tr w:rsidR="00E45705" w:rsidRPr="001B09E6" w14:paraId="10F95A75" w14:textId="77777777" w:rsidTr="00E45705">
        <w:trPr>
          <w:trHeight w:val="300"/>
        </w:trPr>
        <w:tc>
          <w:tcPr>
            <w:tcW w:w="690" w:type="pct"/>
            <w:tcBorders>
              <w:top w:val="nil"/>
              <w:left w:val="nil"/>
              <w:bottom w:val="single" w:sz="4" w:space="0" w:color="auto"/>
              <w:right w:val="nil"/>
            </w:tcBorders>
            <w:shd w:val="clear" w:color="auto" w:fill="auto"/>
            <w:noWrap/>
            <w:hideMark/>
          </w:tcPr>
          <w:p w14:paraId="1358F4E8" w14:textId="77777777" w:rsidR="00E45705" w:rsidRPr="001B09E6" w:rsidRDefault="00E45705" w:rsidP="00E45705">
            <w:pPr>
              <w:pStyle w:val="TableCellText"/>
              <w:spacing w:before="0" w:after="0"/>
              <w:ind w:left="0" w:right="0"/>
            </w:pPr>
            <w:r w:rsidRPr="001B09E6">
              <w:t>Non-Indigenous</w:t>
            </w:r>
          </w:p>
        </w:tc>
        <w:tc>
          <w:tcPr>
            <w:tcW w:w="359" w:type="pct"/>
            <w:tcBorders>
              <w:top w:val="nil"/>
              <w:left w:val="nil"/>
              <w:bottom w:val="single" w:sz="4" w:space="0" w:color="auto"/>
              <w:right w:val="nil"/>
            </w:tcBorders>
            <w:shd w:val="clear" w:color="auto" w:fill="auto"/>
            <w:noWrap/>
            <w:hideMark/>
          </w:tcPr>
          <w:p w14:paraId="56B8250C" w14:textId="77777777" w:rsidR="00E45705" w:rsidRPr="001B09E6" w:rsidRDefault="00E45705" w:rsidP="00E45705">
            <w:pPr>
              <w:pStyle w:val="TableCellText"/>
              <w:spacing w:before="0" w:after="0"/>
              <w:ind w:left="0" w:right="0"/>
            </w:pPr>
            <w:r w:rsidRPr="001B09E6">
              <w:t>98.0</w:t>
            </w:r>
          </w:p>
        </w:tc>
        <w:tc>
          <w:tcPr>
            <w:tcW w:w="359" w:type="pct"/>
            <w:tcBorders>
              <w:top w:val="nil"/>
              <w:left w:val="nil"/>
              <w:bottom w:val="single" w:sz="4" w:space="0" w:color="auto"/>
              <w:right w:val="nil"/>
            </w:tcBorders>
            <w:shd w:val="clear" w:color="auto" w:fill="auto"/>
            <w:noWrap/>
            <w:hideMark/>
          </w:tcPr>
          <w:p w14:paraId="7172231C" w14:textId="77777777" w:rsidR="00E45705" w:rsidRPr="001B09E6" w:rsidRDefault="00E45705" w:rsidP="00E45705">
            <w:pPr>
              <w:pStyle w:val="TableCellText"/>
              <w:spacing w:before="0" w:after="0"/>
              <w:ind w:left="0" w:right="0"/>
            </w:pPr>
            <w:r w:rsidRPr="001B09E6">
              <w:t>98.4</w:t>
            </w:r>
          </w:p>
        </w:tc>
        <w:tc>
          <w:tcPr>
            <w:tcW w:w="359" w:type="pct"/>
            <w:tcBorders>
              <w:top w:val="nil"/>
              <w:left w:val="nil"/>
              <w:bottom w:val="single" w:sz="4" w:space="0" w:color="auto"/>
              <w:right w:val="nil"/>
            </w:tcBorders>
            <w:shd w:val="clear" w:color="auto" w:fill="auto"/>
            <w:noWrap/>
            <w:hideMark/>
          </w:tcPr>
          <w:p w14:paraId="42B9DCA3" w14:textId="77777777" w:rsidR="00E45705" w:rsidRPr="001B09E6" w:rsidRDefault="00E45705" w:rsidP="00E45705">
            <w:pPr>
              <w:pStyle w:val="TableCellText"/>
              <w:spacing w:before="0" w:after="0"/>
              <w:ind w:left="0" w:right="0"/>
            </w:pPr>
            <w:r w:rsidRPr="001B09E6">
              <w:t>98.5</w:t>
            </w:r>
          </w:p>
        </w:tc>
        <w:tc>
          <w:tcPr>
            <w:tcW w:w="359" w:type="pct"/>
            <w:tcBorders>
              <w:top w:val="nil"/>
              <w:left w:val="nil"/>
              <w:bottom w:val="single" w:sz="4" w:space="0" w:color="auto"/>
              <w:right w:val="nil"/>
            </w:tcBorders>
            <w:shd w:val="clear" w:color="auto" w:fill="auto"/>
            <w:noWrap/>
            <w:hideMark/>
          </w:tcPr>
          <w:p w14:paraId="6F522F9B" w14:textId="77777777" w:rsidR="00E45705" w:rsidRPr="001B09E6" w:rsidRDefault="00E45705" w:rsidP="00E45705">
            <w:pPr>
              <w:pStyle w:val="TableCellText"/>
              <w:spacing w:before="0" w:after="0"/>
              <w:ind w:left="0" w:right="0"/>
            </w:pPr>
            <w:r w:rsidRPr="001B09E6">
              <w:t>98.9</w:t>
            </w:r>
          </w:p>
        </w:tc>
        <w:tc>
          <w:tcPr>
            <w:tcW w:w="359" w:type="pct"/>
            <w:tcBorders>
              <w:top w:val="nil"/>
              <w:left w:val="nil"/>
              <w:bottom w:val="single" w:sz="4" w:space="0" w:color="auto"/>
              <w:right w:val="nil"/>
            </w:tcBorders>
            <w:shd w:val="clear" w:color="auto" w:fill="auto"/>
            <w:noWrap/>
            <w:hideMark/>
          </w:tcPr>
          <w:p w14:paraId="3EF937B5" w14:textId="77777777" w:rsidR="00E45705" w:rsidRPr="001B09E6" w:rsidRDefault="00E45705" w:rsidP="00E45705">
            <w:pPr>
              <w:pStyle w:val="TableCellText"/>
              <w:spacing w:before="0" w:after="0"/>
              <w:ind w:left="0" w:right="0"/>
            </w:pPr>
            <w:r w:rsidRPr="001B09E6">
              <w:t>98.5</w:t>
            </w:r>
          </w:p>
        </w:tc>
        <w:tc>
          <w:tcPr>
            <w:tcW w:w="359" w:type="pct"/>
            <w:tcBorders>
              <w:top w:val="nil"/>
              <w:left w:val="nil"/>
              <w:bottom w:val="single" w:sz="4" w:space="0" w:color="auto"/>
              <w:right w:val="nil"/>
            </w:tcBorders>
            <w:shd w:val="clear" w:color="auto" w:fill="auto"/>
            <w:noWrap/>
            <w:hideMark/>
          </w:tcPr>
          <w:p w14:paraId="79DAF1E4" w14:textId="77777777" w:rsidR="00E45705" w:rsidRPr="001B09E6" w:rsidRDefault="00E45705" w:rsidP="00E45705">
            <w:pPr>
              <w:pStyle w:val="TableCellText"/>
              <w:spacing w:before="0" w:after="0"/>
              <w:ind w:left="0" w:right="0"/>
            </w:pPr>
            <w:r w:rsidRPr="001B09E6">
              <w:t>98.6</w:t>
            </w:r>
          </w:p>
        </w:tc>
        <w:tc>
          <w:tcPr>
            <w:tcW w:w="359" w:type="pct"/>
            <w:tcBorders>
              <w:top w:val="nil"/>
              <w:left w:val="nil"/>
              <w:bottom w:val="single" w:sz="4" w:space="0" w:color="auto"/>
              <w:right w:val="nil"/>
            </w:tcBorders>
            <w:shd w:val="clear" w:color="auto" w:fill="auto"/>
            <w:noWrap/>
            <w:hideMark/>
          </w:tcPr>
          <w:p w14:paraId="5F7EC18B" w14:textId="77777777" w:rsidR="00E45705" w:rsidRPr="001B09E6" w:rsidRDefault="00E45705" w:rsidP="00E45705">
            <w:pPr>
              <w:pStyle w:val="TableCellText"/>
              <w:spacing w:before="0" w:after="0"/>
              <w:ind w:left="0" w:right="0"/>
            </w:pPr>
            <w:r w:rsidRPr="001B09E6">
              <w:t>98.9</w:t>
            </w:r>
          </w:p>
        </w:tc>
        <w:tc>
          <w:tcPr>
            <w:tcW w:w="359" w:type="pct"/>
            <w:tcBorders>
              <w:top w:val="nil"/>
              <w:left w:val="nil"/>
              <w:bottom w:val="single" w:sz="4" w:space="0" w:color="auto"/>
              <w:right w:val="nil"/>
            </w:tcBorders>
            <w:shd w:val="clear" w:color="auto" w:fill="auto"/>
            <w:noWrap/>
            <w:hideMark/>
          </w:tcPr>
          <w:p w14:paraId="1CD3EC4E" w14:textId="77777777" w:rsidR="00E45705" w:rsidRPr="001B09E6" w:rsidRDefault="00E45705" w:rsidP="00E45705">
            <w:pPr>
              <w:pStyle w:val="TableCellText"/>
              <w:spacing w:before="0" w:after="0"/>
              <w:ind w:left="0" w:right="0"/>
            </w:pPr>
            <w:r w:rsidRPr="001B09E6">
              <w:t>99.4</w:t>
            </w:r>
          </w:p>
        </w:tc>
        <w:tc>
          <w:tcPr>
            <w:tcW w:w="359" w:type="pct"/>
            <w:tcBorders>
              <w:top w:val="nil"/>
              <w:left w:val="nil"/>
              <w:bottom w:val="single" w:sz="4" w:space="0" w:color="auto"/>
              <w:right w:val="nil"/>
            </w:tcBorders>
            <w:shd w:val="clear" w:color="auto" w:fill="auto"/>
            <w:noWrap/>
            <w:hideMark/>
          </w:tcPr>
          <w:p w14:paraId="091D3B04" w14:textId="77777777" w:rsidR="00E45705" w:rsidRPr="001B09E6" w:rsidRDefault="00E45705" w:rsidP="00E45705">
            <w:pPr>
              <w:pStyle w:val="TableCellText"/>
              <w:spacing w:before="0" w:after="0"/>
              <w:ind w:left="0" w:right="0"/>
            </w:pPr>
            <w:r w:rsidRPr="001B09E6">
              <w:t>99.9</w:t>
            </w:r>
          </w:p>
        </w:tc>
        <w:tc>
          <w:tcPr>
            <w:tcW w:w="359" w:type="pct"/>
            <w:tcBorders>
              <w:top w:val="nil"/>
              <w:left w:val="nil"/>
              <w:bottom w:val="single" w:sz="4" w:space="0" w:color="auto"/>
              <w:right w:val="nil"/>
            </w:tcBorders>
            <w:shd w:val="clear" w:color="auto" w:fill="auto"/>
            <w:noWrap/>
            <w:hideMark/>
          </w:tcPr>
          <w:p w14:paraId="416DB14A" w14:textId="77777777" w:rsidR="00E45705" w:rsidRPr="001B09E6" w:rsidRDefault="00E45705" w:rsidP="00E45705">
            <w:pPr>
              <w:pStyle w:val="TableCellText"/>
              <w:spacing w:before="0" w:after="0"/>
              <w:ind w:left="0" w:right="0"/>
            </w:pPr>
            <w:r w:rsidRPr="001B09E6">
              <w:t>100.1</w:t>
            </w:r>
          </w:p>
        </w:tc>
        <w:tc>
          <w:tcPr>
            <w:tcW w:w="359" w:type="pct"/>
            <w:tcBorders>
              <w:top w:val="nil"/>
              <w:left w:val="nil"/>
              <w:bottom w:val="single" w:sz="4" w:space="0" w:color="auto"/>
              <w:right w:val="nil"/>
            </w:tcBorders>
            <w:shd w:val="clear" w:color="auto" w:fill="auto"/>
            <w:noWrap/>
            <w:hideMark/>
          </w:tcPr>
          <w:p w14:paraId="28373D80" w14:textId="77777777" w:rsidR="00E45705" w:rsidRPr="001B09E6" w:rsidRDefault="00E45705" w:rsidP="00E45705">
            <w:pPr>
              <w:pStyle w:val="TableCellText"/>
              <w:spacing w:before="0" w:after="0"/>
              <w:ind w:left="0" w:right="0"/>
            </w:pPr>
            <w:r w:rsidRPr="001B09E6">
              <w:t>101.0</w:t>
            </w:r>
          </w:p>
        </w:tc>
        <w:tc>
          <w:tcPr>
            <w:tcW w:w="359" w:type="pct"/>
            <w:tcBorders>
              <w:top w:val="nil"/>
              <w:left w:val="nil"/>
              <w:bottom w:val="single" w:sz="4" w:space="0" w:color="auto"/>
              <w:right w:val="nil"/>
            </w:tcBorders>
            <w:shd w:val="clear" w:color="auto" w:fill="auto"/>
            <w:noWrap/>
            <w:hideMark/>
          </w:tcPr>
          <w:p w14:paraId="6A3F1444" w14:textId="77777777" w:rsidR="00E45705" w:rsidRPr="001B09E6" w:rsidRDefault="00E45705" w:rsidP="00E45705">
            <w:pPr>
              <w:pStyle w:val="TableCellText"/>
              <w:spacing w:before="0" w:after="0"/>
              <w:ind w:left="0" w:right="0"/>
            </w:pPr>
            <w:r w:rsidRPr="001B09E6">
              <w:t>101.3</w:t>
            </w:r>
          </w:p>
        </w:tc>
      </w:tr>
    </w:tbl>
    <w:p w14:paraId="4910079B" w14:textId="77777777" w:rsidR="00E45705" w:rsidRPr="001B09E6" w:rsidRDefault="00E45705" w:rsidP="00E45705">
      <w:pPr>
        <w:pStyle w:val="Tablenote"/>
      </w:pPr>
      <w:r w:rsidRPr="001B09E6">
        <w:t>Source: National Schools Statistics Collection</w:t>
      </w:r>
    </w:p>
    <w:p w14:paraId="07009BA1" w14:textId="77777777" w:rsidR="00E45705" w:rsidRPr="001B09E6" w:rsidRDefault="00E45705" w:rsidP="00E45705">
      <w:pPr>
        <w:pStyle w:val="Heading3NoNumbering"/>
      </w:pPr>
      <w:bookmarkStart w:id="185" w:name="_Toc333919003"/>
      <w:r w:rsidRPr="001B09E6">
        <w:t>Table A2.21: Indigenous Year 12 retention</w:t>
      </w:r>
      <w:bookmarkEnd w:id="185"/>
    </w:p>
    <w:p w14:paraId="3D5F2C8E" w14:textId="77777777" w:rsidR="00E45705" w:rsidRPr="001B09E6" w:rsidRDefault="00E45705" w:rsidP="00E45705">
      <w:pPr>
        <w:pStyle w:val="TableHeading"/>
        <w:spacing w:before="112"/>
      </w:pPr>
      <w:r w:rsidRPr="001B09E6">
        <w:t>APPARENT RETENTION RATES FROM YEAR 7/8- YEAR 12 BY INDIGENOUS STATUS 2000-2011(%)</w:t>
      </w:r>
    </w:p>
    <w:tbl>
      <w:tblPr>
        <w:tblW w:w="5000" w:type="pct"/>
        <w:tblLook w:val="04A0" w:firstRow="1" w:lastRow="0" w:firstColumn="1" w:lastColumn="0" w:noHBand="0" w:noVBand="1"/>
        <w:tblCaption w:val="Table A2.21: Indigenous Year 12 retention APPARENT RETENTION RATES FROM YEAR 7/8- YEAR 12 BY INDIGENOUS STATUS 2000-2011(%) "/>
        <w:tblDescription w:val="Table A2.21: Indigenous Year 12 retention&#10;APPARENT RETENTION RATES FROM YEAR 7/8- YEAR 12 BY INDIGENOUS STATUS 2000-2011(%)&#10;"/>
      </w:tblPr>
      <w:tblGrid>
        <w:gridCol w:w="1486"/>
        <w:gridCol w:w="1094"/>
        <w:gridCol w:w="1094"/>
        <w:gridCol w:w="1094"/>
        <w:gridCol w:w="1094"/>
        <w:gridCol w:w="1094"/>
        <w:gridCol w:w="1093"/>
        <w:gridCol w:w="1093"/>
        <w:gridCol w:w="1093"/>
        <w:gridCol w:w="1093"/>
        <w:gridCol w:w="1096"/>
        <w:gridCol w:w="1096"/>
        <w:gridCol w:w="1096"/>
      </w:tblGrid>
      <w:tr w:rsidR="00E45705" w:rsidRPr="001B09E6" w14:paraId="720879AB" w14:textId="77777777" w:rsidTr="00E45705">
        <w:trPr>
          <w:trHeight w:val="300"/>
        </w:trPr>
        <w:tc>
          <w:tcPr>
            <w:tcW w:w="508" w:type="pct"/>
            <w:tcBorders>
              <w:top w:val="single" w:sz="4" w:space="0" w:color="auto"/>
              <w:left w:val="nil"/>
              <w:bottom w:val="single" w:sz="4" w:space="0" w:color="auto"/>
              <w:right w:val="nil"/>
            </w:tcBorders>
            <w:shd w:val="clear" w:color="auto" w:fill="auto"/>
            <w:noWrap/>
            <w:hideMark/>
          </w:tcPr>
          <w:p w14:paraId="073D1EDA" w14:textId="77777777" w:rsidR="00E45705" w:rsidRPr="001B09E6" w:rsidRDefault="00E45705" w:rsidP="00E45705">
            <w:pPr>
              <w:pStyle w:val="TableColumnHeading"/>
              <w:spacing w:before="0" w:after="0"/>
              <w:ind w:left="0" w:right="0"/>
            </w:pPr>
          </w:p>
        </w:tc>
        <w:tc>
          <w:tcPr>
            <w:tcW w:w="374" w:type="pct"/>
            <w:tcBorders>
              <w:top w:val="single" w:sz="4" w:space="0" w:color="auto"/>
              <w:left w:val="nil"/>
              <w:bottom w:val="single" w:sz="4" w:space="0" w:color="auto"/>
              <w:right w:val="nil"/>
            </w:tcBorders>
            <w:shd w:val="clear" w:color="auto" w:fill="auto"/>
            <w:noWrap/>
            <w:hideMark/>
          </w:tcPr>
          <w:p w14:paraId="4ED54DD0" w14:textId="77777777" w:rsidR="00E45705" w:rsidRPr="001B09E6" w:rsidRDefault="00E45705" w:rsidP="00E45705">
            <w:pPr>
              <w:pStyle w:val="TableColumnHeading"/>
              <w:spacing w:before="0" w:after="0"/>
              <w:ind w:left="0" w:right="0"/>
            </w:pPr>
            <w:r w:rsidRPr="001B09E6">
              <w:t>2000</w:t>
            </w:r>
          </w:p>
        </w:tc>
        <w:tc>
          <w:tcPr>
            <w:tcW w:w="374" w:type="pct"/>
            <w:tcBorders>
              <w:top w:val="single" w:sz="4" w:space="0" w:color="auto"/>
              <w:left w:val="nil"/>
              <w:bottom w:val="single" w:sz="4" w:space="0" w:color="auto"/>
              <w:right w:val="nil"/>
            </w:tcBorders>
            <w:shd w:val="clear" w:color="auto" w:fill="auto"/>
            <w:noWrap/>
            <w:hideMark/>
          </w:tcPr>
          <w:p w14:paraId="6816FC60" w14:textId="77777777" w:rsidR="00E45705" w:rsidRPr="001B09E6" w:rsidRDefault="00E45705" w:rsidP="00E45705">
            <w:pPr>
              <w:pStyle w:val="TableColumnHeading"/>
              <w:spacing w:before="0" w:after="0"/>
              <w:ind w:left="0" w:right="0"/>
            </w:pPr>
            <w:r w:rsidRPr="001B09E6">
              <w:t>2001</w:t>
            </w:r>
          </w:p>
        </w:tc>
        <w:tc>
          <w:tcPr>
            <w:tcW w:w="374" w:type="pct"/>
            <w:tcBorders>
              <w:top w:val="single" w:sz="4" w:space="0" w:color="auto"/>
              <w:left w:val="nil"/>
              <w:bottom w:val="single" w:sz="4" w:space="0" w:color="auto"/>
              <w:right w:val="nil"/>
            </w:tcBorders>
            <w:shd w:val="clear" w:color="auto" w:fill="auto"/>
            <w:noWrap/>
            <w:hideMark/>
          </w:tcPr>
          <w:p w14:paraId="54DCEA95" w14:textId="77777777" w:rsidR="00E45705" w:rsidRPr="001B09E6" w:rsidRDefault="00E45705" w:rsidP="00E45705">
            <w:pPr>
              <w:pStyle w:val="TableColumnHeading"/>
              <w:spacing w:before="0" w:after="0"/>
              <w:ind w:left="0" w:right="0"/>
            </w:pPr>
            <w:r w:rsidRPr="001B09E6">
              <w:t>2002</w:t>
            </w:r>
          </w:p>
        </w:tc>
        <w:tc>
          <w:tcPr>
            <w:tcW w:w="374" w:type="pct"/>
            <w:tcBorders>
              <w:top w:val="single" w:sz="4" w:space="0" w:color="auto"/>
              <w:left w:val="nil"/>
              <w:bottom w:val="single" w:sz="4" w:space="0" w:color="auto"/>
              <w:right w:val="nil"/>
            </w:tcBorders>
            <w:shd w:val="clear" w:color="auto" w:fill="auto"/>
            <w:noWrap/>
            <w:hideMark/>
          </w:tcPr>
          <w:p w14:paraId="3A202BB3" w14:textId="77777777" w:rsidR="00E45705" w:rsidRPr="001B09E6" w:rsidRDefault="00E45705" w:rsidP="00E45705">
            <w:pPr>
              <w:pStyle w:val="TableColumnHeading"/>
              <w:spacing w:before="0" w:after="0"/>
              <w:ind w:left="0" w:right="0"/>
            </w:pPr>
            <w:r w:rsidRPr="001B09E6">
              <w:t>2003</w:t>
            </w:r>
          </w:p>
        </w:tc>
        <w:tc>
          <w:tcPr>
            <w:tcW w:w="374" w:type="pct"/>
            <w:tcBorders>
              <w:top w:val="single" w:sz="4" w:space="0" w:color="auto"/>
              <w:left w:val="nil"/>
              <w:bottom w:val="single" w:sz="4" w:space="0" w:color="auto"/>
              <w:right w:val="nil"/>
            </w:tcBorders>
            <w:shd w:val="clear" w:color="auto" w:fill="auto"/>
            <w:noWrap/>
            <w:hideMark/>
          </w:tcPr>
          <w:p w14:paraId="7F393622" w14:textId="77777777" w:rsidR="00E45705" w:rsidRPr="001B09E6" w:rsidRDefault="00E45705" w:rsidP="00E45705">
            <w:pPr>
              <w:pStyle w:val="TableColumnHeading"/>
              <w:spacing w:before="0" w:after="0"/>
              <w:ind w:left="0" w:right="0"/>
            </w:pPr>
            <w:r w:rsidRPr="001B09E6">
              <w:t>2004</w:t>
            </w:r>
          </w:p>
        </w:tc>
        <w:tc>
          <w:tcPr>
            <w:tcW w:w="374" w:type="pct"/>
            <w:tcBorders>
              <w:top w:val="single" w:sz="4" w:space="0" w:color="auto"/>
              <w:left w:val="nil"/>
              <w:bottom w:val="single" w:sz="4" w:space="0" w:color="auto"/>
              <w:right w:val="nil"/>
            </w:tcBorders>
            <w:shd w:val="clear" w:color="auto" w:fill="auto"/>
            <w:noWrap/>
            <w:hideMark/>
          </w:tcPr>
          <w:p w14:paraId="50DEBAD3" w14:textId="77777777" w:rsidR="00E45705" w:rsidRPr="001B09E6" w:rsidRDefault="00E45705" w:rsidP="00E45705">
            <w:pPr>
              <w:pStyle w:val="TableColumnHeading"/>
              <w:spacing w:before="0" w:after="0"/>
              <w:ind w:left="0" w:right="0"/>
            </w:pPr>
            <w:r w:rsidRPr="001B09E6">
              <w:t>2005</w:t>
            </w:r>
          </w:p>
        </w:tc>
        <w:tc>
          <w:tcPr>
            <w:tcW w:w="374" w:type="pct"/>
            <w:tcBorders>
              <w:top w:val="single" w:sz="4" w:space="0" w:color="auto"/>
              <w:left w:val="nil"/>
              <w:bottom w:val="single" w:sz="4" w:space="0" w:color="auto"/>
              <w:right w:val="nil"/>
            </w:tcBorders>
            <w:shd w:val="clear" w:color="auto" w:fill="auto"/>
            <w:noWrap/>
            <w:hideMark/>
          </w:tcPr>
          <w:p w14:paraId="0BB20FE4" w14:textId="77777777" w:rsidR="00E45705" w:rsidRPr="001B09E6" w:rsidRDefault="00E45705" w:rsidP="00E45705">
            <w:pPr>
              <w:pStyle w:val="TableColumnHeading"/>
              <w:spacing w:before="0" w:after="0"/>
              <w:ind w:left="0" w:right="0"/>
            </w:pPr>
            <w:r w:rsidRPr="001B09E6">
              <w:t>2006</w:t>
            </w:r>
          </w:p>
        </w:tc>
        <w:tc>
          <w:tcPr>
            <w:tcW w:w="374" w:type="pct"/>
            <w:tcBorders>
              <w:top w:val="single" w:sz="4" w:space="0" w:color="auto"/>
              <w:left w:val="nil"/>
              <w:bottom w:val="single" w:sz="4" w:space="0" w:color="auto"/>
              <w:right w:val="nil"/>
            </w:tcBorders>
            <w:shd w:val="clear" w:color="auto" w:fill="auto"/>
            <w:noWrap/>
            <w:hideMark/>
          </w:tcPr>
          <w:p w14:paraId="49184C22" w14:textId="77777777" w:rsidR="00E45705" w:rsidRPr="001B09E6" w:rsidRDefault="00E45705" w:rsidP="00E45705">
            <w:pPr>
              <w:pStyle w:val="TableColumnHeading"/>
              <w:spacing w:before="0" w:after="0"/>
              <w:ind w:left="0" w:right="0"/>
            </w:pPr>
            <w:r w:rsidRPr="001B09E6">
              <w:t>2007</w:t>
            </w:r>
          </w:p>
        </w:tc>
        <w:tc>
          <w:tcPr>
            <w:tcW w:w="374" w:type="pct"/>
            <w:tcBorders>
              <w:top w:val="single" w:sz="4" w:space="0" w:color="auto"/>
              <w:left w:val="nil"/>
              <w:bottom w:val="single" w:sz="4" w:space="0" w:color="auto"/>
              <w:right w:val="nil"/>
            </w:tcBorders>
            <w:shd w:val="clear" w:color="auto" w:fill="auto"/>
            <w:noWrap/>
            <w:hideMark/>
          </w:tcPr>
          <w:p w14:paraId="442D97EE" w14:textId="77777777" w:rsidR="00E45705" w:rsidRPr="001B09E6" w:rsidRDefault="00E45705" w:rsidP="00E45705">
            <w:pPr>
              <w:pStyle w:val="TableColumnHeading"/>
              <w:spacing w:before="0" w:after="0"/>
              <w:ind w:left="0" w:right="0"/>
            </w:pPr>
            <w:r w:rsidRPr="001B09E6">
              <w:t>2008</w:t>
            </w:r>
          </w:p>
        </w:tc>
        <w:tc>
          <w:tcPr>
            <w:tcW w:w="375" w:type="pct"/>
            <w:tcBorders>
              <w:top w:val="single" w:sz="4" w:space="0" w:color="auto"/>
              <w:left w:val="nil"/>
              <w:bottom w:val="single" w:sz="4" w:space="0" w:color="auto"/>
              <w:right w:val="nil"/>
            </w:tcBorders>
            <w:shd w:val="clear" w:color="auto" w:fill="auto"/>
            <w:noWrap/>
            <w:hideMark/>
          </w:tcPr>
          <w:p w14:paraId="242A6EAA" w14:textId="77777777" w:rsidR="00E45705" w:rsidRPr="001B09E6" w:rsidRDefault="00E45705" w:rsidP="00E45705">
            <w:pPr>
              <w:pStyle w:val="TableColumnHeading"/>
              <w:spacing w:before="0" w:after="0"/>
              <w:ind w:left="0" w:right="0"/>
            </w:pPr>
            <w:r w:rsidRPr="001B09E6">
              <w:t>2009</w:t>
            </w:r>
          </w:p>
        </w:tc>
        <w:tc>
          <w:tcPr>
            <w:tcW w:w="375" w:type="pct"/>
            <w:tcBorders>
              <w:top w:val="single" w:sz="4" w:space="0" w:color="auto"/>
              <w:left w:val="nil"/>
              <w:bottom w:val="single" w:sz="4" w:space="0" w:color="auto"/>
              <w:right w:val="nil"/>
            </w:tcBorders>
            <w:shd w:val="clear" w:color="auto" w:fill="auto"/>
            <w:noWrap/>
            <w:hideMark/>
          </w:tcPr>
          <w:p w14:paraId="0AE42423" w14:textId="77777777" w:rsidR="00E45705" w:rsidRPr="001B09E6" w:rsidRDefault="00E45705" w:rsidP="00E45705">
            <w:pPr>
              <w:pStyle w:val="TableColumnHeading"/>
              <w:spacing w:before="0" w:after="0"/>
              <w:ind w:left="0" w:right="0"/>
            </w:pPr>
            <w:r w:rsidRPr="001B09E6">
              <w:t>2010</w:t>
            </w:r>
          </w:p>
        </w:tc>
        <w:tc>
          <w:tcPr>
            <w:tcW w:w="375" w:type="pct"/>
            <w:tcBorders>
              <w:top w:val="single" w:sz="4" w:space="0" w:color="auto"/>
              <w:left w:val="nil"/>
              <w:bottom w:val="single" w:sz="4" w:space="0" w:color="auto"/>
              <w:right w:val="nil"/>
            </w:tcBorders>
            <w:shd w:val="clear" w:color="auto" w:fill="auto"/>
            <w:noWrap/>
            <w:hideMark/>
          </w:tcPr>
          <w:p w14:paraId="6D4B04EA" w14:textId="77777777" w:rsidR="00E45705" w:rsidRPr="001B09E6" w:rsidRDefault="00E45705" w:rsidP="00E45705">
            <w:pPr>
              <w:pStyle w:val="TableColumnHeading"/>
              <w:spacing w:before="0" w:after="0"/>
              <w:ind w:left="0" w:right="0"/>
            </w:pPr>
            <w:r w:rsidRPr="001B09E6">
              <w:t>2011</w:t>
            </w:r>
          </w:p>
        </w:tc>
      </w:tr>
      <w:tr w:rsidR="00E45705" w:rsidRPr="001B09E6" w14:paraId="6E595901" w14:textId="77777777" w:rsidTr="00E45705">
        <w:trPr>
          <w:trHeight w:val="300"/>
        </w:trPr>
        <w:tc>
          <w:tcPr>
            <w:tcW w:w="508" w:type="pct"/>
            <w:tcBorders>
              <w:top w:val="single" w:sz="4" w:space="0" w:color="auto"/>
              <w:left w:val="nil"/>
              <w:bottom w:val="nil"/>
              <w:right w:val="nil"/>
            </w:tcBorders>
            <w:shd w:val="clear" w:color="auto" w:fill="auto"/>
            <w:noWrap/>
            <w:hideMark/>
          </w:tcPr>
          <w:p w14:paraId="4A308E48" w14:textId="77777777" w:rsidR="00E45705" w:rsidRPr="001B09E6" w:rsidRDefault="00E45705" w:rsidP="00E45705">
            <w:pPr>
              <w:pStyle w:val="TableCellText"/>
              <w:spacing w:before="0" w:after="0"/>
              <w:ind w:left="0" w:right="0"/>
            </w:pPr>
            <w:r w:rsidRPr="001B09E6">
              <w:t>Indigenous</w:t>
            </w:r>
          </w:p>
        </w:tc>
        <w:tc>
          <w:tcPr>
            <w:tcW w:w="374" w:type="pct"/>
            <w:tcBorders>
              <w:top w:val="single" w:sz="4" w:space="0" w:color="auto"/>
              <w:left w:val="nil"/>
              <w:bottom w:val="nil"/>
              <w:right w:val="nil"/>
            </w:tcBorders>
            <w:shd w:val="clear" w:color="auto" w:fill="auto"/>
            <w:noWrap/>
            <w:hideMark/>
          </w:tcPr>
          <w:p w14:paraId="43CF2F0E" w14:textId="77777777" w:rsidR="00E45705" w:rsidRPr="001B09E6" w:rsidRDefault="00E45705" w:rsidP="00E45705">
            <w:pPr>
              <w:pStyle w:val="TableCellText"/>
              <w:spacing w:before="0" w:after="0"/>
              <w:ind w:left="0" w:right="0"/>
            </w:pPr>
            <w:r w:rsidRPr="001B09E6">
              <w:t>36.4</w:t>
            </w:r>
          </w:p>
        </w:tc>
        <w:tc>
          <w:tcPr>
            <w:tcW w:w="374" w:type="pct"/>
            <w:tcBorders>
              <w:top w:val="single" w:sz="4" w:space="0" w:color="auto"/>
              <w:left w:val="nil"/>
              <w:bottom w:val="nil"/>
              <w:right w:val="nil"/>
            </w:tcBorders>
            <w:shd w:val="clear" w:color="auto" w:fill="auto"/>
            <w:noWrap/>
            <w:hideMark/>
          </w:tcPr>
          <w:p w14:paraId="7E4D1030" w14:textId="77777777" w:rsidR="00E45705" w:rsidRPr="001B09E6" w:rsidRDefault="00E45705" w:rsidP="00E45705">
            <w:pPr>
              <w:pStyle w:val="TableCellText"/>
              <w:spacing w:before="0" w:after="0"/>
              <w:ind w:left="0" w:right="0"/>
            </w:pPr>
            <w:r w:rsidRPr="001B09E6">
              <w:t>35.7</w:t>
            </w:r>
          </w:p>
        </w:tc>
        <w:tc>
          <w:tcPr>
            <w:tcW w:w="374" w:type="pct"/>
            <w:tcBorders>
              <w:top w:val="single" w:sz="4" w:space="0" w:color="auto"/>
              <w:left w:val="nil"/>
              <w:bottom w:val="nil"/>
              <w:right w:val="nil"/>
            </w:tcBorders>
            <w:shd w:val="clear" w:color="auto" w:fill="auto"/>
            <w:noWrap/>
            <w:hideMark/>
          </w:tcPr>
          <w:p w14:paraId="6D72F50D" w14:textId="77777777" w:rsidR="00E45705" w:rsidRPr="001B09E6" w:rsidRDefault="00E45705" w:rsidP="00E45705">
            <w:pPr>
              <w:pStyle w:val="TableCellText"/>
              <w:spacing w:before="0" w:after="0"/>
              <w:ind w:left="0" w:right="0"/>
            </w:pPr>
            <w:r w:rsidRPr="001B09E6">
              <w:t>38.0</w:t>
            </w:r>
          </w:p>
        </w:tc>
        <w:tc>
          <w:tcPr>
            <w:tcW w:w="374" w:type="pct"/>
            <w:tcBorders>
              <w:top w:val="single" w:sz="4" w:space="0" w:color="auto"/>
              <w:left w:val="nil"/>
              <w:bottom w:val="nil"/>
              <w:right w:val="nil"/>
            </w:tcBorders>
            <w:shd w:val="clear" w:color="auto" w:fill="auto"/>
            <w:noWrap/>
            <w:hideMark/>
          </w:tcPr>
          <w:p w14:paraId="6E2FD80D" w14:textId="77777777" w:rsidR="00E45705" w:rsidRPr="001B09E6" w:rsidRDefault="00E45705" w:rsidP="00E45705">
            <w:pPr>
              <w:pStyle w:val="TableCellText"/>
              <w:spacing w:before="0" w:after="0"/>
              <w:ind w:left="0" w:right="0"/>
            </w:pPr>
            <w:r w:rsidRPr="001B09E6">
              <w:t>39.1</w:t>
            </w:r>
          </w:p>
        </w:tc>
        <w:tc>
          <w:tcPr>
            <w:tcW w:w="374" w:type="pct"/>
            <w:tcBorders>
              <w:top w:val="single" w:sz="4" w:space="0" w:color="auto"/>
              <w:left w:val="nil"/>
              <w:bottom w:val="nil"/>
              <w:right w:val="nil"/>
            </w:tcBorders>
            <w:shd w:val="clear" w:color="auto" w:fill="auto"/>
            <w:noWrap/>
            <w:hideMark/>
          </w:tcPr>
          <w:p w14:paraId="3C804CF4" w14:textId="77777777" w:rsidR="00E45705" w:rsidRPr="001B09E6" w:rsidRDefault="00E45705" w:rsidP="00E45705">
            <w:pPr>
              <w:pStyle w:val="TableCellText"/>
              <w:spacing w:before="0" w:after="0"/>
              <w:ind w:left="0" w:right="0"/>
            </w:pPr>
            <w:r w:rsidRPr="001B09E6">
              <w:t>39.8</w:t>
            </w:r>
          </w:p>
        </w:tc>
        <w:tc>
          <w:tcPr>
            <w:tcW w:w="374" w:type="pct"/>
            <w:tcBorders>
              <w:top w:val="single" w:sz="4" w:space="0" w:color="auto"/>
              <w:left w:val="nil"/>
              <w:bottom w:val="nil"/>
              <w:right w:val="nil"/>
            </w:tcBorders>
            <w:shd w:val="clear" w:color="auto" w:fill="auto"/>
            <w:noWrap/>
            <w:hideMark/>
          </w:tcPr>
          <w:p w14:paraId="21150B94" w14:textId="77777777" w:rsidR="00E45705" w:rsidRPr="001B09E6" w:rsidRDefault="00E45705" w:rsidP="00E45705">
            <w:pPr>
              <w:pStyle w:val="TableCellText"/>
              <w:spacing w:before="0" w:after="0"/>
              <w:ind w:left="0" w:right="0"/>
            </w:pPr>
            <w:r w:rsidRPr="001B09E6">
              <w:t>39.5</w:t>
            </w:r>
          </w:p>
        </w:tc>
        <w:tc>
          <w:tcPr>
            <w:tcW w:w="374" w:type="pct"/>
            <w:tcBorders>
              <w:top w:val="single" w:sz="4" w:space="0" w:color="auto"/>
              <w:left w:val="nil"/>
              <w:bottom w:val="nil"/>
              <w:right w:val="nil"/>
            </w:tcBorders>
            <w:shd w:val="clear" w:color="auto" w:fill="auto"/>
            <w:noWrap/>
            <w:hideMark/>
          </w:tcPr>
          <w:p w14:paraId="3F69E590" w14:textId="77777777" w:rsidR="00E45705" w:rsidRPr="001B09E6" w:rsidRDefault="00E45705" w:rsidP="00E45705">
            <w:pPr>
              <w:pStyle w:val="TableCellText"/>
              <w:spacing w:before="0" w:after="0"/>
              <w:ind w:left="0" w:right="0"/>
            </w:pPr>
            <w:r w:rsidRPr="001B09E6">
              <w:t>40.1</w:t>
            </w:r>
          </w:p>
        </w:tc>
        <w:tc>
          <w:tcPr>
            <w:tcW w:w="374" w:type="pct"/>
            <w:tcBorders>
              <w:top w:val="single" w:sz="4" w:space="0" w:color="auto"/>
              <w:left w:val="nil"/>
              <w:bottom w:val="nil"/>
              <w:right w:val="nil"/>
            </w:tcBorders>
            <w:shd w:val="clear" w:color="auto" w:fill="auto"/>
            <w:noWrap/>
            <w:hideMark/>
          </w:tcPr>
          <w:p w14:paraId="5C989303" w14:textId="77777777" w:rsidR="00E45705" w:rsidRPr="001B09E6" w:rsidRDefault="00E45705" w:rsidP="00E45705">
            <w:pPr>
              <w:pStyle w:val="TableCellText"/>
              <w:spacing w:before="0" w:after="0"/>
              <w:ind w:left="0" w:right="0"/>
            </w:pPr>
            <w:r w:rsidRPr="001B09E6">
              <w:t>42.9</w:t>
            </w:r>
          </w:p>
        </w:tc>
        <w:tc>
          <w:tcPr>
            <w:tcW w:w="374" w:type="pct"/>
            <w:tcBorders>
              <w:top w:val="single" w:sz="4" w:space="0" w:color="auto"/>
              <w:left w:val="nil"/>
              <w:bottom w:val="nil"/>
              <w:right w:val="nil"/>
            </w:tcBorders>
            <w:shd w:val="clear" w:color="auto" w:fill="auto"/>
            <w:noWrap/>
            <w:hideMark/>
          </w:tcPr>
          <w:p w14:paraId="644CC1CA" w14:textId="77777777" w:rsidR="00E45705" w:rsidRPr="001B09E6" w:rsidRDefault="00E45705" w:rsidP="00E45705">
            <w:pPr>
              <w:pStyle w:val="TableCellText"/>
              <w:spacing w:before="0" w:after="0"/>
              <w:ind w:left="0" w:right="0"/>
            </w:pPr>
            <w:r w:rsidRPr="001B09E6">
              <w:t>47.2</w:t>
            </w:r>
          </w:p>
        </w:tc>
        <w:tc>
          <w:tcPr>
            <w:tcW w:w="375" w:type="pct"/>
            <w:tcBorders>
              <w:top w:val="single" w:sz="4" w:space="0" w:color="auto"/>
              <w:left w:val="nil"/>
              <w:bottom w:val="nil"/>
              <w:right w:val="nil"/>
            </w:tcBorders>
            <w:shd w:val="clear" w:color="auto" w:fill="auto"/>
            <w:noWrap/>
            <w:hideMark/>
          </w:tcPr>
          <w:p w14:paraId="6FB34B34" w14:textId="77777777" w:rsidR="00E45705" w:rsidRPr="001B09E6" w:rsidRDefault="00E45705" w:rsidP="00E45705">
            <w:pPr>
              <w:pStyle w:val="TableCellText"/>
              <w:spacing w:before="0" w:after="0"/>
              <w:ind w:left="0" w:right="0"/>
            </w:pPr>
            <w:r w:rsidRPr="001B09E6">
              <w:t>45.4</w:t>
            </w:r>
          </w:p>
        </w:tc>
        <w:tc>
          <w:tcPr>
            <w:tcW w:w="375" w:type="pct"/>
            <w:tcBorders>
              <w:top w:val="single" w:sz="4" w:space="0" w:color="auto"/>
              <w:left w:val="nil"/>
              <w:bottom w:val="nil"/>
              <w:right w:val="nil"/>
            </w:tcBorders>
            <w:shd w:val="clear" w:color="auto" w:fill="auto"/>
            <w:noWrap/>
            <w:hideMark/>
          </w:tcPr>
          <w:p w14:paraId="4C590E83" w14:textId="77777777" w:rsidR="00E45705" w:rsidRPr="001B09E6" w:rsidRDefault="00E45705" w:rsidP="00E45705">
            <w:pPr>
              <w:pStyle w:val="TableCellText"/>
              <w:spacing w:before="0" w:after="0"/>
              <w:ind w:left="0" w:right="0"/>
            </w:pPr>
            <w:r w:rsidRPr="001B09E6">
              <w:t>47.2</w:t>
            </w:r>
          </w:p>
        </w:tc>
        <w:tc>
          <w:tcPr>
            <w:tcW w:w="375" w:type="pct"/>
            <w:tcBorders>
              <w:top w:val="single" w:sz="4" w:space="0" w:color="auto"/>
              <w:left w:val="nil"/>
              <w:bottom w:val="nil"/>
              <w:right w:val="nil"/>
            </w:tcBorders>
            <w:shd w:val="clear" w:color="auto" w:fill="auto"/>
            <w:noWrap/>
            <w:hideMark/>
          </w:tcPr>
          <w:p w14:paraId="0F8EA4EA" w14:textId="77777777" w:rsidR="00E45705" w:rsidRPr="001B09E6" w:rsidRDefault="00E45705" w:rsidP="00E45705">
            <w:pPr>
              <w:pStyle w:val="TableCellText"/>
              <w:spacing w:before="0" w:after="0"/>
              <w:ind w:left="0" w:right="0"/>
            </w:pPr>
            <w:r w:rsidRPr="001B09E6">
              <w:t>48.7</w:t>
            </w:r>
          </w:p>
        </w:tc>
      </w:tr>
      <w:tr w:rsidR="00E45705" w:rsidRPr="001B09E6" w14:paraId="5421A3E6" w14:textId="77777777" w:rsidTr="00E45705">
        <w:trPr>
          <w:trHeight w:val="300"/>
        </w:trPr>
        <w:tc>
          <w:tcPr>
            <w:tcW w:w="508" w:type="pct"/>
            <w:tcBorders>
              <w:top w:val="nil"/>
              <w:left w:val="nil"/>
              <w:bottom w:val="single" w:sz="4" w:space="0" w:color="auto"/>
              <w:right w:val="nil"/>
            </w:tcBorders>
            <w:shd w:val="clear" w:color="auto" w:fill="auto"/>
            <w:noWrap/>
            <w:hideMark/>
          </w:tcPr>
          <w:p w14:paraId="74B87DD0" w14:textId="77777777" w:rsidR="00E45705" w:rsidRPr="001B09E6" w:rsidRDefault="00E45705" w:rsidP="00E45705">
            <w:pPr>
              <w:pStyle w:val="TableCellText"/>
              <w:spacing w:before="0" w:after="0"/>
              <w:ind w:left="0" w:right="0"/>
            </w:pPr>
            <w:r w:rsidRPr="001B09E6">
              <w:t>Non-Indigenous</w:t>
            </w:r>
          </w:p>
        </w:tc>
        <w:tc>
          <w:tcPr>
            <w:tcW w:w="374" w:type="pct"/>
            <w:tcBorders>
              <w:top w:val="nil"/>
              <w:left w:val="nil"/>
              <w:bottom w:val="single" w:sz="4" w:space="0" w:color="auto"/>
              <w:right w:val="nil"/>
            </w:tcBorders>
            <w:shd w:val="clear" w:color="auto" w:fill="auto"/>
            <w:noWrap/>
            <w:hideMark/>
          </w:tcPr>
          <w:p w14:paraId="64BF778A" w14:textId="77777777" w:rsidR="00E45705" w:rsidRPr="001B09E6" w:rsidRDefault="00E45705" w:rsidP="00E45705">
            <w:pPr>
              <w:pStyle w:val="TableCellText"/>
              <w:spacing w:before="0" w:after="0"/>
              <w:ind w:left="0" w:right="0"/>
            </w:pPr>
            <w:r w:rsidRPr="001B09E6">
              <w:t>73.3</w:t>
            </w:r>
          </w:p>
        </w:tc>
        <w:tc>
          <w:tcPr>
            <w:tcW w:w="374" w:type="pct"/>
            <w:tcBorders>
              <w:top w:val="nil"/>
              <w:left w:val="nil"/>
              <w:bottom w:val="single" w:sz="4" w:space="0" w:color="auto"/>
              <w:right w:val="nil"/>
            </w:tcBorders>
            <w:shd w:val="clear" w:color="auto" w:fill="auto"/>
            <w:noWrap/>
            <w:hideMark/>
          </w:tcPr>
          <w:p w14:paraId="2059E764" w14:textId="77777777" w:rsidR="00E45705" w:rsidRPr="001B09E6" w:rsidRDefault="00E45705" w:rsidP="00E45705">
            <w:pPr>
              <w:pStyle w:val="TableCellText"/>
              <w:spacing w:before="0" w:after="0"/>
              <w:ind w:left="0" w:right="0"/>
            </w:pPr>
            <w:r w:rsidRPr="001B09E6">
              <w:t>74.5</w:t>
            </w:r>
          </w:p>
        </w:tc>
        <w:tc>
          <w:tcPr>
            <w:tcW w:w="374" w:type="pct"/>
            <w:tcBorders>
              <w:top w:val="nil"/>
              <w:left w:val="nil"/>
              <w:bottom w:val="single" w:sz="4" w:space="0" w:color="auto"/>
              <w:right w:val="nil"/>
            </w:tcBorders>
            <w:shd w:val="clear" w:color="auto" w:fill="auto"/>
            <w:noWrap/>
            <w:hideMark/>
          </w:tcPr>
          <w:p w14:paraId="340E9D47" w14:textId="77777777" w:rsidR="00E45705" w:rsidRPr="001B09E6" w:rsidRDefault="00E45705" w:rsidP="00E45705">
            <w:pPr>
              <w:pStyle w:val="TableCellText"/>
              <w:spacing w:before="0" w:after="0"/>
              <w:ind w:left="0" w:right="0"/>
            </w:pPr>
            <w:r w:rsidRPr="001B09E6">
              <w:t>76.3</w:t>
            </w:r>
          </w:p>
        </w:tc>
        <w:tc>
          <w:tcPr>
            <w:tcW w:w="374" w:type="pct"/>
            <w:tcBorders>
              <w:top w:val="nil"/>
              <w:left w:val="nil"/>
              <w:bottom w:val="single" w:sz="4" w:space="0" w:color="auto"/>
              <w:right w:val="nil"/>
            </w:tcBorders>
            <w:shd w:val="clear" w:color="auto" w:fill="auto"/>
            <w:noWrap/>
            <w:hideMark/>
          </w:tcPr>
          <w:p w14:paraId="2FB47E3E" w14:textId="77777777" w:rsidR="00E45705" w:rsidRPr="001B09E6" w:rsidRDefault="00E45705" w:rsidP="00E45705">
            <w:pPr>
              <w:pStyle w:val="TableCellText"/>
              <w:spacing w:before="0" w:after="0"/>
              <w:ind w:left="0" w:right="0"/>
            </w:pPr>
            <w:r w:rsidRPr="001B09E6">
              <w:t>76.5</w:t>
            </w:r>
          </w:p>
        </w:tc>
        <w:tc>
          <w:tcPr>
            <w:tcW w:w="374" w:type="pct"/>
            <w:tcBorders>
              <w:top w:val="nil"/>
              <w:left w:val="nil"/>
              <w:bottom w:val="single" w:sz="4" w:space="0" w:color="auto"/>
              <w:right w:val="nil"/>
            </w:tcBorders>
            <w:shd w:val="clear" w:color="auto" w:fill="auto"/>
            <w:noWrap/>
            <w:hideMark/>
          </w:tcPr>
          <w:p w14:paraId="3A5BD502" w14:textId="77777777" w:rsidR="00E45705" w:rsidRPr="001B09E6" w:rsidRDefault="00E45705" w:rsidP="00E45705">
            <w:pPr>
              <w:pStyle w:val="TableCellText"/>
              <w:spacing w:before="0" w:after="0"/>
              <w:ind w:left="0" w:right="0"/>
            </w:pPr>
            <w:r w:rsidRPr="001B09E6">
              <w:t>76.9</w:t>
            </w:r>
          </w:p>
        </w:tc>
        <w:tc>
          <w:tcPr>
            <w:tcW w:w="374" w:type="pct"/>
            <w:tcBorders>
              <w:top w:val="nil"/>
              <w:left w:val="nil"/>
              <w:bottom w:val="single" w:sz="4" w:space="0" w:color="auto"/>
              <w:right w:val="nil"/>
            </w:tcBorders>
            <w:shd w:val="clear" w:color="auto" w:fill="auto"/>
            <w:noWrap/>
            <w:hideMark/>
          </w:tcPr>
          <w:p w14:paraId="70078850" w14:textId="77777777" w:rsidR="00E45705" w:rsidRPr="001B09E6" w:rsidRDefault="00E45705" w:rsidP="00E45705">
            <w:pPr>
              <w:pStyle w:val="TableCellText"/>
              <w:spacing w:before="0" w:after="0"/>
              <w:ind w:left="0" w:right="0"/>
            </w:pPr>
            <w:r w:rsidRPr="001B09E6">
              <w:t>76.6</w:t>
            </w:r>
          </w:p>
        </w:tc>
        <w:tc>
          <w:tcPr>
            <w:tcW w:w="374" w:type="pct"/>
            <w:tcBorders>
              <w:top w:val="nil"/>
              <w:left w:val="nil"/>
              <w:bottom w:val="single" w:sz="4" w:space="0" w:color="auto"/>
              <w:right w:val="nil"/>
            </w:tcBorders>
            <w:shd w:val="clear" w:color="auto" w:fill="auto"/>
            <w:noWrap/>
            <w:hideMark/>
          </w:tcPr>
          <w:p w14:paraId="6C05560D" w14:textId="77777777" w:rsidR="00E45705" w:rsidRPr="001B09E6" w:rsidRDefault="00E45705" w:rsidP="00E45705">
            <w:pPr>
              <w:pStyle w:val="TableCellText"/>
              <w:spacing w:before="0" w:after="0"/>
              <w:ind w:left="0" w:right="0"/>
            </w:pPr>
            <w:r w:rsidRPr="001B09E6">
              <w:t>76.0</w:t>
            </w:r>
          </w:p>
        </w:tc>
        <w:tc>
          <w:tcPr>
            <w:tcW w:w="374" w:type="pct"/>
            <w:tcBorders>
              <w:top w:val="nil"/>
              <w:left w:val="nil"/>
              <w:bottom w:val="single" w:sz="4" w:space="0" w:color="auto"/>
              <w:right w:val="nil"/>
            </w:tcBorders>
            <w:shd w:val="clear" w:color="auto" w:fill="auto"/>
            <w:noWrap/>
            <w:hideMark/>
          </w:tcPr>
          <w:p w14:paraId="23C32DA1" w14:textId="77777777" w:rsidR="00E45705" w:rsidRPr="001B09E6" w:rsidRDefault="00E45705" w:rsidP="00E45705">
            <w:pPr>
              <w:pStyle w:val="TableCellText"/>
              <w:spacing w:before="0" w:after="0"/>
              <w:ind w:left="0" w:right="0"/>
            </w:pPr>
            <w:r w:rsidRPr="001B09E6">
              <w:t>75.6</w:t>
            </w:r>
          </w:p>
        </w:tc>
        <w:tc>
          <w:tcPr>
            <w:tcW w:w="374" w:type="pct"/>
            <w:tcBorders>
              <w:top w:val="nil"/>
              <w:left w:val="nil"/>
              <w:bottom w:val="single" w:sz="4" w:space="0" w:color="auto"/>
              <w:right w:val="nil"/>
            </w:tcBorders>
            <w:shd w:val="clear" w:color="auto" w:fill="auto"/>
            <w:noWrap/>
            <w:hideMark/>
          </w:tcPr>
          <w:p w14:paraId="11BA4B8A" w14:textId="77777777" w:rsidR="00E45705" w:rsidRPr="001B09E6" w:rsidRDefault="00E45705" w:rsidP="00E45705">
            <w:pPr>
              <w:pStyle w:val="TableCellText"/>
              <w:spacing w:before="0" w:after="0"/>
              <w:ind w:left="0" w:right="0"/>
            </w:pPr>
            <w:r w:rsidRPr="001B09E6">
              <w:t>75.6</w:t>
            </w:r>
          </w:p>
        </w:tc>
        <w:tc>
          <w:tcPr>
            <w:tcW w:w="375" w:type="pct"/>
            <w:tcBorders>
              <w:top w:val="nil"/>
              <w:left w:val="nil"/>
              <w:bottom w:val="single" w:sz="4" w:space="0" w:color="auto"/>
              <w:right w:val="nil"/>
            </w:tcBorders>
            <w:shd w:val="clear" w:color="auto" w:fill="auto"/>
            <w:noWrap/>
            <w:hideMark/>
          </w:tcPr>
          <w:p w14:paraId="32F09CA3" w14:textId="77777777" w:rsidR="00E45705" w:rsidRPr="001B09E6" w:rsidRDefault="00E45705" w:rsidP="00E45705">
            <w:pPr>
              <w:pStyle w:val="TableCellText"/>
              <w:spacing w:before="0" w:after="0"/>
              <w:ind w:left="0" w:right="0"/>
            </w:pPr>
            <w:r w:rsidRPr="001B09E6">
              <w:t>77.3</w:t>
            </w:r>
          </w:p>
        </w:tc>
        <w:tc>
          <w:tcPr>
            <w:tcW w:w="375" w:type="pct"/>
            <w:tcBorders>
              <w:top w:val="nil"/>
              <w:left w:val="nil"/>
              <w:bottom w:val="single" w:sz="4" w:space="0" w:color="auto"/>
              <w:right w:val="nil"/>
            </w:tcBorders>
            <w:shd w:val="clear" w:color="auto" w:fill="auto"/>
            <w:noWrap/>
            <w:hideMark/>
          </w:tcPr>
          <w:p w14:paraId="53B5F932" w14:textId="77777777" w:rsidR="00E45705" w:rsidRPr="001B09E6" w:rsidRDefault="00E45705" w:rsidP="00E45705">
            <w:pPr>
              <w:pStyle w:val="TableCellText"/>
              <w:spacing w:before="0" w:after="0"/>
              <w:ind w:left="0" w:right="0"/>
            </w:pPr>
            <w:r w:rsidRPr="001B09E6">
              <w:t>79.4</w:t>
            </w:r>
          </w:p>
        </w:tc>
        <w:tc>
          <w:tcPr>
            <w:tcW w:w="375" w:type="pct"/>
            <w:tcBorders>
              <w:top w:val="nil"/>
              <w:left w:val="nil"/>
              <w:bottom w:val="single" w:sz="4" w:space="0" w:color="auto"/>
              <w:right w:val="nil"/>
            </w:tcBorders>
            <w:shd w:val="clear" w:color="auto" w:fill="auto"/>
            <w:noWrap/>
            <w:hideMark/>
          </w:tcPr>
          <w:p w14:paraId="0725E728" w14:textId="77777777" w:rsidR="00E45705" w:rsidRPr="001B09E6" w:rsidRDefault="00E45705" w:rsidP="00E45705">
            <w:pPr>
              <w:pStyle w:val="TableCellText"/>
              <w:spacing w:before="0" w:after="0"/>
              <w:ind w:left="0" w:right="0"/>
            </w:pPr>
            <w:r w:rsidRPr="001B09E6">
              <w:t>80.7</w:t>
            </w:r>
          </w:p>
        </w:tc>
      </w:tr>
    </w:tbl>
    <w:p w14:paraId="29999B81" w14:textId="77777777" w:rsidR="00E45705" w:rsidRPr="001B09E6" w:rsidRDefault="00E45705" w:rsidP="00E45705">
      <w:pPr>
        <w:pStyle w:val="Tablenote"/>
      </w:pPr>
      <w:r w:rsidRPr="001B09E6">
        <w:t>Source: National Schools Statistics Collection</w:t>
      </w:r>
    </w:p>
    <w:p w14:paraId="04EF5B64" w14:textId="77777777" w:rsidR="00E45705" w:rsidRPr="001B09E6" w:rsidRDefault="00E45705" w:rsidP="00E45705">
      <w:pPr>
        <w:pStyle w:val="Heading3NoNumbering"/>
        <w:tabs>
          <w:tab w:val="left" w:pos="0"/>
        </w:tabs>
      </w:pPr>
      <w:bookmarkStart w:id="186" w:name="_Toc192134415"/>
      <w:bookmarkStart w:id="187" w:name="_Toc333919004"/>
      <w:r w:rsidRPr="001B09E6">
        <w:t>Table A2.22: Indigenous VET in Schools attainment</w:t>
      </w:r>
      <w:bookmarkEnd w:id="186"/>
      <w:bookmarkEnd w:id="187"/>
    </w:p>
    <w:p w14:paraId="6D91AF4B" w14:textId="77777777" w:rsidR="00E45705" w:rsidRPr="001B09E6" w:rsidRDefault="00E45705" w:rsidP="00E45705">
      <w:pPr>
        <w:pStyle w:val="TableHeading"/>
        <w:spacing w:before="112"/>
      </w:pPr>
      <w:r w:rsidRPr="001B09E6">
        <w:t>VET in Schools course completions as a percentage of 15 to 19 year olds by Indigenous status, 2005-9, excluding South Australia</w:t>
      </w:r>
    </w:p>
    <w:tbl>
      <w:tblPr>
        <w:tblW w:w="5000" w:type="pct"/>
        <w:tblLook w:val="04A0" w:firstRow="1" w:lastRow="0" w:firstColumn="1" w:lastColumn="0" w:noHBand="0" w:noVBand="1"/>
        <w:tblCaption w:val="Table A2.22: Indigenous VET in Schools attainment VET in Schools course completions as a percentage of 15 to 19 year olds by Indigenous status, 2005-9, excluding South Australia "/>
        <w:tblDescription w:val="Table A2.22: Indigenous VET in Schools attainment&#10;VET in Schools course completions as a percentage of 15 to 19 year olds by Indigenous status, 2005-9, excluding South Australia&#10;"/>
      </w:tblPr>
      <w:tblGrid>
        <w:gridCol w:w="3255"/>
        <w:gridCol w:w="2271"/>
        <w:gridCol w:w="2271"/>
        <w:gridCol w:w="2271"/>
        <w:gridCol w:w="2271"/>
        <w:gridCol w:w="2277"/>
      </w:tblGrid>
      <w:tr w:rsidR="00E45705" w:rsidRPr="001B09E6" w14:paraId="4C7FD621" w14:textId="77777777" w:rsidTr="00E45705">
        <w:trPr>
          <w:trHeight w:val="225"/>
        </w:trPr>
        <w:tc>
          <w:tcPr>
            <w:tcW w:w="1113" w:type="pct"/>
            <w:tcBorders>
              <w:top w:val="single" w:sz="4" w:space="0" w:color="auto"/>
              <w:left w:val="nil"/>
              <w:bottom w:val="single" w:sz="4" w:space="0" w:color="auto"/>
              <w:right w:val="nil"/>
            </w:tcBorders>
            <w:shd w:val="clear" w:color="auto" w:fill="auto"/>
            <w:noWrap/>
            <w:vAlign w:val="bottom"/>
            <w:hideMark/>
          </w:tcPr>
          <w:p w14:paraId="08FEB148" w14:textId="77777777" w:rsidR="00E45705" w:rsidRPr="001B09E6" w:rsidRDefault="00E45705" w:rsidP="00E45705">
            <w:pPr>
              <w:pStyle w:val="TableColumnHeading"/>
              <w:spacing w:before="0" w:after="0"/>
              <w:ind w:left="0" w:right="0"/>
              <w:rPr>
                <w:lang w:eastAsia="en-AU"/>
              </w:rPr>
            </w:pPr>
            <w:r w:rsidRPr="001B09E6">
              <w:rPr>
                <w:lang w:eastAsia="en-AU"/>
              </w:rPr>
              <w:t> </w:t>
            </w:r>
          </w:p>
        </w:tc>
        <w:tc>
          <w:tcPr>
            <w:tcW w:w="777" w:type="pct"/>
            <w:tcBorders>
              <w:top w:val="single" w:sz="4" w:space="0" w:color="auto"/>
              <w:left w:val="nil"/>
              <w:bottom w:val="single" w:sz="4" w:space="0" w:color="auto"/>
              <w:right w:val="nil"/>
            </w:tcBorders>
            <w:shd w:val="clear" w:color="auto" w:fill="auto"/>
            <w:noWrap/>
            <w:vAlign w:val="bottom"/>
            <w:hideMark/>
          </w:tcPr>
          <w:p w14:paraId="2DE3D353" w14:textId="77777777" w:rsidR="00E45705" w:rsidRPr="001B09E6" w:rsidRDefault="00E45705" w:rsidP="00E45705">
            <w:pPr>
              <w:pStyle w:val="TableColumnHeading"/>
              <w:spacing w:before="0" w:after="0"/>
              <w:ind w:left="0" w:right="0"/>
              <w:rPr>
                <w:lang w:eastAsia="en-AU"/>
              </w:rPr>
            </w:pPr>
            <w:r w:rsidRPr="001B09E6">
              <w:rPr>
                <w:lang w:eastAsia="en-AU"/>
              </w:rPr>
              <w:t>2005</w:t>
            </w:r>
          </w:p>
        </w:tc>
        <w:tc>
          <w:tcPr>
            <w:tcW w:w="777" w:type="pct"/>
            <w:tcBorders>
              <w:top w:val="single" w:sz="4" w:space="0" w:color="auto"/>
              <w:left w:val="nil"/>
              <w:bottom w:val="single" w:sz="4" w:space="0" w:color="auto"/>
              <w:right w:val="nil"/>
            </w:tcBorders>
            <w:shd w:val="clear" w:color="auto" w:fill="auto"/>
            <w:noWrap/>
            <w:vAlign w:val="bottom"/>
            <w:hideMark/>
          </w:tcPr>
          <w:p w14:paraId="182EEB86" w14:textId="77777777" w:rsidR="00E45705" w:rsidRPr="001B09E6" w:rsidRDefault="00E45705" w:rsidP="00E45705">
            <w:pPr>
              <w:pStyle w:val="TableColumnHeading"/>
              <w:spacing w:before="0" w:after="0"/>
              <w:ind w:left="0" w:right="0"/>
              <w:rPr>
                <w:lang w:eastAsia="en-AU"/>
              </w:rPr>
            </w:pPr>
            <w:r w:rsidRPr="001B09E6">
              <w:rPr>
                <w:lang w:eastAsia="en-AU"/>
              </w:rPr>
              <w:t>2006</w:t>
            </w:r>
          </w:p>
        </w:tc>
        <w:tc>
          <w:tcPr>
            <w:tcW w:w="777" w:type="pct"/>
            <w:tcBorders>
              <w:top w:val="single" w:sz="4" w:space="0" w:color="auto"/>
              <w:left w:val="nil"/>
              <w:bottom w:val="single" w:sz="4" w:space="0" w:color="auto"/>
              <w:right w:val="nil"/>
            </w:tcBorders>
            <w:shd w:val="clear" w:color="auto" w:fill="auto"/>
            <w:noWrap/>
            <w:vAlign w:val="bottom"/>
            <w:hideMark/>
          </w:tcPr>
          <w:p w14:paraId="5B0E3B62" w14:textId="77777777" w:rsidR="00E45705" w:rsidRPr="001B09E6" w:rsidRDefault="00E45705" w:rsidP="00E45705">
            <w:pPr>
              <w:pStyle w:val="TableColumnHeading"/>
              <w:spacing w:before="0" w:after="0"/>
              <w:ind w:left="0" w:right="0"/>
              <w:rPr>
                <w:lang w:eastAsia="en-AU"/>
              </w:rPr>
            </w:pPr>
            <w:r w:rsidRPr="001B09E6">
              <w:rPr>
                <w:lang w:eastAsia="en-AU"/>
              </w:rPr>
              <w:t>2007</w:t>
            </w:r>
          </w:p>
        </w:tc>
        <w:tc>
          <w:tcPr>
            <w:tcW w:w="777" w:type="pct"/>
            <w:tcBorders>
              <w:top w:val="single" w:sz="4" w:space="0" w:color="auto"/>
              <w:left w:val="nil"/>
              <w:bottom w:val="single" w:sz="4" w:space="0" w:color="auto"/>
              <w:right w:val="nil"/>
            </w:tcBorders>
            <w:shd w:val="clear" w:color="auto" w:fill="auto"/>
            <w:noWrap/>
            <w:vAlign w:val="bottom"/>
            <w:hideMark/>
          </w:tcPr>
          <w:p w14:paraId="4C091849" w14:textId="77777777" w:rsidR="00E45705" w:rsidRPr="001B09E6" w:rsidRDefault="00E45705" w:rsidP="00E45705">
            <w:pPr>
              <w:pStyle w:val="TableColumnHeading"/>
              <w:spacing w:before="0" w:after="0"/>
              <w:ind w:left="0" w:right="0"/>
              <w:rPr>
                <w:lang w:eastAsia="en-AU"/>
              </w:rPr>
            </w:pPr>
            <w:r w:rsidRPr="001B09E6">
              <w:rPr>
                <w:lang w:eastAsia="en-AU"/>
              </w:rPr>
              <w:t>2008</w:t>
            </w:r>
          </w:p>
        </w:tc>
        <w:tc>
          <w:tcPr>
            <w:tcW w:w="779" w:type="pct"/>
            <w:tcBorders>
              <w:top w:val="single" w:sz="4" w:space="0" w:color="auto"/>
              <w:left w:val="nil"/>
              <w:bottom w:val="single" w:sz="4" w:space="0" w:color="auto"/>
              <w:right w:val="nil"/>
            </w:tcBorders>
            <w:shd w:val="clear" w:color="auto" w:fill="auto"/>
            <w:noWrap/>
            <w:vAlign w:val="bottom"/>
            <w:hideMark/>
          </w:tcPr>
          <w:p w14:paraId="13F581C3" w14:textId="77777777" w:rsidR="00E45705" w:rsidRPr="001B09E6" w:rsidRDefault="00E45705" w:rsidP="00E45705">
            <w:pPr>
              <w:pStyle w:val="TableColumnHeading"/>
              <w:spacing w:before="0" w:after="0"/>
              <w:ind w:left="0" w:right="0"/>
              <w:rPr>
                <w:lang w:eastAsia="en-AU"/>
              </w:rPr>
            </w:pPr>
            <w:r w:rsidRPr="001B09E6">
              <w:rPr>
                <w:lang w:eastAsia="en-AU"/>
              </w:rPr>
              <w:t>2009</w:t>
            </w:r>
          </w:p>
        </w:tc>
      </w:tr>
      <w:tr w:rsidR="00E45705" w:rsidRPr="001B09E6" w14:paraId="548431E6" w14:textId="77777777" w:rsidTr="00E45705">
        <w:trPr>
          <w:trHeight w:val="225"/>
        </w:trPr>
        <w:tc>
          <w:tcPr>
            <w:tcW w:w="1113" w:type="pct"/>
            <w:tcBorders>
              <w:top w:val="nil"/>
              <w:left w:val="nil"/>
              <w:bottom w:val="nil"/>
              <w:right w:val="nil"/>
            </w:tcBorders>
            <w:shd w:val="clear" w:color="auto" w:fill="auto"/>
            <w:noWrap/>
            <w:vAlign w:val="bottom"/>
            <w:hideMark/>
          </w:tcPr>
          <w:p w14:paraId="5F4683FB" w14:textId="77777777" w:rsidR="00E45705" w:rsidRPr="001B09E6" w:rsidRDefault="00E45705" w:rsidP="00E45705">
            <w:pPr>
              <w:pStyle w:val="TableCellText"/>
              <w:spacing w:before="0" w:after="0"/>
              <w:ind w:left="0" w:right="0"/>
              <w:rPr>
                <w:lang w:eastAsia="en-AU"/>
              </w:rPr>
            </w:pPr>
            <w:r w:rsidRPr="001B09E6">
              <w:rPr>
                <w:lang w:eastAsia="en-AU"/>
              </w:rPr>
              <w:t>Indigenous</w:t>
            </w:r>
          </w:p>
        </w:tc>
        <w:tc>
          <w:tcPr>
            <w:tcW w:w="777" w:type="pct"/>
            <w:tcBorders>
              <w:top w:val="nil"/>
              <w:left w:val="nil"/>
              <w:bottom w:val="nil"/>
              <w:right w:val="nil"/>
            </w:tcBorders>
            <w:shd w:val="clear" w:color="auto" w:fill="auto"/>
            <w:noWrap/>
            <w:vAlign w:val="bottom"/>
            <w:hideMark/>
          </w:tcPr>
          <w:p w14:paraId="2F4225C7" w14:textId="77777777" w:rsidR="00E45705" w:rsidRPr="001B09E6" w:rsidRDefault="00E45705" w:rsidP="00E45705">
            <w:pPr>
              <w:pStyle w:val="TableCellText"/>
              <w:spacing w:before="0" w:after="0"/>
              <w:ind w:left="0" w:right="0"/>
              <w:rPr>
                <w:lang w:eastAsia="en-AU"/>
              </w:rPr>
            </w:pPr>
            <w:r w:rsidRPr="001B09E6">
              <w:rPr>
                <w:lang w:eastAsia="en-AU"/>
              </w:rPr>
              <w:t>2.8</w:t>
            </w:r>
          </w:p>
        </w:tc>
        <w:tc>
          <w:tcPr>
            <w:tcW w:w="777" w:type="pct"/>
            <w:tcBorders>
              <w:top w:val="nil"/>
              <w:left w:val="nil"/>
              <w:bottom w:val="nil"/>
              <w:right w:val="nil"/>
            </w:tcBorders>
            <w:shd w:val="clear" w:color="auto" w:fill="auto"/>
            <w:noWrap/>
            <w:vAlign w:val="bottom"/>
            <w:hideMark/>
          </w:tcPr>
          <w:p w14:paraId="17B004DC" w14:textId="77777777" w:rsidR="00E45705" w:rsidRPr="001B09E6" w:rsidRDefault="00E45705" w:rsidP="00E45705">
            <w:pPr>
              <w:pStyle w:val="TableCellText"/>
              <w:spacing w:before="0" w:after="0"/>
              <w:ind w:left="0" w:right="0"/>
              <w:rPr>
                <w:lang w:eastAsia="en-AU"/>
              </w:rPr>
            </w:pPr>
            <w:r w:rsidRPr="001B09E6">
              <w:rPr>
                <w:lang w:eastAsia="en-AU"/>
              </w:rPr>
              <w:t>2.4</w:t>
            </w:r>
          </w:p>
        </w:tc>
        <w:tc>
          <w:tcPr>
            <w:tcW w:w="777" w:type="pct"/>
            <w:tcBorders>
              <w:top w:val="nil"/>
              <w:left w:val="nil"/>
              <w:bottom w:val="nil"/>
              <w:right w:val="nil"/>
            </w:tcBorders>
            <w:shd w:val="clear" w:color="auto" w:fill="auto"/>
            <w:noWrap/>
            <w:vAlign w:val="bottom"/>
            <w:hideMark/>
          </w:tcPr>
          <w:p w14:paraId="56B71CED" w14:textId="77777777" w:rsidR="00E45705" w:rsidRPr="001B09E6" w:rsidRDefault="00E45705" w:rsidP="00E45705">
            <w:pPr>
              <w:pStyle w:val="TableCellText"/>
              <w:spacing w:before="0" w:after="0"/>
              <w:ind w:left="0" w:right="0"/>
              <w:rPr>
                <w:lang w:eastAsia="en-AU"/>
              </w:rPr>
            </w:pPr>
            <w:r w:rsidRPr="001B09E6">
              <w:rPr>
                <w:lang w:eastAsia="en-AU"/>
              </w:rPr>
              <w:t>2.8</w:t>
            </w:r>
          </w:p>
        </w:tc>
        <w:tc>
          <w:tcPr>
            <w:tcW w:w="777" w:type="pct"/>
            <w:tcBorders>
              <w:top w:val="nil"/>
              <w:left w:val="nil"/>
              <w:bottom w:val="nil"/>
              <w:right w:val="nil"/>
            </w:tcBorders>
            <w:shd w:val="clear" w:color="auto" w:fill="auto"/>
            <w:noWrap/>
            <w:vAlign w:val="bottom"/>
            <w:hideMark/>
          </w:tcPr>
          <w:p w14:paraId="49DD81FE" w14:textId="77777777" w:rsidR="00E45705" w:rsidRPr="001B09E6" w:rsidRDefault="00E45705" w:rsidP="00E45705">
            <w:pPr>
              <w:pStyle w:val="TableCellText"/>
              <w:spacing w:before="0" w:after="0"/>
              <w:ind w:left="0" w:right="0"/>
              <w:rPr>
                <w:lang w:eastAsia="en-AU"/>
              </w:rPr>
            </w:pPr>
            <w:r w:rsidRPr="001B09E6">
              <w:rPr>
                <w:lang w:eastAsia="en-AU"/>
              </w:rPr>
              <w:t>2.9</w:t>
            </w:r>
          </w:p>
        </w:tc>
        <w:tc>
          <w:tcPr>
            <w:tcW w:w="779" w:type="pct"/>
            <w:tcBorders>
              <w:top w:val="nil"/>
              <w:left w:val="nil"/>
              <w:bottom w:val="nil"/>
              <w:right w:val="nil"/>
            </w:tcBorders>
            <w:shd w:val="clear" w:color="auto" w:fill="auto"/>
            <w:noWrap/>
            <w:vAlign w:val="bottom"/>
            <w:hideMark/>
          </w:tcPr>
          <w:p w14:paraId="51D0DB91" w14:textId="77777777" w:rsidR="00E45705" w:rsidRPr="001B09E6" w:rsidRDefault="00E45705" w:rsidP="00E45705">
            <w:pPr>
              <w:pStyle w:val="TableCellText"/>
              <w:spacing w:before="0" w:after="0"/>
              <w:ind w:left="0" w:right="0"/>
              <w:rPr>
                <w:lang w:eastAsia="en-AU"/>
              </w:rPr>
            </w:pPr>
            <w:r w:rsidRPr="001B09E6">
              <w:rPr>
                <w:lang w:eastAsia="en-AU"/>
              </w:rPr>
              <w:t>5.9</w:t>
            </w:r>
          </w:p>
        </w:tc>
      </w:tr>
      <w:tr w:rsidR="00E45705" w:rsidRPr="001B09E6" w14:paraId="481F5BD7" w14:textId="77777777" w:rsidTr="00E45705">
        <w:trPr>
          <w:trHeight w:val="225"/>
        </w:trPr>
        <w:tc>
          <w:tcPr>
            <w:tcW w:w="1113" w:type="pct"/>
            <w:tcBorders>
              <w:top w:val="nil"/>
              <w:left w:val="nil"/>
              <w:bottom w:val="single" w:sz="4" w:space="0" w:color="auto"/>
              <w:right w:val="nil"/>
            </w:tcBorders>
            <w:shd w:val="clear" w:color="auto" w:fill="auto"/>
            <w:noWrap/>
            <w:vAlign w:val="bottom"/>
            <w:hideMark/>
          </w:tcPr>
          <w:p w14:paraId="6E7B37CB" w14:textId="77777777" w:rsidR="00E45705" w:rsidRPr="001B09E6" w:rsidRDefault="00E45705" w:rsidP="00E45705">
            <w:pPr>
              <w:pStyle w:val="TableCellText"/>
              <w:spacing w:before="0" w:after="0"/>
              <w:ind w:left="0" w:right="0"/>
              <w:rPr>
                <w:lang w:eastAsia="en-AU"/>
              </w:rPr>
            </w:pPr>
            <w:r w:rsidRPr="001B09E6">
              <w:rPr>
                <w:lang w:eastAsia="en-AU"/>
              </w:rPr>
              <w:t>Others</w:t>
            </w:r>
          </w:p>
        </w:tc>
        <w:tc>
          <w:tcPr>
            <w:tcW w:w="777" w:type="pct"/>
            <w:tcBorders>
              <w:top w:val="nil"/>
              <w:left w:val="nil"/>
              <w:bottom w:val="single" w:sz="4" w:space="0" w:color="auto"/>
              <w:right w:val="nil"/>
            </w:tcBorders>
            <w:shd w:val="clear" w:color="auto" w:fill="auto"/>
            <w:noWrap/>
            <w:vAlign w:val="bottom"/>
            <w:hideMark/>
          </w:tcPr>
          <w:p w14:paraId="08184E87" w14:textId="77777777" w:rsidR="00E45705" w:rsidRPr="001B09E6" w:rsidRDefault="00E45705" w:rsidP="00E45705">
            <w:pPr>
              <w:pStyle w:val="TableCellText"/>
              <w:spacing w:before="0" w:after="0"/>
              <w:ind w:left="0" w:right="0"/>
              <w:rPr>
                <w:lang w:eastAsia="en-AU"/>
              </w:rPr>
            </w:pPr>
            <w:r w:rsidRPr="001B09E6">
              <w:rPr>
                <w:lang w:eastAsia="en-AU"/>
              </w:rPr>
              <w:t>4.4</w:t>
            </w:r>
          </w:p>
        </w:tc>
        <w:tc>
          <w:tcPr>
            <w:tcW w:w="777" w:type="pct"/>
            <w:tcBorders>
              <w:top w:val="nil"/>
              <w:left w:val="nil"/>
              <w:bottom w:val="single" w:sz="4" w:space="0" w:color="auto"/>
              <w:right w:val="nil"/>
            </w:tcBorders>
            <w:shd w:val="clear" w:color="auto" w:fill="auto"/>
            <w:noWrap/>
            <w:vAlign w:val="bottom"/>
            <w:hideMark/>
          </w:tcPr>
          <w:p w14:paraId="27893430" w14:textId="77777777" w:rsidR="00E45705" w:rsidRPr="001B09E6" w:rsidRDefault="00E45705" w:rsidP="00E45705">
            <w:pPr>
              <w:pStyle w:val="TableCellText"/>
              <w:spacing w:before="0" w:after="0"/>
              <w:ind w:left="0" w:right="0"/>
              <w:rPr>
                <w:lang w:eastAsia="en-AU"/>
              </w:rPr>
            </w:pPr>
            <w:r w:rsidRPr="001B09E6">
              <w:rPr>
                <w:lang w:eastAsia="en-AU"/>
              </w:rPr>
              <w:t>4.0</w:t>
            </w:r>
          </w:p>
        </w:tc>
        <w:tc>
          <w:tcPr>
            <w:tcW w:w="777" w:type="pct"/>
            <w:tcBorders>
              <w:top w:val="nil"/>
              <w:left w:val="nil"/>
              <w:bottom w:val="single" w:sz="4" w:space="0" w:color="auto"/>
              <w:right w:val="nil"/>
            </w:tcBorders>
            <w:shd w:val="clear" w:color="auto" w:fill="auto"/>
            <w:noWrap/>
            <w:vAlign w:val="bottom"/>
            <w:hideMark/>
          </w:tcPr>
          <w:p w14:paraId="55A3D02E" w14:textId="77777777" w:rsidR="00E45705" w:rsidRPr="001B09E6" w:rsidRDefault="00E45705" w:rsidP="00E45705">
            <w:pPr>
              <w:pStyle w:val="TableCellText"/>
              <w:spacing w:before="0" w:after="0"/>
              <w:ind w:left="0" w:right="0"/>
              <w:rPr>
                <w:lang w:eastAsia="en-AU"/>
              </w:rPr>
            </w:pPr>
            <w:r w:rsidRPr="001B09E6">
              <w:rPr>
                <w:lang w:eastAsia="en-AU"/>
              </w:rPr>
              <w:t>4.7</w:t>
            </w:r>
          </w:p>
        </w:tc>
        <w:tc>
          <w:tcPr>
            <w:tcW w:w="777" w:type="pct"/>
            <w:tcBorders>
              <w:top w:val="nil"/>
              <w:left w:val="nil"/>
              <w:bottom w:val="single" w:sz="4" w:space="0" w:color="auto"/>
              <w:right w:val="nil"/>
            </w:tcBorders>
            <w:shd w:val="clear" w:color="auto" w:fill="auto"/>
            <w:noWrap/>
            <w:vAlign w:val="bottom"/>
            <w:hideMark/>
          </w:tcPr>
          <w:p w14:paraId="08765E24" w14:textId="77777777" w:rsidR="00E45705" w:rsidRPr="001B09E6" w:rsidRDefault="00E45705" w:rsidP="00E45705">
            <w:pPr>
              <w:pStyle w:val="TableCellText"/>
              <w:spacing w:before="0" w:after="0"/>
              <w:ind w:left="0" w:right="0"/>
              <w:rPr>
                <w:lang w:eastAsia="en-AU"/>
              </w:rPr>
            </w:pPr>
            <w:r w:rsidRPr="001B09E6">
              <w:rPr>
                <w:lang w:eastAsia="en-AU"/>
              </w:rPr>
              <w:t>6.0</w:t>
            </w:r>
          </w:p>
        </w:tc>
        <w:tc>
          <w:tcPr>
            <w:tcW w:w="779" w:type="pct"/>
            <w:tcBorders>
              <w:top w:val="nil"/>
              <w:left w:val="nil"/>
              <w:bottom w:val="single" w:sz="4" w:space="0" w:color="auto"/>
              <w:right w:val="nil"/>
            </w:tcBorders>
            <w:shd w:val="clear" w:color="auto" w:fill="auto"/>
            <w:noWrap/>
            <w:vAlign w:val="bottom"/>
            <w:hideMark/>
          </w:tcPr>
          <w:p w14:paraId="40062DFF" w14:textId="77777777" w:rsidR="00E45705" w:rsidRPr="001B09E6" w:rsidRDefault="00E45705" w:rsidP="00E45705">
            <w:pPr>
              <w:pStyle w:val="TableCellText"/>
              <w:spacing w:before="0" w:after="0"/>
              <w:ind w:left="0" w:right="0"/>
              <w:rPr>
                <w:lang w:eastAsia="en-AU"/>
              </w:rPr>
            </w:pPr>
            <w:r w:rsidRPr="001B09E6">
              <w:rPr>
                <w:lang w:eastAsia="en-AU"/>
              </w:rPr>
              <w:t>6.7</w:t>
            </w:r>
          </w:p>
        </w:tc>
      </w:tr>
      <w:tr w:rsidR="00E45705" w:rsidRPr="001B09E6" w14:paraId="55542790" w14:textId="77777777" w:rsidTr="00E45705">
        <w:trPr>
          <w:trHeight w:val="225"/>
        </w:trPr>
        <w:tc>
          <w:tcPr>
            <w:tcW w:w="5000" w:type="pct"/>
            <w:gridSpan w:val="6"/>
            <w:tcBorders>
              <w:top w:val="nil"/>
              <w:left w:val="nil"/>
              <w:bottom w:val="nil"/>
              <w:right w:val="nil"/>
            </w:tcBorders>
            <w:shd w:val="clear" w:color="auto" w:fill="auto"/>
            <w:noWrap/>
            <w:vAlign w:val="bottom"/>
            <w:hideMark/>
          </w:tcPr>
          <w:p w14:paraId="76131687" w14:textId="77777777" w:rsidR="00E45705" w:rsidRPr="001B09E6" w:rsidRDefault="00E45705" w:rsidP="00E45705">
            <w:pPr>
              <w:pStyle w:val="Tablenote"/>
              <w:rPr>
                <w:lang w:eastAsia="en-AU"/>
              </w:rPr>
            </w:pPr>
            <w:r w:rsidRPr="001B09E6">
              <w:rPr>
                <w:lang w:eastAsia="en-AU"/>
              </w:rPr>
              <w:t>Note: ‘Others’ includes those whose indigenous status is not known. South Australia did not submit a complete dataset for qualifications completed.</w:t>
            </w:r>
          </w:p>
        </w:tc>
      </w:tr>
      <w:tr w:rsidR="00E45705" w:rsidRPr="001B09E6" w14:paraId="4B534403" w14:textId="77777777" w:rsidTr="00E45705">
        <w:trPr>
          <w:trHeight w:val="225"/>
        </w:trPr>
        <w:tc>
          <w:tcPr>
            <w:tcW w:w="5000" w:type="pct"/>
            <w:gridSpan w:val="6"/>
            <w:tcBorders>
              <w:top w:val="nil"/>
              <w:left w:val="nil"/>
              <w:bottom w:val="nil"/>
              <w:right w:val="nil"/>
            </w:tcBorders>
            <w:shd w:val="clear" w:color="auto" w:fill="auto"/>
            <w:noWrap/>
            <w:vAlign w:val="bottom"/>
            <w:hideMark/>
          </w:tcPr>
          <w:p w14:paraId="187E9628" w14:textId="77777777" w:rsidR="00E45705" w:rsidRPr="001B09E6" w:rsidRDefault="00E45705" w:rsidP="00E45705">
            <w:pPr>
              <w:pStyle w:val="Tablenote"/>
              <w:rPr>
                <w:lang w:eastAsia="en-AU"/>
              </w:rPr>
            </w:pPr>
            <w:r w:rsidRPr="001B09E6">
              <w:rPr>
                <w:lang w:eastAsia="en-AU"/>
              </w:rPr>
              <w:t>Source: National VET in Schools Collection, ABS Population by Age and Sex 3201.0, ABS Experimental Estimates and Projections, Aboriginal and Torres Strait Islanders, Series B</w:t>
            </w:r>
          </w:p>
        </w:tc>
      </w:tr>
    </w:tbl>
    <w:p w14:paraId="54650BDE" w14:textId="77777777" w:rsidR="00E45705" w:rsidRDefault="00E45705" w:rsidP="00E45705">
      <w:pPr>
        <w:pStyle w:val="Heading3NoNumbering"/>
      </w:pPr>
      <w:bookmarkStart w:id="188" w:name="_Toc192134416"/>
      <w:bookmarkStart w:id="189" w:name="_Toc333919005"/>
    </w:p>
    <w:p w14:paraId="43852940" w14:textId="77777777" w:rsidR="00E45705" w:rsidRDefault="00E45705" w:rsidP="00E45705">
      <w:pPr>
        <w:spacing w:line="380" w:lineRule="atLeast"/>
        <w:rPr>
          <w:rFonts w:eastAsiaTheme="majorEastAsia" w:cstheme="majorBidi"/>
          <w:b/>
          <w:bCs/>
          <w:color w:val="808080"/>
          <w:sz w:val="24"/>
        </w:rPr>
      </w:pPr>
      <w:r>
        <w:br w:type="page"/>
      </w:r>
    </w:p>
    <w:p w14:paraId="668C61C7" w14:textId="77777777" w:rsidR="00E45705" w:rsidRPr="001B09E6" w:rsidRDefault="00E45705" w:rsidP="00E45705">
      <w:pPr>
        <w:pStyle w:val="Heading3NoNumbering"/>
      </w:pPr>
      <w:r w:rsidRPr="001B09E6">
        <w:t>Table A2.23: Indigenous VET attainment</w:t>
      </w:r>
      <w:bookmarkEnd w:id="188"/>
      <w:bookmarkEnd w:id="189"/>
    </w:p>
    <w:p w14:paraId="328FEDDB" w14:textId="77777777" w:rsidR="00E45705" w:rsidRPr="001B09E6" w:rsidRDefault="00E45705" w:rsidP="00E45705">
      <w:pPr>
        <w:pStyle w:val="TableHeading"/>
        <w:spacing w:before="112"/>
      </w:pPr>
      <w:r w:rsidRPr="001B09E6">
        <w:t>PERCENTAGE OF Course completions at Certificate II level or above as a percentage of 15-24 year olds by Indigenous status, 2002-9, excluding those attending school</w:t>
      </w:r>
    </w:p>
    <w:tbl>
      <w:tblPr>
        <w:tblW w:w="13750" w:type="dxa"/>
        <w:tblInd w:w="108" w:type="dxa"/>
        <w:tblLook w:val="04A0" w:firstRow="1" w:lastRow="0" w:firstColumn="1" w:lastColumn="0" w:noHBand="0" w:noVBand="1"/>
        <w:tblCaption w:val="Table A2.23: Indigenous VET attainment PERCENTAGE OF Course completions at Certificate II level or above as a percentage of 15-24 year olds by Indigenous status, 2002-9, excluding those attending school "/>
        <w:tblDescription w:val="Table A2.23: Indigenous VET attainment&#10;PERCENTAGE OF Course completions at Certificate II level or above as a percentage of 15-24 year olds by Indigenous status, 2002-9, excluding those attending school&#10;"/>
      </w:tblPr>
      <w:tblGrid>
        <w:gridCol w:w="1714"/>
        <w:gridCol w:w="1245"/>
        <w:gridCol w:w="1199"/>
        <w:gridCol w:w="1199"/>
        <w:gridCol w:w="1199"/>
        <w:gridCol w:w="1199"/>
        <w:gridCol w:w="1199"/>
        <w:gridCol w:w="1199"/>
        <w:gridCol w:w="1199"/>
        <w:gridCol w:w="1199"/>
        <w:gridCol w:w="1199"/>
      </w:tblGrid>
      <w:tr w:rsidR="00E45705" w:rsidRPr="001B09E6" w14:paraId="3982C117" w14:textId="77777777" w:rsidTr="00E45705">
        <w:trPr>
          <w:trHeight w:val="225"/>
        </w:trPr>
        <w:tc>
          <w:tcPr>
            <w:tcW w:w="1714" w:type="dxa"/>
            <w:tcBorders>
              <w:top w:val="single" w:sz="4" w:space="0" w:color="auto"/>
              <w:left w:val="nil"/>
              <w:bottom w:val="single" w:sz="4" w:space="0" w:color="auto"/>
              <w:right w:val="nil"/>
            </w:tcBorders>
            <w:shd w:val="clear" w:color="auto" w:fill="auto"/>
            <w:noWrap/>
            <w:vAlign w:val="bottom"/>
            <w:hideMark/>
          </w:tcPr>
          <w:p w14:paraId="56A4A6E0" w14:textId="77777777" w:rsidR="00E45705" w:rsidRPr="001B09E6" w:rsidRDefault="00E45705" w:rsidP="00E45705">
            <w:pPr>
              <w:pStyle w:val="TableColumnHeading"/>
              <w:spacing w:before="0" w:after="0"/>
              <w:ind w:left="0" w:right="0"/>
              <w:rPr>
                <w:lang w:eastAsia="en-AU"/>
              </w:rPr>
            </w:pPr>
            <w:r w:rsidRPr="001B09E6">
              <w:rPr>
                <w:lang w:eastAsia="en-AU"/>
              </w:rPr>
              <w:t> </w:t>
            </w:r>
          </w:p>
        </w:tc>
        <w:tc>
          <w:tcPr>
            <w:tcW w:w="1245" w:type="dxa"/>
            <w:tcBorders>
              <w:top w:val="single" w:sz="4" w:space="0" w:color="auto"/>
              <w:left w:val="nil"/>
              <w:bottom w:val="single" w:sz="4" w:space="0" w:color="auto"/>
              <w:right w:val="nil"/>
            </w:tcBorders>
            <w:shd w:val="clear" w:color="auto" w:fill="auto"/>
            <w:noWrap/>
            <w:vAlign w:val="bottom"/>
            <w:hideMark/>
          </w:tcPr>
          <w:p w14:paraId="05A2C1AF" w14:textId="77777777" w:rsidR="00E45705" w:rsidRPr="001B09E6" w:rsidRDefault="00E45705" w:rsidP="00E45705">
            <w:pPr>
              <w:pStyle w:val="TableColumnHeading"/>
              <w:spacing w:before="0" w:after="0"/>
              <w:ind w:left="0" w:right="0"/>
              <w:rPr>
                <w:lang w:eastAsia="en-AU"/>
              </w:rPr>
            </w:pPr>
            <w:r w:rsidRPr="001B09E6">
              <w:rPr>
                <w:lang w:eastAsia="en-AU"/>
              </w:rPr>
              <w:t> </w:t>
            </w:r>
          </w:p>
        </w:tc>
        <w:tc>
          <w:tcPr>
            <w:tcW w:w="1199" w:type="dxa"/>
            <w:tcBorders>
              <w:top w:val="single" w:sz="4" w:space="0" w:color="auto"/>
              <w:left w:val="nil"/>
              <w:bottom w:val="single" w:sz="4" w:space="0" w:color="auto"/>
              <w:right w:val="nil"/>
            </w:tcBorders>
            <w:shd w:val="clear" w:color="auto" w:fill="auto"/>
            <w:noWrap/>
            <w:vAlign w:val="bottom"/>
            <w:hideMark/>
          </w:tcPr>
          <w:p w14:paraId="4FED160A" w14:textId="77777777" w:rsidR="00E45705" w:rsidRPr="001B09E6" w:rsidRDefault="00E45705" w:rsidP="00E45705">
            <w:pPr>
              <w:pStyle w:val="TableColumnHeading"/>
              <w:spacing w:before="0" w:after="0"/>
              <w:ind w:left="0" w:right="0"/>
              <w:jc w:val="center"/>
              <w:rPr>
                <w:lang w:eastAsia="en-AU"/>
              </w:rPr>
            </w:pPr>
            <w:r w:rsidRPr="001B09E6">
              <w:rPr>
                <w:lang w:eastAsia="en-AU"/>
              </w:rPr>
              <w:t>2002</w:t>
            </w:r>
          </w:p>
        </w:tc>
        <w:tc>
          <w:tcPr>
            <w:tcW w:w="1199" w:type="dxa"/>
            <w:tcBorders>
              <w:top w:val="single" w:sz="4" w:space="0" w:color="auto"/>
              <w:left w:val="nil"/>
              <w:bottom w:val="single" w:sz="4" w:space="0" w:color="auto"/>
              <w:right w:val="nil"/>
            </w:tcBorders>
            <w:shd w:val="clear" w:color="auto" w:fill="auto"/>
            <w:noWrap/>
            <w:vAlign w:val="bottom"/>
            <w:hideMark/>
          </w:tcPr>
          <w:p w14:paraId="557351B4" w14:textId="77777777" w:rsidR="00E45705" w:rsidRPr="001B09E6" w:rsidRDefault="00E45705" w:rsidP="00E45705">
            <w:pPr>
              <w:pStyle w:val="TableColumnHeading"/>
              <w:spacing w:before="0" w:after="0"/>
              <w:ind w:left="0" w:right="0"/>
              <w:jc w:val="center"/>
              <w:rPr>
                <w:lang w:eastAsia="en-AU"/>
              </w:rPr>
            </w:pPr>
            <w:r w:rsidRPr="001B09E6">
              <w:rPr>
                <w:lang w:eastAsia="en-AU"/>
              </w:rPr>
              <w:t>2003</w:t>
            </w:r>
          </w:p>
        </w:tc>
        <w:tc>
          <w:tcPr>
            <w:tcW w:w="1199" w:type="dxa"/>
            <w:tcBorders>
              <w:top w:val="single" w:sz="4" w:space="0" w:color="auto"/>
              <w:left w:val="nil"/>
              <w:bottom w:val="single" w:sz="4" w:space="0" w:color="auto"/>
              <w:right w:val="nil"/>
            </w:tcBorders>
            <w:shd w:val="clear" w:color="auto" w:fill="auto"/>
            <w:noWrap/>
            <w:vAlign w:val="bottom"/>
            <w:hideMark/>
          </w:tcPr>
          <w:p w14:paraId="44123896" w14:textId="77777777" w:rsidR="00E45705" w:rsidRPr="001B09E6" w:rsidRDefault="00E45705" w:rsidP="00E45705">
            <w:pPr>
              <w:pStyle w:val="TableColumnHeading"/>
              <w:spacing w:before="0" w:after="0"/>
              <w:ind w:left="0" w:right="0"/>
              <w:jc w:val="center"/>
              <w:rPr>
                <w:lang w:eastAsia="en-AU"/>
              </w:rPr>
            </w:pPr>
            <w:r w:rsidRPr="001B09E6">
              <w:rPr>
                <w:lang w:eastAsia="en-AU"/>
              </w:rPr>
              <w:t>2004</w:t>
            </w:r>
          </w:p>
        </w:tc>
        <w:tc>
          <w:tcPr>
            <w:tcW w:w="1199" w:type="dxa"/>
            <w:tcBorders>
              <w:top w:val="single" w:sz="4" w:space="0" w:color="auto"/>
              <w:left w:val="nil"/>
              <w:bottom w:val="single" w:sz="4" w:space="0" w:color="auto"/>
              <w:right w:val="nil"/>
            </w:tcBorders>
            <w:shd w:val="clear" w:color="auto" w:fill="auto"/>
            <w:noWrap/>
            <w:vAlign w:val="bottom"/>
            <w:hideMark/>
          </w:tcPr>
          <w:p w14:paraId="0A11B64D" w14:textId="77777777" w:rsidR="00E45705" w:rsidRPr="001B09E6" w:rsidRDefault="00E45705" w:rsidP="00E45705">
            <w:pPr>
              <w:pStyle w:val="TableColumnHeading"/>
              <w:spacing w:before="0" w:after="0"/>
              <w:ind w:left="0" w:right="0"/>
              <w:jc w:val="center"/>
              <w:rPr>
                <w:lang w:eastAsia="en-AU"/>
              </w:rPr>
            </w:pPr>
            <w:r w:rsidRPr="001B09E6">
              <w:rPr>
                <w:lang w:eastAsia="en-AU"/>
              </w:rPr>
              <w:t>2005</w:t>
            </w:r>
          </w:p>
        </w:tc>
        <w:tc>
          <w:tcPr>
            <w:tcW w:w="1199" w:type="dxa"/>
            <w:tcBorders>
              <w:top w:val="single" w:sz="4" w:space="0" w:color="auto"/>
              <w:left w:val="nil"/>
              <w:bottom w:val="single" w:sz="4" w:space="0" w:color="auto"/>
              <w:right w:val="nil"/>
            </w:tcBorders>
            <w:shd w:val="clear" w:color="auto" w:fill="auto"/>
            <w:noWrap/>
            <w:vAlign w:val="bottom"/>
            <w:hideMark/>
          </w:tcPr>
          <w:p w14:paraId="648B5959" w14:textId="77777777" w:rsidR="00E45705" w:rsidRPr="001B09E6" w:rsidRDefault="00E45705" w:rsidP="00E45705">
            <w:pPr>
              <w:pStyle w:val="TableColumnHeading"/>
              <w:spacing w:before="0" w:after="0"/>
              <w:ind w:left="0" w:right="0"/>
              <w:jc w:val="center"/>
              <w:rPr>
                <w:lang w:eastAsia="en-AU"/>
              </w:rPr>
            </w:pPr>
            <w:r w:rsidRPr="001B09E6">
              <w:rPr>
                <w:lang w:eastAsia="en-AU"/>
              </w:rPr>
              <w:t>2006</w:t>
            </w:r>
          </w:p>
        </w:tc>
        <w:tc>
          <w:tcPr>
            <w:tcW w:w="1199" w:type="dxa"/>
            <w:tcBorders>
              <w:top w:val="single" w:sz="4" w:space="0" w:color="auto"/>
              <w:left w:val="nil"/>
              <w:bottom w:val="single" w:sz="4" w:space="0" w:color="auto"/>
              <w:right w:val="nil"/>
            </w:tcBorders>
            <w:shd w:val="clear" w:color="auto" w:fill="auto"/>
            <w:noWrap/>
            <w:vAlign w:val="bottom"/>
            <w:hideMark/>
          </w:tcPr>
          <w:p w14:paraId="50EFA012" w14:textId="77777777" w:rsidR="00E45705" w:rsidRPr="001B09E6" w:rsidRDefault="00E45705" w:rsidP="00E45705">
            <w:pPr>
              <w:pStyle w:val="TableColumnHeading"/>
              <w:spacing w:before="0" w:after="0"/>
              <w:ind w:left="0" w:right="0"/>
              <w:jc w:val="center"/>
              <w:rPr>
                <w:lang w:eastAsia="en-AU"/>
              </w:rPr>
            </w:pPr>
            <w:r w:rsidRPr="001B09E6">
              <w:rPr>
                <w:lang w:eastAsia="en-AU"/>
              </w:rPr>
              <w:t>2007</w:t>
            </w:r>
          </w:p>
        </w:tc>
        <w:tc>
          <w:tcPr>
            <w:tcW w:w="1199" w:type="dxa"/>
            <w:tcBorders>
              <w:top w:val="single" w:sz="4" w:space="0" w:color="auto"/>
              <w:left w:val="nil"/>
              <w:bottom w:val="single" w:sz="4" w:space="0" w:color="auto"/>
              <w:right w:val="nil"/>
            </w:tcBorders>
            <w:shd w:val="clear" w:color="auto" w:fill="auto"/>
            <w:noWrap/>
            <w:vAlign w:val="bottom"/>
            <w:hideMark/>
          </w:tcPr>
          <w:p w14:paraId="13DCAC3B" w14:textId="77777777" w:rsidR="00E45705" w:rsidRPr="001B09E6" w:rsidRDefault="00E45705" w:rsidP="00E45705">
            <w:pPr>
              <w:pStyle w:val="TableColumnHeading"/>
              <w:spacing w:before="0" w:after="0"/>
              <w:ind w:left="0" w:right="0"/>
              <w:jc w:val="center"/>
              <w:rPr>
                <w:lang w:eastAsia="en-AU"/>
              </w:rPr>
            </w:pPr>
            <w:r w:rsidRPr="001B09E6">
              <w:rPr>
                <w:lang w:eastAsia="en-AU"/>
              </w:rPr>
              <w:t>2008</w:t>
            </w:r>
          </w:p>
        </w:tc>
        <w:tc>
          <w:tcPr>
            <w:tcW w:w="1199" w:type="dxa"/>
            <w:tcBorders>
              <w:top w:val="single" w:sz="4" w:space="0" w:color="auto"/>
              <w:left w:val="nil"/>
              <w:bottom w:val="single" w:sz="4" w:space="0" w:color="auto"/>
              <w:right w:val="nil"/>
            </w:tcBorders>
            <w:shd w:val="clear" w:color="auto" w:fill="auto"/>
            <w:noWrap/>
            <w:vAlign w:val="bottom"/>
            <w:hideMark/>
          </w:tcPr>
          <w:p w14:paraId="13C8172C" w14:textId="77777777" w:rsidR="00E45705" w:rsidRPr="001B09E6" w:rsidRDefault="00E45705" w:rsidP="00E45705">
            <w:pPr>
              <w:pStyle w:val="TableColumnHeading"/>
              <w:spacing w:before="0" w:after="0"/>
              <w:ind w:left="0" w:right="0"/>
              <w:jc w:val="center"/>
              <w:rPr>
                <w:lang w:eastAsia="en-AU"/>
              </w:rPr>
            </w:pPr>
            <w:r w:rsidRPr="001B09E6">
              <w:rPr>
                <w:lang w:eastAsia="en-AU"/>
              </w:rPr>
              <w:t>2009</w:t>
            </w:r>
          </w:p>
        </w:tc>
        <w:tc>
          <w:tcPr>
            <w:tcW w:w="1199" w:type="dxa"/>
            <w:tcBorders>
              <w:top w:val="single" w:sz="4" w:space="0" w:color="auto"/>
              <w:left w:val="nil"/>
              <w:bottom w:val="single" w:sz="4" w:space="0" w:color="auto"/>
              <w:right w:val="nil"/>
            </w:tcBorders>
          </w:tcPr>
          <w:p w14:paraId="7E2DAE40" w14:textId="77777777" w:rsidR="00E45705" w:rsidRPr="001B09E6" w:rsidRDefault="00E45705" w:rsidP="00E45705">
            <w:pPr>
              <w:pStyle w:val="TableColumnHeading"/>
              <w:spacing w:before="0" w:after="0"/>
              <w:ind w:left="0" w:right="0"/>
              <w:jc w:val="center"/>
              <w:rPr>
                <w:lang w:eastAsia="en-AU"/>
              </w:rPr>
            </w:pPr>
            <w:r w:rsidRPr="001B09E6">
              <w:rPr>
                <w:lang w:eastAsia="en-AU"/>
              </w:rPr>
              <w:t>2010</w:t>
            </w:r>
          </w:p>
        </w:tc>
      </w:tr>
      <w:tr w:rsidR="00E45705" w:rsidRPr="001B09E6" w14:paraId="55FF186F" w14:textId="77777777" w:rsidTr="00E45705">
        <w:trPr>
          <w:trHeight w:val="225"/>
        </w:trPr>
        <w:tc>
          <w:tcPr>
            <w:tcW w:w="1714" w:type="dxa"/>
            <w:tcBorders>
              <w:top w:val="nil"/>
              <w:left w:val="nil"/>
              <w:bottom w:val="nil"/>
              <w:right w:val="nil"/>
            </w:tcBorders>
            <w:shd w:val="clear" w:color="auto" w:fill="auto"/>
            <w:noWrap/>
            <w:vAlign w:val="bottom"/>
            <w:hideMark/>
          </w:tcPr>
          <w:p w14:paraId="6836624D" w14:textId="77777777" w:rsidR="00E45705" w:rsidRPr="001B09E6" w:rsidRDefault="00E45705" w:rsidP="00E45705">
            <w:pPr>
              <w:pStyle w:val="TableCellText"/>
              <w:spacing w:before="0" w:after="0"/>
              <w:ind w:left="0" w:right="0"/>
              <w:rPr>
                <w:lang w:eastAsia="en-AU"/>
              </w:rPr>
            </w:pPr>
            <w:r w:rsidRPr="001B09E6">
              <w:rPr>
                <w:lang w:eastAsia="en-AU"/>
              </w:rPr>
              <w:t>Indigenous</w:t>
            </w:r>
          </w:p>
        </w:tc>
        <w:tc>
          <w:tcPr>
            <w:tcW w:w="1245" w:type="dxa"/>
            <w:tcBorders>
              <w:top w:val="nil"/>
              <w:left w:val="nil"/>
              <w:bottom w:val="nil"/>
              <w:right w:val="nil"/>
            </w:tcBorders>
            <w:shd w:val="clear" w:color="auto" w:fill="auto"/>
            <w:noWrap/>
            <w:vAlign w:val="bottom"/>
            <w:hideMark/>
          </w:tcPr>
          <w:p w14:paraId="096600BD" w14:textId="77777777" w:rsidR="00E45705" w:rsidRPr="001B09E6" w:rsidRDefault="00E45705" w:rsidP="00E45705">
            <w:pPr>
              <w:pStyle w:val="TableCellText"/>
              <w:spacing w:before="0" w:after="0"/>
              <w:ind w:left="0" w:right="0"/>
              <w:rPr>
                <w:lang w:eastAsia="en-AU"/>
              </w:rPr>
            </w:pPr>
            <w:r w:rsidRPr="001B09E6">
              <w:rPr>
                <w:lang w:eastAsia="en-AU"/>
              </w:rPr>
              <w:t>15 to 19 years</w:t>
            </w:r>
          </w:p>
        </w:tc>
        <w:tc>
          <w:tcPr>
            <w:tcW w:w="1199" w:type="dxa"/>
            <w:tcBorders>
              <w:top w:val="nil"/>
              <w:left w:val="nil"/>
              <w:bottom w:val="nil"/>
              <w:right w:val="nil"/>
            </w:tcBorders>
            <w:shd w:val="clear" w:color="auto" w:fill="auto"/>
            <w:noWrap/>
            <w:vAlign w:val="bottom"/>
            <w:hideMark/>
          </w:tcPr>
          <w:p w14:paraId="29370131" w14:textId="77777777" w:rsidR="00E45705" w:rsidRPr="001B09E6" w:rsidRDefault="00E45705" w:rsidP="00E45705">
            <w:pPr>
              <w:pStyle w:val="TableCellText"/>
              <w:spacing w:before="0" w:after="0"/>
              <w:ind w:left="0" w:right="0"/>
              <w:jc w:val="center"/>
            </w:pPr>
            <w:r w:rsidRPr="001B09E6">
              <w:t>2.6</w:t>
            </w:r>
          </w:p>
        </w:tc>
        <w:tc>
          <w:tcPr>
            <w:tcW w:w="1199" w:type="dxa"/>
            <w:tcBorders>
              <w:top w:val="nil"/>
              <w:left w:val="nil"/>
              <w:bottom w:val="nil"/>
              <w:right w:val="nil"/>
            </w:tcBorders>
            <w:shd w:val="clear" w:color="auto" w:fill="auto"/>
            <w:noWrap/>
            <w:vAlign w:val="bottom"/>
            <w:hideMark/>
          </w:tcPr>
          <w:p w14:paraId="3E3586EC" w14:textId="77777777" w:rsidR="00E45705" w:rsidRPr="001B09E6" w:rsidRDefault="00E45705" w:rsidP="00E45705">
            <w:pPr>
              <w:pStyle w:val="TableCellText"/>
              <w:spacing w:before="0" w:after="0"/>
              <w:ind w:left="0" w:right="0"/>
              <w:jc w:val="center"/>
            </w:pPr>
            <w:r w:rsidRPr="001B09E6">
              <w:t>2.3</w:t>
            </w:r>
          </w:p>
        </w:tc>
        <w:tc>
          <w:tcPr>
            <w:tcW w:w="1199" w:type="dxa"/>
            <w:tcBorders>
              <w:top w:val="nil"/>
              <w:left w:val="nil"/>
              <w:bottom w:val="nil"/>
              <w:right w:val="nil"/>
            </w:tcBorders>
            <w:shd w:val="clear" w:color="auto" w:fill="auto"/>
            <w:noWrap/>
            <w:vAlign w:val="bottom"/>
            <w:hideMark/>
          </w:tcPr>
          <w:p w14:paraId="2685E893" w14:textId="77777777" w:rsidR="00E45705" w:rsidRPr="001B09E6" w:rsidRDefault="00E45705" w:rsidP="00E45705">
            <w:pPr>
              <w:pStyle w:val="TableCellText"/>
              <w:spacing w:before="0" w:after="0"/>
              <w:ind w:left="0" w:right="0"/>
              <w:jc w:val="center"/>
            </w:pPr>
            <w:r w:rsidRPr="001B09E6">
              <w:t>2.0</w:t>
            </w:r>
          </w:p>
        </w:tc>
        <w:tc>
          <w:tcPr>
            <w:tcW w:w="1199" w:type="dxa"/>
            <w:tcBorders>
              <w:top w:val="nil"/>
              <w:left w:val="nil"/>
              <w:bottom w:val="nil"/>
              <w:right w:val="nil"/>
            </w:tcBorders>
            <w:shd w:val="clear" w:color="auto" w:fill="auto"/>
            <w:noWrap/>
            <w:vAlign w:val="bottom"/>
            <w:hideMark/>
          </w:tcPr>
          <w:p w14:paraId="7A3804E6" w14:textId="77777777" w:rsidR="00E45705" w:rsidRPr="001B09E6" w:rsidRDefault="00E45705" w:rsidP="00E45705">
            <w:pPr>
              <w:pStyle w:val="TableCellText"/>
              <w:spacing w:before="0" w:after="0"/>
              <w:ind w:left="0" w:right="0"/>
              <w:jc w:val="center"/>
            </w:pPr>
            <w:r w:rsidRPr="001B09E6">
              <w:t>2.2</w:t>
            </w:r>
          </w:p>
        </w:tc>
        <w:tc>
          <w:tcPr>
            <w:tcW w:w="1199" w:type="dxa"/>
            <w:tcBorders>
              <w:top w:val="nil"/>
              <w:left w:val="nil"/>
              <w:bottom w:val="nil"/>
              <w:right w:val="nil"/>
            </w:tcBorders>
            <w:shd w:val="clear" w:color="auto" w:fill="auto"/>
            <w:noWrap/>
            <w:vAlign w:val="bottom"/>
            <w:hideMark/>
          </w:tcPr>
          <w:p w14:paraId="5220DFEB" w14:textId="77777777" w:rsidR="00E45705" w:rsidRPr="001B09E6" w:rsidRDefault="00E45705" w:rsidP="00E45705">
            <w:pPr>
              <w:pStyle w:val="TableCellText"/>
              <w:spacing w:before="0" w:after="0"/>
              <w:ind w:left="0" w:right="0"/>
              <w:jc w:val="center"/>
            </w:pPr>
            <w:r w:rsidRPr="001B09E6">
              <w:t>1.9</w:t>
            </w:r>
          </w:p>
        </w:tc>
        <w:tc>
          <w:tcPr>
            <w:tcW w:w="1199" w:type="dxa"/>
            <w:tcBorders>
              <w:top w:val="nil"/>
              <w:left w:val="nil"/>
              <w:bottom w:val="nil"/>
              <w:right w:val="nil"/>
            </w:tcBorders>
            <w:shd w:val="clear" w:color="auto" w:fill="auto"/>
            <w:noWrap/>
            <w:vAlign w:val="bottom"/>
            <w:hideMark/>
          </w:tcPr>
          <w:p w14:paraId="523B17A8" w14:textId="77777777" w:rsidR="00E45705" w:rsidRPr="001B09E6" w:rsidRDefault="00E45705" w:rsidP="00E45705">
            <w:pPr>
              <w:pStyle w:val="TableCellText"/>
              <w:spacing w:before="0" w:after="0"/>
              <w:ind w:left="0" w:right="0"/>
              <w:jc w:val="center"/>
            </w:pPr>
            <w:r w:rsidRPr="001B09E6">
              <w:t>1.9</w:t>
            </w:r>
          </w:p>
        </w:tc>
        <w:tc>
          <w:tcPr>
            <w:tcW w:w="1199" w:type="dxa"/>
            <w:tcBorders>
              <w:top w:val="nil"/>
              <w:left w:val="nil"/>
              <w:bottom w:val="nil"/>
              <w:right w:val="nil"/>
            </w:tcBorders>
            <w:shd w:val="clear" w:color="auto" w:fill="auto"/>
            <w:noWrap/>
            <w:vAlign w:val="bottom"/>
            <w:hideMark/>
          </w:tcPr>
          <w:p w14:paraId="40076757" w14:textId="77777777" w:rsidR="00E45705" w:rsidRPr="001B09E6" w:rsidRDefault="00E45705" w:rsidP="00E45705">
            <w:pPr>
              <w:pStyle w:val="TableCellText"/>
              <w:spacing w:before="0" w:after="0"/>
              <w:ind w:left="0" w:right="0"/>
              <w:jc w:val="center"/>
            </w:pPr>
            <w:r w:rsidRPr="001B09E6">
              <w:t>2.3</w:t>
            </w:r>
          </w:p>
        </w:tc>
        <w:tc>
          <w:tcPr>
            <w:tcW w:w="1199" w:type="dxa"/>
            <w:tcBorders>
              <w:top w:val="nil"/>
              <w:left w:val="nil"/>
              <w:bottom w:val="nil"/>
              <w:right w:val="nil"/>
            </w:tcBorders>
            <w:shd w:val="clear" w:color="auto" w:fill="auto"/>
            <w:noWrap/>
            <w:vAlign w:val="bottom"/>
            <w:hideMark/>
          </w:tcPr>
          <w:p w14:paraId="7714503D" w14:textId="77777777" w:rsidR="00E45705" w:rsidRPr="001B09E6" w:rsidRDefault="00E45705" w:rsidP="00E45705">
            <w:pPr>
              <w:pStyle w:val="TableCellText"/>
              <w:spacing w:before="0" w:after="0"/>
              <w:ind w:left="0" w:right="0"/>
              <w:jc w:val="center"/>
            </w:pPr>
            <w:r w:rsidRPr="001B09E6">
              <w:t>2.7</w:t>
            </w:r>
          </w:p>
        </w:tc>
        <w:tc>
          <w:tcPr>
            <w:tcW w:w="1199" w:type="dxa"/>
            <w:tcBorders>
              <w:top w:val="nil"/>
              <w:left w:val="nil"/>
              <w:bottom w:val="nil"/>
              <w:right w:val="nil"/>
            </w:tcBorders>
          </w:tcPr>
          <w:p w14:paraId="615739FB" w14:textId="77777777" w:rsidR="00E45705" w:rsidRPr="001B09E6" w:rsidRDefault="00E45705" w:rsidP="00E45705">
            <w:pPr>
              <w:pStyle w:val="TableCellText"/>
              <w:spacing w:before="0" w:after="0"/>
              <w:ind w:left="0" w:right="0"/>
            </w:pPr>
          </w:p>
          <w:p w14:paraId="6A583BE8" w14:textId="77777777" w:rsidR="00E45705" w:rsidRPr="001B09E6" w:rsidRDefault="00E45705" w:rsidP="00E45705">
            <w:pPr>
              <w:pStyle w:val="TableCellText"/>
              <w:spacing w:before="0" w:after="0"/>
              <w:ind w:left="0" w:right="0"/>
              <w:jc w:val="center"/>
            </w:pPr>
            <w:r w:rsidRPr="001B09E6">
              <w:t>3.6</w:t>
            </w:r>
          </w:p>
        </w:tc>
      </w:tr>
      <w:tr w:rsidR="00E45705" w:rsidRPr="001B09E6" w14:paraId="5F986652" w14:textId="77777777" w:rsidTr="00E45705">
        <w:trPr>
          <w:trHeight w:val="225"/>
        </w:trPr>
        <w:tc>
          <w:tcPr>
            <w:tcW w:w="1714" w:type="dxa"/>
            <w:tcBorders>
              <w:top w:val="nil"/>
              <w:left w:val="nil"/>
              <w:bottom w:val="single" w:sz="4" w:space="0" w:color="auto"/>
              <w:right w:val="nil"/>
            </w:tcBorders>
            <w:shd w:val="clear" w:color="auto" w:fill="auto"/>
            <w:noWrap/>
            <w:vAlign w:val="bottom"/>
            <w:hideMark/>
          </w:tcPr>
          <w:p w14:paraId="36593C68" w14:textId="77777777" w:rsidR="00E45705" w:rsidRPr="001B09E6" w:rsidRDefault="00E45705" w:rsidP="00E45705">
            <w:pPr>
              <w:pStyle w:val="TableCellText"/>
              <w:spacing w:before="0" w:after="0"/>
              <w:ind w:left="0" w:right="0"/>
              <w:rPr>
                <w:lang w:eastAsia="en-AU"/>
              </w:rPr>
            </w:pPr>
            <w:r w:rsidRPr="001B09E6">
              <w:rPr>
                <w:lang w:eastAsia="en-AU"/>
              </w:rPr>
              <w:t> </w:t>
            </w:r>
          </w:p>
        </w:tc>
        <w:tc>
          <w:tcPr>
            <w:tcW w:w="1245" w:type="dxa"/>
            <w:tcBorders>
              <w:top w:val="nil"/>
              <w:left w:val="nil"/>
              <w:bottom w:val="single" w:sz="4" w:space="0" w:color="auto"/>
              <w:right w:val="nil"/>
            </w:tcBorders>
            <w:shd w:val="clear" w:color="auto" w:fill="auto"/>
            <w:noWrap/>
            <w:vAlign w:val="bottom"/>
            <w:hideMark/>
          </w:tcPr>
          <w:p w14:paraId="186F32B5" w14:textId="77777777" w:rsidR="00E45705" w:rsidRPr="001B09E6" w:rsidRDefault="00E45705" w:rsidP="00E45705">
            <w:pPr>
              <w:pStyle w:val="TableCellText"/>
              <w:spacing w:before="0" w:after="0"/>
              <w:ind w:left="0" w:right="0"/>
              <w:rPr>
                <w:lang w:eastAsia="en-AU"/>
              </w:rPr>
            </w:pPr>
            <w:r w:rsidRPr="001B09E6">
              <w:rPr>
                <w:lang w:eastAsia="en-AU"/>
              </w:rPr>
              <w:t>20 to 24 years</w:t>
            </w:r>
          </w:p>
        </w:tc>
        <w:tc>
          <w:tcPr>
            <w:tcW w:w="1199" w:type="dxa"/>
            <w:tcBorders>
              <w:top w:val="nil"/>
              <w:left w:val="nil"/>
              <w:bottom w:val="single" w:sz="4" w:space="0" w:color="auto"/>
              <w:right w:val="nil"/>
            </w:tcBorders>
            <w:shd w:val="clear" w:color="auto" w:fill="auto"/>
            <w:noWrap/>
            <w:vAlign w:val="bottom"/>
            <w:hideMark/>
          </w:tcPr>
          <w:p w14:paraId="7CF903D2" w14:textId="77777777" w:rsidR="00E45705" w:rsidRPr="001B09E6" w:rsidRDefault="00E45705" w:rsidP="00E45705">
            <w:pPr>
              <w:pStyle w:val="TableCellText"/>
              <w:spacing w:before="0" w:after="0"/>
              <w:ind w:left="0" w:right="0"/>
              <w:jc w:val="center"/>
            </w:pPr>
            <w:r w:rsidRPr="001B09E6">
              <w:t>3.5</w:t>
            </w:r>
          </w:p>
        </w:tc>
        <w:tc>
          <w:tcPr>
            <w:tcW w:w="1199" w:type="dxa"/>
            <w:tcBorders>
              <w:top w:val="nil"/>
              <w:left w:val="nil"/>
              <w:bottom w:val="single" w:sz="4" w:space="0" w:color="auto"/>
              <w:right w:val="nil"/>
            </w:tcBorders>
            <w:shd w:val="clear" w:color="auto" w:fill="auto"/>
            <w:noWrap/>
            <w:vAlign w:val="bottom"/>
            <w:hideMark/>
          </w:tcPr>
          <w:p w14:paraId="781486B9" w14:textId="77777777" w:rsidR="00E45705" w:rsidRPr="001B09E6" w:rsidRDefault="00E45705" w:rsidP="00E45705">
            <w:pPr>
              <w:pStyle w:val="TableCellText"/>
              <w:spacing w:before="0" w:after="0"/>
              <w:ind w:left="0" w:right="0"/>
              <w:jc w:val="center"/>
            </w:pPr>
            <w:r w:rsidRPr="001B09E6">
              <w:t>3.0</w:t>
            </w:r>
          </w:p>
        </w:tc>
        <w:tc>
          <w:tcPr>
            <w:tcW w:w="1199" w:type="dxa"/>
            <w:tcBorders>
              <w:top w:val="nil"/>
              <w:left w:val="nil"/>
              <w:bottom w:val="single" w:sz="4" w:space="0" w:color="auto"/>
              <w:right w:val="nil"/>
            </w:tcBorders>
            <w:shd w:val="clear" w:color="auto" w:fill="auto"/>
            <w:noWrap/>
            <w:vAlign w:val="bottom"/>
            <w:hideMark/>
          </w:tcPr>
          <w:p w14:paraId="468155BA" w14:textId="77777777" w:rsidR="00E45705" w:rsidRPr="001B09E6" w:rsidRDefault="00E45705" w:rsidP="00E45705">
            <w:pPr>
              <w:pStyle w:val="TableCellText"/>
              <w:spacing w:before="0" w:after="0"/>
              <w:ind w:left="0" w:right="0"/>
              <w:jc w:val="center"/>
            </w:pPr>
            <w:r w:rsidRPr="001B09E6">
              <w:t>2.8</w:t>
            </w:r>
          </w:p>
        </w:tc>
        <w:tc>
          <w:tcPr>
            <w:tcW w:w="1199" w:type="dxa"/>
            <w:tcBorders>
              <w:top w:val="nil"/>
              <w:left w:val="nil"/>
              <w:bottom w:val="single" w:sz="4" w:space="0" w:color="auto"/>
              <w:right w:val="nil"/>
            </w:tcBorders>
            <w:shd w:val="clear" w:color="auto" w:fill="auto"/>
            <w:noWrap/>
            <w:vAlign w:val="bottom"/>
            <w:hideMark/>
          </w:tcPr>
          <w:p w14:paraId="6AC29769" w14:textId="77777777" w:rsidR="00E45705" w:rsidRPr="001B09E6" w:rsidRDefault="00E45705" w:rsidP="00E45705">
            <w:pPr>
              <w:pStyle w:val="TableCellText"/>
              <w:spacing w:before="0" w:after="0"/>
              <w:ind w:left="0" w:right="0"/>
              <w:jc w:val="center"/>
            </w:pPr>
            <w:r w:rsidRPr="001B09E6">
              <w:t>2.9</w:t>
            </w:r>
          </w:p>
        </w:tc>
        <w:tc>
          <w:tcPr>
            <w:tcW w:w="1199" w:type="dxa"/>
            <w:tcBorders>
              <w:top w:val="nil"/>
              <w:left w:val="nil"/>
              <w:bottom w:val="single" w:sz="4" w:space="0" w:color="auto"/>
              <w:right w:val="nil"/>
            </w:tcBorders>
            <w:shd w:val="clear" w:color="auto" w:fill="auto"/>
            <w:noWrap/>
            <w:vAlign w:val="bottom"/>
            <w:hideMark/>
          </w:tcPr>
          <w:p w14:paraId="463784FD" w14:textId="77777777" w:rsidR="00E45705" w:rsidRPr="001B09E6" w:rsidRDefault="00E45705" w:rsidP="00E45705">
            <w:pPr>
              <w:pStyle w:val="TableCellText"/>
              <w:spacing w:before="0" w:after="0"/>
              <w:ind w:left="0" w:right="0"/>
              <w:jc w:val="center"/>
            </w:pPr>
            <w:r w:rsidRPr="001B09E6">
              <w:t>2.8</w:t>
            </w:r>
          </w:p>
        </w:tc>
        <w:tc>
          <w:tcPr>
            <w:tcW w:w="1199" w:type="dxa"/>
            <w:tcBorders>
              <w:top w:val="nil"/>
              <w:left w:val="nil"/>
              <w:bottom w:val="single" w:sz="4" w:space="0" w:color="auto"/>
              <w:right w:val="nil"/>
            </w:tcBorders>
            <w:shd w:val="clear" w:color="auto" w:fill="auto"/>
            <w:noWrap/>
            <w:vAlign w:val="bottom"/>
            <w:hideMark/>
          </w:tcPr>
          <w:p w14:paraId="5AF5C2B0" w14:textId="77777777" w:rsidR="00E45705" w:rsidRPr="001B09E6" w:rsidRDefault="00E45705" w:rsidP="00E45705">
            <w:pPr>
              <w:pStyle w:val="TableCellText"/>
              <w:spacing w:before="0" w:after="0"/>
              <w:ind w:left="0" w:right="0"/>
              <w:jc w:val="center"/>
            </w:pPr>
            <w:r w:rsidRPr="001B09E6">
              <w:t>3.1</w:t>
            </w:r>
          </w:p>
        </w:tc>
        <w:tc>
          <w:tcPr>
            <w:tcW w:w="1199" w:type="dxa"/>
            <w:tcBorders>
              <w:top w:val="nil"/>
              <w:left w:val="nil"/>
              <w:bottom w:val="single" w:sz="4" w:space="0" w:color="auto"/>
              <w:right w:val="nil"/>
            </w:tcBorders>
            <w:shd w:val="clear" w:color="auto" w:fill="auto"/>
            <w:noWrap/>
            <w:vAlign w:val="bottom"/>
            <w:hideMark/>
          </w:tcPr>
          <w:p w14:paraId="213ABF8B" w14:textId="77777777" w:rsidR="00E45705" w:rsidRPr="001B09E6" w:rsidRDefault="00E45705" w:rsidP="00E45705">
            <w:pPr>
              <w:pStyle w:val="TableCellText"/>
              <w:spacing w:before="0" w:after="0"/>
              <w:ind w:left="0" w:right="0"/>
              <w:jc w:val="center"/>
            </w:pPr>
            <w:r w:rsidRPr="001B09E6">
              <w:t>3.4</w:t>
            </w:r>
          </w:p>
        </w:tc>
        <w:tc>
          <w:tcPr>
            <w:tcW w:w="1199" w:type="dxa"/>
            <w:tcBorders>
              <w:top w:val="nil"/>
              <w:left w:val="nil"/>
              <w:bottom w:val="single" w:sz="4" w:space="0" w:color="auto"/>
              <w:right w:val="nil"/>
            </w:tcBorders>
            <w:shd w:val="clear" w:color="auto" w:fill="auto"/>
            <w:noWrap/>
            <w:vAlign w:val="bottom"/>
            <w:hideMark/>
          </w:tcPr>
          <w:p w14:paraId="65D2F6A9" w14:textId="77777777" w:rsidR="00E45705" w:rsidRPr="001B09E6" w:rsidRDefault="00E45705" w:rsidP="00E45705">
            <w:pPr>
              <w:pStyle w:val="TableCellText"/>
              <w:spacing w:before="0" w:after="0"/>
              <w:ind w:left="0" w:right="0"/>
              <w:jc w:val="center"/>
            </w:pPr>
            <w:r w:rsidRPr="001B09E6">
              <w:t>3.8</w:t>
            </w:r>
          </w:p>
        </w:tc>
        <w:tc>
          <w:tcPr>
            <w:tcW w:w="1199" w:type="dxa"/>
            <w:tcBorders>
              <w:top w:val="nil"/>
              <w:left w:val="nil"/>
              <w:bottom w:val="single" w:sz="4" w:space="0" w:color="auto"/>
              <w:right w:val="nil"/>
            </w:tcBorders>
            <w:vAlign w:val="bottom"/>
          </w:tcPr>
          <w:p w14:paraId="694D8FF4" w14:textId="77777777" w:rsidR="00E45705" w:rsidRPr="001B09E6" w:rsidRDefault="00E45705" w:rsidP="00E45705">
            <w:pPr>
              <w:pStyle w:val="TableCellText"/>
              <w:spacing w:before="0" w:after="0"/>
              <w:ind w:left="0" w:right="0"/>
              <w:jc w:val="center"/>
            </w:pPr>
            <w:r w:rsidRPr="001B09E6">
              <w:t>4.7</w:t>
            </w:r>
          </w:p>
        </w:tc>
      </w:tr>
      <w:tr w:rsidR="00E45705" w:rsidRPr="001B09E6" w14:paraId="499567E2" w14:textId="77777777" w:rsidTr="00E45705">
        <w:trPr>
          <w:trHeight w:val="225"/>
        </w:trPr>
        <w:tc>
          <w:tcPr>
            <w:tcW w:w="1714" w:type="dxa"/>
            <w:tcBorders>
              <w:top w:val="nil"/>
              <w:left w:val="nil"/>
              <w:bottom w:val="nil"/>
              <w:right w:val="nil"/>
            </w:tcBorders>
            <w:shd w:val="clear" w:color="auto" w:fill="auto"/>
            <w:noWrap/>
            <w:vAlign w:val="bottom"/>
            <w:hideMark/>
          </w:tcPr>
          <w:p w14:paraId="749A3A18" w14:textId="77777777" w:rsidR="00E45705" w:rsidRPr="001B09E6" w:rsidRDefault="00E45705" w:rsidP="00E45705">
            <w:pPr>
              <w:pStyle w:val="TableCellText"/>
              <w:spacing w:before="0" w:after="0"/>
              <w:ind w:left="0" w:right="0"/>
              <w:rPr>
                <w:lang w:eastAsia="en-AU"/>
              </w:rPr>
            </w:pPr>
            <w:r w:rsidRPr="001B09E6">
              <w:rPr>
                <w:lang w:eastAsia="en-AU"/>
              </w:rPr>
              <w:t>Others</w:t>
            </w:r>
          </w:p>
        </w:tc>
        <w:tc>
          <w:tcPr>
            <w:tcW w:w="1245" w:type="dxa"/>
            <w:tcBorders>
              <w:top w:val="nil"/>
              <w:left w:val="nil"/>
              <w:bottom w:val="nil"/>
              <w:right w:val="nil"/>
            </w:tcBorders>
            <w:shd w:val="clear" w:color="auto" w:fill="auto"/>
            <w:noWrap/>
            <w:vAlign w:val="bottom"/>
            <w:hideMark/>
          </w:tcPr>
          <w:p w14:paraId="5BB3908C" w14:textId="77777777" w:rsidR="00E45705" w:rsidRPr="001B09E6" w:rsidRDefault="00E45705" w:rsidP="00E45705">
            <w:pPr>
              <w:pStyle w:val="TableCellText"/>
              <w:spacing w:before="0" w:after="0"/>
              <w:ind w:left="0" w:right="0"/>
              <w:rPr>
                <w:lang w:eastAsia="en-AU"/>
              </w:rPr>
            </w:pPr>
            <w:r w:rsidRPr="001B09E6">
              <w:rPr>
                <w:lang w:eastAsia="en-AU"/>
              </w:rPr>
              <w:t>15 to 19 years</w:t>
            </w:r>
          </w:p>
        </w:tc>
        <w:tc>
          <w:tcPr>
            <w:tcW w:w="1199" w:type="dxa"/>
            <w:tcBorders>
              <w:top w:val="nil"/>
              <w:left w:val="nil"/>
              <w:bottom w:val="nil"/>
              <w:right w:val="nil"/>
            </w:tcBorders>
            <w:shd w:val="clear" w:color="auto" w:fill="auto"/>
            <w:noWrap/>
            <w:vAlign w:val="bottom"/>
            <w:hideMark/>
          </w:tcPr>
          <w:p w14:paraId="12BD1F02" w14:textId="77777777" w:rsidR="00E45705" w:rsidRPr="001B09E6" w:rsidRDefault="00E45705" w:rsidP="00E45705">
            <w:pPr>
              <w:pStyle w:val="TableCellText"/>
              <w:spacing w:before="0" w:after="0"/>
              <w:ind w:left="0" w:right="0"/>
              <w:jc w:val="center"/>
            </w:pPr>
            <w:r w:rsidRPr="001B09E6">
              <w:t>3.5</w:t>
            </w:r>
          </w:p>
        </w:tc>
        <w:tc>
          <w:tcPr>
            <w:tcW w:w="1199" w:type="dxa"/>
            <w:tcBorders>
              <w:top w:val="nil"/>
              <w:left w:val="nil"/>
              <w:bottom w:val="nil"/>
              <w:right w:val="nil"/>
            </w:tcBorders>
            <w:shd w:val="clear" w:color="auto" w:fill="auto"/>
            <w:noWrap/>
            <w:vAlign w:val="bottom"/>
            <w:hideMark/>
          </w:tcPr>
          <w:p w14:paraId="7C5B4286" w14:textId="77777777" w:rsidR="00E45705" w:rsidRPr="001B09E6" w:rsidRDefault="00E45705" w:rsidP="00E45705">
            <w:pPr>
              <w:pStyle w:val="TableCellText"/>
              <w:spacing w:before="0" w:after="0"/>
              <w:ind w:left="0" w:right="0"/>
              <w:jc w:val="center"/>
            </w:pPr>
            <w:r w:rsidRPr="001B09E6">
              <w:t>3.4</w:t>
            </w:r>
          </w:p>
        </w:tc>
        <w:tc>
          <w:tcPr>
            <w:tcW w:w="1199" w:type="dxa"/>
            <w:tcBorders>
              <w:top w:val="nil"/>
              <w:left w:val="nil"/>
              <w:bottom w:val="nil"/>
              <w:right w:val="nil"/>
            </w:tcBorders>
            <w:shd w:val="clear" w:color="auto" w:fill="auto"/>
            <w:noWrap/>
            <w:vAlign w:val="bottom"/>
            <w:hideMark/>
          </w:tcPr>
          <w:p w14:paraId="541414BA" w14:textId="77777777" w:rsidR="00E45705" w:rsidRPr="001B09E6" w:rsidRDefault="00E45705" w:rsidP="00E45705">
            <w:pPr>
              <w:pStyle w:val="TableCellText"/>
              <w:spacing w:before="0" w:after="0"/>
              <w:ind w:left="0" w:right="0"/>
              <w:jc w:val="center"/>
            </w:pPr>
            <w:r w:rsidRPr="001B09E6">
              <w:t>3.5</w:t>
            </w:r>
          </w:p>
        </w:tc>
        <w:tc>
          <w:tcPr>
            <w:tcW w:w="1199" w:type="dxa"/>
            <w:tcBorders>
              <w:top w:val="nil"/>
              <w:left w:val="nil"/>
              <w:bottom w:val="nil"/>
              <w:right w:val="nil"/>
            </w:tcBorders>
            <w:shd w:val="clear" w:color="auto" w:fill="auto"/>
            <w:noWrap/>
            <w:vAlign w:val="bottom"/>
            <w:hideMark/>
          </w:tcPr>
          <w:p w14:paraId="216BFBC3" w14:textId="77777777" w:rsidR="00E45705" w:rsidRPr="001B09E6" w:rsidRDefault="00E45705" w:rsidP="00E45705">
            <w:pPr>
              <w:pStyle w:val="TableCellText"/>
              <w:spacing w:before="0" w:after="0"/>
              <w:ind w:left="0" w:right="0"/>
              <w:jc w:val="center"/>
            </w:pPr>
            <w:r w:rsidRPr="001B09E6">
              <w:t>3.6</w:t>
            </w:r>
          </w:p>
        </w:tc>
        <w:tc>
          <w:tcPr>
            <w:tcW w:w="1199" w:type="dxa"/>
            <w:tcBorders>
              <w:top w:val="nil"/>
              <w:left w:val="nil"/>
              <w:bottom w:val="nil"/>
              <w:right w:val="nil"/>
            </w:tcBorders>
            <w:shd w:val="clear" w:color="auto" w:fill="auto"/>
            <w:noWrap/>
            <w:vAlign w:val="bottom"/>
            <w:hideMark/>
          </w:tcPr>
          <w:p w14:paraId="46A639A9" w14:textId="77777777" w:rsidR="00E45705" w:rsidRPr="001B09E6" w:rsidRDefault="00E45705" w:rsidP="00E45705">
            <w:pPr>
              <w:pStyle w:val="TableCellText"/>
              <w:spacing w:before="0" w:after="0"/>
              <w:ind w:left="0" w:right="0"/>
              <w:jc w:val="center"/>
            </w:pPr>
            <w:r w:rsidRPr="001B09E6">
              <w:t>3.4</w:t>
            </w:r>
          </w:p>
        </w:tc>
        <w:tc>
          <w:tcPr>
            <w:tcW w:w="1199" w:type="dxa"/>
            <w:tcBorders>
              <w:top w:val="nil"/>
              <w:left w:val="nil"/>
              <w:bottom w:val="nil"/>
              <w:right w:val="nil"/>
            </w:tcBorders>
            <w:shd w:val="clear" w:color="auto" w:fill="auto"/>
            <w:noWrap/>
            <w:vAlign w:val="bottom"/>
            <w:hideMark/>
          </w:tcPr>
          <w:p w14:paraId="71FEEFB8" w14:textId="77777777" w:rsidR="00E45705" w:rsidRPr="001B09E6" w:rsidRDefault="00E45705" w:rsidP="00E45705">
            <w:pPr>
              <w:pStyle w:val="TableCellText"/>
              <w:spacing w:before="0" w:after="0"/>
              <w:ind w:left="0" w:right="0"/>
              <w:jc w:val="center"/>
            </w:pPr>
            <w:r w:rsidRPr="001B09E6">
              <w:t>3.3</w:t>
            </w:r>
          </w:p>
        </w:tc>
        <w:tc>
          <w:tcPr>
            <w:tcW w:w="1199" w:type="dxa"/>
            <w:tcBorders>
              <w:top w:val="nil"/>
              <w:left w:val="nil"/>
              <w:bottom w:val="nil"/>
              <w:right w:val="nil"/>
            </w:tcBorders>
            <w:shd w:val="clear" w:color="auto" w:fill="auto"/>
            <w:noWrap/>
            <w:vAlign w:val="bottom"/>
            <w:hideMark/>
          </w:tcPr>
          <w:p w14:paraId="5C3F5230" w14:textId="77777777" w:rsidR="00E45705" w:rsidRPr="001B09E6" w:rsidRDefault="00E45705" w:rsidP="00E45705">
            <w:pPr>
              <w:pStyle w:val="TableCellText"/>
              <w:spacing w:before="0" w:after="0"/>
              <w:ind w:left="0" w:right="0"/>
              <w:jc w:val="center"/>
            </w:pPr>
            <w:r w:rsidRPr="001B09E6">
              <w:t>3.3</w:t>
            </w:r>
          </w:p>
        </w:tc>
        <w:tc>
          <w:tcPr>
            <w:tcW w:w="1199" w:type="dxa"/>
            <w:tcBorders>
              <w:top w:val="nil"/>
              <w:left w:val="nil"/>
              <w:bottom w:val="nil"/>
              <w:right w:val="nil"/>
            </w:tcBorders>
            <w:shd w:val="clear" w:color="auto" w:fill="auto"/>
            <w:noWrap/>
            <w:vAlign w:val="bottom"/>
            <w:hideMark/>
          </w:tcPr>
          <w:p w14:paraId="0440EE75" w14:textId="77777777" w:rsidR="00E45705" w:rsidRPr="001B09E6" w:rsidRDefault="00E45705" w:rsidP="00E45705">
            <w:pPr>
              <w:pStyle w:val="TableCellText"/>
              <w:spacing w:before="0" w:after="0"/>
              <w:ind w:left="0" w:right="0"/>
              <w:jc w:val="center"/>
            </w:pPr>
            <w:r w:rsidRPr="001B09E6">
              <w:t>3.8</w:t>
            </w:r>
          </w:p>
        </w:tc>
        <w:tc>
          <w:tcPr>
            <w:tcW w:w="1199" w:type="dxa"/>
            <w:tcBorders>
              <w:top w:val="nil"/>
              <w:left w:val="nil"/>
              <w:bottom w:val="nil"/>
              <w:right w:val="nil"/>
            </w:tcBorders>
            <w:vAlign w:val="bottom"/>
          </w:tcPr>
          <w:p w14:paraId="4A08AB03" w14:textId="77777777" w:rsidR="00E45705" w:rsidRPr="001B09E6" w:rsidRDefault="00E45705" w:rsidP="00E45705">
            <w:pPr>
              <w:pStyle w:val="TableCellText"/>
              <w:spacing w:before="0" w:after="0"/>
              <w:ind w:left="0" w:right="0"/>
              <w:jc w:val="center"/>
            </w:pPr>
            <w:r w:rsidRPr="001B09E6">
              <w:t>4.2</w:t>
            </w:r>
          </w:p>
        </w:tc>
      </w:tr>
      <w:tr w:rsidR="00E45705" w:rsidRPr="001B09E6" w14:paraId="54E68B81" w14:textId="77777777" w:rsidTr="00E45705">
        <w:trPr>
          <w:trHeight w:val="225"/>
        </w:trPr>
        <w:tc>
          <w:tcPr>
            <w:tcW w:w="1714" w:type="dxa"/>
            <w:tcBorders>
              <w:top w:val="nil"/>
              <w:left w:val="nil"/>
              <w:bottom w:val="single" w:sz="4" w:space="0" w:color="auto"/>
              <w:right w:val="nil"/>
            </w:tcBorders>
            <w:shd w:val="clear" w:color="auto" w:fill="auto"/>
            <w:noWrap/>
            <w:vAlign w:val="bottom"/>
            <w:hideMark/>
          </w:tcPr>
          <w:p w14:paraId="03BF221F" w14:textId="77777777" w:rsidR="00E45705" w:rsidRPr="001B09E6" w:rsidRDefault="00E45705" w:rsidP="00E45705">
            <w:pPr>
              <w:pStyle w:val="TableCellText"/>
              <w:spacing w:before="0" w:after="0"/>
              <w:ind w:left="0" w:right="0"/>
              <w:rPr>
                <w:lang w:eastAsia="en-AU"/>
              </w:rPr>
            </w:pPr>
            <w:r w:rsidRPr="001B09E6">
              <w:rPr>
                <w:lang w:eastAsia="en-AU"/>
              </w:rPr>
              <w:t> </w:t>
            </w:r>
          </w:p>
        </w:tc>
        <w:tc>
          <w:tcPr>
            <w:tcW w:w="1245" w:type="dxa"/>
            <w:tcBorders>
              <w:top w:val="nil"/>
              <w:left w:val="nil"/>
              <w:bottom w:val="single" w:sz="4" w:space="0" w:color="auto"/>
              <w:right w:val="nil"/>
            </w:tcBorders>
            <w:shd w:val="clear" w:color="auto" w:fill="auto"/>
            <w:noWrap/>
            <w:vAlign w:val="bottom"/>
            <w:hideMark/>
          </w:tcPr>
          <w:p w14:paraId="568CAAA5" w14:textId="77777777" w:rsidR="00E45705" w:rsidRPr="001B09E6" w:rsidRDefault="00E45705" w:rsidP="00E45705">
            <w:pPr>
              <w:pStyle w:val="TableCellText"/>
              <w:spacing w:before="0" w:after="0"/>
              <w:ind w:left="0" w:right="0"/>
              <w:rPr>
                <w:lang w:eastAsia="en-AU"/>
              </w:rPr>
            </w:pPr>
            <w:r w:rsidRPr="001B09E6">
              <w:rPr>
                <w:lang w:eastAsia="en-AU"/>
              </w:rPr>
              <w:t>20 to 24 years</w:t>
            </w:r>
          </w:p>
        </w:tc>
        <w:tc>
          <w:tcPr>
            <w:tcW w:w="1199" w:type="dxa"/>
            <w:tcBorders>
              <w:top w:val="nil"/>
              <w:left w:val="nil"/>
              <w:bottom w:val="single" w:sz="4" w:space="0" w:color="auto"/>
              <w:right w:val="nil"/>
            </w:tcBorders>
            <w:shd w:val="clear" w:color="auto" w:fill="auto"/>
            <w:noWrap/>
            <w:vAlign w:val="bottom"/>
            <w:hideMark/>
          </w:tcPr>
          <w:p w14:paraId="6D7B5C4C" w14:textId="77777777" w:rsidR="00E45705" w:rsidRPr="001B09E6" w:rsidRDefault="00E45705" w:rsidP="00E45705">
            <w:pPr>
              <w:pStyle w:val="TableCellText"/>
              <w:spacing w:before="0" w:after="0"/>
              <w:ind w:left="0" w:right="0"/>
              <w:jc w:val="center"/>
            </w:pPr>
            <w:r w:rsidRPr="001B09E6">
              <w:t>4.4</w:t>
            </w:r>
          </w:p>
        </w:tc>
        <w:tc>
          <w:tcPr>
            <w:tcW w:w="1199" w:type="dxa"/>
            <w:tcBorders>
              <w:top w:val="nil"/>
              <w:left w:val="nil"/>
              <w:bottom w:val="single" w:sz="4" w:space="0" w:color="auto"/>
              <w:right w:val="nil"/>
            </w:tcBorders>
            <w:shd w:val="clear" w:color="auto" w:fill="auto"/>
            <w:noWrap/>
            <w:vAlign w:val="bottom"/>
            <w:hideMark/>
          </w:tcPr>
          <w:p w14:paraId="3090C014" w14:textId="77777777" w:rsidR="00E45705" w:rsidRPr="001B09E6" w:rsidRDefault="00E45705" w:rsidP="00E45705">
            <w:pPr>
              <w:pStyle w:val="TableCellText"/>
              <w:spacing w:before="0" w:after="0"/>
              <w:ind w:left="0" w:right="0"/>
              <w:jc w:val="center"/>
            </w:pPr>
            <w:r w:rsidRPr="001B09E6">
              <w:t>4.3</w:t>
            </w:r>
          </w:p>
        </w:tc>
        <w:tc>
          <w:tcPr>
            <w:tcW w:w="1199" w:type="dxa"/>
            <w:tcBorders>
              <w:top w:val="nil"/>
              <w:left w:val="nil"/>
              <w:bottom w:val="single" w:sz="4" w:space="0" w:color="auto"/>
              <w:right w:val="nil"/>
            </w:tcBorders>
            <w:shd w:val="clear" w:color="auto" w:fill="auto"/>
            <w:noWrap/>
            <w:vAlign w:val="bottom"/>
            <w:hideMark/>
          </w:tcPr>
          <w:p w14:paraId="3C258B78" w14:textId="77777777" w:rsidR="00E45705" w:rsidRPr="001B09E6" w:rsidRDefault="00E45705" w:rsidP="00E45705">
            <w:pPr>
              <w:pStyle w:val="TableCellText"/>
              <w:spacing w:before="0" w:after="0"/>
              <w:ind w:left="0" w:right="0"/>
              <w:jc w:val="center"/>
            </w:pPr>
            <w:r w:rsidRPr="001B09E6">
              <w:t>4.3</w:t>
            </w:r>
          </w:p>
        </w:tc>
        <w:tc>
          <w:tcPr>
            <w:tcW w:w="1199" w:type="dxa"/>
            <w:tcBorders>
              <w:top w:val="nil"/>
              <w:left w:val="nil"/>
              <w:bottom w:val="single" w:sz="4" w:space="0" w:color="auto"/>
              <w:right w:val="nil"/>
            </w:tcBorders>
            <w:shd w:val="clear" w:color="auto" w:fill="auto"/>
            <w:noWrap/>
            <w:vAlign w:val="bottom"/>
            <w:hideMark/>
          </w:tcPr>
          <w:p w14:paraId="07644A06" w14:textId="77777777" w:rsidR="00E45705" w:rsidRPr="001B09E6" w:rsidRDefault="00E45705" w:rsidP="00E45705">
            <w:pPr>
              <w:pStyle w:val="TableCellText"/>
              <w:spacing w:before="0" w:after="0"/>
              <w:ind w:left="0" w:right="0"/>
              <w:jc w:val="center"/>
            </w:pPr>
            <w:r w:rsidRPr="001B09E6">
              <w:t>4.6</w:t>
            </w:r>
          </w:p>
        </w:tc>
        <w:tc>
          <w:tcPr>
            <w:tcW w:w="1199" w:type="dxa"/>
            <w:tcBorders>
              <w:top w:val="nil"/>
              <w:left w:val="nil"/>
              <w:bottom w:val="single" w:sz="4" w:space="0" w:color="auto"/>
              <w:right w:val="nil"/>
            </w:tcBorders>
            <w:shd w:val="clear" w:color="auto" w:fill="auto"/>
            <w:noWrap/>
            <w:vAlign w:val="bottom"/>
            <w:hideMark/>
          </w:tcPr>
          <w:p w14:paraId="2D7869F9" w14:textId="77777777" w:rsidR="00E45705" w:rsidRPr="001B09E6" w:rsidRDefault="00E45705" w:rsidP="00E45705">
            <w:pPr>
              <w:pStyle w:val="TableCellText"/>
              <w:spacing w:before="0" w:after="0"/>
              <w:ind w:left="0" w:right="0"/>
              <w:jc w:val="center"/>
            </w:pPr>
            <w:r w:rsidRPr="001B09E6">
              <w:t>4.5</w:t>
            </w:r>
          </w:p>
        </w:tc>
        <w:tc>
          <w:tcPr>
            <w:tcW w:w="1199" w:type="dxa"/>
            <w:tcBorders>
              <w:top w:val="nil"/>
              <w:left w:val="nil"/>
              <w:bottom w:val="single" w:sz="4" w:space="0" w:color="auto"/>
              <w:right w:val="nil"/>
            </w:tcBorders>
            <w:shd w:val="clear" w:color="auto" w:fill="auto"/>
            <w:noWrap/>
            <w:vAlign w:val="bottom"/>
            <w:hideMark/>
          </w:tcPr>
          <w:p w14:paraId="7F864C38" w14:textId="77777777" w:rsidR="00E45705" w:rsidRPr="001B09E6" w:rsidRDefault="00E45705" w:rsidP="00E45705">
            <w:pPr>
              <w:pStyle w:val="TableCellText"/>
              <w:spacing w:before="0" w:after="0"/>
              <w:ind w:left="0" w:right="0"/>
              <w:jc w:val="center"/>
            </w:pPr>
            <w:r w:rsidRPr="001B09E6">
              <w:t>4.9</w:t>
            </w:r>
          </w:p>
        </w:tc>
        <w:tc>
          <w:tcPr>
            <w:tcW w:w="1199" w:type="dxa"/>
            <w:tcBorders>
              <w:top w:val="nil"/>
              <w:left w:val="nil"/>
              <w:bottom w:val="single" w:sz="4" w:space="0" w:color="auto"/>
              <w:right w:val="nil"/>
            </w:tcBorders>
            <w:shd w:val="clear" w:color="auto" w:fill="auto"/>
            <w:noWrap/>
            <w:vAlign w:val="bottom"/>
            <w:hideMark/>
          </w:tcPr>
          <w:p w14:paraId="5E270D95" w14:textId="77777777" w:rsidR="00E45705" w:rsidRPr="001B09E6" w:rsidRDefault="00E45705" w:rsidP="00E45705">
            <w:pPr>
              <w:pStyle w:val="TableCellText"/>
              <w:spacing w:before="0" w:after="0"/>
              <w:ind w:left="0" w:right="0"/>
              <w:jc w:val="center"/>
            </w:pPr>
            <w:r w:rsidRPr="001B09E6">
              <w:t>5.0</w:t>
            </w:r>
          </w:p>
        </w:tc>
        <w:tc>
          <w:tcPr>
            <w:tcW w:w="1199" w:type="dxa"/>
            <w:tcBorders>
              <w:top w:val="nil"/>
              <w:left w:val="nil"/>
              <w:bottom w:val="single" w:sz="4" w:space="0" w:color="auto"/>
              <w:right w:val="nil"/>
            </w:tcBorders>
            <w:shd w:val="clear" w:color="auto" w:fill="auto"/>
            <w:noWrap/>
            <w:vAlign w:val="bottom"/>
            <w:hideMark/>
          </w:tcPr>
          <w:p w14:paraId="1B40F61B" w14:textId="77777777" w:rsidR="00E45705" w:rsidRPr="001B09E6" w:rsidRDefault="00E45705" w:rsidP="00E45705">
            <w:pPr>
              <w:pStyle w:val="TableCellText"/>
              <w:spacing w:before="0" w:after="0"/>
              <w:ind w:left="0" w:right="0"/>
              <w:jc w:val="center"/>
            </w:pPr>
            <w:r w:rsidRPr="001B09E6">
              <w:t>5.3</w:t>
            </w:r>
          </w:p>
        </w:tc>
        <w:tc>
          <w:tcPr>
            <w:tcW w:w="1199" w:type="dxa"/>
            <w:tcBorders>
              <w:top w:val="nil"/>
              <w:left w:val="nil"/>
              <w:bottom w:val="single" w:sz="4" w:space="0" w:color="auto"/>
              <w:right w:val="nil"/>
            </w:tcBorders>
            <w:vAlign w:val="bottom"/>
          </w:tcPr>
          <w:p w14:paraId="262E2FA5" w14:textId="77777777" w:rsidR="00E45705" w:rsidRPr="001B09E6" w:rsidRDefault="00E45705" w:rsidP="00E45705">
            <w:pPr>
              <w:pStyle w:val="TableCellText"/>
              <w:spacing w:before="0" w:after="0"/>
              <w:ind w:left="0" w:right="0"/>
              <w:jc w:val="center"/>
            </w:pPr>
            <w:r w:rsidRPr="001B09E6">
              <w:t>5.7</w:t>
            </w:r>
          </w:p>
        </w:tc>
      </w:tr>
      <w:tr w:rsidR="00E45705" w:rsidRPr="001B09E6" w14:paraId="5750B3B3" w14:textId="77777777" w:rsidTr="00E45705">
        <w:trPr>
          <w:trHeight w:val="225"/>
        </w:trPr>
        <w:tc>
          <w:tcPr>
            <w:tcW w:w="12551" w:type="dxa"/>
            <w:gridSpan w:val="10"/>
            <w:tcBorders>
              <w:top w:val="nil"/>
              <w:left w:val="nil"/>
              <w:bottom w:val="nil"/>
              <w:right w:val="nil"/>
            </w:tcBorders>
            <w:shd w:val="clear" w:color="auto" w:fill="auto"/>
            <w:noWrap/>
            <w:vAlign w:val="bottom"/>
            <w:hideMark/>
          </w:tcPr>
          <w:p w14:paraId="2B82C767" w14:textId="77777777" w:rsidR="00E45705" w:rsidRPr="001B09E6" w:rsidRDefault="00E45705" w:rsidP="00E45705">
            <w:pPr>
              <w:pStyle w:val="Tablenote"/>
              <w:rPr>
                <w:lang w:eastAsia="en-AU"/>
              </w:rPr>
            </w:pPr>
            <w:r w:rsidRPr="001B09E6">
              <w:rPr>
                <w:lang w:eastAsia="en-AU"/>
              </w:rPr>
              <w:t>Note: Others includes those students for whom indigenous status is not known</w:t>
            </w:r>
          </w:p>
        </w:tc>
        <w:tc>
          <w:tcPr>
            <w:tcW w:w="1199" w:type="dxa"/>
            <w:tcBorders>
              <w:top w:val="nil"/>
              <w:left w:val="nil"/>
              <w:bottom w:val="nil"/>
              <w:right w:val="nil"/>
            </w:tcBorders>
          </w:tcPr>
          <w:p w14:paraId="532897B4" w14:textId="77777777" w:rsidR="00E45705" w:rsidRPr="001B09E6" w:rsidRDefault="00E45705" w:rsidP="00E45705">
            <w:pPr>
              <w:pStyle w:val="Tablenote"/>
              <w:rPr>
                <w:lang w:eastAsia="en-AU"/>
              </w:rPr>
            </w:pPr>
          </w:p>
        </w:tc>
      </w:tr>
      <w:tr w:rsidR="00E45705" w:rsidRPr="001B09E6" w14:paraId="6242998D" w14:textId="77777777" w:rsidTr="00E45705">
        <w:trPr>
          <w:trHeight w:val="225"/>
        </w:trPr>
        <w:tc>
          <w:tcPr>
            <w:tcW w:w="12551" w:type="dxa"/>
            <w:gridSpan w:val="10"/>
            <w:tcBorders>
              <w:top w:val="nil"/>
              <w:left w:val="nil"/>
              <w:bottom w:val="nil"/>
              <w:right w:val="nil"/>
            </w:tcBorders>
            <w:shd w:val="clear" w:color="auto" w:fill="auto"/>
            <w:noWrap/>
            <w:vAlign w:val="bottom"/>
            <w:hideMark/>
          </w:tcPr>
          <w:p w14:paraId="4E0AB5AA" w14:textId="77777777" w:rsidR="00E45705" w:rsidRPr="001B09E6" w:rsidRDefault="00E45705" w:rsidP="00E45705">
            <w:pPr>
              <w:pStyle w:val="Tablenote"/>
              <w:rPr>
                <w:lang w:eastAsia="en-AU"/>
              </w:rPr>
            </w:pPr>
            <w:r w:rsidRPr="001B09E6">
              <w:rPr>
                <w:lang w:eastAsia="en-AU"/>
              </w:rPr>
              <w:t>Source: National VET Provider Collection, ABS Population by Age and Sex 3201.0, ABS Experimental Estimates and Projections, Aboriginal and Torres Strait Islanders, Series B</w:t>
            </w:r>
          </w:p>
        </w:tc>
        <w:tc>
          <w:tcPr>
            <w:tcW w:w="1199" w:type="dxa"/>
            <w:tcBorders>
              <w:top w:val="nil"/>
              <w:left w:val="nil"/>
              <w:bottom w:val="nil"/>
              <w:right w:val="nil"/>
            </w:tcBorders>
          </w:tcPr>
          <w:p w14:paraId="0BE81A38" w14:textId="77777777" w:rsidR="00E45705" w:rsidRPr="001B09E6" w:rsidRDefault="00E45705" w:rsidP="00E45705">
            <w:pPr>
              <w:pStyle w:val="Tablenote"/>
              <w:rPr>
                <w:lang w:eastAsia="en-AU"/>
              </w:rPr>
            </w:pPr>
          </w:p>
        </w:tc>
      </w:tr>
    </w:tbl>
    <w:p w14:paraId="3009B3CE" w14:textId="77777777" w:rsidR="00E45705" w:rsidRPr="001B09E6" w:rsidRDefault="00E45705" w:rsidP="00E45705">
      <w:pPr>
        <w:pStyle w:val="Heading2NoNumbering"/>
      </w:pPr>
      <w:bookmarkStart w:id="190" w:name="_Toc192134417"/>
      <w:bookmarkStart w:id="191" w:name="_Toc333919006"/>
      <w:bookmarkStart w:id="192" w:name="_Toc219347273"/>
      <w:r w:rsidRPr="001B09E6">
        <w:t>Attainment – other target groups</w:t>
      </w:r>
      <w:bookmarkEnd w:id="190"/>
      <w:bookmarkEnd w:id="191"/>
      <w:bookmarkEnd w:id="192"/>
    </w:p>
    <w:p w14:paraId="7F43A9CB" w14:textId="77777777" w:rsidR="00E45705" w:rsidRPr="001B09E6" w:rsidRDefault="00E45705" w:rsidP="00E45705">
      <w:pPr>
        <w:pStyle w:val="Heading3NoNumbering"/>
      </w:pPr>
      <w:bookmarkStart w:id="193" w:name="_Toc192134418"/>
      <w:bookmarkStart w:id="194" w:name="_Toc333919007"/>
      <w:r w:rsidRPr="001B09E6">
        <w:t>Table A2.24: VET in Schools attainment, SES disadvantage</w:t>
      </w:r>
      <w:bookmarkEnd w:id="193"/>
      <w:bookmarkEnd w:id="194"/>
    </w:p>
    <w:p w14:paraId="61D5C748" w14:textId="77777777" w:rsidR="00E45705" w:rsidRPr="001B09E6" w:rsidRDefault="00E45705" w:rsidP="00E45705">
      <w:pPr>
        <w:pStyle w:val="TableHeading"/>
        <w:spacing w:before="112"/>
      </w:pPr>
      <w:r w:rsidRPr="001B09E6">
        <w:t>PERCENTAGE OF VET in Schools course completions by 15 to 19 year olds by socio-economic status (SEIFA Index of Relative Socio-economic Disadvantage) as a percentage of total, 2005-9, excluding South Australia and those whose SEIFA quintile is not known</w:t>
      </w:r>
    </w:p>
    <w:tbl>
      <w:tblPr>
        <w:tblW w:w="5000" w:type="pct"/>
        <w:tblLook w:val="04A0" w:firstRow="1" w:lastRow="0" w:firstColumn="1" w:lastColumn="0" w:noHBand="0" w:noVBand="1"/>
        <w:tblCaption w:val="Table A2.24: VET in Schools attainment, SES disadvantage PERCENTAGE OF VET in Schools course completions by 15 to 19 year olds by socio-economic status (SEIFA Index of Relative Socio-economic Disadvantage) as a percentage of total, 2005-9, excluding South Australia and those whose SEIFA quintile is not known "/>
        <w:tblDescription w:val="Table A2.24: VET in Schools attainment, SES disadvantage&#10;PERCENTAGE OF VET in Schools course completions by 15 to 19 year olds by socio-economic status (SEIFA Index of Relative Socio-economic Disadvantage) as a percentage of total, 2005-9, excluding South Australia and those whose SEIFA quintile is not known&#10;"/>
      </w:tblPr>
      <w:tblGrid>
        <w:gridCol w:w="7201"/>
        <w:gridCol w:w="1854"/>
        <w:gridCol w:w="1854"/>
        <w:gridCol w:w="1854"/>
        <w:gridCol w:w="1853"/>
      </w:tblGrid>
      <w:tr w:rsidR="00E45705" w:rsidRPr="001B09E6" w14:paraId="311091DD" w14:textId="77777777" w:rsidTr="00E45705">
        <w:trPr>
          <w:trHeight w:val="300"/>
        </w:trPr>
        <w:tc>
          <w:tcPr>
            <w:tcW w:w="2463" w:type="pct"/>
            <w:tcBorders>
              <w:top w:val="single" w:sz="4" w:space="0" w:color="auto"/>
              <w:left w:val="nil"/>
              <w:bottom w:val="single" w:sz="4" w:space="0" w:color="auto"/>
              <w:right w:val="nil"/>
            </w:tcBorders>
            <w:shd w:val="clear" w:color="auto" w:fill="auto"/>
            <w:noWrap/>
            <w:vAlign w:val="bottom"/>
            <w:hideMark/>
          </w:tcPr>
          <w:p w14:paraId="614AFCC8" w14:textId="77777777" w:rsidR="00E45705" w:rsidRPr="001B09E6" w:rsidRDefault="00E45705" w:rsidP="00E45705">
            <w:pPr>
              <w:pStyle w:val="TableColumnHeading"/>
              <w:spacing w:before="0" w:after="0"/>
              <w:ind w:left="0" w:right="0"/>
              <w:rPr>
                <w:lang w:eastAsia="en-AU"/>
              </w:rPr>
            </w:pPr>
            <w:r w:rsidRPr="001B09E6">
              <w:rPr>
                <w:lang w:eastAsia="en-AU"/>
              </w:rPr>
              <w:t> </w:t>
            </w:r>
          </w:p>
        </w:tc>
        <w:tc>
          <w:tcPr>
            <w:tcW w:w="634" w:type="pct"/>
            <w:tcBorders>
              <w:top w:val="single" w:sz="4" w:space="0" w:color="auto"/>
              <w:left w:val="nil"/>
              <w:bottom w:val="single" w:sz="4" w:space="0" w:color="auto"/>
              <w:right w:val="nil"/>
            </w:tcBorders>
            <w:shd w:val="clear" w:color="auto" w:fill="auto"/>
            <w:noWrap/>
            <w:vAlign w:val="bottom"/>
            <w:hideMark/>
          </w:tcPr>
          <w:p w14:paraId="14D06684" w14:textId="77777777" w:rsidR="00E45705" w:rsidRPr="001B09E6" w:rsidRDefault="00E45705" w:rsidP="00E45705">
            <w:pPr>
              <w:pStyle w:val="TableColumnHeading"/>
              <w:spacing w:before="0" w:after="0"/>
              <w:ind w:left="0" w:right="0"/>
              <w:jc w:val="center"/>
              <w:rPr>
                <w:lang w:eastAsia="en-AU"/>
              </w:rPr>
            </w:pPr>
            <w:r w:rsidRPr="001B09E6">
              <w:rPr>
                <w:lang w:eastAsia="en-AU"/>
              </w:rPr>
              <w:t>2006</w:t>
            </w:r>
          </w:p>
        </w:tc>
        <w:tc>
          <w:tcPr>
            <w:tcW w:w="634" w:type="pct"/>
            <w:tcBorders>
              <w:top w:val="single" w:sz="4" w:space="0" w:color="auto"/>
              <w:left w:val="nil"/>
              <w:bottom w:val="single" w:sz="4" w:space="0" w:color="auto"/>
              <w:right w:val="nil"/>
            </w:tcBorders>
            <w:shd w:val="clear" w:color="auto" w:fill="auto"/>
            <w:noWrap/>
            <w:vAlign w:val="bottom"/>
            <w:hideMark/>
          </w:tcPr>
          <w:p w14:paraId="19F991F9" w14:textId="77777777" w:rsidR="00E45705" w:rsidRPr="001B09E6" w:rsidRDefault="00E45705" w:rsidP="00E45705">
            <w:pPr>
              <w:pStyle w:val="TableColumnHeading"/>
              <w:spacing w:before="0" w:after="0"/>
              <w:ind w:left="0" w:right="0"/>
              <w:jc w:val="center"/>
              <w:rPr>
                <w:lang w:eastAsia="en-AU"/>
              </w:rPr>
            </w:pPr>
            <w:r w:rsidRPr="001B09E6">
              <w:rPr>
                <w:lang w:eastAsia="en-AU"/>
              </w:rPr>
              <w:t>2007</w:t>
            </w:r>
          </w:p>
        </w:tc>
        <w:tc>
          <w:tcPr>
            <w:tcW w:w="634" w:type="pct"/>
            <w:tcBorders>
              <w:top w:val="single" w:sz="4" w:space="0" w:color="auto"/>
              <w:left w:val="nil"/>
              <w:bottom w:val="single" w:sz="4" w:space="0" w:color="auto"/>
              <w:right w:val="nil"/>
            </w:tcBorders>
            <w:shd w:val="clear" w:color="auto" w:fill="auto"/>
            <w:noWrap/>
            <w:vAlign w:val="bottom"/>
            <w:hideMark/>
          </w:tcPr>
          <w:p w14:paraId="1661C3E4" w14:textId="77777777" w:rsidR="00E45705" w:rsidRPr="001B09E6" w:rsidRDefault="00E45705" w:rsidP="00E45705">
            <w:pPr>
              <w:pStyle w:val="TableColumnHeading"/>
              <w:spacing w:before="0" w:after="0"/>
              <w:ind w:left="0" w:right="0"/>
              <w:jc w:val="center"/>
              <w:rPr>
                <w:lang w:eastAsia="en-AU"/>
              </w:rPr>
            </w:pPr>
            <w:r w:rsidRPr="001B09E6">
              <w:rPr>
                <w:lang w:eastAsia="en-AU"/>
              </w:rPr>
              <w:t>2008</w:t>
            </w:r>
          </w:p>
        </w:tc>
        <w:tc>
          <w:tcPr>
            <w:tcW w:w="634" w:type="pct"/>
            <w:tcBorders>
              <w:top w:val="single" w:sz="4" w:space="0" w:color="auto"/>
              <w:left w:val="nil"/>
              <w:bottom w:val="single" w:sz="4" w:space="0" w:color="auto"/>
              <w:right w:val="nil"/>
            </w:tcBorders>
            <w:shd w:val="clear" w:color="auto" w:fill="auto"/>
            <w:noWrap/>
            <w:vAlign w:val="bottom"/>
            <w:hideMark/>
          </w:tcPr>
          <w:p w14:paraId="3FA4D1C7" w14:textId="77777777" w:rsidR="00E45705" w:rsidRPr="001B09E6" w:rsidRDefault="00E45705" w:rsidP="00E45705">
            <w:pPr>
              <w:pStyle w:val="TableColumnHeading"/>
              <w:spacing w:before="0" w:after="0"/>
              <w:ind w:left="0" w:right="0"/>
              <w:jc w:val="center"/>
              <w:rPr>
                <w:lang w:eastAsia="en-AU"/>
              </w:rPr>
            </w:pPr>
            <w:r w:rsidRPr="001B09E6">
              <w:rPr>
                <w:lang w:eastAsia="en-AU"/>
              </w:rPr>
              <w:t>2009</w:t>
            </w:r>
          </w:p>
        </w:tc>
      </w:tr>
      <w:tr w:rsidR="00E45705" w:rsidRPr="001B09E6" w14:paraId="76AACD95" w14:textId="77777777" w:rsidTr="00E45705">
        <w:trPr>
          <w:trHeight w:val="300"/>
        </w:trPr>
        <w:tc>
          <w:tcPr>
            <w:tcW w:w="2463" w:type="pct"/>
            <w:tcBorders>
              <w:top w:val="nil"/>
              <w:left w:val="nil"/>
              <w:bottom w:val="nil"/>
              <w:right w:val="nil"/>
            </w:tcBorders>
            <w:shd w:val="clear" w:color="auto" w:fill="auto"/>
            <w:noWrap/>
            <w:vAlign w:val="bottom"/>
            <w:hideMark/>
          </w:tcPr>
          <w:p w14:paraId="63B8AB91" w14:textId="77777777" w:rsidR="00E45705" w:rsidRPr="001B09E6" w:rsidRDefault="00E45705" w:rsidP="00E45705">
            <w:pPr>
              <w:pStyle w:val="TableCellText"/>
              <w:spacing w:before="0" w:after="0"/>
              <w:ind w:left="0" w:right="0"/>
              <w:rPr>
                <w:lang w:eastAsia="en-AU"/>
              </w:rPr>
            </w:pPr>
            <w:r w:rsidRPr="001B09E6">
              <w:rPr>
                <w:lang w:eastAsia="en-AU"/>
              </w:rPr>
              <w:t>Quintile 1: Most disadvantaged</w:t>
            </w:r>
          </w:p>
        </w:tc>
        <w:tc>
          <w:tcPr>
            <w:tcW w:w="634" w:type="pct"/>
            <w:tcBorders>
              <w:top w:val="nil"/>
              <w:left w:val="nil"/>
              <w:bottom w:val="nil"/>
              <w:right w:val="nil"/>
            </w:tcBorders>
            <w:shd w:val="clear" w:color="auto" w:fill="auto"/>
            <w:noWrap/>
            <w:vAlign w:val="bottom"/>
            <w:hideMark/>
          </w:tcPr>
          <w:p w14:paraId="3E9AC32D" w14:textId="77777777" w:rsidR="00E45705" w:rsidRPr="001B09E6" w:rsidRDefault="00E45705" w:rsidP="00E45705">
            <w:pPr>
              <w:pStyle w:val="TableCellText"/>
              <w:spacing w:before="0" w:after="0"/>
              <w:ind w:left="0" w:right="0"/>
              <w:jc w:val="center"/>
              <w:rPr>
                <w:lang w:eastAsia="en-AU"/>
              </w:rPr>
            </w:pPr>
            <w:r w:rsidRPr="001B09E6">
              <w:rPr>
                <w:lang w:eastAsia="en-AU"/>
              </w:rPr>
              <w:t>16.1</w:t>
            </w:r>
          </w:p>
        </w:tc>
        <w:tc>
          <w:tcPr>
            <w:tcW w:w="634" w:type="pct"/>
            <w:tcBorders>
              <w:top w:val="nil"/>
              <w:left w:val="nil"/>
              <w:bottom w:val="nil"/>
              <w:right w:val="nil"/>
            </w:tcBorders>
            <w:shd w:val="clear" w:color="auto" w:fill="auto"/>
            <w:noWrap/>
            <w:vAlign w:val="bottom"/>
            <w:hideMark/>
          </w:tcPr>
          <w:p w14:paraId="523E6598" w14:textId="77777777" w:rsidR="00E45705" w:rsidRPr="001B09E6" w:rsidRDefault="00E45705" w:rsidP="00E45705">
            <w:pPr>
              <w:pStyle w:val="TableCellText"/>
              <w:spacing w:before="0" w:after="0"/>
              <w:ind w:left="0" w:right="0"/>
              <w:jc w:val="center"/>
              <w:rPr>
                <w:lang w:eastAsia="en-AU"/>
              </w:rPr>
            </w:pPr>
            <w:r w:rsidRPr="001B09E6">
              <w:rPr>
                <w:lang w:eastAsia="en-AU"/>
              </w:rPr>
              <w:t>13.6</w:t>
            </w:r>
          </w:p>
        </w:tc>
        <w:tc>
          <w:tcPr>
            <w:tcW w:w="634" w:type="pct"/>
            <w:tcBorders>
              <w:top w:val="nil"/>
              <w:left w:val="nil"/>
              <w:bottom w:val="nil"/>
              <w:right w:val="nil"/>
            </w:tcBorders>
            <w:shd w:val="clear" w:color="auto" w:fill="auto"/>
            <w:noWrap/>
            <w:vAlign w:val="bottom"/>
            <w:hideMark/>
          </w:tcPr>
          <w:p w14:paraId="3ECC66AA" w14:textId="77777777" w:rsidR="00E45705" w:rsidRPr="001B09E6" w:rsidRDefault="00E45705" w:rsidP="00E45705">
            <w:pPr>
              <w:pStyle w:val="TableCellText"/>
              <w:spacing w:before="0" w:after="0"/>
              <w:ind w:left="0" w:right="0"/>
              <w:jc w:val="center"/>
              <w:rPr>
                <w:lang w:eastAsia="en-AU"/>
              </w:rPr>
            </w:pPr>
            <w:r w:rsidRPr="001B09E6">
              <w:rPr>
                <w:lang w:eastAsia="en-AU"/>
              </w:rPr>
              <w:t>13.8</w:t>
            </w:r>
          </w:p>
        </w:tc>
        <w:tc>
          <w:tcPr>
            <w:tcW w:w="634" w:type="pct"/>
            <w:tcBorders>
              <w:top w:val="nil"/>
              <w:left w:val="nil"/>
              <w:bottom w:val="nil"/>
              <w:right w:val="nil"/>
            </w:tcBorders>
            <w:shd w:val="clear" w:color="auto" w:fill="auto"/>
            <w:noWrap/>
            <w:vAlign w:val="bottom"/>
            <w:hideMark/>
          </w:tcPr>
          <w:p w14:paraId="428B578E" w14:textId="77777777" w:rsidR="00E45705" w:rsidRPr="001B09E6" w:rsidRDefault="00E45705" w:rsidP="00E45705">
            <w:pPr>
              <w:pStyle w:val="TableCellText"/>
              <w:spacing w:before="0" w:after="0"/>
              <w:ind w:left="0" w:right="0"/>
              <w:jc w:val="center"/>
              <w:rPr>
                <w:lang w:eastAsia="en-AU"/>
              </w:rPr>
            </w:pPr>
            <w:r w:rsidRPr="001B09E6">
              <w:rPr>
                <w:lang w:eastAsia="en-AU"/>
              </w:rPr>
              <w:t>13.2</w:t>
            </w:r>
          </w:p>
        </w:tc>
      </w:tr>
      <w:tr w:rsidR="00E45705" w:rsidRPr="001B09E6" w14:paraId="5C69B9A1" w14:textId="77777777" w:rsidTr="00E45705">
        <w:trPr>
          <w:trHeight w:val="300"/>
        </w:trPr>
        <w:tc>
          <w:tcPr>
            <w:tcW w:w="2463" w:type="pct"/>
            <w:tcBorders>
              <w:top w:val="nil"/>
              <w:left w:val="nil"/>
              <w:bottom w:val="nil"/>
              <w:right w:val="nil"/>
            </w:tcBorders>
            <w:shd w:val="clear" w:color="auto" w:fill="auto"/>
            <w:noWrap/>
            <w:vAlign w:val="bottom"/>
            <w:hideMark/>
          </w:tcPr>
          <w:p w14:paraId="119DB5A8" w14:textId="77777777" w:rsidR="00E45705" w:rsidRPr="001B09E6" w:rsidRDefault="00E45705" w:rsidP="00E45705">
            <w:pPr>
              <w:pStyle w:val="TableCellText"/>
              <w:spacing w:before="0" w:after="0"/>
              <w:ind w:left="0" w:right="0"/>
              <w:rPr>
                <w:lang w:eastAsia="en-AU"/>
              </w:rPr>
            </w:pPr>
            <w:r w:rsidRPr="001B09E6">
              <w:rPr>
                <w:lang w:eastAsia="en-AU"/>
              </w:rPr>
              <w:t>Quintile 2</w:t>
            </w:r>
          </w:p>
        </w:tc>
        <w:tc>
          <w:tcPr>
            <w:tcW w:w="634" w:type="pct"/>
            <w:tcBorders>
              <w:top w:val="nil"/>
              <w:left w:val="nil"/>
              <w:bottom w:val="nil"/>
              <w:right w:val="nil"/>
            </w:tcBorders>
            <w:shd w:val="clear" w:color="auto" w:fill="auto"/>
            <w:noWrap/>
            <w:vAlign w:val="bottom"/>
            <w:hideMark/>
          </w:tcPr>
          <w:p w14:paraId="6A4EB07E" w14:textId="77777777" w:rsidR="00E45705" w:rsidRPr="001B09E6" w:rsidRDefault="00E45705" w:rsidP="00E45705">
            <w:pPr>
              <w:pStyle w:val="TableCellText"/>
              <w:spacing w:before="0" w:after="0"/>
              <w:ind w:left="0" w:right="0"/>
              <w:jc w:val="center"/>
              <w:rPr>
                <w:lang w:eastAsia="en-AU"/>
              </w:rPr>
            </w:pPr>
            <w:r w:rsidRPr="001B09E6">
              <w:rPr>
                <w:lang w:eastAsia="en-AU"/>
              </w:rPr>
              <w:t>25.5</w:t>
            </w:r>
          </w:p>
        </w:tc>
        <w:tc>
          <w:tcPr>
            <w:tcW w:w="634" w:type="pct"/>
            <w:tcBorders>
              <w:top w:val="nil"/>
              <w:left w:val="nil"/>
              <w:bottom w:val="nil"/>
              <w:right w:val="nil"/>
            </w:tcBorders>
            <w:shd w:val="clear" w:color="auto" w:fill="auto"/>
            <w:noWrap/>
            <w:vAlign w:val="bottom"/>
            <w:hideMark/>
          </w:tcPr>
          <w:p w14:paraId="67D5B008" w14:textId="77777777" w:rsidR="00E45705" w:rsidRPr="001B09E6" w:rsidRDefault="00E45705" w:rsidP="00E45705">
            <w:pPr>
              <w:pStyle w:val="TableCellText"/>
              <w:spacing w:before="0" w:after="0"/>
              <w:ind w:left="0" w:right="0"/>
              <w:jc w:val="center"/>
              <w:rPr>
                <w:lang w:eastAsia="en-AU"/>
              </w:rPr>
            </w:pPr>
            <w:r w:rsidRPr="001B09E6">
              <w:rPr>
                <w:lang w:eastAsia="en-AU"/>
              </w:rPr>
              <w:t>21.7</w:t>
            </w:r>
          </w:p>
        </w:tc>
        <w:tc>
          <w:tcPr>
            <w:tcW w:w="634" w:type="pct"/>
            <w:tcBorders>
              <w:top w:val="nil"/>
              <w:left w:val="nil"/>
              <w:bottom w:val="nil"/>
              <w:right w:val="nil"/>
            </w:tcBorders>
            <w:shd w:val="clear" w:color="auto" w:fill="auto"/>
            <w:noWrap/>
            <w:vAlign w:val="bottom"/>
            <w:hideMark/>
          </w:tcPr>
          <w:p w14:paraId="0BCF1015" w14:textId="77777777" w:rsidR="00E45705" w:rsidRPr="001B09E6" w:rsidRDefault="00E45705" w:rsidP="00E45705">
            <w:pPr>
              <w:pStyle w:val="TableCellText"/>
              <w:spacing w:before="0" w:after="0"/>
              <w:ind w:left="0" w:right="0"/>
              <w:jc w:val="center"/>
              <w:rPr>
                <w:lang w:eastAsia="en-AU"/>
              </w:rPr>
            </w:pPr>
            <w:r w:rsidRPr="001B09E6">
              <w:rPr>
                <w:lang w:eastAsia="en-AU"/>
              </w:rPr>
              <w:t>21.5</w:t>
            </w:r>
          </w:p>
        </w:tc>
        <w:tc>
          <w:tcPr>
            <w:tcW w:w="634" w:type="pct"/>
            <w:tcBorders>
              <w:top w:val="nil"/>
              <w:left w:val="nil"/>
              <w:bottom w:val="nil"/>
              <w:right w:val="nil"/>
            </w:tcBorders>
            <w:shd w:val="clear" w:color="auto" w:fill="auto"/>
            <w:noWrap/>
            <w:vAlign w:val="bottom"/>
            <w:hideMark/>
          </w:tcPr>
          <w:p w14:paraId="21A89BB2" w14:textId="77777777" w:rsidR="00E45705" w:rsidRPr="001B09E6" w:rsidRDefault="00E45705" w:rsidP="00E45705">
            <w:pPr>
              <w:pStyle w:val="TableCellText"/>
              <w:spacing w:before="0" w:after="0"/>
              <w:ind w:left="0" w:right="0"/>
              <w:jc w:val="center"/>
              <w:rPr>
                <w:lang w:eastAsia="en-AU"/>
              </w:rPr>
            </w:pPr>
            <w:r w:rsidRPr="001B09E6">
              <w:rPr>
                <w:lang w:eastAsia="en-AU"/>
              </w:rPr>
              <w:t>22.1</w:t>
            </w:r>
          </w:p>
        </w:tc>
      </w:tr>
      <w:tr w:rsidR="00E45705" w:rsidRPr="001B09E6" w14:paraId="0D7F7863" w14:textId="77777777" w:rsidTr="00E45705">
        <w:trPr>
          <w:trHeight w:val="300"/>
        </w:trPr>
        <w:tc>
          <w:tcPr>
            <w:tcW w:w="2463" w:type="pct"/>
            <w:tcBorders>
              <w:top w:val="nil"/>
              <w:left w:val="nil"/>
              <w:bottom w:val="nil"/>
              <w:right w:val="nil"/>
            </w:tcBorders>
            <w:shd w:val="clear" w:color="auto" w:fill="auto"/>
            <w:noWrap/>
            <w:vAlign w:val="bottom"/>
            <w:hideMark/>
          </w:tcPr>
          <w:p w14:paraId="5F0337A5" w14:textId="77777777" w:rsidR="00E45705" w:rsidRPr="001B09E6" w:rsidRDefault="00E45705" w:rsidP="00E45705">
            <w:pPr>
              <w:pStyle w:val="TableCellText"/>
              <w:spacing w:before="0" w:after="0"/>
              <w:ind w:left="0" w:right="0"/>
              <w:rPr>
                <w:lang w:eastAsia="en-AU"/>
              </w:rPr>
            </w:pPr>
            <w:r w:rsidRPr="001B09E6">
              <w:rPr>
                <w:lang w:eastAsia="en-AU"/>
              </w:rPr>
              <w:t>Quintile 3</w:t>
            </w:r>
          </w:p>
        </w:tc>
        <w:tc>
          <w:tcPr>
            <w:tcW w:w="634" w:type="pct"/>
            <w:tcBorders>
              <w:top w:val="nil"/>
              <w:left w:val="nil"/>
              <w:bottom w:val="nil"/>
              <w:right w:val="nil"/>
            </w:tcBorders>
            <w:shd w:val="clear" w:color="auto" w:fill="auto"/>
            <w:noWrap/>
            <w:vAlign w:val="bottom"/>
            <w:hideMark/>
          </w:tcPr>
          <w:p w14:paraId="197A8CD6" w14:textId="77777777" w:rsidR="00E45705" w:rsidRPr="001B09E6" w:rsidRDefault="00E45705" w:rsidP="00E45705">
            <w:pPr>
              <w:pStyle w:val="TableCellText"/>
              <w:spacing w:before="0" w:after="0"/>
              <w:ind w:left="0" w:right="0"/>
              <w:jc w:val="center"/>
              <w:rPr>
                <w:lang w:eastAsia="en-AU"/>
              </w:rPr>
            </w:pPr>
            <w:r w:rsidRPr="001B09E6">
              <w:rPr>
                <w:lang w:eastAsia="en-AU"/>
              </w:rPr>
              <w:t>21.9</w:t>
            </w:r>
          </w:p>
        </w:tc>
        <w:tc>
          <w:tcPr>
            <w:tcW w:w="634" w:type="pct"/>
            <w:tcBorders>
              <w:top w:val="nil"/>
              <w:left w:val="nil"/>
              <w:bottom w:val="nil"/>
              <w:right w:val="nil"/>
            </w:tcBorders>
            <w:shd w:val="clear" w:color="auto" w:fill="auto"/>
            <w:noWrap/>
            <w:vAlign w:val="bottom"/>
            <w:hideMark/>
          </w:tcPr>
          <w:p w14:paraId="0D79A3B2" w14:textId="77777777" w:rsidR="00E45705" w:rsidRPr="001B09E6" w:rsidRDefault="00E45705" w:rsidP="00E45705">
            <w:pPr>
              <w:pStyle w:val="TableCellText"/>
              <w:spacing w:before="0" w:after="0"/>
              <w:ind w:left="0" w:right="0"/>
              <w:jc w:val="center"/>
              <w:rPr>
                <w:lang w:eastAsia="en-AU"/>
              </w:rPr>
            </w:pPr>
            <w:r w:rsidRPr="001B09E6">
              <w:rPr>
                <w:lang w:eastAsia="en-AU"/>
              </w:rPr>
              <w:t>20.9</w:t>
            </w:r>
          </w:p>
        </w:tc>
        <w:tc>
          <w:tcPr>
            <w:tcW w:w="634" w:type="pct"/>
            <w:tcBorders>
              <w:top w:val="nil"/>
              <w:left w:val="nil"/>
              <w:bottom w:val="nil"/>
              <w:right w:val="nil"/>
            </w:tcBorders>
            <w:shd w:val="clear" w:color="auto" w:fill="auto"/>
            <w:noWrap/>
            <w:vAlign w:val="bottom"/>
            <w:hideMark/>
          </w:tcPr>
          <w:p w14:paraId="0E898EC0" w14:textId="77777777" w:rsidR="00E45705" w:rsidRPr="001B09E6" w:rsidRDefault="00E45705" w:rsidP="00E45705">
            <w:pPr>
              <w:pStyle w:val="TableCellText"/>
              <w:spacing w:before="0" w:after="0"/>
              <w:ind w:left="0" w:right="0"/>
              <w:jc w:val="center"/>
              <w:rPr>
                <w:lang w:eastAsia="en-AU"/>
              </w:rPr>
            </w:pPr>
            <w:r w:rsidRPr="001B09E6">
              <w:rPr>
                <w:lang w:eastAsia="en-AU"/>
              </w:rPr>
              <w:t>21.8</w:t>
            </w:r>
          </w:p>
        </w:tc>
        <w:tc>
          <w:tcPr>
            <w:tcW w:w="634" w:type="pct"/>
            <w:tcBorders>
              <w:top w:val="nil"/>
              <w:left w:val="nil"/>
              <w:bottom w:val="nil"/>
              <w:right w:val="nil"/>
            </w:tcBorders>
            <w:shd w:val="clear" w:color="auto" w:fill="auto"/>
            <w:noWrap/>
            <w:vAlign w:val="bottom"/>
            <w:hideMark/>
          </w:tcPr>
          <w:p w14:paraId="4E36203C" w14:textId="77777777" w:rsidR="00E45705" w:rsidRPr="001B09E6" w:rsidRDefault="00E45705" w:rsidP="00E45705">
            <w:pPr>
              <w:pStyle w:val="TableCellText"/>
              <w:spacing w:before="0" w:after="0"/>
              <w:ind w:left="0" w:right="0"/>
              <w:jc w:val="center"/>
              <w:rPr>
                <w:lang w:eastAsia="en-AU"/>
              </w:rPr>
            </w:pPr>
            <w:r w:rsidRPr="001B09E6">
              <w:rPr>
                <w:lang w:eastAsia="en-AU"/>
              </w:rPr>
              <w:t>22.1</w:t>
            </w:r>
          </w:p>
        </w:tc>
      </w:tr>
      <w:tr w:rsidR="00E45705" w:rsidRPr="001B09E6" w14:paraId="6C44F8E9" w14:textId="77777777" w:rsidTr="00E45705">
        <w:trPr>
          <w:trHeight w:val="300"/>
        </w:trPr>
        <w:tc>
          <w:tcPr>
            <w:tcW w:w="2463" w:type="pct"/>
            <w:tcBorders>
              <w:top w:val="nil"/>
              <w:left w:val="nil"/>
              <w:bottom w:val="nil"/>
              <w:right w:val="nil"/>
            </w:tcBorders>
            <w:shd w:val="clear" w:color="auto" w:fill="auto"/>
            <w:noWrap/>
            <w:vAlign w:val="bottom"/>
            <w:hideMark/>
          </w:tcPr>
          <w:p w14:paraId="6E3A3897" w14:textId="77777777" w:rsidR="00E45705" w:rsidRPr="001B09E6" w:rsidRDefault="00E45705" w:rsidP="00E45705">
            <w:pPr>
              <w:pStyle w:val="TableCellText"/>
              <w:spacing w:before="0" w:after="0"/>
              <w:ind w:left="0" w:right="0"/>
              <w:rPr>
                <w:lang w:eastAsia="en-AU"/>
              </w:rPr>
            </w:pPr>
            <w:r w:rsidRPr="001B09E6">
              <w:rPr>
                <w:lang w:eastAsia="en-AU"/>
              </w:rPr>
              <w:t>Quintile 4</w:t>
            </w:r>
          </w:p>
        </w:tc>
        <w:tc>
          <w:tcPr>
            <w:tcW w:w="634" w:type="pct"/>
            <w:tcBorders>
              <w:top w:val="nil"/>
              <w:left w:val="nil"/>
              <w:bottom w:val="nil"/>
              <w:right w:val="nil"/>
            </w:tcBorders>
            <w:shd w:val="clear" w:color="auto" w:fill="auto"/>
            <w:noWrap/>
            <w:vAlign w:val="bottom"/>
            <w:hideMark/>
          </w:tcPr>
          <w:p w14:paraId="4A99F5C3" w14:textId="77777777" w:rsidR="00E45705" w:rsidRPr="001B09E6" w:rsidRDefault="00E45705" w:rsidP="00E45705">
            <w:pPr>
              <w:pStyle w:val="TableCellText"/>
              <w:spacing w:before="0" w:after="0"/>
              <w:ind w:left="0" w:right="0"/>
              <w:jc w:val="center"/>
              <w:rPr>
                <w:lang w:eastAsia="en-AU"/>
              </w:rPr>
            </w:pPr>
            <w:r w:rsidRPr="001B09E6">
              <w:rPr>
                <w:lang w:eastAsia="en-AU"/>
              </w:rPr>
              <w:t>20.2</w:t>
            </w:r>
          </w:p>
        </w:tc>
        <w:tc>
          <w:tcPr>
            <w:tcW w:w="634" w:type="pct"/>
            <w:tcBorders>
              <w:top w:val="nil"/>
              <w:left w:val="nil"/>
              <w:bottom w:val="nil"/>
              <w:right w:val="nil"/>
            </w:tcBorders>
            <w:shd w:val="clear" w:color="auto" w:fill="auto"/>
            <w:noWrap/>
            <w:vAlign w:val="bottom"/>
            <w:hideMark/>
          </w:tcPr>
          <w:p w14:paraId="0F760BE4" w14:textId="77777777" w:rsidR="00E45705" w:rsidRPr="001B09E6" w:rsidRDefault="00E45705" w:rsidP="00E45705">
            <w:pPr>
              <w:pStyle w:val="TableCellText"/>
              <w:spacing w:before="0" w:after="0"/>
              <w:ind w:left="0" w:right="0"/>
              <w:jc w:val="center"/>
              <w:rPr>
                <w:lang w:eastAsia="en-AU"/>
              </w:rPr>
            </w:pPr>
            <w:r w:rsidRPr="001B09E6">
              <w:rPr>
                <w:lang w:eastAsia="en-AU"/>
              </w:rPr>
              <w:t>24.1</w:t>
            </w:r>
          </w:p>
        </w:tc>
        <w:tc>
          <w:tcPr>
            <w:tcW w:w="634" w:type="pct"/>
            <w:tcBorders>
              <w:top w:val="nil"/>
              <w:left w:val="nil"/>
              <w:bottom w:val="nil"/>
              <w:right w:val="nil"/>
            </w:tcBorders>
            <w:shd w:val="clear" w:color="auto" w:fill="auto"/>
            <w:noWrap/>
            <w:vAlign w:val="bottom"/>
            <w:hideMark/>
          </w:tcPr>
          <w:p w14:paraId="3EB2D955" w14:textId="77777777" w:rsidR="00E45705" w:rsidRPr="001B09E6" w:rsidRDefault="00E45705" w:rsidP="00E45705">
            <w:pPr>
              <w:pStyle w:val="TableCellText"/>
              <w:spacing w:before="0" w:after="0"/>
              <w:ind w:left="0" w:right="0"/>
              <w:jc w:val="center"/>
              <w:rPr>
                <w:lang w:eastAsia="en-AU"/>
              </w:rPr>
            </w:pPr>
            <w:r w:rsidRPr="001B09E6">
              <w:rPr>
                <w:lang w:eastAsia="en-AU"/>
              </w:rPr>
              <w:t>24.4</w:t>
            </w:r>
          </w:p>
        </w:tc>
        <w:tc>
          <w:tcPr>
            <w:tcW w:w="634" w:type="pct"/>
            <w:tcBorders>
              <w:top w:val="nil"/>
              <w:left w:val="nil"/>
              <w:bottom w:val="nil"/>
              <w:right w:val="nil"/>
            </w:tcBorders>
            <w:shd w:val="clear" w:color="auto" w:fill="auto"/>
            <w:noWrap/>
            <w:vAlign w:val="bottom"/>
            <w:hideMark/>
          </w:tcPr>
          <w:p w14:paraId="6E4871DC" w14:textId="77777777" w:rsidR="00E45705" w:rsidRPr="001B09E6" w:rsidRDefault="00E45705" w:rsidP="00E45705">
            <w:pPr>
              <w:pStyle w:val="TableCellText"/>
              <w:spacing w:before="0" w:after="0"/>
              <w:ind w:left="0" w:right="0"/>
              <w:jc w:val="center"/>
              <w:rPr>
                <w:lang w:eastAsia="en-AU"/>
              </w:rPr>
            </w:pPr>
            <w:r w:rsidRPr="001B09E6">
              <w:rPr>
                <w:lang w:eastAsia="en-AU"/>
              </w:rPr>
              <w:t>24.6</w:t>
            </w:r>
          </w:p>
        </w:tc>
      </w:tr>
      <w:tr w:rsidR="00E45705" w:rsidRPr="001B09E6" w14:paraId="24C7E670" w14:textId="77777777" w:rsidTr="00E45705">
        <w:trPr>
          <w:trHeight w:val="300"/>
        </w:trPr>
        <w:tc>
          <w:tcPr>
            <w:tcW w:w="2463" w:type="pct"/>
            <w:tcBorders>
              <w:top w:val="nil"/>
              <w:left w:val="nil"/>
              <w:bottom w:val="single" w:sz="4" w:space="0" w:color="auto"/>
              <w:right w:val="nil"/>
            </w:tcBorders>
            <w:shd w:val="clear" w:color="auto" w:fill="auto"/>
            <w:noWrap/>
            <w:vAlign w:val="bottom"/>
            <w:hideMark/>
          </w:tcPr>
          <w:p w14:paraId="2D0DE361" w14:textId="77777777" w:rsidR="00E45705" w:rsidRPr="001B09E6" w:rsidRDefault="00E45705" w:rsidP="00E45705">
            <w:pPr>
              <w:pStyle w:val="TableCellText"/>
              <w:spacing w:before="0" w:after="0"/>
              <w:ind w:left="0" w:right="0"/>
              <w:rPr>
                <w:lang w:eastAsia="en-AU"/>
              </w:rPr>
            </w:pPr>
            <w:r w:rsidRPr="001B09E6">
              <w:rPr>
                <w:lang w:eastAsia="en-AU"/>
              </w:rPr>
              <w:t>Quintile 5: Least disadvantaged</w:t>
            </w:r>
          </w:p>
        </w:tc>
        <w:tc>
          <w:tcPr>
            <w:tcW w:w="634" w:type="pct"/>
            <w:tcBorders>
              <w:top w:val="nil"/>
              <w:left w:val="nil"/>
              <w:bottom w:val="single" w:sz="4" w:space="0" w:color="auto"/>
              <w:right w:val="nil"/>
            </w:tcBorders>
            <w:shd w:val="clear" w:color="auto" w:fill="auto"/>
            <w:noWrap/>
            <w:vAlign w:val="bottom"/>
            <w:hideMark/>
          </w:tcPr>
          <w:p w14:paraId="08D8C6E6" w14:textId="77777777" w:rsidR="00E45705" w:rsidRPr="001B09E6" w:rsidRDefault="00E45705" w:rsidP="00E45705">
            <w:pPr>
              <w:pStyle w:val="TableCellText"/>
              <w:spacing w:before="0" w:after="0"/>
              <w:ind w:left="0" w:right="0"/>
              <w:jc w:val="center"/>
              <w:rPr>
                <w:lang w:eastAsia="en-AU"/>
              </w:rPr>
            </w:pPr>
            <w:r w:rsidRPr="001B09E6">
              <w:rPr>
                <w:lang w:eastAsia="en-AU"/>
              </w:rPr>
              <w:t>16.3</w:t>
            </w:r>
          </w:p>
        </w:tc>
        <w:tc>
          <w:tcPr>
            <w:tcW w:w="634" w:type="pct"/>
            <w:tcBorders>
              <w:top w:val="nil"/>
              <w:left w:val="nil"/>
              <w:bottom w:val="single" w:sz="4" w:space="0" w:color="auto"/>
              <w:right w:val="nil"/>
            </w:tcBorders>
            <w:shd w:val="clear" w:color="auto" w:fill="auto"/>
            <w:noWrap/>
            <w:vAlign w:val="bottom"/>
            <w:hideMark/>
          </w:tcPr>
          <w:p w14:paraId="7F53240B" w14:textId="77777777" w:rsidR="00E45705" w:rsidRPr="001B09E6" w:rsidRDefault="00E45705" w:rsidP="00E45705">
            <w:pPr>
              <w:pStyle w:val="TableCellText"/>
              <w:spacing w:before="0" w:after="0"/>
              <w:ind w:left="0" w:right="0"/>
              <w:jc w:val="center"/>
              <w:rPr>
                <w:lang w:eastAsia="en-AU"/>
              </w:rPr>
            </w:pPr>
            <w:r w:rsidRPr="001B09E6">
              <w:rPr>
                <w:lang w:eastAsia="en-AU"/>
              </w:rPr>
              <w:t>19.7</w:t>
            </w:r>
          </w:p>
        </w:tc>
        <w:tc>
          <w:tcPr>
            <w:tcW w:w="634" w:type="pct"/>
            <w:tcBorders>
              <w:top w:val="nil"/>
              <w:left w:val="nil"/>
              <w:bottom w:val="single" w:sz="4" w:space="0" w:color="auto"/>
              <w:right w:val="nil"/>
            </w:tcBorders>
            <w:shd w:val="clear" w:color="auto" w:fill="auto"/>
            <w:noWrap/>
            <w:vAlign w:val="bottom"/>
            <w:hideMark/>
          </w:tcPr>
          <w:p w14:paraId="339AA691" w14:textId="77777777" w:rsidR="00E45705" w:rsidRPr="001B09E6" w:rsidRDefault="00E45705" w:rsidP="00E45705">
            <w:pPr>
              <w:pStyle w:val="TableCellText"/>
              <w:spacing w:before="0" w:after="0"/>
              <w:ind w:left="0" w:right="0"/>
              <w:jc w:val="center"/>
              <w:rPr>
                <w:lang w:eastAsia="en-AU"/>
              </w:rPr>
            </w:pPr>
            <w:r w:rsidRPr="001B09E6">
              <w:rPr>
                <w:lang w:eastAsia="en-AU"/>
              </w:rPr>
              <w:t>18.5</w:t>
            </w:r>
          </w:p>
        </w:tc>
        <w:tc>
          <w:tcPr>
            <w:tcW w:w="634" w:type="pct"/>
            <w:tcBorders>
              <w:top w:val="nil"/>
              <w:left w:val="nil"/>
              <w:bottom w:val="single" w:sz="4" w:space="0" w:color="auto"/>
              <w:right w:val="nil"/>
            </w:tcBorders>
            <w:shd w:val="clear" w:color="auto" w:fill="auto"/>
            <w:noWrap/>
            <w:vAlign w:val="bottom"/>
            <w:hideMark/>
          </w:tcPr>
          <w:p w14:paraId="4EF4EA28"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r>
    </w:tbl>
    <w:p w14:paraId="23E00B5D" w14:textId="77777777" w:rsidR="00E45705" w:rsidRPr="001B09E6" w:rsidRDefault="00E45705" w:rsidP="00E45705">
      <w:pPr>
        <w:pStyle w:val="Tablenote"/>
      </w:pPr>
      <w:r w:rsidRPr="001B09E6">
        <w:t>Note: South Australia did not submit a complete dataset for qualifications completed</w:t>
      </w:r>
    </w:p>
    <w:p w14:paraId="6520BCDC" w14:textId="77777777" w:rsidR="00E45705" w:rsidRPr="001B09E6" w:rsidRDefault="00E45705" w:rsidP="00E45705">
      <w:pPr>
        <w:pStyle w:val="Tablenote"/>
      </w:pPr>
      <w:r w:rsidRPr="001B09E6">
        <w:t>Source: National VET in Schools Collection</w:t>
      </w:r>
    </w:p>
    <w:p w14:paraId="33FA281A" w14:textId="77777777" w:rsidR="00E45705" w:rsidRDefault="00E45705" w:rsidP="00E45705">
      <w:pPr>
        <w:spacing w:line="380" w:lineRule="atLeast"/>
        <w:rPr>
          <w:rFonts w:eastAsiaTheme="majorEastAsia" w:cstheme="majorBidi"/>
          <w:b/>
          <w:bCs/>
          <w:color w:val="808080"/>
          <w:sz w:val="24"/>
        </w:rPr>
      </w:pPr>
      <w:bookmarkStart w:id="195" w:name="_Toc192134419"/>
      <w:bookmarkStart w:id="196" w:name="_Toc333919008"/>
      <w:r>
        <w:br w:type="page"/>
      </w:r>
    </w:p>
    <w:p w14:paraId="1EE141AB" w14:textId="77777777" w:rsidR="00E45705" w:rsidRPr="001B09E6" w:rsidRDefault="00E45705" w:rsidP="00E45705">
      <w:pPr>
        <w:pStyle w:val="Heading3NoNumbering"/>
      </w:pPr>
      <w:r w:rsidRPr="001B09E6">
        <w:t>Table A2.25: VET in Schools attainment, remoteness</w:t>
      </w:r>
      <w:bookmarkEnd w:id="195"/>
      <w:bookmarkEnd w:id="196"/>
    </w:p>
    <w:p w14:paraId="42A0F6E4" w14:textId="77777777" w:rsidR="00E45705" w:rsidRPr="001B09E6" w:rsidRDefault="00E45705" w:rsidP="00E45705">
      <w:pPr>
        <w:pStyle w:val="TableHeading"/>
        <w:spacing w:before="112"/>
      </w:pPr>
      <w:r w:rsidRPr="001B09E6">
        <w:t>PERCENTAGE OF VET in Schools course completions by 15 to 19 year olds as a proportion of estimated resident population by remoteness (ARIA+) region, 2005-9, excluding South Australia</w:t>
      </w:r>
    </w:p>
    <w:tbl>
      <w:tblPr>
        <w:tblW w:w="5000" w:type="pct"/>
        <w:tblLook w:val="04A0" w:firstRow="1" w:lastRow="0" w:firstColumn="1" w:lastColumn="0" w:noHBand="0" w:noVBand="1"/>
        <w:tblCaption w:val="Table A2.25: VET in Schools attainment, remoteness PERCENTAGE OF VET in Schools course completions by 15 to 19 year olds as a proportion of estimated resident population by remoteness (ARIA+) region, 2005-9, excluding South Australia "/>
        <w:tblDescription w:val="Table A2.25: VET in Schools attainment, remoteness&#10;PERCENTAGE OF VET in Schools course completions by 15 to 19 year olds as a proportion of estimated resident population by remoteness (ARIA+) region, 2005-9, excluding South Australia&#10;"/>
      </w:tblPr>
      <w:tblGrid>
        <w:gridCol w:w="4605"/>
        <w:gridCol w:w="2003"/>
        <w:gridCol w:w="2002"/>
        <w:gridCol w:w="2002"/>
        <w:gridCol w:w="2002"/>
        <w:gridCol w:w="2002"/>
      </w:tblGrid>
      <w:tr w:rsidR="00E45705" w:rsidRPr="001B09E6" w14:paraId="584E4863" w14:textId="77777777" w:rsidTr="00E45705">
        <w:trPr>
          <w:trHeight w:val="300"/>
        </w:trPr>
        <w:tc>
          <w:tcPr>
            <w:tcW w:w="1575" w:type="pct"/>
            <w:tcBorders>
              <w:top w:val="single" w:sz="4" w:space="0" w:color="auto"/>
              <w:left w:val="nil"/>
              <w:bottom w:val="single" w:sz="4" w:space="0" w:color="auto"/>
              <w:right w:val="nil"/>
            </w:tcBorders>
            <w:shd w:val="clear" w:color="auto" w:fill="auto"/>
            <w:noWrap/>
            <w:vAlign w:val="bottom"/>
            <w:hideMark/>
          </w:tcPr>
          <w:p w14:paraId="342C6464" w14:textId="77777777" w:rsidR="00E45705" w:rsidRPr="001B09E6" w:rsidRDefault="00E45705" w:rsidP="00E45705">
            <w:pPr>
              <w:pStyle w:val="TableColumnHeading"/>
              <w:spacing w:before="0" w:after="0"/>
              <w:ind w:left="0" w:right="0"/>
              <w:jc w:val="center"/>
              <w:rPr>
                <w:lang w:eastAsia="en-AU"/>
              </w:rPr>
            </w:pPr>
          </w:p>
        </w:tc>
        <w:tc>
          <w:tcPr>
            <w:tcW w:w="685" w:type="pct"/>
            <w:tcBorders>
              <w:top w:val="single" w:sz="4" w:space="0" w:color="auto"/>
              <w:left w:val="nil"/>
              <w:bottom w:val="single" w:sz="4" w:space="0" w:color="auto"/>
              <w:right w:val="nil"/>
            </w:tcBorders>
            <w:shd w:val="clear" w:color="auto" w:fill="auto"/>
            <w:noWrap/>
            <w:vAlign w:val="bottom"/>
            <w:hideMark/>
          </w:tcPr>
          <w:p w14:paraId="261428D2" w14:textId="77777777" w:rsidR="00E45705" w:rsidRPr="001B09E6" w:rsidRDefault="00E45705" w:rsidP="00E45705">
            <w:pPr>
              <w:pStyle w:val="TableColumnHeading"/>
              <w:spacing w:before="0" w:after="0"/>
              <w:ind w:left="0" w:right="0"/>
              <w:jc w:val="center"/>
              <w:rPr>
                <w:lang w:eastAsia="en-AU"/>
              </w:rPr>
            </w:pPr>
            <w:r w:rsidRPr="001B09E6">
              <w:rPr>
                <w:lang w:eastAsia="en-AU"/>
              </w:rPr>
              <w:t>2005</w:t>
            </w:r>
          </w:p>
        </w:tc>
        <w:tc>
          <w:tcPr>
            <w:tcW w:w="685" w:type="pct"/>
            <w:tcBorders>
              <w:top w:val="single" w:sz="4" w:space="0" w:color="auto"/>
              <w:left w:val="nil"/>
              <w:bottom w:val="single" w:sz="4" w:space="0" w:color="auto"/>
              <w:right w:val="nil"/>
            </w:tcBorders>
            <w:shd w:val="clear" w:color="auto" w:fill="auto"/>
            <w:noWrap/>
            <w:vAlign w:val="bottom"/>
            <w:hideMark/>
          </w:tcPr>
          <w:p w14:paraId="6E6EC79E" w14:textId="77777777" w:rsidR="00E45705" w:rsidRPr="001B09E6" w:rsidRDefault="00E45705" w:rsidP="00E45705">
            <w:pPr>
              <w:pStyle w:val="TableColumnHeading"/>
              <w:spacing w:before="0" w:after="0"/>
              <w:ind w:left="0" w:right="0"/>
              <w:jc w:val="center"/>
              <w:rPr>
                <w:lang w:eastAsia="en-AU"/>
              </w:rPr>
            </w:pPr>
            <w:r w:rsidRPr="001B09E6">
              <w:rPr>
                <w:lang w:eastAsia="en-AU"/>
              </w:rPr>
              <w:t>2006</w:t>
            </w:r>
          </w:p>
        </w:tc>
        <w:tc>
          <w:tcPr>
            <w:tcW w:w="685" w:type="pct"/>
            <w:tcBorders>
              <w:top w:val="single" w:sz="4" w:space="0" w:color="auto"/>
              <w:left w:val="nil"/>
              <w:bottom w:val="single" w:sz="4" w:space="0" w:color="auto"/>
              <w:right w:val="nil"/>
            </w:tcBorders>
            <w:shd w:val="clear" w:color="auto" w:fill="auto"/>
            <w:noWrap/>
            <w:vAlign w:val="bottom"/>
            <w:hideMark/>
          </w:tcPr>
          <w:p w14:paraId="2AECF59B" w14:textId="77777777" w:rsidR="00E45705" w:rsidRPr="001B09E6" w:rsidRDefault="00E45705" w:rsidP="00E45705">
            <w:pPr>
              <w:pStyle w:val="TableColumnHeading"/>
              <w:spacing w:before="0" w:after="0"/>
              <w:ind w:left="0" w:right="0"/>
              <w:jc w:val="center"/>
              <w:rPr>
                <w:lang w:eastAsia="en-AU"/>
              </w:rPr>
            </w:pPr>
            <w:r w:rsidRPr="001B09E6">
              <w:rPr>
                <w:lang w:eastAsia="en-AU"/>
              </w:rPr>
              <w:t>2007</w:t>
            </w:r>
          </w:p>
        </w:tc>
        <w:tc>
          <w:tcPr>
            <w:tcW w:w="685" w:type="pct"/>
            <w:tcBorders>
              <w:top w:val="single" w:sz="4" w:space="0" w:color="auto"/>
              <w:left w:val="nil"/>
              <w:bottom w:val="single" w:sz="4" w:space="0" w:color="auto"/>
              <w:right w:val="nil"/>
            </w:tcBorders>
            <w:shd w:val="clear" w:color="auto" w:fill="auto"/>
            <w:noWrap/>
            <w:vAlign w:val="bottom"/>
            <w:hideMark/>
          </w:tcPr>
          <w:p w14:paraId="5F9702DD" w14:textId="77777777" w:rsidR="00E45705" w:rsidRPr="001B09E6" w:rsidRDefault="00E45705" w:rsidP="00E45705">
            <w:pPr>
              <w:pStyle w:val="TableColumnHeading"/>
              <w:spacing w:before="0" w:after="0"/>
              <w:ind w:left="0" w:right="0"/>
              <w:jc w:val="center"/>
              <w:rPr>
                <w:lang w:eastAsia="en-AU"/>
              </w:rPr>
            </w:pPr>
            <w:r w:rsidRPr="001B09E6">
              <w:rPr>
                <w:lang w:eastAsia="en-AU"/>
              </w:rPr>
              <w:t>2008</w:t>
            </w:r>
          </w:p>
        </w:tc>
        <w:tc>
          <w:tcPr>
            <w:tcW w:w="685" w:type="pct"/>
            <w:tcBorders>
              <w:top w:val="single" w:sz="4" w:space="0" w:color="auto"/>
              <w:left w:val="nil"/>
              <w:bottom w:val="single" w:sz="4" w:space="0" w:color="auto"/>
              <w:right w:val="nil"/>
            </w:tcBorders>
            <w:shd w:val="clear" w:color="auto" w:fill="auto"/>
            <w:noWrap/>
            <w:vAlign w:val="bottom"/>
            <w:hideMark/>
          </w:tcPr>
          <w:p w14:paraId="3F55C408" w14:textId="77777777" w:rsidR="00E45705" w:rsidRPr="001B09E6" w:rsidRDefault="00E45705" w:rsidP="00E45705">
            <w:pPr>
              <w:pStyle w:val="TableColumnHeading"/>
              <w:spacing w:before="0" w:after="0"/>
              <w:ind w:left="0" w:right="0"/>
              <w:jc w:val="center"/>
              <w:rPr>
                <w:lang w:eastAsia="en-AU"/>
              </w:rPr>
            </w:pPr>
            <w:r w:rsidRPr="001B09E6">
              <w:rPr>
                <w:lang w:eastAsia="en-AU"/>
              </w:rPr>
              <w:t>2009</w:t>
            </w:r>
          </w:p>
        </w:tc>
      </w:tr>
      <w:tr w:rsidR="00E45705" w:rsidRPr="001B09E6" w14:paraId="1D15544F" w14:textId="77777777" w:rsidTr="00E45705">
        <w:trPr>
          <w:trHeight w:val="300"/>
        </w:trPr>
        <w:tc>
          <w:tcPr>
            <w:tcW w:w="1575" w:type="pct"/>
            <w:tcBorders>
              <w:top w:val="nil"/>
              <w:left w:val="nil"/>
              <w:bottom w:val="nil"/>
              <w:right w:val="nil"/>
            </w:tcBorders>
            <w:shd w:val="clear" w:color="auto" w:fill="auto"/>
            <w:noWrap/>
            <w:vAlign w:val="bottom"/>
            <w:hideMark/>
          </w:tcPr>
          <w:p w14:paraId="4E3BE3DE" w14:textId="77777777" w:rsidR="00E45705" w:rsidRPr="001B09E6" w:rsidRDefault="00E45705" w:rsidP="00E45705">
            <w:pPr>
              <w:pStyle w:val="TableCellText"/>
              <w:spacing w:before="0" w:after="0"/>
              <w:ind w:left="0" w:right="0"/>
              <w:rPr>
                <w:lang w:eastAsia="en-AU"/>
              </w:rPr>
            </w:pPr>
            <w:r w:rsidRPr="001B09E6">
              <w:rPr>
                <w:lang w:eastAsia="en-AU"/>
              </w:rPr>
              <w:t>Major cities</w:t>
            </w:r>
          </w:p>
        </w:tc>
        <w:tc>
          <w:tcPr>
            <w:tcW w:w="685" w:type="pct"/>
            <w:tcBorders>
              <w:top w:val="nil"/>
              <w:left w:val="nil"/>
              <w:bottom w:val="nil"/>
              <w:right w:val="nil"/>
            </w:tcBorders>
            <w:shd w:val="clear" w:color="auto" w:fill="auto"/>
            <w:noWrap/>
            <w:vAlign w:val="bottom"/>
            <w:hideMark/>
          </w:tcPr>
          <w:p w14:paraId="6AA196AF"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0.3</w:t>
            </w:r>
          </w:p>
        </w:tc>
        <w:tc>
          <w:tcPr>
            <w:tcW w:w="685" w:type="pct"/>
            <w:tcBorders>
              <w:top w:val="nil"/>
              <w:left w:val="nil"/>
              <w:bottom w:val="nil"/>
              <w:right w:val="nil"/>
            </w:tcBorders>
            <w:shd w:val="clear" w:color="auto" w:fill="auto"/>
            <w:noWrap/>
            <w:vAlign w:val="bottom"/>
            <w:hideMark/>
          </w:tcPr>
          <w:p w14:paraId="541EAC03"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0.2</w:t>
            </w:r>
          </w:p>
        </w:tc>
        <w:tc>
          <w:tcPr>
            <w:tcW w:w="685" w:type="pct"/>
            <w:tcBorders>
              <w:top w:val="nil"/>
              <w:left w:val="nil"/>
              <w:bottom w:val="nil"/>
              <w:right w:val="nil"/>
            </w:tcBorders>
            <w:shd w:val="clear" w:color="auto" w:fill="auto"/>
            <w:noWrap/>
            <w:vAlign w:val="bottom"/>
            <w:hideMark/>
          </w:tcPr>
          <w:p w14:paraId="37B9D345"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0.3</w:t>
            </w:r>
          </w:p>
        </w:tc>
        <w:tc>
          <w:tcPr>
            <w:tcW w:w="685" w:type="pct"/>
            <w:tcBorders>
              <w:top w:val="nil"/>
              <w:left w:val="nil"/>
              <w:bottom w:val="nil"/>
              <w:right w:val="nil"/>
            </w:tcBorders>
            <w:shd w:val="clear" w:color="auto" w:fill="auto"/>
            <w:noWrap/>
            <w:vAlign w:val="bottom"/>
            <w:hideMark/>
          </w:tcPr>
          <w:p w14:paraId="6EEAD249"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0.3</w:t>
            </w:r>
          </w:p>
        </w:tc>
        <w:tc>
          <w:tcPr>
            <w:tcW w:w="685" w:type="pct"/>
            <w:tcBorders>
              <w:top w:val="nil"/>
              <w:left w:val="nil"/>
              <w:bottom w:val="nil"/>
              <w:right w:val="nil"/>
            </w:tcBorders>
            <w:shd w:val="clear" w:color="auto" w:fill="auto"/>
            <w:noWrap/>
            <w:vAlign w:val="bottom"/>
            <w:hideMark/>
          </w:tcPr>
          <w:p w14:paraId="41921AA7"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0.4</w:t>
            </w:r>
          </w:p>
        </w:tc>
      </w:tr>
      <w:tr w:rsidR="00E45705" w:rsidRPr="001B09E6" w14:paraId="5BE4B01D" w14:textId="77777777" w:rsidTr="00E45705">
        <w:trPr>
          <w:trHeight w:val="300"/>
        </w:trPr>
        <w:tc>
          <w:tcPr>
            <w:tcW w:w="1575" w:type="pct"/>
            <w:tcBorders>
              <w:top w:val="nil"/>
              <w:left w:val="nil"/>
              <w:bottom w:val="nil"/>
              <w:right w:val="nil"/>
            </w:tcBorders>
            <w:shd w:val="clear" w:color="auto" w:fill="auto"/>
            <w:noWrap/>
            <w:vAlign w:val="bottom"/>
            <w:hideMark/>
          </w:tcPr>
          <w:p w14:paraId="565013CB" w14:textId="77777777" w:rsidR="00E45705" w:rsidRPr="001B09E6" w:rsidRDefault="00E45705" w:rsidP="00E45705">
            <w:pPr>
              <w:pStyle w:val="TableCellText"/>
              <w:spacing w:before="0" w:after="0"/>
              <w:ind w:left="0" w:right="0"/>
              <w:rPr>
                <w:lang w:eastAsia="en-AU"/>
              </w:rPr>
            </w:pPr>
            <w:r w:rsidRPr="001B09E6">
              <w:rPr>
                <w:lang w:eastAsia="en-AU"/>
              </w:rPr>
              <w:t>Inner regional</w:t>
            </w:r>
          </w:p>
        </w:tc>
        <w:tc>
          <w:tcPr>
            <w:tcW w:w="685" w:type="pct"/>
            <w:tcBorders>
              <w:top w:val="nil"/>
              <w:left w:val="nil"/>
              <w:bottom w:val="nil"/>
              <w:right w:val="nil"/>
            </w:tcBorders>
            <w:shd w:val="clear" w:color="auto" w:fill="auto"/>
            <w:noWrap/>
            <w:vAlign w:val="bottom"/>
            <w:hideMark/>
          </w:tcPr>
          <w:p w14:paraId="59143C52"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0.4</w:t>
            </w:r>
          </w:p>
        </w:tc>
        <w:tc>
          <w:tcPr>
            <w:tcW w:w="685" w:type="pct"/>
            <w:tcBorders>
              <w:top w:val="nil"/>
              <w:left w:val="nil"/>
              <w:bottom w:val="nil"/>
              <w:right w:val="nil"/>
            </w:tcBorders>
            <w:shd w:val="clear" w:color="auto" w:fill="auto"/>
            <w:noWrap/>
            <w:vAlign w:val="bottom"/>
            <w:hideMark/>
          </w:tcPr>
          <w:p w14:paraId="785AED01"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0.3</w:t>
            </w:r>
          </w:p>
        </w:tc>
        <w:tc>
          <w:tcPr>
            <w:tcW w:w="685" w:type="pct"/>
            <w:tcBorders>
              <w:top w:val="nil"/>
              <w:left w:val="nil"/>
              <w:bottom w:val="nil"/>
              <w:right w:val="nil"/>
            </w:tcBorders>
            <w:shd w:val="clear" w:color="auto" w:fill="auto"/>
            <w:noWrap/>
            <w:vAlign w:val="bottom"/>
            <w:hideMark/>
          </w:tcPr>
          <w:p w14:paraId="534329B0"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0.4</w:t>
            </w:r>
          </w:p>
        </w:tc>
        <w:tc>
          <w:tcPr>
            <w:tcW w:w="685" w:type="pct"/>
            <w:tcBorders>
              <w:top w:val="nil"/>
              <w:left w:val="nil"/>
              <w:bottom w:val="nil"/>
              <w:right w:val="nil"/>
            </w:tcBorders>
            <w:shd w:val="clear" w:color="auto" w:fill="auto"/>
            <w:noWrap/>
            <w:vAlign w:val="bottom"/>
            <w:hideMark/>
          </w:tcPr>
          <w:p w14:paraId="52A3152F"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0.5</w:t>
            </w:r>
          </w:p>
        </w:tc>
        <w:tc>
          <w:tcPr>
            <w:tcW w:w="685" w:type="pct"/>
            <w:tcBorders>
              <w:top w:val="nil"/>
              <w:left w:val="nil"/>
              <w:bottom w:val="nil"/>
              <w:right w:val="nil"/>
            </w:tcBorders>
            <w:shd w:val="clear" w:color="auto" w:fill="auto"/>
            <w:noWrap/>
            <w:vAlign w:val="bottom"/>
            <w:hideMark/>
          </w:tcPr>
          <w:p w14:paraId="55709A84"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0.5</w:t>
            </w:r>
          </w:p>
        </w:tc>
      </w:tr>
      <w:tr w:rsidR="00E45705" w:rsidRPr="001B09E6" w14:paraId="31921E5D" w14:textId="77777777" w:rsidTr="00E45705">
        <w:trPr>
          <w:trHeight w:val="300"/>
        </w:trPr>
        <w:tc>
          <w:tcPr>
            <w:tcW w:w="1575" w:type="pct"/>
            <w:tcBorders>
              <w:top w:val="nil"/>
              <w:left w:val="nil"/>
              <w:bottom w:val="nil"/>
              <w:right w:val="nil"/>
            </w:tcBorders>
            <w:shd w:val="clear" w:color="auto" w:fill="auto"/>
            <w:noWrap/>
            <w:vAlign w:val="bottom"/>
            <w:hideMark/>
          </w:tcPr>
          <w:p w14:paraId="6F453388" w14:textId="77777777" w:rsidR="00E45705" w:rsidRPr="001B09E6" w:rsidRDefault="00E45705" w:rsidP="00E45705">
            <w:pPr>
              <w:pStyle w:val="TableCellText"/>
              <w:spacing w:before="0" w:after="0"/>
              <w:ind w:left="0" w:right="0"/>
              <w:rPr>
                <w:lang w:eastAsia="en-AU"/>
              </w:rPr>
            </w:pPr>
            <w:r w:rsidRPr="001B09E6">
              <w:rPr>
                <w:lang w:eastAsia="en-AU"/>
              </w:rPr>
              <w:t>Outer regional</w:t>
            </w:r>
          </w:p>
        </w:tc>
        <w:tc>
          <w:tcPr>
            <w:tcW w:w="685" w:type="pct"/>
            <w:tcBorders>
              <w:top w:val="nil"/>
              <w:left w:val="nil"/>
              <w:bottom w:val="nil"/>
              <w:right w:val="nil"/>
            </w:tcBorders>
            <w:shd w:val="clear" w:color="auto" w:fill="auto"/>
            <w:noWrap/>
            <w:vAlign w:val="bottom"/>
            <w:hideMark/>
          </w:tcPr>
          <w:p w14:paraId="4CD6D0EE"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0.5</w:t>
            </w:r>
          </w:p>
        </w:tc>
        <w:tc>
          <w:tcPr>
            <w:tcW w:w="685" w:type="pct"/>
            <w:tcBorders>
              <w:top w:val="nil"/>
              <w:left w:val="nil"/>
              <w:bottom w:val="nil"/>
              <w:right w:val="nil"/>
            </w:tcBorders>
            <w:shd w:val="clear" w:color="auto" w:fill="auto"/>
            <w:noWrap/>
            <w:vAlign w:val="bottom"/>
            <w:hideMark/>
          </w:tcPr>
          <w:p w14:paraId="681A2349"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0.5</w:t>
            </w:r>
          </w:p>
        </w:tc>
        <w:tc>
          <w:tcPr>
            <w:tcW w:w="685" w:type="pct"/>
            <w:tcBorders>
              <w:top w:val="nil"/>
              <w:left w:val="nil"/>
              <w:bottom w:val="nil"/>
              <w:right w:val="nil"/>
            </w:tcBorders>
            <w:shd w:val="clear" w:color="auto" w:fill="auto"/>
            <w:noWrap/>
            <w:vAlign w:val="bottom"/>
            <w:hideMark/>
          </w:tcPr>
          <w:p w14:paraId="4DC885C7"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0.5</w:t>
            </w:r>
          </w:p>
        </w:tc>
        <w:tc>
          <w:tcPr>
            <w:tcW w:w="685" w:type="pct"/>
            <w:tcBorders>
              <w:top w:val="nil"/>
              <w:left w:val="nil"/>
              <w:bottom w:val="nil"/>
              <w:right w:val="nil"/>
            </w:tcBorders>
            <w:shd w:val="clear" w:color="auto" w:fill="auto"/>
            <w:noWrap/>
            <w:vAlign w:val="bottom"/>
            <w:hideMark/>
          </w:tcPr>
          <w:p w14:paraId="20C11077"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0.7</w:t>
            </w:r>
          </w:p>
        </w:tc>
        <w:tc>
          <w:tcPr>
            <w:tcW w:w="685" w:type="pct"/>
            <w:tcBorders>
              <w:top w:val="nil"/>
              <w:left w:val="nil"/>
              <w:bottom w:val="nil"/>
              <w:right w:val="nil"/>
            </w:tcBorders>
            <w:shd w:val="clear" w:color="auto" w:fill="auto"/>
            <w:noWrap/>
            <w:vAlign w:val="bottom"/>
            <w:hideMark/>
          </w:tcPr>
          <w:p w14:paraId="29A171A9"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0.8</w:t>
            </w:r>
          </w:p>
        </w:tc>
      </w:tr>
      <w:tr w:rsidR="00E45705" w:rsidRPr="001B09E6" w14:paraId="322030EF" w14:textId="77777777" w:rsidTr="00E45705">
        <w:trPr>
          <w:trHeight w:val="300"/>
        </w:trPr>
        <w:tc>
          <w:tcPr>
            <w:tcW w:w="1575" w:type="pct"/>
            <w:tcBorders>
              <w:top w:val="nil"/>
              <w:left w:val="nil"/>
              <w:bottom w:val="nil"/>
              <w:right w:val="nil"/>
            </w:tcBorders>
            <w:shd w:val="clear" w:color="auto" w:fill="auto"/>
            <w:noWrap/>
            <w:vAlign w:val="bottom"/>
            <w:hideMark/>
          </w:tcPr>
          <w:p w14:paraId="4DA39194" w14:textId="77777777" w:rsidR="00E45705" w:rsidRPr="001B09E6" w:rsidRDefault="00E45705" w:rsidP="00E45705">
            <w:pPr>
              <w:pStyle w:val="TableCellText"/>
              <w:spacing w:before="0" w:after="0"/>
              <w:ind w:left="0" w:right="0"/>
              <w:rPr>
                <w:lang w:eastAsia="en-AU"/>
              </w:rPr>
            </w:pPr>
            <w:r w:rsidRPr="001B09E6">
              <w:rPr>
                <w:lang w:eastAsia="en-AU"/>
              </w:rPr>
              <w:t>Remote</w:t>
            </w:r>
          </w:p>
        </w:tc>
        <w:tc>
          <w:tcPr>
            <w:tcW w:w="685" w:type="pct"/>
            <w:tcBorders>
              <w:top w:val="nil"/>
              <w:left w:val="nil"/>
              <w:bottom w:val="nil"/>
              <w:right w:val="nil"/>
            </w:tcBorders>
            <w:shd w:val="clear" w:color="auto" w:fill="auto"/>
            <w:noWrap/>
            <w:vAlign w:val="bottom"/>
            <w:hideMark/>
          </w:tcPr>
          <w:p w14:paraId="1714B2A9"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0.5</w:t>
            </w:r>
          </w:p>
        </w:tc>
        <w:tc>
          <w:tcPr>
            <w:tcW w:w="685" w:type="pct"/>
            <w:tcBorders>
              <w:top w:val="nil"/>
              <w:left w:val="nil"/>
              <w:bottom w:val="nil"/>
              <w:right w:val="nil"/>
            </w:tcBorders>
            <w:shd w:val="clear" w:color="auto" w:fill="auto"/>
            <w:noWrap/>
            <w:vAlign w:val="bottom"/>
            <w:hideMark/>
          </w:tcPr>
          <w:p w14:paraId="1016B359"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0.5</w:t>
            </w:r>
          </w:p>
        </w:tc>
        <w:tc>
          <w:tcPr>
            <w:tcW w:w="685" w:type="pct"/>
            <w:tcBorders>
              <w:top w:val="nil"/>
              <w:left w:val="nil"/>
              <w:bottom w:val="nil"/>
              <w:right w:val="nil"/>
            </w:tcBorders>
            <w:shd w:val="clear" w:color="auto" w:fill="auto"/>
            <w:noWrap/>
            <w:vAlign w:val="bottom"/>
            <w:hideMark/>
          </w:tcPr>
          <w:p w14:paraId="51EB086A"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0.6</w:t>
            </w:r>
          </w:p>
        </w:tc>
        <w:tc>
          <w:tcPr>
            <w:tcW w:w="685" w:type="pct"/>
            <w:tcBorders>
              <w:top w:val="nil"/>
              <w:left w:val="nil"/>
              <w:bottom w:val="nil"/>
              <w:right w:val="nil"/>
            </w:tcBorders>
            <w:shd w:val="clear" w:color="auto" w:fill="auto"/>
            <w:noWrap/>
            <w:vAlign w:val="bottom"/>
            <w:hideMark/>
          </w:tcPr>
          <w:p w14:paraId="40AEB55B"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0.9</w:t>
            </w:r>
          </w:p>
        </w:tc>
        <w:tc>
          <w:tcPr>
            <w:tcW w:w="685" w:type="pct"/>
            <w:tcBorders>
              <w:top w:val="nil"/>
              <w:left w:val="nil"/>
              <w:bottom w:val="nil"/>
              <w:right w:val="nil"/>
            </w:tcBorders>
            <w:shd w:val="clear" w:color="auto" w:fill="auto"/>
            <w:noWrap/>
            <w:vAlign w:val="bottom"/>
            <w:hideMark/>
          </w:tcPr>
          <w:p w14:paraId="09703EA7"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1.0</w:t>
            </w:r>
          </w:p>
        </w:tc>
      </w:tr>
      <w:tr w:rsidR="00E45705" w:rsidRPr="001B09E6" w14:paraId="6472BC0D" w14:textId="77777777" w:rsidTr="00E45705">
        <w:trPr>
          <w:trHeight w:val="300"/>
        </w:trPr>
        <w:tc>
          <w:tcPr>
            <w:tcW w:w="1575" w:type="pct"/>
            <w:tcBorders>
              <w:top w:val="nil"/>
              <w:left w:val="nil"/>
              <w:bottom w:val="single" w:sz="4" w:space="0" w:color="auto"/>
              <w:right w:val="nil"/>
            </w:tcBorders>
            <w:shd w:val="clear" w:color="auto" w:fill="auto"/>
            <w:noWrap/>
            <w:vAlign w:val="bottom"/>
            <w:hideMark/>
          </w:tcPr>
          <w:p w14:paraId="1802175F" w14:textId="77777777" w:rsidR="00E45705" w:rsidRPr="001B09E6" w:rsidRDefault="00E45705" w:rsidP="00E45705">
            <w:pPr>
              <w:pStyle w:val="TableCellText"/>
              <w:spacing w:before="0" w:after="0"/>
              <w:ind w:left="0" w:right="0"/>
              <w:rPr>
                <w:lang w:eastAsia="en-AU"/>
              </w:rPr>
            </w:pPr>
            <w:r w:rsidRPr="001B09E6">
              <w:rPr>
                <w:lang w:eastAsia="en-AU"/>
              </w:rPr>
              <w:t>Very remote</w:t>
            </w:r>
          </w:p>
        </w:tc>
        <w:tc>
          <w:tcPr>
            <w:tcW w:w="685" w:type="pct"/>
            <w:tcBorders>
              <w:top w:val="nil"/>
              <w:left w:val="nil"/>
              <w:bottom w:val="single" w:sz="4" w:space="0" w:color="auto"/>
              <w:right w:val="nil"/>
            </w:tcBorders>
            <w:shd w:val="clear" w:color="auto" w:fill="auto"/>
            <w:noWrap/>
            <w:vAlign w:val="bottom"/>
            <w:hideMark/>
          </w:tcPr>
          <w:p w14:paraId="2347431F"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0.5</w:t>
            </w:r>
          </w:p>
        </w:tc>
        <w:tc>
          <w:tcPr>
            <w:tcW w:w="685" w:type="pct"/>
            <w:tcBorders>
              <w:top w:val="nil"/>
              <w:left w:val="nil"/>
              <w:bottom w:val="single" w:sz="4" w:space="0" w:color="auto"/>
              <w:right w:val="nil"/>
            </w:tcBorders>
            <w:shd w:val="clear" w:color="auto" w:fill="auto"/>
            <w:noWrap/>
            <w:vAlign w:val="bottom"/>
            <w:hideMark/>
          </w:tcPr>
          <w:p w14:paraId="7FE6CB28"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0.4</w:t>
            </w:r>
          </w:p>
        </w:tc>
        <w:tc>
          <w:tcPr>
            <w:tcW w:w="685" w:type="pct"/>
            <w:tcBorders>
              <w:top w:val="nil"/>
              <w:left w:val="nil"/>
              <w:bottom w:val="single" w:sz="4" w:space="0" w:color="auto"/>
              <w:right w:val="nil"/>
            </w:tcBorders>
            <w:shd w:val="clear" w:color="auto" w:fill="auto"/>
            <w:noWrap/>
            <w:vAlign w:val="bottom"/>
            <w:hideMark/>
          </w:tcPr>
          <w:p w14:paraId="540CC7FF"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0.4</w:t>
            </w:r>
          </w:p>
        </w:tc>
        <w:tc>
          <w:tcPr>
            <w:tcW w:w="685" w:type="pct"/>
            <w:tcBorders>
              <w:top w:val="nil"/>
              <w:left w:val="nil"/>
              <w:bottom w:val="single" w:sz="4" w:space="0" w:color="auto"/>
              <w:right w:val="nil"/>
            </w:tcBorders>
            <w:shd w:val="clear" w:color="auto" w:fill="auto"/>
            <w:noWrap/>
            <w:vAlign w:val="bottom"/>
            <w:hideMark/>
          </w:tcPr>
          <w:p w14:paraId="09617541"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0.8</w:t>
            </w:r>
          </w:p>
        </w:tc>
        <w:tc>
          <w:tcPr>
            <w:tcW w:w="685" w:type="pct"/>
            <w:tcBorders>
              <w:top w:val="nil"/>
              <w:left w:val="nil"/>
              <w:bottom w:val="single" w:sz="4" w:space="0" w:color="auto"/>
              <w:right w:val="nil"/>
            </w:tcBorders>
            <w:shd w:val="clear" w:color="auto" w:fill="auto"/>
            <w:noWrap/>
            <w:vAlign w:val="bottom"/>
            <w:hideMark/>
          </w:tcPr>
          <w:p w14:paraId="7ADBFC80" w14:textId="77777777" w:rsidR="00E45705" w:rsidRPr="001B09E6" w:rsidRDefault="00E45705" w:rsidP="00E45705">
            <w:pPr>
              <w:pStyle w:val="TableCellText"/>
              <w:spacing w:before="0" w:after="0"/>
              <w:ind w:left="0" w:right="0"/>
              <w:jc w:val="center"/>
              <w:rPr>
                <w:rFonts w:asciiTheme="majorHAnsi" w:hAnsiTheme="majorHAnsi"/>
              </w:rPr>
            </w:pPr>
            <w:r w:rsidRPr="001B09E6">
              <w:rPr>
                <w:rFonts w:asciiTheme="majorHAnsi" w:hAnsiTheme="majorHAnsi"/>
              </w:rPr>
              <w:t>0.9</w:t>
            </w:r>
          </w:p>
        </w:tc>
      </w:tr>
    </w:tbl>
    <w:p w14:paraId="20A51AD0" w14:textId="77777777" w:rsidR="00E45705" w:rsidRPr="001B09E6" w:rsidRDefault="00E45705" w:rsidP="00E45705">
      <w:pPr>
        <w:pStyle w:val="Tablenote"/>
        <w:spacing w:after="0"/>
        <w:ind w:right="0"/>
        <w:rPr>
          <w:lang w:eastAsia="en-AU"/>
        </w:rPr>
      </w:pPr>
      <w:r w:rsidRPr="001B09E6">
        <w:rPr>
          <w:lang w:eastAsia="en-AU"/>
        </w:rPr>
        <w:t>Note: Population not available by both remoteness region and age, so numbers are expressed as a percentage of the total population for that remoteness region. South Australia did not submit a complete dataset for qualifications completed</w:t>
      </w:r>
    </w:p>
    <w:p w14:paraId="79025A1A" w14:textId="77777777" w:rsidR="00E45705" w:rsidRPr="001B09E6" w:rsidRDefault="00E45705" w:rsidP="00E45705">
      <w:pPr>
        <w:pStyle w:val="Tablenote"/>
      </w:pPr>
      <w:r w:rsidRPr="001B09E6">
        <w:t>Source: National VET in Schools Collection. ABS Regional Population Growth, Australia 3218.0</w:t>
      </w:r>
    </w:p>
    <w:p w14:paraId="6A478EA7" w14:textId="77777777" w:rsidR="00E45705" w:rsidRPr="001B09E6" w:rsidRDefault="00E45705" w:rsidP="00E45705">
      <w:pPr>
        <w:pStyle w:val="Heading3NoNumbering"/>
      </w:pPr>
      <w:bookmarkStart w:id="197" w:name="_Toc192134420"/>
      <w:bookmarkStart w:id="198" w:name="_Toc333919009"/>
      <w:r w:rsidRPr="001B09E6">
        <w:t>Table A2.26: VET attainment, SES disadvantage</w:t>
      </w:r>
      <w:bookmarkEnd w:id="197"/>
      <w:bookmarkEnd w:id="198"/>
    </w:p>
    <w:p w14:paraId="56389C92" w14:textId="77777777" w:rsidR="00E45705" w:rsidRPr="001B09E6" w:rsidRDefault="00E45705" w:rsidP="00E45705">
      <w:pPr>
        <w:pStyle w:val="TableHeading"/>
        <w:spacing w:before="112"/>
      </w:pPr>
      <w:r w:rsidRPr="001B09E6">
        <w:t>Course completions at Certificate II level or above by 15-24 year olds by socio-economic status (SEIFA Index of Relative Socio-economic Disadvantage) as a percentage of total, 2006-10, excluding those attending school and those whose SEIFA quintile is not known (%)</w:t>
      </w:r>
    </w:p>
    <w:tbl>
      <w:tblPr>
        <w:tblW w:w="4541" w:type="pct"/>
        <w:tblLook w:val="04A0" w:firstRow="1" w:lastRow="0" w:firstColumn="1" w:lastColumn="0" w:noHBand="0" w:noVBand="1"/>
        <w:tblCaption w:val="Table A2.26: VET attainment, SES disadvantage Course completions at Certificate II level or above by 15-24 year olds by socio-economic status (SEIFA Index of Relative Socio-economic Disadvantage) as a percentage of total, 2006-10, excluding those attending school and those whose SEIFA quintile is not known (%) "/>
        <w:tblDescription w:val="Table A2.26: VET attainment, SES disadvantage&#10;Course completions at Certificate II level or above by 15-24 year olds by socio-economic status (SEIFA Index of Relative Socio-economic Disadvantage) as a percentage of total, 2006-10, excluding those attending school and those whose SEIFA quintile is not known (%)&#10;"/>
      </w:tblPr>
      <w:tblGrid>
        <w:gridCol w:w="3147"/>
        <w:gridCol w:w="2088"/>
        <w:gridCol w:w="1339"/>
        <w:gridCol w:w="1339"/>
        <w:gridCol w:w="1341"/>
        <w:gridCol w:w="1341"/>
        <w:gridCol w:w="1338"/>
        <w:gridCol w:w="1341"/>
      </w:tblGrid>
      <w:tr w:rsidR="00E45705" w:rsidRPr="001B09E6" w14:paraId="608F81E1" w14:textId="77777777" w:rsidTr="00E45705">
        <w:trPr>
          <w:trHeight w:val="225"/>
        </w:trPr>
        <w:tc>
          <w:tcPr>
            <w:tcW w:w="1184" w:type="pct"/>
            <w:tcBorders>
              <w:top w:val="single" w:sz="4" w:space="0" w:color="auto"/>
              <w:left w:val="nil"/>
              <w:bottom w:val="single" w:sz="4" w:space="0" w:color="auto"/>
            </w:tcBorders>
            <w:shd w:val="clear" w:color="auto" w:fill="auto"/>
            <w:noWrap/>
            <w:hideMark/>
          </w:tcPr>
          <w:p w14:paraId="54DB6933" w14:textId="77777777" w:rsidR="00E45705" w:rsidRPr="001B09E6" w:rsidRDefault="00E45705" w:rsidP="00E45705">
            <w:pPr>
              <w:pStyle w:val="TableColumnHeading"/>
              <w:spacing w:before="0" w:after="0"/>
              <w:ind w:left="0" w:right="0"/>
            </w:pPr>
          </w:p>
        </w:tc>
        <w:tc>
          <w:tcPr>
            <w:tcW w:w="786" w:type="pct"/>
            <w:tcBorders>
              <w:top w:val="single" w:sz="4" w:space="0" w:color="auto"/>
              <w:bottom w:val="single" w:sz="4" w:space="0" w:color="auto"/>
            </w:tcBorders>
          </w:tcPr>
          <w:p w14:paraId="005FB368" w14:textId="77777777" w:rsidR="00E45705" w:rsidRPr="001B09E6" w:rsidRDefault="00E45705" w:rsidP="00E45705">
            <w:pPr>
              <w:pStyle w:val="TableColumnHeading"/>
              <w:spacing w:before="0" w:after="0"/>
              <w:ind w:left="0" w:right="0"/>
            </w:pPr>
          </w:p>
        </w:tc>
        <w:tc>
          <w:tcPr>
            <w:tcW w:w="504" w:type="pct"/>
            <w:tcBorders>
              <w:top w:val="single" w:sz="4" w:space="0" w:color="auto"/>
              <w:bottom w:val="single" w:sz="4" w:space="0" w:color="auto"/>
            </w:tcBorders>
          </w:tcPr>
          <w:p w14:paraId="72724324" w14:textId="77777777" w:rsidR="00E45705" w:rsidRPr="001B09E6" w:rsidRDefault="00E45705" w:rsidP="00E45705">
            <w:pPr>
              <w:pStyle w:val="TableColumnHeading"/>
              <w:spacing w:before="0" w:after="0"/>
              <w:ind w:left="0" w:right="0"/>
            </w:pPr>
            <w:r w:rsidRPr="001B09E6">
              <w:t>2005</w:t>
            </w:r>
          </w:p>
        </w:tc>
        <w:tc>
          <w:tcPr>
            <w:tcW w:w="504" w:type="pct"/>
            <w:tcBorders>
              <w:top w:val="single" w:sz="4" w:space="0" w:color="auto"/>
              <w:bottom w:val="single" w:sz="4" w:space="0" w:color="auto"/>
            </w:tcBorders>
            <w:shd w:val="clear" w:color="auto" w:fill="auto"/>
            <w:noWrap/>
            <w:hideMark/>
          </w:tcPr>
          <w:p w14:paraId="2486BC49" w14:textId="77777777" w:rsidR="00E45705" w:rsidRPr="001B09E6" w:rsidRDefault="00E45705" w:rsidP="00E45705">
            <w:pPr>
              <w:pStyle w:val="TableColumnHeading"/>
              <w:spacing w:before="0" w:after="0"/>
              <w:ind w:left="0" w:right="0"/>
            </w:pPr>
            <w:r w:rsidRPr="001B09E6">
              <w:t>2006</w:t>
            </w:r>
          </w:p>
        </w:tc>
        <w:tc>
          <w:tcPr>
            <w:tcW w:w="505" w:type="pct"/>
            <w:tcBorders>
              <w:top w:val="single" w:sz="4" w:space="0" w:color="auto"/>
              <w:bottom w:val="single" w:sz="4" w:space="0" w:color="auto"/>
            </w:tcBorders>
            <w:shd w:val="clear" w:color="auto" w:fill="auto"/>
            <w:noWrap/>
            <w:hideMark/>
          </w:tcPr>
          <w:p w14:paraId="5FF1F64A" w14:textId="77777777" w:rsidR="00E45705" w:rsidRPr="001B09E6" w:rsidRDefault="00E45705" w:rsidP="00E45705">
            <w:pPr>
              <w:pStyle w:val="TableColumnHeading"/>
              <w:spacing w:before="0" w:after="0"/>
              <w:ind w:left="0" w:right="0"/>
            </w:pPr>
            <w:r w:rsidRPr="001B09E6">
              <w:t>2007</w:t>
            </w:r>
          </w:p>
        </w:tc>
        <w:tc>
          <w:tcPr>
            <w:tcW w:w="505" w:type="pct"/>
            <w:tcBorders>
              <w:top w:val="single" w:sz="4" w:space="0" w:color="auto"/>
              <w:bottom w:val="single" w:sz="4" w:space="0" w:color="auto"/>
            </w:tcBorders>
            <w:shd w:val="clear" w:color="auto" w:fill="auto"/>
            <w:noWrap/>
            <w:hideMark/>
          </w:tcPr>
          <w:p w14:paraId="60825072" w14:textId="77777777" w:rsidR="00E45705" w:rsidRPr="001B09E6" w:rsidRDefault="00E45705" w:rsidP="00E45705">
            <w:pPr>
              <w:pStyle w:val="TableColumnHeading"/>
              <w:spacing w:before="0" w:after="0"/>
              <w:ind w:left="0" w:right="0"/>
            </w:pPr>
            <w:r w:rsidRPr="001B09E6">
              <w:t>2008</w:t>
            </w:r>
          </w:p>
        </w:tc>
        <w:tc>
          <w:tcPr>
            <w:tcW w:w="504" w:type="pct"/>
            <w:tcBorders>
              <w:top w:val="single" w:sz="4" w:space="0" w:color="auto"/>
              <w:bottom w:val="single" w:sz="4" w:space="0" w:color="auto"/>
            </w:tcBorders>
            <w:shd w:val="clear" w:color="auto" w:fill="auto"/>
            <w:noWrap/>
            <w:hideMark/>
          </w:tcPr>
          <w:p w14:paraId="0254FDE9" w14:textId="77777777" w:rsidR="00E45705" w:rsidRPr="001B09E6" w:rsidRDefault="00E45705" w:rsidP="00E45705">
            <w:pPr>
              <w:pStyle w:val="TableColumnHeading"/>
              <w:spacing w:before="0" w:after="0"/>
              <w:ind w:left="0" w:right="0"/>
            </w:pPr>
            <w:r w:rsidRPr="001B09E6">
              <w:t>2009</w:t>
            </w:r>
          </w:p>
        </w:tc>
        <w:tc>
          <w:tcPr>
            <w:tcW w:w="505" w:type="pct"/>
            <w:tcBorders>
              <w:top w:val="single" w:sz="4" w:space="0" w:color="auto"/>
              <w:bottom w:val="single" w:sz="4" w:space="0" w:color="auto"/>
            </w:tcBorders>
            <w:shd w:val="clear" w:color="auto" w:fill="auto"/>
            <w:noWrap/>
            <w:hideMark/>
          </w:tcPr>
          <w:p w14:paraId="119D749E" w14:textId="77777777" w:rsidR="00E45705" w:rsidRPr="001B09E6" w:rsidRDefault="00E45705" w:rsidP="00E45705">
            <w:pPr>
              <w:pStyle w:val="TableColumnHeading"/>
              <w:spacing w:before="0" w:after="0"/>
              <w:ind w:left="0" w:right="0"/>
            </w:pPr>
            <w:r w:rsidRPr="001B09E6">
              <w:t>2010</w:t>
            </w:r>
          </w:p>
        </w:tc>
      </w:tr>
      <w:tr w:rsidR="00E45705" w:rsidRPr="001B09E6" w14:paraId="65C6D6F7" w14:textId="77777777" w:rsidTr="00E45705">
        <w:trPr>
          <w:trHeight w:val="225"/>
        </w:trPr>
        <w:tc>
          <w:tcPr>
            <w:tcW w:w="1184" w:type="pct"/>
            <w:tcBorders>
              <w:top w:val="single" w:sz="4" w:space="0" w:color="auto"/>
              <w:left w:val="nil"/>
              <w:right w:val="nil"/>
            </w:tcBorders>
            <w:shd w:val="clear" w:color="auto" w:fill="auto"/>
            <w:noWrap/>
            <w:hideMark/>
          </w:tcPr>
          <w:p w14:paraId="7C767338" w14:textId="77777777" w:rsidR="00E45705" w:rsidRPr="001B09E6" w:rsidRDefault="00E45705" w:rsidP="00E45705">
            <w:pPr>
              <w:pStyle w:val="TableCellText"/>
              <w:spacing w:before="0" w:after="0"/>
              <w:ind w:left="0" w:right="0"/>
            </w:pPr>
            <w:r w:rsidRPr="001B09E6">
              <w:t>Quintile 1: Most disadvantaged</w:t>
            </w:r>
          </w:p>
        </w:tc>
        <w:tc>
          <w:tcPr>
            <w:tcW w:w="786" w:type="pct"/>
            <w:tcBorders>
              <w:top w:val="single" w:sz="4" w:space="0" w:color="auto"/>
              <w:left w:val="nil"/>
              <w:right w:val="nil"/>
            </w:tcBorders>
          </w:tcPr>
          <w:p w14:paraId="672F2D6B" w14:textId="77777777" w:rsidR="00E45705" w:rsidRPr="001B09E6" w:rsidRDefault="00E45705" w:rsidP="00E45705">
            <w:pPr>
              <w:pStyle w:val="TableCellText"/>
              <w:spacing w:before="0" w:after="0"/>
              <w:ind w:left="0" w:right="0"/>
            </w:pPr>
            <w:r w:rsidRPr="001B09E6">
              <w:t>15 to 19 years</w:t>
            </w:r>
          </w:p>
        </w:tc>
        <w:tc>
          <w:tcPr>
            <w:tcW w:w="504" w:type="pct"/>
            <w:tcBorders>
              <w:top w:val="single" w:sz="4" w:space="0" w:color="auto"/>
              <w:left w:val="nil"/>
              <w:right w:val="nil"/>
            </w:tcBorders>
          </w:tcPr>
          <w:p w14:paraId="17EE484D" w14:textId="77777777" w:rsidR="00E45705" w:rsidRPr="001B09E6" w:rsidRDefault="00E45705" w:rsidP="00E45705">
            <w:pPr>
              <w:pStyle w:val="TableCellText"/>
              <w:spacing w:before="0" w:after="0"/>
              <w:ind w:left="0" w:right="0"/>
            </w:pPr>
            <w:r w:rsidRPr="001B09E6">
              <w:t>16.1</w:t>
            </w:r>
          </w:p>
        </w:tc>
        <w:tc>
          <w:tcPr>
            <w:tcW w:w="504" w:type="pct"/>
            <w:tcBorders>
              <w:top w:val="single" w:sz="4" w:space="0" w:color="auto"/>
              <w:left w:val="nil"/>
              <w:right w:val="nil"/>
            </w:tcBorders>
            <w:shd w:val="clear" w:color="auto" w:fill="auto"/>
            <w:noWrap/>
            <w:hideMark/>
          </w:tcPr>
          <w:p w14:paraId="2B587110" w14:textId="77777777" w:rsidR="00E45705" w:rsidRPr="001B09E6" w:rsidRDefault="00E45705" w:rsidP="00E45705">
            <w:pPr>
              <w:pStyle w:val="TableCellText"/>
              <w:spacing w:before="0" w:after="0"/>
              <w:ind w:left="0" w:right="0"/>
            </w:pPr>
            <w:r w:rsidRPr="001B09E6">
              <w:t>13.8</w:t>
            </w:r>
          </w:p>
        </w:tc>
        <w:tc>
          <w:tcPr>
            <w:tcW w:w="505" w:type="pct"/>
            <w:tcBorders>
              <w:top w:val="single" w:sz="4" w:space="0" w:color="auto"/>
              <w:left w:val="nil"/>
              <w:right w:val="nil"/>
            </w:tcBorders>
            <w:shd w:val="clear" w:color="auto" w:fill="auto"/>
            <w:noWrap/>
            <w:hideMark/>
          </w:tcPr>
          <w:p w14:paraId="7AF64A67" w14:textId="77777777" w:rsidR="00E45705" w:rsidRPr="001B09E6" w:rsidRDefault="00E45705" w:rsidP="00E45705">
            <w:pPr>
              <w:pStyle w:val="TableCellText"/>
              <w:spacing w:before="0" w:after="0"/>
              <w:ind w:left="0" w:right="0"/>
            </w:pPr>
            <w:r w:rsidRPr="001B09E6">
              <w:t>14.0</w:t>
            </w:r>
          </w:p>
        </w:tc>
        <w:tc>
          <w:tcPr>
            <w:tcW w:w="505" w:type="pct"/>
            <w:tcBorders>
              <w:top w:val="single" w:sz="4" w:space="0" w:color="auto"/>
              <w:left w:val="nil"/>
              <w:right w:val="nil"/>
            </w:tcBorders>
            <w:shd w:val="clear" w:color="auto" w:fill="auto"/>
            <w:noWrap/>
            <w:hideMark/>
          </w:tcPr>
          <w:p w14:paraId="55913838" w14:textId="77777777" w:rsidR="00E45705" w:rsidRPr="001B09E6" w:rsidRDefault="00E45705" w:rsidP="00E45705">
            <w:pPr>
              <w:pStyle w:val="TableCellText"/>
              <w:spacing w:before="0" w:after="0"/>
              <w:ind w:left="0" w:right="0"/>
            </w:pPr>
            <w:r w:rsidRPr="001B09E6">
              <w:t>14.5</w:t>
            </w:r>
          </w:p>
        </w:tc>
        <w:tc>
          <w:tcPr>
            <w:tcW w:w="504" w:type="pct"/>
            <w:tcBorders>
              <w:top w:val="single" w:sz="4" w:space="0" w:color="auto"/>
              <w:left w:val="nil"/>
              <w:right w:val="nil"/>
            </w:tcBorders>
            <w:shd w:val="clear" w:color="auto" w:fill="auto"/>
            <w:noWrap/>
            <w:hideMark/>
          </w:tcPr>
          <w:p w14:paraId="3F269E47" w14:textId="77777777" w:rsidR="00E45705" w:rsidRPr="001B09E6" w:rsidRDefault="00E45705" w:rsidP="00E45705">
            <w:pPr>
              <w:pStyle w:val="TableCellText"/>
              <w:spacing w:before="0" w:after="0"/>
              <w:ind w:left="0" w:right="0"/>
            </w:pPr>
            <w:r w:rsidRPr="001B09E6">
              <w:t>13.7</w:t>
            </w:r>
          </w:p>
        </w:tc>
        <w:tc>
          <w:tcPr>
            <w:tcW w:w="505" w:type="pct"/>
            <w:tcBorders>
              <w:top w:val="single" w:sz="4" w:space="0" w:color="auto"/>
              <w:left w:val="nil"/>
              <w:right w:val="nil"/>
            </w:tcBorders>
            <w:shd w:val="clear" w:color="auto" w:fill="auto"/>
            <w:noWrap/>
            <w:hideMark/>
          </w:tcPr>
          <w:p w14:paraId="4792CCC7" w14:textId="77777777" w:rsidR="00E45705" w:rsidRPr="001B09E6" w:rsidRDefault="00E45705" w:rsidP="00E45705">
            <w:pPr>
              <w:pStyle w:val="TableCellText"/>
              <w:spacing w:before="0" w:after="0"/>
              <w:ind w:left="0" w:right="0"/>
            </w:pPr>
            <w:r w:rsidRPr="001B09E6">
              <w:t>14.5</w:t>
            </w:r>
          </w:p>
        </w:tc>
      </w:tr>
      <w:tr w:rsidR="00E45705" w:rsidRPr="001B09E6" w14:paraId="67F86368" w14:textId="77777777" w:rsidTr="00E45705">
        <w:trPr>
          <w:trHeight w:val="225"/>
        </w:trPr>
        <w:tc>
          <w:tcPr>
            <w:tcW w:w="1184" w:type="pct"/>
            <w:tcBorders>
              <w:top w:val="nil"/>
              <w:left w:val="nil"/>
              <w:bottom w:val="nil"/>
              <w:right w:val="nil"/>
            </w:tcBorders>
            <w:shd w:val="clear" w:color="auto" w:fill="auto"/>
            <w:noWrap/>
            <w:hideMark/>
          </w:tcPr>
          <w:p w14:paraId="1831B86B" w14:textId="77777777" w:rsidR="00E45705" w:rsidRPr="001B09E6" w:rsidRDefault="00E45705" w:rsidP="00E45705">
            <w:pPr>
              <w:pStyle w:val="TableCellText"/>
              <w:spacing w:before="0" w:after="0"/>
              <w:ind w:left="0" w:right="0"/>
            </w:pPr>
          </w:p>
        </w:tc>
        <w:tc>
          <w:tcPr>
            <w:tcW w:w="786" w:type="pct"/>
            <w:tcBorders>
              <w:top w:val="nil"/>
              <w:left w:val="nil"/>
              <w:bottom w:val="dotted" w:sz="4" w:space="0" w:color="auto"/>
              <w:right w:val="nil"/>
            </w:tcBorders>
          </w:tcPr>
          <w:p w14:paraId="467CAFEC" w14:textId="77777777" w:rsidR="00E45705" w:rsidRPr="001B09E6" w:rsidRDefault="00E45705" w:rsidP="00E45705">
            <w:pPr>
              <w:pStyle w:val="TableCellText"/>
              <w:spacing w:before="0" w:after="0"/>
              <w:ind w:left="0" w:right="0"/>
            </w:pPr>
            <w:r w:rsidRPr="001B09E6">
              <w:t>20 to 24 years</w:t>
            </w:r>
          </w:p>
        </w:tc>
        <w:tc>
          <w:tcPr>
            <w:tcW w:w="504" w:type="pct"/>
            <w:tcBorders>
              <w:top w:val="nil"/>
              <w:left w:val="nil"/>
              <w:bottom w:val="dotted" w:sz="4" w:space="0" w:color="auto"/>
              <w:right w:val="nil"/>
            </w:tcBorders>
          </w:tcPr>
          <w:p w14:paraId="3875BC6A" w14:textId="77777777" w:rsidR="00E45705" w:rsidRPr="001B09E6" w:rsidRDefault="00E45705" w:rsidP="00E45705">
            <w:pPr>
              <w:pStyle w:val="TableCellText"/>
              <w:spacing w:before="0" w:after="0"/>
              <w:ind w:left="0" w:right="0"/>
            </w:pPr>
            <w:r w:rsidRPr="001B09E6">
              <w:t>13.1</w:t>
            </w:r>
          </w:p>
        </w:tc>
        <w:tc>
          <w:tcPr>
            <w:tcW w:w="504" w:type="pct"/>
            <w:tcBorders>
              <w:top w:val="nil"/>
              <w:left w:val="nil"/>
              <w:bottom w:val="dotted" w:sz="4" w:space="0" w:color="auto"/>
              <w:right w:val="nil"/>
            </w:tcBorders>
            <w:shd w:val="clear" w:color="auto" w:fill="auto"/>
            <w:noWrap/>
            <w:hideMark/>
          </w:tcPr>
          <w:p w14:paraId="17C9F385" w14:textId="77777777" w:rsidR="00E45705" w:rsidRPr="001B09E6" w:rsidRDefault="00E45705" w:rsidP="00E45705">
            <w:pPr>
              <w:pStyle w:val="TableCellText"/>
              <w:spacing w:before="0" w:after="0"/>
              <w:ind w:left="0" w:right="0"/>
            </w:pPr>
            <w:r w:rsidRPr="001B09E6">
              <w:t>13.4</w:t>
            </w:r>
          </w:p>
        </w:tc>
        <w:tc>
          <w:tcPr>
            <w:tcW w:w="505" w:type="pct"/>
            <w:tcBorders>
              <w:top w:val="nil"/>
              <w:left w:val="nil"/>
              <w:bottom w:val="nil"/>
              <w:right w:val="nil"/>
            </w:tcBorders>
            <w:shd w:val="clear" w:color="auto" w:fill="auto"/>
            <w:noWrap/>
            <w:hideMark/>
          </w:tcPr>
          <w:p w14:paraId="398FF3F5" w14:textId="77777777" w:rsidR="00E45705" w:rsidRPr="001B09E6" w:rsidRDefault="00E45705" w:rsidP="00E45705">
            <w:pPr>
              <w:pStyle w:val="TableCellText"/>
              <w:spacing w:before="0" w:after="0"/>
              <w:ind w:left="0" w:right="0"/>
            </w:pPr>
            <w:r w:rsidRPr="001B09E6">
              <w:t>13.1</w:t>
            </w:r>
          </w:p>
        </w:tc>
        <w:tc>
          <w:tcPr>
            <w:tcW w:w="505" w:type="pct"/>
            <w:tcBorders>
              <w:top w:val="nil"/>
              <w:left w:val="nil"/>
              <w:bottom w:val="nil"/>
              <w:right w:val="nil"/>
            </w:tcBorders>
            <w:shd w:val="clear" w:color="auto" w:fill="auto"/>
            <w:noWrap/>
            <w:hideMark/>
          </w:tcPr>
          <w:p w14:paraId="628ED226" w14:textId="77777777" w:rsidR="00E45705" w:rsidRPr="001B09E6" w:rsidRDefault="00E45705" w:rsidP="00E45705">
            <w:pPr>
              <w:pStyle w:val="TableCellText"/>
              <w:spacing w:before="0" w:after="0"/>
              <w:ind w:left="0" w:right="0"/>
            </w:pPr>
            <w:r w:rsidRPr="001B09E6">
              <w:t>13.7</w:t>
            </w:r>
          </w:p>
        </w:tc>
        <w:tc>
          <w:tcPr>
            <w:tcW w:w="504" w:type="pct"/>
            <w:tcBorders>
              <w:top w:val="nil"/>
              <w:left w:val="nil"/>
              <w:bottom w:val="nil"/>
              <w:right w:val="nil"/>
            </w:tcBorders>
            <w:shd w:val="clear" w:color="auto" w:fill="auto"/>
            <w:noWrap/>
            <w:hideMark/>
          </w:tcPr>
          <w:p w14:paraId="1C20D4F9" w14:textId="77777777" w:rsidR="00E45705" w:rsidRPr="001B09E6" w:rsidRDefault="00E45705" w:rsidP="00E45705">
            <w:pPr>
              <w:pStyle w:val="TableCellText"/>
              <w:spacing w:before="0" w:after="0"/>
              <w:ind w:left="0" w:right="0"/>
            </w:pPr>
            <w:r w:rsidRPr="001B09E6">
              <w:t>13.8</w:t>
            </w:r>
          </w:p>
        </w:tc>
        <w:tc>
          <w:tcPr>
            <w:tcW w:w="505" w:type="pct"/>
            <w:tcBorders>
              <w:top w:val="nil"/>
              <w:left w:val="nil"/>
              <w:bottom w:val="nil"/>
              <w:right w:val="nil"/>
            </w:tcBorders>
            <w:shd w:val="clear" w:color="auto" w:fill="auto"/>
            <w:noWrap/>
            <w:hideMark/>
          </w:tcPr>
          <w:p w14:paraId="32970DC7" w14:textId="77777777" w:rsidR="00E45705" w:rsidRPr="001B09E6" w:rsidRDefault="00E45705" w:rsidP="00E45705">
            <w:pPr>
              <w:pStyle w:val="TableCellText"/>
              <w:spacing w:before="0" w:after="0"/>
              <w:ind w:left="0" w:right="0"/>
            </w:pPr>
            <w:r w:rsidRPr="001B09E6">
              <w:t>13.9</w:t>
            </w:r>
          </w:p>
        </w:tc>
      </w:tr>
      <w:tr w:rsidR="00E45705" w:rsidRPr="001B09E6" w14:paraId="79AA8757" w14:textId="77777777" w:rsidTr="00E45705">
        <w:trPr>
          <w:trHeight w:val="225"/>
        </w:trPr>
        <w:tc>
          <w:tcPr>
            <w:tcW w:w="1184" w:type="pct"/>
            <w:tcBorders>
              <w:left w:val="nil"/>
              <w:right w:val="nil"/>
            </w:tcBorders>
            <w:shd w:val="clear" w:color="auto" w:fill="auto"/>
            <w:noWrap/>
            <w:hideMark/>
          </w:tcPr>
          <w:p w14:paraId="3F0A7E00" w14:textId="77777777" w:rsidR="00E45705" w:rsidRPr="001B09E6" w:rsidRDefault="00E45705" w:rsidP="00E45705">
            <w:pPr>
              <w:pStyle w:val="TableCellText"/>
              <w:spacing w:before="0" w:after="0"/>
              <w:ind w:left="0" w:right="0"/>
            </w:pPr>
            <w:r w:rsidRPr="001B09E6">
              <w:t>Quintile 2</w:t>
            </w:r>
          </w:p>
        </w:tc>
        <w:tc>
          <w:tcPr>
            <w:tcW w:w="786" w:type="pct"/>
            <w:tcBorders>
              <w:top w:val="dotted" w:sz="4" w:space="0" w:color="auto"/>
              <w:left w:val="nil"/>
              <w:right w:val="nil"/>
            </w:tcBorders>
          </w:tcPr>
          <w:p w14:paraId="10908B16" w14:textId="77777777" w:rsidR="00E45705" w:rsidRPr="001B09E6" w:rsidRDefault="00E45705" w:rsidP="00E45705">
            <w:pPr>
              <w:pStyle w:val="TableCellText"/>
              <w:spacing w:before="0" w:after="0"/>
              <w:ind w:left="0" w:right="0"/>
            </w:pPr>
            <w:r w:rsidRPr="001B09E6">
              <w:t>15 to 19 years</w:t>
            </w:r>
          </w:p>
        </w:tc>
        <w:tc>
          <w:tcPr>
            <w:tcW w:w="504" w:type="pct"/>
            <w:tcBorders>
              <w:top w:val="dotted" w:sz="4" w:space="0" w:color="auto"/>
              <w:left w:val="nil"/>
              <w:right w:val="nil"/>
            </w:tcBorders>
          </w:tcPr>
          <w:p w14:paraId="1434909B" w14:textId="77777777" w:rsidR="00E45705" w:rsidRPr="001B09E6" w:rsidRDefault="00E45705" w:rsidP="00E45705">
            <w:pPr>
              <w:pStyle w:val="TableCellText"/>
              <w:spacing w:before="0" w:after="0"/>
              <w:ind w:left="0" w:right="0"/>
            </w:pPr>
            <w:r w:rsidRPr="001B09E6">
              <w:t>24.1</w:t>
            </w:r>
          </w:p>
        </w:tc>
        <w:tc>
          <w:tcPr>
            <w:tcW w:w="504" w:type="pct"/>
            <w:tcBorders>
              <w:top w:val="dotted" w:sz="4" w:space="0" w:color="auto"/>
              <w:left w:val="nil"/>
              <w:right w:val="nil"/>
            </w:tcBorders>
            <w:shd w:val="clear" w:color="auto" w:fill="auto"/>
            <w:noWrap/>
            <w:hideMark/>
          </w:tcPr>
          <w:p w14:paraId="3F9C33F8" w14:textId="77777777" w:rsidR="00E45705" w:rsidRPr="001B09E6" w:rsidRDefault="00E45705" w:rsidP="00E45705">
            <w:pPr>
              <w:pStyle w:val="TableCellText"/>
              <w:spacing w:before="0" w:after="0"/>
              <w:ind w:left="0" w:right="0"/>
            </w:pPr>
            <w:r w:rsidRPr="001B09E6">
              <w:t>24.2</w:t>
            </w:r>
          </w:p>
        </w:tc>
        <w:tc>
          <w:tcPr>
            <w:tcW w:w="505" w:type="pct"/>
            <w:tcBorders>
              <w:top w:val="dotted" w:sz="4" w:space="0" w:color="auto"/>
              <w:left w:val="nil"/>
              <w:right w:val="nil"/>
            </w:tcBorders>
            <w:shd w:val="clear" w:color="auto" w:fill="auto"/>
            <w:noWrap/>
            <w:hideMark/>
          </w:tcPr>
          <w:p w14:paraId="66828AA2" w14:textId="77777777" w:rsidR="00E45705" w:rsidRPr="001B09E6" w:rsidRDefault="00E45705" w:rsidP="00E45705">
            <w:pPr>
              <w:pStyle w:val="TableCellText"/>
              <w:spacing w:before="0" w:after="0"/>
              <w:ind w:left="0" w:right="0"/>
            </w:pPr>
            <w:r w:rsidRPr="001B09E6">
              <w:t>24.4</w:t>
            </w:r>
          </w:p>
        </w:tc>
        <w:tc>
          <w:tcPr>
            <w:tcW w:w="505" w:type="pct"/>
            <w:tcBorders>
              <w:top w:val="dotted" w:sz="4" w:space="0" w:color="auto"/>
              <w:left w:val="nil"/>
              <w:right w:val="nil"/>
            </w:tcBorders>
            <w:shd w:val="clear" w:color="auto" w:fill="auto"/>
            <w:noWrap/>
            <w:hideMark/>
          </w:tcPr>
          <w:p w14:paraId="390D4504" w14:textId="77777777" w:rsidR="00E45705" w:rsidRPr="001B09E6" w:rsidRDefault="00E45705" w:rsidP="00E45705">
            <w:pPr>
              <w:pStyle w:val="TableCellText"/>
              <w:spacing w:before="0" w:after="0"/>
              <w:ind w:left="0" w:right="0"/>
            </w:pPr>
            <w:r w:rsidRPr="001B09E6">
              <w:t>24.2</w:t>
            </w:r>
          </w:p>
        </w:tc>
        <w:tc>
          <w:tcPr>
            <w:tcW w:w="504" w:type="pct"/>
            <w:tcBorders>
              <w:top w:val="dotted" w:sz="4" w:space="0" w:color="auto"/>
              <w:left w:val="nil"/>
              <w:right w:val="nil"/>
            </w:tcBorders>
            <w:shd w:val="clear" w:color="auto" w:fill="auto"/>
            <w:noWrap/>
            <w:hideMark/>
          </w:tcPr>
          <w:p w14:paraId="4D1D6DF7" w14:textId="77777777" w:rsidR="00E45705" w:rsidRPr="001B09E6" w:rsidRDefault="00E45705" w:rsidP="00E45705">
            <w:pPr>
              <w:pStyle w:val="TableCellText"/>
              <w:spacing w:before="0" w:after="0"/>
              <w:ind w:left="0" w:right="0"/>
            </w:pPr>
            <w:r w:rsidRPr="001B09E6">
              <w:t>23.9</w:t>
            </w:r>
          </w:p>
        </w:tc>
        <w:tc>
          <w:tcPr>
            <w:tcW w:w="505" w:type="pct"/>
            <w:tcBorders>
              <w:top w:val="dotted" w:sz="4" w:space="0" w:color="auto"/>
              <w:left w:val="nil"/>
              <w:right w:val="nil"/>
            </w:tcBorders>
            <w:shd w:val="clear" w:color="auto" w:fill="auto"/>
            <w:noWrap/>
            <w:hideMark/>
          </w:tcPr>
          <w:p w14:paraId="7D106974" w14:textId="77777777" w:rsidR="00E45705" w:rsidRPr="001B09E6" w:rsidRDefault="00E45705" w:rsidP="00E45705">
            <w:pPr>
              <w:pStyle w:val="TableCellText"/>
              <w:spacing w:before="0" w:after="0"/>
              <w:ind w:left="0" w:right="0"/>
            </w:pPr>
            <w:r w:rsidRPr="001B09E6">
              <w:t>24.2</w:t>
            </w:r>
          </w:p>
        </w:tc>
      </w:tr>
      <w:tr w:rsidR="00E45705" w:rsidRPr="001B09E6" w14:paraId="35BFC32F" w14:textId="77777777" w:rsidTr="00E45705">
        <w:trPr>
          <w:trHeight w:val="225"/>
        </w:trPr>
        <w:tc>
          <w:tcPr>
            <w:tcW w:w="1184" w:type="pct"/>
            <w:tcBorders>
              <w:top w:val="nil"/>
              <w:left w:val="nil"/>
              <w:bottom w:val="nil"/>
              <w:right w:val="nil"/>
            </w:tcBorders>
            <w:shd w:val="clear" w:color="auto" w:fill="auto"/>
            <w:noWrap/>
            <w:hideMark/>
          </w:tcPr>
          <w:p w14:paraId="1E170CB8" w14:textId="77777777" w:rsidR="00E45705" w:rsidRPr="001B09E6" w:rsidRDefault="00E45705" w:rsidP="00E45705">
            <w:pPr>
              <w:pStyle w:val="TableCellText"/>
              <w:spacing w:before="0" w:after="0"/>
              <w:ind w:left="0" w:right="0"/>
            </w:pPr>
          </w:p>
        </w:tc>
        <w:tc>
          <w:tcPr>
            <w:tcW w:w="786" w:type="pct"/>
            <w:tcBorders>
              <w:top w:val="nil"/>
              <w:left w:val="nil"/>
              <w:bottom w:val="dotted" w:sz="4" w:space="0" w:color="auto"/>
              <w:right w:val="nil"/>
            </w:tcBorders>
          </w:tcPr>
          <w:p w14:paraId="754FA8E9" w14:textId="77777777" w:rsidR="00E45705" w:rsidRPr="001B09E6" w:rsidRDefault="00E45705" w:rsidP="00E45705">
            <w:pPr>
              <w:pStyle w:val="TableCellText"/>
              <w:spacing w:before="0" w:after="0"/>
              <w:ind w:left="0" w:right="0"/>
            </w:pPr>
            <w:r w:rsidRPr="001B09E6">
              <w:t>20 to 24 years</w:t>
            </w:r>
          </w:p>
        </w:tc>
        <w:tc>
          <w:tcPr>
            <w:tcW w:w="504" w:type="pct"/>
            <w:tcBorders>
              <w:top w:val="nil"/>
              <w:left w:val="nil"/>
              <w:bottom w:val="dotted" w:sz="4" w:space="0" w:color="auto"/>
              <w:right w:val="nil"/>
            </w:tcBorders>
          </w:tcPr>
          <w:p w14:paraId="0C0FEA15" w14:textId="77777777" w:rsidR="00E45705" w:rsidRPr="001B09E6" w:rsidRDefault="00E45705" w:rsidP="00E45705">
            <w:pPr>
              <w:pStyle w:val="TableCellText"/>
              <w:spacing w:before="0" w:after="0"/>
              <w:ind w:left="0" w:right="0"/>
            </w:pPr>
            <w:r w:rsidRPr="001B09E6">
              <w:t>22.8</w:t>
            </w:r>
          </w:p>
        </w:tc>
        <w:tc>
          <w:tcPr>
            <w:tcW w:w="504" w:type="pct"/>
            <w:tcBorders>
              <w:top w:val="nil"/>
              <w:left w:val="nil"/>
              <w:bottom w:val="dotted" w:sz="4" w:space="0" w:color="auto"/>
              <w:right w:val="nil"/>
            </w:tcBorders>
            <w:shd w:val="clear" w:color="auto" w:fill="auto"/>
            <w:noWrap/>
            <w:hideMark/>
          </w:tcPr>
          <w:p w14:paraId="5993EFC9" w14:textId="77777777" w:rsidR="00E45705" w:rsidRPr="001B09E6" w:rsidRDefault="00E45705" w:rsidP="00E45705">
            <w:pPr>
              <w:pStyle w:val="TableCellText"/>
              <w:spacing w:before="0" w:after="0"/>
              <w:ind w:left="0" w:right="0"/>
            </w:pPr>
            <w:r w:rsidRPr="001B09E6">
              <w:t>23.3</w:t>
            </w:r>
          </w:p>
        </w:tc>
        <w:tc>
          <w:tcPr>
            <w:tcW w:w="505" w:type="pct"/>
            <w:tcBorders>
              <w:top w:val="nil"/>
              <w:left w:val="nil"/>
              <w:bottom w:val="nil"/>
              <w:right w:val="nil"/>
            </w:tcBorders>
            <w:shd w:val="clear" w:color="auto" w:fill="auto"/>
            <w:noWrap/>
            <w:hideMark/>
          </w:tcPr>
          <w:p w14:paraId="1B62C8CA" w14:textId="77777777" w:rsidR="00E45705" w:rsidRPr="001B09E6" w:rsidRDefault="00E45705" w:rsidP="00E45705">
            <w:pPr>
              <w:pStyle w:val="TableCellText"/>
              <w:spacing w:before="0" w:after="0"/>
              <w:ind w:left="0" w:right="0"/>
            </w:pPr>
            <w:r w:rsidRPr="001B09E6">
              <w:t>22.7</w:t>
            </w:r>
          </w:p>
        </w:tc>
        <w:tc>
          <w:tcPr>
            <w:tcW w:w="505" w:type="pct"/>
            <w:tcBorders>
              <w:top w:val="nil"/>
              <w:left w:val="nil"/>
              <w:bottom w:val="nil"/>
              <w:right w:val="nil"/>
            </w:tcBorders>
            <w:shd w:val="clear" w:color="auto" w:fill="auto"/>
            <w:noWrap/>
            <w:hideMark/>
          </w:tcPr>
          <w:p w14:paraId="37BDADE6" w14:textId="77777777" w:rsidR="00E45705" w:rsidRPr="001B09E6" w:rsidRDefault="00E45705" w:rsidP="00E45705">
            <w:pPr>
              <w:pStyle w:val="TableCellText"/>
              <w:spacing w:before="0" w:after="0"/>
              <w:ind w:left="0" w:right="0"/>
            </w:pPr>
            <w:r w:rsidRPr="001B09E6">
              <w:t>23.7</w:t>
            </w:r>
          </w:p>
        </w:tc>
        <w:tc>
          <w:tcPr>
            <w:tcW w:w="504" w:type="pct"/>
            <w:tcBorders>
              <w:top w:val="nil"/>
              <w:left w:val="nil"/>
              <w:bottom w:val="nil"/>
              <w:right w:val="nil"/>
            </w:tcBorders>
            <w:shd w:val="clear" w:color="auto" w:fill="auto"/>
            <w:noWrap/>
            <w:hideMark/>
          </w:tcPr>
          <w:p w14:paraId="02C51318" w14:textId="77777777" w:rsidR="00E45705" w:rsidRPr="001B09E6" w:rsidRDefault="00E45705" w:rsidP="00E45705">
            <w:pPr>
              <w:pStyle w:val="TableCellText"/>
              <w:spacing w:before="0" w:after="0"/>
              <w:ind w:left="0" w:right="0"/>
            </w:pPr>
            <w:r w:rsidRPr="001B09E6">
              <w:t>23.2</w:t>
            </w:r>
          </w:p>
        </w:tc>
        <w:tc>
          <w:tcPr>
            <w:tcW w:w="505" w:type="pct"/>
            <w:tcBorders>
              <w:top w:val="nil"/>
              <w:left w:val="nil"/>
              <w:bottom w:val="nil"/>
              <w:right w:val="nil"/>
            </w:tcBorders>
            <w:shd w:val="clear" w:color="auto" w:fill="auto"/>
            <w:noWrap/>
            <w:hideMark/>
          </w:tcPr>
          <w:p w14:paraId="5D7A3E95" w14:textId="77777777" w:rsidR="00E45705" w:rsidRPr="001B09E6" w:rsidRDefault="00E45705" w:rsidP="00E45705">
            <w:pPr>
              <w:pStyle w:val="TableCellText"/>
              <w:spacing w:before="0" w:after="0"/>
              <w:ind w:left="0" w:right="0"/>
            </w:pPr>
            <w:r w:rsidRPr="001B09E6">
              <w:t>23.1</w:t>
            </w:r>
          </w:p>
        </w:tc>
      </w:tr>
      <w:tr w:rsidR="00E45705" w:rsidRPr="001B09E6" w14:paraId="5A900494" w14:textId="77777777" w:rsidTr="00E45705">
        <w:trPr>
          <w:trHeight w:val="225"/>
        </w:trPr>
        <w:tc>
          <w:tcPr>
            <w:tcW w:w="1184" w:type="pct"/>
            <w:tcBorders>
              <w:left w:val="nil"/>
              <w:right w:val="nil"/>
            </w:tcBorders>
            <w:shd w:val="clear" w:color="auto" w:fill="auto"/>
            <w:noWrap/>
            <w:hideMark/>
          </w:tcPr>
          <w:p w14:paraId="18AF9F85" w14:textId="77777777" w:rsidR="00E45705" w:rsidRPr="001B09E6" w:rsidRDefault="00E45705" w:rsidP="00E45705">
            <w:pPr>
              <w:pStyle w:val="TableCellText"/>
              <w:spacing w:before="0" w:after="0"/>
              <w:ind w:left="0" w:right="0"/>
            </w:pPr>
            <w:r w:rsidRPr="001B09E6">
              <w:t>Quintile 3</w:t>
            </w:r>
          </w:p>
        </w:tc>
        <w:tc>
          <w:tcPr>
            <w:tcW w:w="786" w:type="pct"/>
            <w:tcBorders>
              <w:top w:val="dotted" w:sz="4" w:space="0" w:color="auto"/>
              <w:left w:val="nil"/>
              <w:right w:val="nil"/>
            </w:tcBorders>
          </w:tcPr>
          <w:p w14:paraId="248762B2" w14:textId="77777777" w:rsidR="00E45705" w:rsidRPr="001B09E6" w:rsidRDefault="00E45705" w:rsidP="00E45705">
            <w:pPr>
              <w:pStyle w:val="TableCellText"/>
              <w:spacing w:before="0" w:after="0"/>
              <w:ind w:left="0" w:right="0"/>
            </w:pPr>
            <w:r w:rsidRPr="001B09E6">
              <w:t>15 to 19 years</w:t>
            </w:r>
          </w:p>
        </w:tc>
        <w:tc>
          <w:tcPr>
            <w:tcW w:w="504" w:type="pct"/>
            <w:tcBorders>
              <w:top w:val="dotted" w:sz="4" w:space="0" w:color="auto"/>
              <w:left w:val="nil"/>
              <w:right w:val="nil"/>
            </w:tcBorders>
          </w:tcPr>
          <w:p w14:paraId="78E21509" w14:textId="77777777" w:rsidR="00E45705" w:rsidRPr="001B09E6" w:rsidRDefault="00E45705" w:rsidP="00E45705">
            <w:pPr>
              <w:pStyle w:val="TableCellText"/>
              <w:spacing w:before="0" w:after="0"/>
              <w:ind w:left="0" w:right="0"/>
            </w:pPr>
            <w:r w:rsidRPr="001B09E6">
              <w:t>20.5</w:t>
            </w:r>
          </w:p>
        </w:tc>
        <w:tc>
          <w:tcPr>
            <w:tcW w:w="504" w:type="pct"/>
            <w:tcBorders>
              <w:top w:val="dotted" w:sz="4" w:space="0" w:color="auto"/>
              <w:left w:val="nil"/>
              <w:right w:val="nil"/>
            </w:tcBorders>
            <w:shd w:val="clear" w:color="auto" w:fill="auto"/>
            <w:noWrap/>
            <w:hideMark/>
          </w:tcPr>
          <w:p w14:paraId="144DFA53" w14:textId="77777777" w:rsidR="00E45705" w:rsidRPr="001B09E6" w:rsidRDefault="00E45705" w:rsidP="00E45705">
            <w:pPr>
              <w:pStyle w:val="TableCellText"/>
              <w:spacing w:before="0" w:after="0"/>
              <w:ind w:left="0" w:right="0"/>
            </w:pPr>
            <w:r w:rsidRPr="001B09E6">
              <w:t>22.0</w:t>
            </w:r>
          </w:p>
        </w:tc>
        <w:tc>
          <w:tcPr>
            <w:tcW w:w="505" w:type="pct"/>
            <w:tcBorders>
              <w:top w:val="dotted" w:sz="4" w:space="0" w:color="auto"/>
              <w:left w:val="nil"/>
              <w:right w:val="nil"/>
            </w:tcBorders>
            <w:shd w:val="clear" w:color="auto" w:fill="auto"/>
            <w:noWrap/>
            <w:hideMark/>
          </w:tcPr>
          <w:p w14:paraId="0E8905F7" w14:textId="77777777" w:rsidR="00E45705" w:rsidRPr="001B09E6" w:rsidRDefault="00E45705" w:rsidP="00E45705">
            <w:pPr>
              <w:pStyle w:val="TableCellText"/>
              <w:spacing w:before="0" w:after="0"/>
              <w:ind w:left="0" w:right="0"/>
            </w:pPr>
            <w:r w:rsidRPr="001B09E6">
              <w:t>22.4</w:t>
            </w:r>
          </w:p>
        </w:tc>
        <w:tc>
          <w:tcPr>
            <w:tcW w:w="505" w:type="pct"/>
            <w:tcBorders>
              <w:top w:val="dotted" w:sz="4" w:space="0" w:color="auto"/>
              <w:left w:val="nil"/>
              <w:right w:val="nil"/>
            </w:tcBorders>
            <w:shd w:val="clear" w:color="auto" w:fill="auto"/>
            <w:noWrap/>
            <w:hideMark/>
          </w:tcPr>
          <w:p w14:paraId="39B696F8" w14:textId="77777777" w:rsidR="00E45705" w:rsidRPr="001B09E6" w:rsidRDefault="00E45705" w:rsidP="00E45705">
            <w:pPr>
              <w:pStyle w:val="TableCellText"/>
              <w:spacing w:before="0" w:after="0"/>
              <w:ind w:left="0" w:right="0"/>
            </w:pPr>
            <w:r w:rsidRPr="001B09E6">
              <w:t>22.6</w:t>
            </w:r>
          </w:p>
        </w:tc>
        <w:tc>
          <w:tcPr>
            <w:tcW w:w="504" w:type="pct"/>
            <w:tcBorders>
              <w:top w:val="dotted" w:sz="4" w:space="0" w:color="auto"/>
              <w:left w:val="nil"/>
              <w:right w:val="nil"/>
            </w:tcBorders>
            <w:shd w:val="clear" w:color="auto" w:fill="auto"/>
            <w:noWrap/>
            <w:hideMark/>
          </w:tcPr>
          <w:p w14:paraId="2CCA7173" w14:textId="77777777" w:rsidR="00E45705" w:rsidRPr="001B09E6" w:rsidRDefault="00E45705" w:rsidP="00E45705">
            <w:pPr>
              <w:pStyle w:val="TableCellText"/>
              <w:spacing w:before="0" w:after="0"/>
              <w:ind w:left="0" w:right="0"/>
            </w:pPr>
            <w:r w:rsidRPr="001B09E6">
              <w:t>22.8</w:t>
            </w:r>
          </w:p>
        </w:tc>
        <w:tc>
          <w:tcPr>
            <w:tcW w:w="505" w:type="pct"/>
            <w:tcBorders>
              <w:top w:val="dotted" w:sz="4" w:space="0" w:color="auto"/>
              <w:left w:val="nil"/>
              <w:right w:val="nil"/>
            </w:tcBorders>
            <w:shd w:val="clear" w:color="auto" w:fill="auto"/>
            <w:noWrap/>
            <w:hideMark/>
          </w:tcPr>
          <w:p w14:paraId="6D6F1BF2" w14:textId="77777777" w:rsidR="00E45705" w:rsidRPr="001B09E6" w:rsidRDefault="00E45705" w:rsidP="00E45705">
            <w:pPr>
              <w:pStyle w:val="TableCellText"/>
              <w:spacing w:before="0" w:after="0"/>
              <w:ind w:left="0" w:right="0"/>
            </w:pPr>
            <w:r w:rsidRPr="001B09E6">
              <w:t>23.4</w:t>
            </w:r>
          </w:p>
        </w:tc>
      </w:tr>
      <w:tr w:rsidR="00E45705" w:rsidRPr="001B09E6" w14:paraId="346A4BC4" w14:textId="77777777" w:rsidTr="00E45705">
        <w:trPr>
          <w:trHeight w:val="225"/>
        </w:trPr>
        <w:tc>
          <w:tcPr>
            <w:tcW w:w="1184" w:type="pct"/>
            <w:tcBorders>
              <w:top w:val="nil"/>
              <w:left w:val="nil"/>
              <w:bottom w:val="nil"/>
              <w:right w:val="nil"/>
            </w:tcBorders>
            <w:shd w:val="clear" w:color="auto" w:fill="auto"/>
            <w:noWrap/>
            <w:hideMark/>
          </w:tcPr>
          <w:p w14:paraId="620C90BC" w14:textId="77777777" w:rsidR="00E45705" w:rsidRPr="001B09E6" w:rsidRDefault="00E45705" w:rsidP="00E45705">
            <w:pPr>
              <w:pStyle w:val="TableCellText"/>
              <w:spacing w:before="0" w:after="0"/>
              <w:ind w:left="0" w:right="0"/>
            </w:pPr>
          </w:p>
        </w:tc>
        <w:tc>
          <w:tcPr>
            <w:tcW w:w="786" w:type="pct"/>
            <w:tcBorders>
              <w:top w:val="nil"/>
              <w:left w:val="nil"/>
              <w:bottom w:val="dotted" w:sz="4" w:space="0" w:color="auto"/>
              <w:right w:val="nil"/>
            </w:tcBorders>
          </w:tcPr>
          <w:p w14:paraId="17195683" w14:textId="77777777" w:rsidR="00E45705" w:rsidRPr="001B09E6" w:rsidRDefault="00E45705" w:rsidP="00E45705">
            <w:pPr>
              <w:pStyle w:val="TableCellText"/>
              <w:spacing w:before="0" w:after="0"/>
              <w:ind w:left="0" w:right="0"/>
            </w:pPr>
            <w:r w:rsidRPr="001B09E6">
              <w:t>20 to 24 years</w:t>
            </w:r>
          </w:p>
        </w:tc>
        <w:tc>
          <w:tcPr>
            <w:tcW w:w="504" w:type="pct"/>
            <w:tcBorders>
              <w:top w:val="nil"/>
              <w:left w:val="nil"/>
              <w:bottom w:val="dotted" w:sz="4" w:space="0" w:color="auto"/>
              <w:right w:val="nil"/>
            </w:tcBorders>
          </w:tcPr>
          <w:p w14:paraId="4218ADBE" w14:textId="77777777" w:rsidR="00E45705" w:rsidRPr="001B09E6" w:rsidRDefault="00E45705" w:rsidP="00E45705">
            <w:pPr>
              <w:pStyle w:val="TableCellText"/>
              <w:spacing w:before="0" w:after="0"/>
              <w:ind w:left="0" w:right="0"/>
            </w:pPr>
            <w:r w:rsidRPr="001B09E6">
              <w:t>17.1</w:t>
            </w:r>
          </w:p>
        </w:tc>
        <w:tc>
          <w:tcPr>
            <w:tcW w:w="504" w:type="pct"/>
            <w:tcBorders>
              <w:top w:val="nil"/>
              <w:left w:val="nil"/>
              <w:bottom w:val="dotted" w:sz="4" w:space="0" w:color="auto"/>
              <w:right w:val="nil"/>
            </w:tcBorders>
            <w:shd w:val="clear" w:color="auto" w:fill="auto"/>
            <w:noWrap/>
            <w:hideMark/>
          </w:tcPr>
          <w:p w14:paraId="47CE16CF" w14:textId="77777777" w:rsidR="00E45705" w:rsidRPr="001B09E6" w:rsidRDefault="00E45705" w:rsidP="00E45705">
            <w:pPr>
              <w:pStyle w:val="TableCellText"/>
              <w:spacing w:before="0" w:after="0"/>
              <w:ind w:left="0" w:right="0"/>
            </w:pPr>
            <w:r w:rsidRPr="001B09E6">
              <w:t>21.1</w:t>
            </w:r>
          </w:p>
        </w:tc>
        <w:tc>
          <w:tcPr>
            <w:tcW w:w="505" w:type="pct"/>
            <w:tcBorders>
              <w:top w:val="nil"/>
              <w:left w:val="nil"/>
              <w:bottom w:val="nil"/>
              <w:right w:val="nil"/>
            </w:tcBorders>
            <w:shd w:val="clear" w:color="auto" w:fill="auto"/>
            <w:noWrap/>
            <w:hideMark/>
          </w:tcPr>
          <w:p w14:paraId="484DD34C" w14:textId="77777777" w:rsidR="00E45705" w:rsidRPr="001B09E6" w:rsidRDefault="00E45705" w:rsidP="00E45705">
            <w:pPr>
              <w:pStyle w:val="TableCellText"/>
              <w:spacing w:before="0" w:after="0"/>
              <w:ind w:left="0" w:right="0"/>
            </w:pPr>
            <w:r w:rsidRPr="001B09E6">
              <w:t>21.5</w:t>
            </w:r>
          </w:p>
        </w:tc>
        <w:tc>
          <w:tcPr>
            <w:tcW w:w="505" w:type="pct"/>
            <w:tcBorders>
              <w:top w:val="nil"/>
              <w:left w:val="nil"/>
              <w:bottom w:val="nil"/>
              <w:right w:val="nil"/>
            </w:tcBorders>
            <w:shd w:val="clear" w:color="auto" w:fill="auto"/>
            <w:noWrap/>
            <w:hideMark/>
          </w:tcPr>
          <w:p w14:paraId="6CAFEB1D" w14:textId="77777777" w:rsidR="00E45705" w:rsidRPr="001B09E6" w:rsidRDefault="00E45705" w:rsidP="00E45705">
            <w:pPr>
              <w:pStyle w:val="TableCellText"/>
              <w:spacing w:before="0" w:after="0"/>
              <w:ind w:left="0" w:right="0"/>
            </w:pPr>
            <w:r w:rsidRPr="001B09E6">
              <w:t>22.0</w:t>
            </w:r>
          </w:p>
        </w:tc>
        <w:tc>
          <w:tcPr>
            <w:tcW w:w="504" w:type="pct"/>
            <w:tcBorders>
              <w:top w:val="nil"/>
              <w:left w:val="nil"/>
              <w:bottom w:val="nil"/>
              <w:right w:val="nil"/>
            </w:tcBorders>
            <w:shd w:val="clear" w:color="auto" w:fill="auto"/>
            <w:noWrap/>
            <w:hideMark/>
          </w:tcPr>
          <w:p w14:paraId="33DBB5F1" w14:textId="77777777" w:rsidR="00E45705" w:rsidRPr="001B09E6" w:rsidRDefault="00E45705" w:rsidP="00E45705">
            <w:pPr>
              <w:pStyle w:val="TableCellText"/>
              <w:spacing w:before="0" w:after="0"/>
              <w:ind w:left="0" w:right="0"/>
            </w:pPr>
            <w:r w:rsidRPr="001B09E6">
              <w:t>21.9</w:t>
            </w:r>
          </w:p>
        </w:tc>
        <w:tc>
          <w:tcPr>
            <w:tcW w:w="505" w:type="pct"/>
            <w:tcBorders>
              <w:top w:val="nil"/>
              <w:left w:val="nil"/>
              <w:bottom w:val="nil"/>
              <w:right w:val="nil"/>
            </w:tcBorders>
            <w:shd w:val="clear" w:color="auto" w:fill="auto"/>
            <w:noWrap/>
            <w:hideMark/>
          </w:tcPr>
          <w:p w14:paraId="0EDFA284" w14:textId="77777777" w:rsidR="00E45705" w:rsidRPr="001B09E6" w:rsidRDefault="00E45705" w:rsidP="00E45705">
            <w:pPr>
              <w:pStyle w:val="TableCellText"/>
              <w:spacing w:before="0" w:after="0"/>
              <w:ind w:left="0" w:right="0"/>
            </w:pPr>
            <w:r w:rsidRPr="001B09E6">
              <w:t>21.7</w:t>
            </w:r>
          </w:p>
        </w:tc>
      </w:tr>
      <w:tr w:rsidR="00E45705" w:rsidRPr="001B09E6" w14:paraId="133B5236" w14:textId="77777777" w:rsidTr="00E45705">
        <w:trPr>
          <w:trHeight w:val="225"/>
        </w:trPr>
        <w:tc>
          <w:tcPr>
            <w:tcW w:w="1184" w:type="pct"/>
            <w:tcBorders>
              <w:left w:val="nil"/>
              <w:right w:val="nil"/>
            </w:tcBorders>
            <w:shd w:val="clear" w:color="auto" w:fill="auto"/>
            <w:noWrap/>
            <w:hideMark/>
          </w:tcPr>
          <w:p w14:paraId="6CE95F50" w14:textId="77777777" w:rsidR="00E45705" w:rsidRPr="001B09E6" w:rsidRDefault="00E45705" w:rsidP="00E45705">
            <w:pPr>
              <w:pStyle w:val="TableCellText"/>
              <w:spacing w:before="0" w:after="0"/>
              <w:ind w:left="0" w:right="0"/>
            </w:pPr>
            <w:r w:rsidRPr="001B09E6">
              <w:t>Quintile 4</w:t>
            </w:r>
          </w:p>
        </w:tc>
        <w:tc>
          <w:tcPr>
            <w:tcW w:w="786" w:type="pct"/>
            <w:tcBorders>
              <w:top w:val="dotted" w:sz="4" w:space="0" w:color="auto"/>
              <w:left w:val="nil"/>
              <w:right w:val="nil"/>
            </w:tcBorders>
          </w:tcPr>
          <w:p w14:paraId="4FFA7A58" w14:textId="77777777" w:rsidR="00E45705" w:rsidRPr="001B09E6" w:rsidRDefault="00E45705" w:rsidP="00E45705">
            <w:pPr>
              <w:pStyle w:val="TableCellText"/>
              <w:spacing w:before="0" w:after="0"/>
              <w:ind w:left="0" w:right="0"/>
            </w:pPr>
            <w:r w:rsidRPr="001B09E6">
              <w:t>15 to 19 years</w:t>
            </w:r>
          </w:p>
        </w:tc>
        <w:tc>
          <w:tcPr>
            <w:tcW w:w="504" w:type="pct"/>
            <w:tcBorders>
              <w:top w:val="dotted" w:sz="4" w:space="0" w:color="auto"/>
              <w:left w:val="nil"/>
              <w:right w:val="nil"/>
            </w:tcBorders>
          </w:tcPr>
          <w:p w14:paraId="57346C97" w14:textId="77777777" w:rsidR="00E45705" w:rsidRPr="001B09E6" w:rsidRDefault="00E45705" w:rsidP="00E45705">
            <w:pPr>
              <w:pStyle w:val="TableCellText"/>
              <w:spacing w:before="0" w:after="0"/>
              <w:ind w:left="0" w:right="0"/>
            </w:pPr>
            <w:r w:rsidRPr="001B09E6">
              <w:t>23.5</w:t>
            </w:r>
          </w:p>
        </w:tc>
        <w:tc>
          <w:tcPr>
            <w:tcW w:w="504" w:type="pct"/>
            <w:tcBorders>
              <w:top w:val="dotted" w:sz="4" w:space="0" w:color="auto"/>
              <w:left w:val="nil"/>
              <w:right w:val="nil"/>
            </w:tcBorders>
            <w:shd w:val="clear" w:color="auto" w:fill="auto"/>
            <w:noWrap/>
            <w:hideMark/>
          </w:tcPr>
          <w:p w14:paraId="1136C8E8" w14:textId="77777777" w:rsidR="00E45705" w:rsidRPr="001B09E6" w:rsidRDefault="00E45705" w:rsidP="00E45705">
            <w:pPr>
              <w:pStyle w:val="TableCellText"/>
              <w:spacing w:before="0" w:after="0"/>
              <w:ind w:left="0" w:right="0"/>
            </w:pPr>
            <w:r w:rsidRPr="001B09E6">
              <w:t>22.5</w:t>
            </w:r>
          </w:p>
        </w:tc>
        <w:tc>
          <w:tcPr>
            <w:tcW w:w="505" w:type="pct"/>
            <w:tcBorders>
              <w:top w:val="dotted" w:sz="4" w:space="0" w:color="auto"/>
              <w:left w:val="nil"/>
              <w:right w:val="nil"/>
            </w:tcBorders>
            <w:shd w:val="clear" w:color="auto" w:fill="auto"/>
            <w:noWrap/>
            <w:hideMark/>
          </w:tcPr>
          <w:p w14:paraId="7DC61CE8" w14:textId="77777777" w:rsidR="00E45705" w:rsidRPr="001B09E6" w:rsidRDefault="00E45705" w:rsidP="00E45705">
            <w:pPr>
              <w:pStyle w:val="TableCellText"/>
              <w:spacing w:before="0" w:after="0"/>
              <w:ind w:left="0" w:right="0"/>
            </w:pPr>
            <w:r w:rsidRPr="001B09E6">
              <w:t>21.9</w:t>
            </w:r>
          </w:p>
        </w:tc>
        <w:tc>
          <w:tcPr>
            <w:tcW w:w="505" w:type="pct"/>
            <w:tcBorders>
              <w:top w:val="dotted" w:sz="4" w:space="0" w:color="auto"/>
              <w:left w:val="nil"/>
              <w:right w:val="nil"/>
            </w:tcBorders>
            <w:shd w:val="clear" w:color="auto" w:fill="auto"/>
            <w:noWrap/>
            <w:hideMark/>
          </w:tcPr>
          <w:p w14:paraId="344FEC10" w14:textId="77777777" w:rsidR="00E45705" w:rsidRPr="001B09E6" w:rsidRDefault="00E45705" w:rsidP="00E45705">
            <w:pPr>
              <w:pStyle w:val="TableCellText"/>
              <w:spacing w:before="0" w:after="0"/>
              <w:ind w:left="0" w:right="0"/>
            </w:pPr>
            <w:r w:rsidRPr="001B09E6">
              <w:t>22.1</w:t>
            </w:r>
          </w:p>
        </w:tc>
        <w:tc>
          <w:tcPr>
            <w:tcW w:w="504" w:type="pct"/>
            <w:tcBorders>
              <w:top w:val="dotted" w:sz="4" w:space="0" w:color="auto"/>
              <w:left w:val="nil"/>
              <w:right w:val="nil"/>
            </w:tcBorders>
            <w:shd w:val="clear" w:color="auto" w:fill="auto"/>
            <w:noWrap/>
            <w:hideMark/>
          </w:tcPr>
          <w:p w14:paraId="791FFE59" w14:textId="77777777" w:rsidR="00E45705" w:rsidRPr="001B09E6" w:rsidRDefault="00E45705" w:rsidP="00E45705">
            <w:pPr>
              <w:pStyle w:val="TableCellText"/>
              <w:spacing w:before="0" w:after="0"/>
              <w:ind w:left="0" w:right="0"/>
            </w:pPr>
            <w:r w:rsidRPr="001B09E6">
              <w:t>22.9</w:t>
            </w:r>
          </w:p>
        </w:tc>
        <w:tc>
          <w:tcPr>
            <w:tcW w:w="505" w:type="pct"/>
            <w:tcBorders>
              <w:top w:val="dotted" w:sz="4" w:space="0" w:color="auto"/>
              <w:left w:val="nil"/>
              <w:right w:val="nil"/>
            </w:tcBorders>
            <w:shd w:val="clear" w:color="auto" w:fill="auto"/>
            <w:noWrap/>
            <w:hideMark/>
          </w:tcPr>
          <w:p w14:paraId="5B6D82AF" w14:textId="77777777" w:rsidR="00E45705" w:rsidRPr="001B09E6" w:rsidRDefault="00E45705" w:rsidP="00E45705">
            <w:pPr>
              <w:pStyle w:val="TableCellText"/>
              <w:spacing w:before="0" w:after="0"/>
              <w:ind w:left="0" w:right="0"/>
            </w:pPr>
            <w:r w:rsidRPr="001B09E6">
              <w:t>22.5</w:t>
            </w:r>
          </w:p>
        </w:tc>
      </w:tr>
      <w:tr w:rsidR="00E45705" w:rsidRPr="001B09E6" w14:paraId="3C0B2FDC" w14:textId="77777777" w:rsidTr="00E45705">
        <w:trPr>
          <w:trHeight w:val="225"/>
        </w:trPr>
        <w:tc>
          <w:tcPr>
            <w:tcW w:w="1184" w:type="pct"/>
            <w:tcBorders>
              <w:top w:val="nil"/>
              <w:left w:val="nil"/>
              <w:bottom w:val="nil"/>
              <w:right w:val="nil"/>
            </w:tcBorders>
            <w:shd w:val="clear" w:color="auto" w:fill="auto"/>
            <w:noWrap/>
            <w:hideMark/>
          </w:tcPr>
          <w:p w14:paraId="65CDA4E7" w14:textId="77777777" w:rsidR="00E45705" w:rsidRPr="001B09E6" w:rsidRDefault="00E45705" w:rsidP="00E45705">
            <w:pPr>
              <w:pStyle w:val="TableCellText"/>
              <w:spacing w:before="0" w:after="0"/>
              <w:ind w:left="0" w:right="0"/>
            </w:pPr>
          </w:p>
        </w:tc>
        <w:tc>
          <w:tcPr>
            <w:tcW w:w="786" w:type="pct"/>
            <w:tcBorders>
              <w:top w:val="nil"/>
              <w:left w:val="nil"/>
              <w:bottom w:val="dotted" w:sz="4" w:space="0" w:color="auto"/>
              <w:right w:val="nil"/>
            </w:tcBorders>
          </w:tcPr>
          <w:p w14:paraId="1D3C101B" w14:textId="77777777" w:rsidR="00E45705" w:rsidRPr="001B09E6" w:rsidRDefault="00E45705" w:rsidP="00E45705">
            <w:pPr>
              <w:pStyle w:val="TableCellText"/>
              <w:spacing w:before="0" w:after="0"/>
              <w:ind w:left="0" w:right="0"/>
            </w:pPr>
            <w:r w:rsidRPr="001B09E6">
              <w:t>20 to 24 years</w:t>
            </w:r>
          </w:p>
        </w:tc>
        <w:tc>
          <w:tcPr>
            <w:tcW w:w="504" w:type="pct"/>
            <w:tcBorders>
              <w:top w:val="nil"/>
              <w:left w:val="nil"/>
              <w:bottom w:val="dotted" w:sz="4" w:space="0" w:color="auto"/>
              <w:right w:val="nil"/>
            </w:tcBorders>
          </w:tcPr>
          <w:p w14:paraId="24429BA6" w14:textId="77777777" w:rsidR="00E45705" w:rsidRPr="001B09E6" w:rsidRDefault="00E45705" w:rsidP="00E45705">
            <w:pPr>
              <w:pStyle w:val="TableCellText"/>
              <w:spacing w:before="0" w:after="0"/>
              <w:ind w:left="0" w:right="0"/>
            </w:pPr>
            <w:r w:rsidRPr="001B09E6">
              <w:t>25.5</w:t>
            </w:r>
          </w:p>
        </w:tc>
        <w:tc>
          <w:tcPr>
            <w:tcW w:w="504" w:type="pct"/>
            <w:tcBorders>
              <w:top w:val="nil"/>
              <w:left w:val="nil"/>
              <w:bottom w:val="dotted" w:sz="4" w:space="0" w:color="auto"/>
              <w:right w:val="nil"/>
            </w:tcBorders>
            <w:shd w:val="clear" w:color="auto" w:fill="auto"/>
            <w:noWrap/>
            <w:hideMark/>
          </w:tcPr>
          <w:p w14:paraId="2A59FFDB" w14:textId="77777777" w:rsidR="00E45705" w:rsidRPr="001B09E6" w:rsidRDefault="00E45705" w:rsidP="00E45705">
            <w:pPr>
              <w:pStyle w:val="TableCellText"/>
              <w:spacing w:before="0" w:after="0"/>
              <w:ind w:left="0" w:right="0"/>
            </w:pPr>
            <w:r w:rsidRPr="001B09E6">
              <w:t>23.4</w:t>
            </w:r>
          </w:p>
        </w:tc>
        <w:tc>
          <w:tcPr>
            <w:tcW w:w="505" w:type="pct"/>
            <w:tcBorders>
              <w:top w:val="nil"/>
              <w:left w:val="nil"/>
              <w:bottom w:val="nil"/>
              <w:right w:val="nil"/>
            </w:tcBorders>
            <w:shd w:val="clear" w:color="auto" w:fill="auto"/>
            <w:noWrap/>
            <w:hideMark/>
          </w:tcPr>
          <w:p w14:paraId="59B93226" w14:textId="77777777" w:rsidR="00E45705" w:rsidRPr="001B09E6" w:rsidRDefault="00E45705" w:rsidP="00E45705">
            <w:pPr>
              <w:pStyle w:val="TableCellText"/>
              <w:spacing w:before="0" w:after="0"/>
              <w:ind w:left="0" w:right="0"/>
            </w:pPr>
            <w:r w:rsidRPr="001B09E6">
              <w:t>23.0</w:t>
            </w:r>
          </w:p>
        </w:tc>
        <w:tc>
          <w:tcPr>
            <w:tcW w:w="505" w:type="pct"/>
            <w:tcBorders>
              <w:top w:val="nil"/>
              <w:left w:val="nil"/>
              <w:bottom w:val="nil"/>
              <w:right w:val="nil"/>
            </w:tcBorders>
            <w:shd w:val="clear" w:color="auto" w:fill="auto"/>
            <w:noWrap/>
            <w:hideMark/>
          </w:tcPr>
          <w:p w14:paraId="30C5C17C" w14:textId="77777777" w:rsidR="00E45705" w:rsidRPr="001B09E6" w:rsidRDefault="00E45705" w:rsidP="00E45705">
            <w:pPr>
              <w:pStyle w:val="TableCellText"/>
              <w:spacing w:before="0" w:after="0"/>
              <w:ind w:left="0" w:right="0"/>
            </w:pPr>
            <w:r w:rsidRPr="001B09E6">
              <w:t>22.0</w:t>
            </w:r>
          </w:p>
        </w:tc>
        <w:tc>
          <w:tcPr>
            <w:tcW w:w="504" w:type="pct"/>
            <w:tcBorders>
              <w:top w:val="nil"/>
              <w:left w:val="nil"/>
              <w:bottom w:val="nil"/>
              <w:right w:val="nil"/>
            </w:tcBorders>
            <w:shd w:val="clear" w:color="auto" w:fill="auto"/>
            <w:noWrap/>
            <w:hideMark/>
          </w:tcPr>
          <w:p w14:paraId="2D9C782E" w14:textId="77777777" w:rsidR="00E45705" w:rsidRPr="001B09E6" w:rsidRDefault="00E45705" w:rsidP="00E45705">
            <w:pPr>
              <w:pStyle w:val="TableCellText"/>
              <w:spacing w:before="0" w:after="0"/>
              <w:ind w:left="0" w:right="0"/>
            </w:pPr>
            <w:r w:rsidRPr="001B09E6">
              <w:t>22.5</w:t>
            </w:r>
          </w:p>
        </w:tc>
        <w:tc>
          <w:tcPr>
            <w:tcW w:w="505" w:type="pct"/>
            <w:tcBorders>
              <w:top w:val="nil"/>
              <w:left w:val="nil"/>
              <w:bottom w:val="nil"/>
              <w:right w:val="nil"/>
            </w:tcBorders>
            <w:shd w:val="clear" w:color="auto" w:fill="auto"/>
            <w:noWrap/>
            <w:hideMark/>
          </w:tcPr>
          <w:p w14:paraId="66BB5726" w14:textId="77777777" w:rsidR="00E45705" w:rsidRPr="001B09E6" w:rsidRDefault="00E45705" w:rsidP="00E45705">
            <w:pPr>
              <w:pStyle w:val="TableCellText"/>
              <w:spacing w:before="0" w:after="0"/>
              <w:ind w:left="0" w:right="0"/>
            </w:pPr>
            <w:r w:rsidRPr="001B09E6">
              <w:t>23.3</w:t>
            </w:r>
          </w:p>
        </w:tc>
      </w:tr>
      <w:tr w:rsidR="00E45705" w:rsidRPr="001B09E6" w14:paraId="3E40B9EC" w14:textId="77777777" w:rsidTr="00E45705">
        <w:trPr>
          <w:trHeight w:val="225"/>
        </w:trPr>
        <w:tc>
          <w:tcPr>
            <w:tcW w:w="1184" w:type="pct"/>
            <w:tcBorders>
              <w:left w:val="nil"/>
              <w:right w:val="nil"/>
            </w:tcBorders>
            <w:shd w:val="clear" w:color="auto" w:fill="auto"/>
            <w:noWrap/>
            <w:hideMark/>
          </w:tcPr>
          <w:p w14:paraId="1437E9B6" w14:textId="77777777" w:rsidR="00E45705" w:rsidRPr="001B09E6" w:rsidRDefault="00E45705" w:rsidP="00E45705">
            <w:pPr>
              <w:pStyle w:val="TableCellText"/>
              <w:spacing w:before="0" w:after="0"/>
              <w:ind w:left="0" w:right="0"/>
            </w:pPr>
            <w:r w:rsidRPr="001B09E6">
              <w:t>Quintile 5: Least disadvantaged</w:t>
            </w:r>
          </w:p>
        </w:tc>
        <w:tc>
          <w:tcPr>
            <w:tcW w:w="786" w:type="pct"/>
            <w:tcBorders>
              <w:top w:val="dotted" w:sz="4" w:space="0" w:color="auto"/>
              <w:left w:val="nil"/>
              <w:right w:val="nil"/>
            </w:tcBorders>
          </w:tcPr>
          <w:p w14:paraId="400D95FA" w14:textId="77777777" w:rsidR="00E45705" w:rsidRPr="001B09E6" w:rsidRDefault="00E45705" w:rsidP="00E45705">
            <w:pPr>
              <w:pStyle w:val="TableCellText"/>
              <w:spacing w:before="0" w:after="0"/>
              <w:ind w:left="0" w:right="0"/>
            </w:pPr>
            <w:r w:rsidRPr="001B09E6">
              <w:t>15 to 19 years</w:t>
            </w:r>
          </w:p>
        </w:tc>
        <w:tc>
          <w:tcPr>
            <w:tcW w:w="504" w:type="pct"/>
            <w:tcBorders>
              <w:top w:val="dotted" w:sz="4" w:space="0" w:color="auto"/>
              <w:left w:val="nil"/>
              <w:right w:val="nil"/>
            </w:tcBorders>
          </w:tcPr>
          <w:p w14:paraId="643F6DC3" w14:textId="77777777" w:rsidR="00E45705" w:rsidRPr="001B09E6" w:rsidRDefault="00E45705" w:rsidP="00E45705">
            <w:pPr>
              <w:pStyle w:val="TableCellText"/>
              <w:spacing w:before="0" w:after="0"/>
              <w:ind w:left="0" w:right="0"/>
            </w:pPr>
            <w:r w:rsidRPr="001B09E6">
              <w:t>15.8</w:t>
            </w:r>
          </w:p>
        </w:tc>
        <w:tc>
          <w:tcPr>
            <w:tcW w:w="504" w:type="pct"/>
            <w:tcBorders>
              <w:top w:val="dotted" w:sz="4" w:space="0" w:color="auto"/>
              <w:left w:val="nil"/>
              <w:right w:val="nil"/>
            </w:tcBorders>
            <w:shd w:val="clear" w:color="auto" w:fill="auto"/>
            <w:noWrap/>
            <w:hideMark/>
          </w:tcPr>
          <w:p w14:paraId="7062B8CA" w14:textId="77777777" w:rsidR="00E45705" w:rsidRPr="001B09E6" w:rsidRDefault="00E45705" w:rsidP="00E45705">
            <w:pPr>
              <w:pStyle w:val="TableCellText"/>
              <w:spacing w:before="0" w:after="0"/>
              <w:ind w:left="0" w:right="0"/>
            </w:pPr>
            <w:r w:rsidRPr="001B09E6">
              <w:t>17.5</w:t>
            </w:r>
          </w:p>
        </w:tc>
        <w:tc>
          <w:tcPr>
            <w:tcW w:w="505" w:type="pct"/>
            <w:tcBorders>
              <w:top w:val="dotted" w:sz="4" w:space="0" w:color="auto"/>
              <w:left w:val="nil"/>
              <w:right w:val="nil"/>
            </w:tcBorders>
            <w:shd w:val="clear" w:color="auto" w:fill="auto"/>
            <w:noWrap/>
            <w:hideMark/>
          </w:tcPr>
          <w:p w14:paraId="16580D41" w14:textId="77777777" w:rsidR="00E45705" w:rsidRPr="001B09E6" w:rsidRDefault="00E45705" w:rsidP="00E45705">
            <w:pPr>
              <w:pStyle w:val="TableCellText"/>
              <w:spacing w:before="0" w:after="0"/>
              <w:ind w:left="0" w:right="0"/>
            </w:pPr>
            <w:r w:rsidRPr="001B09E6">
              <w:t>17.3</w:t>
            </w:r>
          </w:p>
        </w:tc>
        <w:tc>
          <w:tcPr>
            <w:tcW w:w="505" w:type="pct"/>
            <w:tcBorders>
              <w:top w:val="dotted" w:sz="4" w:space="0" w:color="auto"/>
              <w:left w:val="nil"/>
              <w:right w:val="nil"/>
            </w:tcBorders>
            <w:shd w:val="clear" w:color="auto" w:fill="auto"/>
            <w:noWrap/>
            <w:hideMark/>
          </w:tcPr>
          <w:p w14:paraId="4B01316F" w14:textId="77777777" w:rsidR="00E45705" w:rsidRPr="001B09E6" w:rsidRDefault="00E45705" w:rsidP="00E45705">
            <w:pPr>
              <w:pStyle w:val="TableCellText"/>
              <w:spacing w:before="0" w:after="0"/>
              <w:ind w:left="0" w:right="0"/>
            </w:pPr>
            <w:r w:rsidRPr="001B09E6">
              <w:t>16.6</w:t>
            </w:r>
          </w:p>
        </w:tc>
        <w:tc>
          <w:tcPr>
            <w:tcW w:w="504" w:type="pct"/>
            <w:tcBorders>
              <w:top w:val="dotted" w:sz="4" w:space="0" w:color="auto"/>
              <w:left w:val="nil"/>
              <w:right w:val="nil"/>
            </w:tcBorders>
            <w:shd w:val="clear" w:color="auto" w:fill="auto"/>
            <w:noWrap/>
            <w:hideMark/>
          </w:tcPr>
          <w:p w14:paraId="07D2395B" w14:textId="77777777" w:rsidR="00E45705" w:rsidRPr="001B09E6" w:rsidRDefault="00E45705" w:rsidP="00E45705">
            <w:pPr>
              <w:pStyle w:val="TableCellText"/>
              <w:spacing w:before="0" w:after="0"/>
              <w:ind w:left="0" w:right="0"/>
            </w:pPr>
            <w:r w:rsidRPr="001B09E6">
              <w:t>16.7</w:t>
            </w:r>
          </w:p>
        </w:tc>
        <w:tc>
          <w:tcPr>
            <w:tcW w:w="505" w:type="pct"/>
            <w:tcBorders>
              <w:top w:val="dotted" w:sz="4" w:space="0" w:color="auto"/>
              <w:left w:val="nil"/>
              <w:right w:val="nil"/>
            </w:tcBorders>
            <w:shd w:val="clear" w:color="auto" w:fill="auto"/>
            <w:noWrap/>
            <w:hideMark/>
          </w:tcPr>
          <w:p w14:paraId="26EF1D38" w14:textId="77777777" w:rsidR="00E45705" w:rsidRPr="001B09E6" w:rsidRDefault="00E45705" w:rsidP="00E45705">
            <w:pPr>
              <w:pStyle w:val="TableCellText"/>
              <w:spacing w:before="0" w:after="0"/>
              <w:ind w:left="0" w:right="0"/>
            </w:pPr>
            <w:r w:rsidRPr="001B09E6">
              <w:t>15.5</w:t>
            </w:r>
          </w:p>
        </w:tc>
      </w:tr>
      <w:tr w:rsidR="00E45705" w:rsidRPr="001B09E6" w14:paraId="28501E7B" w14:textId="77777777" w:rsidTr="00E45705">
        <w:trPr>
          <w:trHeight w:val="225"/>
        </w:trPr>
        <w:tc>
          <w:tcPr>
            <w:tcW w:w="1184" w:type="pct"/>
            <w:tcBorders>
              <w:top w:val="nil"/>
              <w:left w:val="nil"/>
              <w:bottom w:val="single" w:sz="4" w:space="0" w:color="auto"/>
              <w:right w:val="nil"/>
            </w:tcBorders>
            <w:shd w:val="clear" w:color="auto" w:fill="auto"/>
            <w:noWrap/>
            <w:hideMark/>
          </w:tcPr>
          <w:p w14:paraId="54295EA3" w14:textId="77777777" w:rsidR="00E45705" w:rsidRPr="001B09E6" w:rsidRDefault="00E45705" w:rsidP="00E45705">
            <w:pPr>
              <w:pStyle w:val="TableCellText"/>
              <w:spacing w:before="0" w:after="0"/>
              <w:ind w:left="0" w:right="0"/>
            </w:pPr>
          </w:p>
        </w:tc>
        <w:tc>
          <w:tcPr>
            <w:tcW w:w="786" w:type="pct"/>
            <w:tcBorders>
              <w:top w:val="nil"/>
              <w:left w:val="nil"/>
              <w:bottom w:val="single" w:sz="4" w:space="0" w:color="auto"/>
              <w:right w:val="nil"/>
            </w:tcBorders>
          </w:tcPr>
          <w:p w14:paraId="52206D21" w14:textId="77777777" w:rsidR="00E45705" w:rsidRPr="001B09E6" w:rsidRDefault="00E45705" w:rsidP="00E45705">
            <w:pPr>
              <w:pStyle w:val="TableCellText"/>
              <w:spacing w:before="0" w:after="0"/>
              <w:ind w:left="0" w:right="0"/>
            </w:pPr>
            <w:r w:rsidRPr="001B09E6">
              <w:t>20 to 24 years</w:t>
            </w:r>
          </w:p>
        </w:tc>
        <w:tc>
          <w:tcPr>
            <w:tcW w:w="504" w:type="pct"/>
            <w:tcBorders>
              <w:top w:val="nil"/>
              <w:left w:val="nil"/>
              <w:bottom w:val="single" w:sz="4" w:space="0" w:color="auto"/>
              <w:right w:val="nil"/>
            </w:tcBorders>
          </w:tcPr>
          <w:p w14:paraId="410763A1" w14:textId="77777777" w:rsidR="00E45705" w:rsidRPr="001B09E6" w:rsidRDefault="00E45705" w:rsidP="00E45705">
            <w:pPr>
              <w:pStyle w:val="TableCellText"/>
              <w:spacing w:before="0" w:after="0"/>
              <w:ind w:left="0" w:right="0"/>
            </w:pPr>
            <w:r w:rsidRPr="001B09E6">
              <w:t>21.5</w:t>
            </w:r>
          </w:p>
        </w:tc>
        <w:tc>
          <w:tcPr>
            <w:tcW w:w="504" w:type="pct"/>
            <w:tcBorders>
              <w:top w:val="nil"/>
              <w:left w:val="nil"/>
              <w:bottom w:val="single" w:sz="4" w:space="0" w:color="auto"/>
              <w:right w:val="nil"/>
            </w:tcBorders>
            <w:shd w:val="clear" w:color="auto" w:fill="auto"/>
            <w:noWrap/>
            <w:hideMark/>
          </w:tcPr>
          <w:p w14:paraId="5385ECC1" w14:textId="77777777" w:rsidR="00E45705" w:rsidRPr="001B09E6" w:rsidRDefault="00E45705" w:rsidP="00E45705">
            <w:pPr>
              <w:pStyle w:val="TableCellText"/>
              <w:spacing w:before="0" w:after="0"/>
              <w:ind w:left="0" w:right="0"/>
            </w:pPr>
            <w:r w:rsidRPr="001B09E6">
              <w:t>18.8</w:t>
            </w:r>
          </w:p>
        </w:tc>
        <w:tc>
          <w:tcPr>
            <w:tcW w:w="505" w:type="pct"/>
            <w:tcBorders>
              <w:top w:val="nil"/>
              <w:left w:val="nil"/>
              <w:bottom w:val="single" w:sz="4" w:space="0" w:color="auto"/>
              <w:right w:val="nil"/>
            </w:tcBorders>
            <w:shd w:val="clear" w:color="auto" w:fill="auto"/>
            <w:noWrap/>
            <w:hideMark/>
          </w:tcPr>
          <w:p w14:paraId="53D89D13" w14:textId="77777777" w:rsidR="00E45705" w:rsidRPr="001B09E6" w:rsidRDefault="00E45705" w:rsidP="00E45705">
            <w:pPr>
              <w:pStyle w:val="TableCellText"/>
              <w:spacing w:before="0" w:after="0"/>
              <w:ind w:left="0" w:right="0"/>
            </w:pPr>
            <w:r w:rsidRPr="001B09E6">
              <w:t>19.8</w:t>
            </w:r>
          </w:p>
        </w:tc>
        <w:tc>
          <w:tcPr>
            <w:tcW w:w="505" w:type="pct"/>
            <w:tcBorders>
              <w:top w:val="nil"/>
              <w:left w:val="nil"/>
              <w:bottom w:val="single" w:sz="4" w:space="0" w:color="auto"/>
              <w:right w:val="nil"/>
            </w:tcBorders>
            <w:shd w:val="clear" w:color="auto" w:fill="auto"/>
            <w:noWrap/>
            <w:hideMark/>
          </w:tcPr>
          <w:p w14:paraId="380ED07F" w14:textId="77777777" w:rsidR="00E45705" w:rsidRPr="001B09E6" w:rsidRDefault="00E45705" w:rsidP="00E45705">
            <w:pPr>
              <w:pStyle w:val="TableCellText"/>
              <w:spacing w:before="0" w:after="0"/>
              <w:ind w:left="0" w:right="0"/>
            </w:pPr>
            <w:r w:rsidRPr="001B09E6">
              <w:t>18.6</w:t>
            </w:r>
          </w:p>
        </w:tc>
        <w:tc>
          <w:tcPr>
            <w:tcW w:w="504" w:type="pct"/>
            <w:tcBorders>
              <w:top w:val="nil"/>
              <w:left w:val="nil"/>
              <w:bottom w:val="single" w:sz="4" w:space="0" w:color="auto"/>
              <w:right w:val="nil"/>
            </w:tcBorders>
            <w:shd w:val="clear" w:color="auto" w:fill="auto"/>
            <w:noWrap/>
            <w:hideMark/>
          </w:tcPr>
          <w:p w14:paraId="2B6175E0" w14:textId="77777777" w:rsidR="00E45705" w:rsidRPr="001B09E6" w:rsidRDefault="00E45705" w:rsidP="00E45705">
            <w:pPr>
              <w:pStyle w:val="TableCellText"/>
              <w:spacing w:before="0" w:after="0"/>
              <w:ind w:left="0" w:right="0"/>
            </w:pPr>
            <w:r w:rsidRPr="001B09E6">
              <w:t>18.6</w:t>
            </w:r>
          </w:p>
        </w:tc>
        <w:tc>
          <w:tcPr>
            <w:tcW w:w="505" w:type="pct"/>
            <w:tcBorders>
              <w:top w:val="nil"/>
              <w:left w:val="nil"/>
              <w:bottom w:val="single" w:sz="4" w:space="0" w:color="auto"/>
              <w:right w:val="nil"/>
            </w:tcBorders>
            <w:shd w:val="clear" w:color="auto" w:fill="auto"/>
            <w:noWrap/>
            <w:hideMark/>
          </w:tcPr>
          <w:p w14:paraId="54F3CEC4" w14:textId="77777777" w:rsidR="00E45705" w:rsidRPr="001B09E6" w:rsidRDefault="00E45705" w:rsidP="00E45705">
            <w:pPr>
              <w:pStyle w:val="TableCellText"/>
              <w:spacing w:before="0" w:after="0"/>
              <w:ind w:left="0" w:right="0"/>
            </w:pPr>
            <w:r w:rsidRPr="001B09E6">
              <w:t>18.1</w:t>
            </w:r>
          </w:p>
        </w:tc>
      </w:tr>
    </w:tbl>
    <w:p w14:paraId="24AE1007" w14:textId="77777777" w:rsidR="00E45705" w:rsidRPr="001B09E6" w:rsidRDefault="00E45705" w:rsidP="00E45705">
      <w:pPr>
        <w:pStyle w:val="Tablenote"/>
      </w:pPr>
      <w:r w:rsidRPr="001B09E6">
        <w:t>Source: National VET Provider Collection</w:t>
      </w:r>
    </w:p>
    <w:p w14:paraId="44A9B0FD" w14:textId="77777777" w:rsidR="00E45705" w:rsidRDefault="00E45705" w:rsidP="00E45705">
      <w:pPr>
        <w:spacing w:line="380" w:lineRule="atLeast"/>
        <w:rPr>
          <w:rFonts w:eastAsiaTheme="majorEastAsia" w:cstheme="majorBidi"/>
          <w:b/>
          <w:bCs/>
          <w:color w:val="808080"/>
          <w:sz w:val="24"/>
        </w:rPr>
      </w:pPr>
      <w:bookmarkStart w:id="199" w:name="_Toc192134421"/>
      <w:bookmarkStart w:id="200" w:name="_Toc333919010"/>
      <w:bookmarkStart w:id="201" w:name="_Toc192134422"/>
      <w:r>
        <w:br w:type="page"/>
      </w:r>
    </w:p>
    <w:p w14:paraId="3CF7A896" w14:textId="77777777" w:rsidR="00E45705" w:rsidRPr="001B09E6" w:rsidRDefault="00E45705" w:rsidP="00E45705">
      <w:pPr>
        <w:pStyle w:val="Heading3NoNumbering"/>
      </w:pPr>
      <w:r w:rsidRPr="001B09E6">
        <w:t>Table A2.27:  VET attainment, disability</w:t>
      </w:r>
      <w:bookmarkEnd w:id="199"/>
      <w:bookmarkEnd w:id="200"/>
    </w:p>
    <w:p w14:paraId="040B51B2" w14:textId="77777777" w:rsidR="00E45705" w:rsidRPr="001B09E6" w:rsidRDefault="00E45705" w:rsidP="00E45705">
      <w:pPr>
        <w:pStyle w:val="TableHeading"/>
        <w:spacing w:before="112"/>
        <w:ind w:left="0" w:firstLine="0"/>
      </w:pPr>
      <w:r w:rsidRPr="001B09E6">
        <w:t>Course completions at Certificate II level or above by 15-24 year olds by disability status as a percentage of total, 2002-10, excluding those attending school and whose disability status is not known</w:t>
      </w:r>
    </w:p>
    <w:tbl>
      <w:tblPr>
        <w:tblW w:w="4646" w:type="pct"/>
        <w:tblLook w:val="04A0" w:firstRow="1" w:lastRow="0" w:firstColumn="1" w:lastColumn="0" w:noHBand="0" w:noVBand="1"/>
        <w:tblCaption w:val="Table A2.27:  VET attainment, disability Course completions at Certificate II level or above by 15-24 year olds by disability status as a percentage of total, 2002-10, excluding those attending school and whose disability status is not known "/>
        <w:tblDescription w:val="Table A2.27:  VET attainment, disability&#10;Course completions at Certificate II level or above by 15-24 year olds by disability status as a percentage of total, 2002-10, excluding those attending school and whose disability status is not known&#10;"/>
      </w:tblPr>
      <w:tblGrid>
        <w:gridCol w:w="2167"/>
        <w:gridCol w:w="2099"/>
        <w:gridCol w:w="1035"/>
        <w:gridCol w:w="1035"/>
        <w:gridCol w:w="1035"/>
        <w:gridCol w:w="1035"/>
        <w:gridCol w:w="1035"/>
        <w:gridCol w:w="1035"/>
        <w:gridCol w:w="1035"/>
        <w:gridCol w:w="1035"/>
        <w:gridCol w:w="1035"/>
      </w:tblGrid>
      <w:tr w:rsidR="00E45705" w:rsidRPr="001B09E6" w14:paraId="30FC319A" w14:textId="77777777" w:rsidTr="00E45705">
        <w:trPr>
          <w:trHeight w:val="225"/>
        </w:trPr>
        <w:tc>
          <w:tcPr>
            <w:tcW w:w="798" w:type="pct"/>
            <w:tcBorders>
              <w:top w:val="single" w:sz="4" w:space="0" w:color="auto"/>
              <w:left w:val="nil"/>
              <w:bottom w:val="single" w:sz="4" w:space="0" w:color="auto"/>
            </w:tcBorders>
            <w:shd w:val="clear" w:color="auto" w:fill="auto"/>
            <w:noWrap/>
            <w:hideMark/>
          </w:tcPr>
          <w:p w14:paraId="4149CCEA" w14:textId="77777777" w:rsidR="00E45705" w:rsidRPr="001B09E6" w:rsidRDefault="00E45705" w:rsidP="00E45705">
            <w:pPr>
              <w:pStyle w:val="TableColumnHeading"/>
              <w:spacing w:before="0" w:after="0"/>
            </w:pPr>
          </w:p>
        </w:tc>
        <w:tc>
          <w:tcPr>
            <w:tcW w:w="773" w:type="pct"/>
            <w:tcBorders>
              <w:top w:val="single" w:sz="4" w:space="0" w:color="auto"/>
              <w:bottom w:val="single" w:sz="4" w:space="0" w:color="auto"/>
            </w:tcBorders>
          </w:tcPr>
          <w:p w14:paraId="47471023" w14:textId="77777777" w:rsidR="00E45705" w:rsidRPr="001B09E6" w:rsidRDefault="00E45705" w:rsidP="00E45705">
            <w:pPr>
              <w:pStyle w:val="TableColumnHeading"/>
              <w:spacing w:before="0" w:after="0"/>
            </w:pPr>
          </w:p>
        </w:tc>
        <w:tc>
          <w:tcPr>
            <w:tcW w:w="381" w:type="pct"/>
            <w:tcBorders>
              <w:top w:val="single" w:sz="4" w:space="0" w:color="auto"/>
              <w:bottom w:val="single" w:sz="4" w:space="0" w:color="auto"/>
            </w:tcBorders>
            <w:shd w:val="clear" w:color="auto" w:fill="auto"/>
            <w:noWrap/>
            <w:hideMark/>
          </w:tcPr>
          <w:p w14:paraId="0C42F479" w14:textId="77777777" w:rsidR="00E45705" w:rsidRPr="001B09E6" w:rsidRDefault="00E45705" w:rsidP="00E45705">
            <w:pPr>
              <w:pStyle w:val="TableColumnHeading"/>
              <w:spacing w:before="0" w:after="0"/>
            </w:pPr>
            <w:r w:rsidRPr="001B09E6">
              <w:t>2002</w:t>
            </w:r>
          </w:p>
        </w:tc>
        <w:tc>
          <w:tcPr>
            <w:tcW w:w="381" w:type="pct"/>
            <w:tcBorders>
              <w:top w:val="single" w:sz="4" w:space="0" w:color="auto"/>
              <w:bottom w:val="single" w:sz="4" w:space="0" w:color="auto"/>
            </w:tcBorders>
            <w:shd w:val="clear" w:color="auto" w:fill="auto"/>
            <w:noWrap/>
            <w:hideMark/>
          </w:tcPr>
          <w:p w14:paraId="7FA96CB1" w14:textId="77777777" w:rsidR="00E45705" w:rsidRPr="001B09E6" w:rsidRDefault="00E45705" w:rsidP="00E45705">
            <w:pPr>
              <w:pStyle w:val="TableColumnHeading"/>
              <w:spacing w:before="0" w:after="0"/>
            </w:pPr>
            <w:r w:rsidRPr="001B09E6">
              <w:t>2003</w:t>
            </w:r>
          </w:p>
        </w:tc>
        <w:tc>
          <w:tcPr>
            <w:tcW w:w="381" w:type="pct"/>
            <w:tcBorders>
              <w:top w:val="single" w:sz="4" w:space="0" w:color="auto"/>
              <w:bottom w:val="single" w:sz="4" w:space="0" w:color="auto"/>
            </w:tcBorders>
            <w:shd w:val="clear" w:color="auto" w:fill="auto"/>
            <w:noWrap/>
            <w:hideMark/>
          </w:tcPr>
          <w:p w14:paraId="21BBBEFC" w14:textId="77777777" w:rsidR="00E45705" w:rsidRPr="001B09E6" w:rsidRDefault="00E45705" w:rsidP="00E45705">
            <w:pPr>
              <w:pStyle w:val="TableColumnHeading"/>
              <w:spacing w:before="0" w:after="0"/>
            </w:pPr>
            <w:r w:rsidRPr="001B09E6">
              <w:t>2004</w:t>
            </w:r>
          </w:p>
        </w:tc>
        <w:tc>
          <w:tcPr>
            <w:tcW w:w="381" w:type="pct"/>
            <w:tcBorders>
              <w:top w:val="single" w:sz="4" w:space="0" w:color="auto"/>
              <w:bottom w:val="single" w:sz="4" w:space="0" w:color="auto"/>
            </w:tcBorders>
            <w:shd w:val="clear" w:color="auto" w:fill="auto"/>
            <w:noWrap/>
            <w:hideMark/>
          </w:tcPr>
          <w:p w14:paraId="3A9A869D" w14:textId="77777777" w:rsidR="00E45705" w:rsidRPr="001B09E6" w:rsidRDefault="00E45705" w:rsidP="00E45705">
            <w:pPr>
              <w:pStyle w:val="TableColumnHeading"/>
              <w:spacing w:before="0" w:after="0"/>
            </w:pPr>
            <w:r w:rsidRPr="001B09E6">
              <w:t>2005</w:t>
            </w:r>
          </w:p>
        </w:tc>
        <w:tc>
          <w:tcPr>
            <w:tcW w:w="381" w:type="pct"/>
            <w:tcBorders>
              <w:top w:val="single" w:sz="4" w:space="0" w:color="auto"/>
              <w:bottom w:val="single" w:sz="4" w:space="0" w:color="auto"/>
            </w:tcBorders>
            <w:shd w:val="clear" w:color="auto" w:fill="auto"/>
            <w:noWrap/>
            <w:hideMark/>
          </w:tcPr>
          <w:p w14:paraId="552B104C" w14:textId="77777777" w:rsidR="00E45705" w:rsidRPr="001B09E6" w:rsidRDefault="00E45705" w:rsidP="00E45705">
            <w:pPr>
              <w:pStyle w:val="TableColumnHeading"/>
              <w:spacing w:before="0" w:after="0"/>
            </w:pPr>
            <w:r w:rsidRPr="001B09E6">
              <w:t>2006</w:t>
            </w:r>
          </w:p>
        </w:tc>
        <w:tc>
          <w:tcPr>
            <w:tcW w:w="381" w:type="pct"/>
            <w:tcBorders>
              <w:top w:val="single" w:sz="4" w:space="0" w:color="auto"/>
              <w:bottom w:val="single" w:sz="4" w:space="0" w:color="auto"/>
            </w:tcBorders>
            <w:shd w:val="clear" w:color="auto" w:fill="auto"/>
            <w:noWrap/>
            <w:hideMark/>
          </w:tcPr>
          <w:p w14:paraId="701D1696" w14:textId="77777777" w:rsidR="00E45705" w:rsidRPr="001B09E6" w:rsidRDefault="00E45705" w:rsidP="00E45705">
            <w:pPr>
              <w:pStyle w:val="TableColumnHeading"/>
              <w:spacing w:before="0" w:after="0"/>
            </w:pPr>
            <w:r w:rsidRPr="001B09E6">
              <w:t>2007</w:t>
            </w:r>
          </w:p>
        </w:tc>
        <w:tc>
          <w:tcPr>
            <w:tcW w:w="381" w:type="pct"/>
            <w:tcBorders>
              <w:top w:val="single" w:sz="4" w:space="0" w:color="auto"/>
              <w:bottom w:val="single" w:sz="4" w:space="0" w:color="auto"/>
            </w:tcBorders>
            <w:shd w:val="clear" w:color="auto" w:fill="auto"/>
            <w:noWrap/>
            <w:hideMark/>
          </w:tcPr>
          <w:p w14:paraId="26F876AC" w14:textId="77777777" w:rsidR="00E45705" w:rsidRPr="001B09E6" w:rsidRDefault="00E45705" w:rsidP="00E45705">
            <w:pPr>
              <w:pStyle w:val="TableColumnHeading"/>
              <w:spacing w:before="0" w:after="0"/>
            </w:pPr>
            <w:r w:rsidRPr="001B09E6">
              <w:t>2008</w:t>
            </w:r>
          </w:p>
        </w:tc>
        <w:tc>
          <w:tcPr>
            <w:tcW w:w="381" w:type="pct"/>
            <w:tcBorders>
              <w:top w:val="single" w:sz="4" w:space="0" w:color="auto"/>
              <w:bottom w:val="single" w:sz="4" w:space="0" w:color="auto"/>
            </w:tcBorders>
            <w:shd w:val="clear" w:color="auto" w:fill="auto"/>
            <w:noWrap/>
            <w:hideMark/>
          </w:tcPr>
          <w:p w14:paraId="24ED79D4" w14:textId="77777777" w:rsidR="00E45705" w:rsidRPr="001B09E6" w:rsidRDefault="00E45705" w:rsidP="00E45705">
            <w:pPr>
              <w:pStyle w:val="TableColumnHeading"/>
              <w:spacing w:before="0" w:after="0"/>
            </w:pPr>
            <w:r w:rsidRPr="001B09E6">
              <w:t>2009</w:t>
            </w:r>
          </w:p>
        </w:tc>
        <w:tc>
          <w:tcPr>
            <w:tcW w:w="381" w:type="pct"/>
            <w:tcBorders>
              <w:top w:val="single" w:sz="4" w:space="0" w:color="auto"/>
              <w:bottom w:val="single" w:sz="4" w:space="0" w:color="auto"/>
            </w:tcBorders>
            <w:shd w:val="clear" w:color="auto" w:fill="auto"/>
            <w:noWrap/>
            <w:hideMark/>
          </w:tcPr>
          <w:p w14:paraId="45678F95" w14:textId="77777777" w:rsidR="00E45705" w:rsidRPr="001B09E6" w:rsidRDefault="00E45705" w:rsidP="00E45705">
            <w:pPr>
              <w:pStyle w:val="TableColumnHeading"/>
              <w:spacing w:before="0" w:after="0"/>
            </w:pPr>
            <w:r w:rsidRPr="001B09E6">
              <w:t>2010</w:t>
            </w:r>
          </w:p>
        </w:tc>
      </w:tr>
      <w:tr w:rsidR="00E45705" w:rsidRPr="001B09E6" w14:paraId="2CACE7F4" w14:textId="77777777" w:rsidTr="00E45705">
        <w:trPr>
          <w:trHeight w:val="225"/>
        </w:trPr>
        <w:tc>
          <w:tcPr>
            <w:tcW w:w="798" w:type="pct"/>
            <w:tcBorders>
              <w:top w:val="single" w:sz="4" w:space="0" w:color="auto"/>
              <w:left w:val="nil"/>
              <w:right w:val="nil"/>
            </w:tcBorders>
            <w:shd w:val="clear" w:color="auto" w:fill="auto"/>
            <w:noWrap/>
            <w:hideMark/>
          </w:tcPr>
          <w:p w14:paraId="5607BF0E" w14:textId="77777777" w:rsidR="00E45705" w:rsidRPr="001B09E6" w:rsidRDefault="00E45705" w:rsidP="00E45705">
            <w:pPr>
              <w:pStyle w:val="TableCellText"/>
              <w:spacing w:before="0" w:after="0"/>
              <w:rPr>
                <w:lang w:eastAsia="en-AU"/>
              </w:rPr>
            </w:pPr>
            <w:r w:rsidRPr="001B09E6">
              <w:rPr>
                <w:lang w:eastAsia="en-AU"/>
              </w:rPr>
              <w:t>With a disability</w:t>
            </w:r>
          </w:p>
        </w:tc>
        <w:tc>
          <w:tcPr>
            <w:tcW w:w="773" w:type="pct"/>
            <w:tcBorders>
              <w:top w:val="single" w:sz="4" w:space="0" w:color="auto"/>
              <w:left w:val="nil"/>
              <w:right w:val="nil"/>
            </w:tcBorders>
          </w:tcPr>
          <w:p w14:paraId="02395B53" w14:textId="77777777" w:rsidR="00E45705" w:rsidRPr="001B09E6" w:rsidRDefault="00E45705" w:rsidP="00E45705">
            <w:pPr>
              <w:pStyle w:val="TableCellText"/>
              <w:spacing w:before="0" w:after="0"/>
              <w:rPr>
                <w:lang w:eastAsia="en-AU"/>
              </w:rPr>
            </w:pPr>
            <w:r w:rsidRPr="001B09E6">
              <w:rPr>
                <w:lang w:eastAsia="en-AU"/>
              </w:rPr>
              <w:t>15 to 19 years</w:t>
            </w:r>
          </w:p>
        </w:tc>
        <w:tc>
          <w:tcPr>
            <w:tcW w:w="381" w:type="pct"/>
            <w:tcBorders>
              <w:top w:val="single" w:sz="4" w:space="0" w:color="auto"/>
              <w:left w:val="nil"/>
              <w:right w:val="nil"/>
            </w:tcBorders>
            <w:shd w:val="clear" w:color="auto" w:fill="auto"/>
            <w:noWrap/>
            <w:hideMark/>
          </w:tcPr>
          <w:p w14:paraId="6D712D75" w14:textId="77777777" w:rsidR="00E45705" w:rsidRPr="001B09E6" w:rsidRDefault="00E45705" w:rsidP="00E45705">
            <w:pPr>
              <w:pStyle w:val="TableCellText"/>
              <w:spacing w:before="0" w:after="0"/>
              <w:jc w:val="center"/>
              <w:rPr>
                <w:lang w:eastAsia="en-AU"/>
              </w:rPr>
            </w:pPr>
            <w:r w:rsidRPr="001B09E6">
              <w:rPr>
                <w:lang w:eastAsia="en-AU"/>
              </w:rPr>
              <w:t>3.2</w:t>
            </w:r>
          </w:p>
        </w:tc>
        <w:tc>
          <w:tcPr>
            <w:tcW w:w="381" w:type="pct"/>
            <w:tcBorders>
              <w:top w:val="single" w:sz="4" w:space="0" w:color="auto"/>
              <w:left w:val="nil"/>
              <w:right w:val="nil"/>
            </w:tcBorders>
            <w:shd w:val="clear" w:color="auto" w:fill="auto"/>
            <w:noWrap/>
            <w:hideMark/>
          </w:tcPr>
          <w:p w14:paraId="29E9C516" w14:textId="77777777" w:rsidR="00E45705" w:rsidRPr="001B09E6" w:rsidRDefault="00E45705" w:rsidP="00E45705">
            <w:pPr>
              <w:pStyle w:val="TableCellText"/>
              <w:spacing w:before="0" w:after="0"/>
              <w:jc w:val="center"/>
              <w:rPr>
                <w:lang w:eastAsia="en-AU"/>
              </w:rPr>
            </w:pPr>
            <w:r w:rsidRPr="001B09E6">
              <w:rPr>
                <w:lang w:eastAsia="en-AU"/>
              </w:rPr>
              <w:t>4.0</w:t>
            </w:r>
          </w:p>
        </w:tc>
        <w:tc>
          <w:tcPr>
            <w:tcW w:w="381" w:type="pct"/>
            <w:tcBorders>
              <w:top w:val="single" w:sz="4" w:space="0" w:color="auto"/>
              <w:left w:val="nil"/>
              <w:right w:val="nil"/>
            </w:tcBorders>
            <w:shd w:val="clear" w:color="auto" w:fill="auto"/>
            <w:noWrap/>
            <w:hideMark/>
          </w:tcPr>
          <w:p w14:paraId="083AB6D6" w14:textId="77777777" w:rsidR="00E45705" w:rsidRPr="001B09E6" w:rsidRDefault="00E45705" w:rsidP="00E45705">
            <w:pPr>
              <w:pStyle w:val="TableCellText"/>
              <w:spacing w:before="0" w:after="0"/>
              <w:jc w:val="center"/>
              <w:rPr>
                <w:lang w:eastAsia="en-AU"/>
              </w:rPr>
            </w:pPr>
            <w:r w:rsidRPr="001B09E6">
              <w:rPr>
                <w:lang w:eastAsia="en-AU"/>
              </w:rPr>
              <w:t>3.8</w:t>
            </w:r>
          </w:p>
        </w:tc>
        <w:tc>
          <w:tcPr>
            <w:tcW w:w="381" w:type="pct"/>
            <w:tcBorders>
              <w:top w:val="single" w:sz="4" w:space="0" w:color="auto"/>
              <w:left w:val="nil"/>
              <w:right w:val="nil"/>
            </w:tcBorders>
            <w:shd w:val="clear" w:color="auto" w:fill="auto"/>
            <w:noWrap/>
            <w:hideMark/>
          </w:tcPr>
          <w:p w14:paraId="4F84DB0D" w14:textId="77777777" w:rsidR="00E45705" w:rsidRPr="001B09E6" w:rsidRDefault="00E45705" w:rsidP="00E45705">
            <w:pPr>
              <w:pStyle w:val="TableCellText"/>
              <w:spacing w:before="0" w:after="0"/>
              <w:jc w:val="center"/>
              <w:rPr>
                <w:lang w:eastAsia="en-AU"/>
              </w:rPr>
            </w:pPr>
            <w:r w:rsidRPr="001B09E6">
              <w:rPr>
                <w:lang w:eastAsia="en-AU"/>
              </w:rPr>
              <w:t>4.3</w:t>
            </w:r>
          </w:p>
        </w:tc>
        <w:tc>
          <w:tcPr>
            <w:tcW w:w="381" w:type="pct"/>
            <w:tcBorders>
              <w:top w:val="single" w:sz="4" w:space="0" w:color="auto"/>
              <w:left w:val="nil"/>
              <w:right w:val="nil"/>
            </w:tcBorders>
            <w:shd w:val="clear" w:color="auto" w:fill="auto"/>
            <w:noWrap/>
            <w:hideMark/>
          </w:tcPr>
          <w:p w14:paraId="36D45B1D" w14:textId="77777777" w:rsidR="00E45705" w:rsidRPr="001B09E6" w:rsidRDefault="00E45705" w:rsidP="00E45705">
            <w:pPr>
              <w:pStyle w:val="TableCellText"/>
              <w:spacing w:before="0" w:after="0"/>
              <w:jc w:val="center"/>
              <w:rPr>
                <w:lang w:eastAsia="en-AU"/>
              </w:rPr>
            </w:pPr>
            <w:r w:rsidRPr="001B09E6">
              <w:rPr>
                <w:lang w:eastAsia="en-AU"/>
              </w:rPr>
              <w:t>4.6</w:t>
            </w:r>
          </w:p>
        </w:tc>
        <w:tc>
          <w:tcPr>
            <w:tcW w:w="381" w:type="pct"/>
            <w:tcBorders>
              <w:top w:val="single" w:sz="4" w:space="0" w:color="auto"/>
              <w:left w:val="nil"/>
              <w:right w:val="nil"/>
            </w:tcBorders>
            <w:shd w:val="clear" w:color="auto" w:fill="auto"/>
            <w:noWrap/>
            <w:hideMark/>
          </w:tcPr>
          <w:p w14:paraId="0BB835C4" w14:textId="77777777" w:rsidR="00E45705" w:rsidRPr="001B09E6" w:rsidRDefault="00E45705" w:rsidP="00E45705">
            <w:pPr>
              <w:pStyle w:val="TableCellText"/>
              <w:spacing w:before="0" w:after="0"/>
              <w:jc w:val="center"/>
              <w:rPr>
                <w:lang w:eastAsia="en-AU"/>
              </w:rPr>
            </w:pPr>
            <w:r w:rsidRPr="001B09E6">
              <w:rPr>
                <w:lang w:eastAsia="en-AU"/>
              </w:rPr>
              <w:t>4.5</w:t>
            </w:r>
          </w:p>
        </w:tc>
        <w:tc>
          <w:tcPr>
            <w:tcW w:w="381" w:type="pct"/>
            <w:tcBorders>
              <w:top w:val="single" w:sz="4" w:space="0" w:color="auto"/>
              <w:left w:val="nil"/>
              <w:right w:val="nil"/>
            </w:tcBorders>
            <w:shd w:val="clear" w:color="auto" w:fill="auto"/>
            <w:noWrap/>
            <w:hideMark/>
          </w:tcPr>
          <w:p w14:paraId="34F34598" w14:textId="77777777" w:rsidR="00E45705" w:rsidRPr="001B09E6" w:rsidRDefault="00E45705" w:rsidP="00E45705">
            <w:pPr>
              <w:pStyle w:val="TableCellText"/>
              <w:spacing w:before="0" w:after="0"/>
              <w:jc w:val="center"/>
              <w:rPr>
                <w:lang w:eastAsia="en-AU"/>
              </w:rPr>
            </w:pPr>
            <w:r w:rsidRPr="001B09E6">
              <w:rPr>
                <w:lang w:eastAsia="en-AU"/>
              </w:rPr>
              <w:t>4.3</w:t>
            </w:r>
          </w:p>
        </w:tc>
        <w:tc>
          <w:tcPr>
            <w:tcW w:w="381" w:type="pct"/>
            <w:tcBorders>
              <w:top w:val="single" w:sz="4" w:space="0" w:color="auto"/>
              <w:left w:val="nil"/>
              <w:right w:val="nil"/>
            </w:tcBorders>
            <w:shd w:val="clear" w:color="auto" w:fill="auto"/>
            <w:noWrap/>
            <w:hideMark/>
          </w:tcPr>
          <w:p w14:paraId="73C1A431" w14:textId="77777777" w:rsidR="00E45705" w:rsidRPr="001B09E6" w:rsidRDefault="00E45705" w:rsidP="00E45705">
            <w:pPr>
              <w:pStyle w:val="TableCellText"/>
              <w:spacing w:before="0" w:after="0"/>
              <w:jc w:val="center"/>
              <w:rPr>
                <w:lang w:eastAsia="en-AU"/>
              </w:rPr>
            </w:pPr>
            <w:r w:rsidRPr="001B09E6">
              <w:rPr>
                <w:lang w:eastAsia="en-AU"/>
              </w:rPr>
              <w:t>4.7</w:t>
            </w:r>
          </w:p>
        </w:tc>
        <w:tc>
          <w:tcPr>
            <w:tcW w:w="381" w:type="pct"/>
            <w:tcBorders>
              <w:top w:val="single" w:sz="4" w:space="0" w:color="auto"/>
              <w:left w:val="nil"/>
              <w:right w:val="nil"/>
            </w:tcBorders>
            <w:shd w:val="clear" w:color="auto" w:fill="auto"/>
            <w:noWrap/>
            <w:hideMark/>
          </w:tcPr>
          <w:p w14:paraId="66C4F30B" w14:textId="77777777" w:rsidR="00E45705" w:rsidRPr="001B09E6" w:rsidRDefault="00E45705" w:rsidP="00E45705">
            <w:pPr>
              <w:pStyle w:val="TableCellText"/>
              <w:spacing w:before="0" w:after="0"/>
              <w:jc w:val="center"/>
              <w:rPr>
                <w:lang w:eastAsia="en-AU"/>
              </w:rPr>
            </w:pPr>
            <w:r w:rsidRPr="001B09E6">
              <w:rPr>
                <w:lang w:eastAsia="en-AU"/>
              </w:rPr>
              <w:t>5.3</w:t>
            </w:r>
          </w:p>
        </w:tc>
      </w:tr>
      <w:tr w:rsidR="00E45705" w:rsidRPr="001B09E6" w14:paraId="1CD8A7CA" w14:textId="77777777" w:rsidTr="00E45705">
        <w:trPr>
          <w:trHeight w:val="225"/>
        </w:trPr>
        <w:tc>
          <w:tcPr>
            <w:tcW w:w="798" w:type="pct"/>
            <w:tcBorders>
              <w:top w:val="nil"/>
              <w:left w:val="nil"/>
              <w:bottom w:val="nil"/>
              <w:right w:val="nil"/>
            </w:tcBorders>
            <w:shd w:val="clear" w:color="auto" w:fill="auto"/>
            <w:noWrap/>
            <w:hideMark/>
          </w:tcPr>
          <w:p w14:paraId="004B5842" w14:textId="77777777" w:rsidR="00E45705" w:rsidRPr="001B09E6" w:rsidRDefault="00E45705" w:rsidP="00E45705">
            <w:pPr>
              <w:pStyle w:val="TableCellText"/>
              <w:spacing w:before="0" w:after="0"/>
              <w:rPr>
                <w:lang w:eastAsia="en-AU"/>
              </w:rPr>
            </w:pPr>
          </w:p>
        </w:tc>
        <w:tc>
          <w:tcPr>
            <w:tcW w:w="773" w:type="pct"/>
            <w:tcBorders>
              <w:top w:val="nil"/>
              <w:left w:val="nil"/>
              <w:bottom w:val="nil"/>
              <w:right w:val="nil"/>
            </w:tcBorders>
          </w:tcPr>
          <w:p w14:paraId="65857C92" w14:textId="77777777" w:rsidR="00E45705" w:rsidRPr="001B09E6" w:rsidRDefault="00E45705" w:rsidP="00E45705">
            <w:pPr>
              <w:pStyle w:val="TableCellText"/>
              <w:spacing w:before="0" w:after="0"/>
              <w:rPr>
                <w:lang w:eastAsia="en-AU"/>
              </w:rPr>
            </w:pPr>
            <w:r w:rsidRPr="001B09E6">
              <w:rPr>
                <w:lang w:eastAsia="en-AU"/>
              </w:rPr>
              <w:t>20 to 24 years</w:t>
            </w:r>
          </w:p>
        </w:tc>
        <w:tc>
          <w:tcPr>
            <w:tcW w:w="381" w:type="pct"/>
            <w:tcBorders>
              <w:top w:val="nil"/>
              <w:left w:val="nil"/>
              <w:bottom w:val="nil"/>
              <w:right w:val="nil"/>
            </w:tcBorders>
            <w:shd w:val="clear" w:color="auto" w:fill="auto"/>
            <w:noWrap/>
            <w:hideMark/>
          </w:tcPr>
          <w:p w14:paraId="4D08C767" w14:textId="77777777" w:rsidR="00E45705" w:rsidRPr="001B09E6" w:rsidRDefault="00E45705" w:rsidP="00E45705">
            <w:pPr>
              <w:pStyle w:val="TableCellText"/>
              <w:spacing w:before="0" w:after="0"/>
              <w:jc w:val="center"/>
              <w:rPr>
                <w:lang w:eastAsia="en-AU"/>
              </w:rPr>
            </w:pPr>
            <w:r w:rsidRPr="001B09E6">
              <w:rPr>
                <w:lang w:eastAsia="en-AU"/>
              </w:rPr>
              <w:t>3.2</w:t>
            </w:r>
          </w:p>
        </w:tc>
        <w:tc>
          <w:tcPr>
            <w:tcW w:w="381" w:type="pct"/>
            <w:tcBorders>
              <w:top w:val="nil"/>
              <w:left w:val="nil"/>
              <w:bottom w:val="nil"/>
              <w:right w:val="nil"/>
            </w:tcBorders>
            <w:shd w:val="clear" w:color="auto" w:fill="auto"/>
            <w:noWrap/>
            <w:hideMark/>
          </w:tcPr>
          <w:p w14:paraId="64D6A4E4" w14:textId="77777777" w:rsidR="00E45705" w:rsidRPr="001B09E6" w:rsidRDefault="00E45705" w:rsidP="00E45705">
            <w:pPr>
              <w:pStyle w:val="TableCellText"/>
              <w:spacing w:before="0" w:after="0"/>
              <w:jc w:val="center"/>
              <w:rPr>
                <w:lang w:eastAsia="en-AU"/>
              </w:rPr>
            </w:pPr>
            <w:r w:rsidRPr="001B09E6">
              <w:rPr>
                <w:lang w:eastAsia="en-AU"/>
              </w:rPr>
              <w:t>3.8</w:t>
            </w:r>
          </w:p>
        </w:tc>
        <w:tc>
          <w:tcPr>
            <w:tcW w:w="381" w:type="pct"/>
            <w:tcBorders>
              <w:top w:val="nil"/>
              <w:left w:val="nil"/>
              <w:bottom w:val="nil"/>
              <w:right w:val="nil"/>
            </w:tcBorders>
            <w:shd w:val="clear" w:color="auto" w:fill="auto"/>
            <w:noWrap/>
            <w:hideMark/>
          </w:tcPr>
          <w:p w14:paraId="19809CF1" w14:textId="77777777" w:rsidR="00E45705" w:rsidRPr="001B09E6" w:rsidRDefault="00E45705" w:rsidP="00E45705">
            <w:pPr>
              <w:pStyle w:val="TableCellText"/>
              <w:spacing w:before="0" w:after="0"/>
              <w:jc w:val="center"/>
              <w:rPr>
                <w:lang w:eastAsia="en-AU"/>
              </w:rPr>
            </w:pPr>
            <w:r w:rsidRPr="001B09E6">
              <w:rPr>
                <w:lang w:eastAsia="en-AU"/>
              </w:rPr>
              <w:t>3.9</w:t>
            </w:r>
          </w:p>
        </w:tc>
        <w:tc>
          <w:tcPr>
            <w:tcW w:w="381" w:type="pct"/>
            <w:tcBorders>
              <w:top w:val="nil"/>
              <w:left w:val="nil"/>
              <w:bottom w:val="nil"/>
              <w:right w:val="nil"/>
            </w:tcBorders>
            <w:shd w:val="clear" w:color="auto" w:fill="auto"/>
            <w:noWrap/>
            <w:hideMark/>
          </w:tcPr>
          <w:p w14:paraId="7611826B" w14:textId="77777777" w:rsidR="00E45705" w:rsidRPr="001B09E6" w:rsidRDefault="00E45705" w:rsidP="00E45705">
            <w:pPr>
              <w:pStyle w:val="TableCellText"/>
              <w:spacing w:before="0" w:after="0"/>
              <w:jc w:val="center"/>
              <w:rPr>
                <w:lang w:eastAsia="en-AU"/>
              </w:rPr>
            </w:pPr>
            <w:r w:rsidRPr="001B09E6">
              <w:rPr>
                <w:lang w:eastAsia="en-AU"/>
              </w:rPr>
              <w:t>4.4</w:t>
            </w:r>
          </w:p>
        </w:tc>
        <w:tc>
          <w:tcPr>
            <w:tcW w:w="381" w:type="pct"/>
            <w:tcBorders>
              <w:top w:val="nil"/>
              <w:left w:val="nil"/>
              <w:bottom w:val="nil"/>
              <w:right w:val="nil"/>
            </w:tcBorders>
            <w:shd w:val="clear" w:color="auto" w:fill="auto"/>
            <w:noWrap/>
            <w:hideMark/>
          </w:tcPr>
          <w:p w14:paraId="18C53DE8" w14:textId="77777777" w:rsidR="00E45705" w:rsidRPr="001B09E6" w:rsidRDefault="00E45705" w:rsidP="00E45705">
            <w:pPr>
              <w:pStyle w:val="TableCellText"/>
              <w:spacing w:before="0" w:after="0"/>
              <w:jc w:val="center"/>
              <w:rPr>
                <w:lang w:eastAsia="en-AU"/>
              </w:rPr>
            </w:pPr>
            <w:r w:rsidRPr="001B09E6">
              <w:rPr>
                <w:lang w:eastAsia="en-AU"/>
              </w:rPr>
              <w:t>4.7</w:t>
            </w:r>
          </w:p>
        </w:tc>
        <w:tc>
          <w:tcPr>
            <w:tcW w:w="381" w:type="pct"/>
            <w:tcBorders>
              <w:top w:val="nil"/>
              <w:left w:val="nil"/>
              <w:bottom w:val="nil"/>
              <w:right w:val="nil"/>
            </w:tcBorders>
            <w:shd w:val="clear" w:color="auto" w:fill="auto"/>
            <w:noWrap/>
            <w:hideMark/>
          </w:tcPr>
          <w:p w14:paraId="61E4AAA5" w14:textId="77777777" w:rsidR="00E45705" w:rsidRPr="001B09E6" w:rsidRDefault="00E45705" w:rsidP="00E45705">
            <w:pPr>
              <w:pStyle w:val="TableCellText"/>
              <w:spacing w:before="0" w:after="0"/>
              <w:jc w:val="center"/>
              <w:rPr>
                <w:lang w:eastAsia="en-AU"/>
              </w:rPr>
            </w:pPr>
            <w:r w:rsidRPr="001B09E6">
              <w:rPr>
                <w:lang w:eastAsia="en-AU"/>
              </w:rPr>
              <w:t>4.0</w:t>
            </w:r>
          </w:p>
        </w:tc>
        <w:tc>
          <w:tcPr>
            <w:tcW w:w="381" w:type="pct"/>
            <w:tcBorders>
              <w:top w:val="nil"/>
              <w:left w:val="nil"/>
              <w:bottom w:val="nil"/>
              <w:right w:val="nil"/>
            </w:tcBorders>
            <w:shd w:val="clear" w:color="auto" w:fill="auto"/>
            <w:noWrap/>
            <w:hideMark/>
          </w:tcPr>
          <w:p w14:paraId="1C737314" w14:textId="77777777" w:rsidR="00E45705" w:rsidRPr="001B09E6" w:rsidRDefault="00E45705" w:rsidP="00E45705">
            <w:pPr>
              <w:pStyle w:val="TableCellText"/>
              <w:spacing w:before="0" w:after="0"/>
              <w:jc w:val="center"/>
              <w:rPr>
                <w:lang w:eastAsia="en-AU"/>
              </w:rPr>
            </w:pPr>
            <w:r w:rsidRPr="001B09E6">
              <w:rPr>
                <w:lang w:eastAsia="en-AU"/>
              </w:rPr>
              <w:t>4.0</w:t>
            </w:r>
          </w:p>
        </w:tc>
        <w:tc>
          <w:tcPr>
            <w:tcW w:w="381" w:type="pct"/>
            <w:tcBorders>
              <w:top w:val="nil"/>
              <w:left w:val="nil"/>
              <w:bottom w:val="nil"/>
              <w:right w:val="nil"/>
            </w:tcBorders>
            <w:shd w:val="clear" w:color="auto" w:fill="auto"/>
            <w:noWrap/>
            <w:hideMark/>
          </w:tcPr>
          <w:p w14:paraId="141298C4" w14:textId="77777777" w:rsidR="00E45705" w:rsidRPr="001B09E6" w:rsidRDefault="00E45705" w:rsidP="00E45705">
            <w:pPr>
              <w:pStyle w:val="TableCellText"/>
              <w:spacing w:before="0" w:after="0"/>
              <w:jc w:val="center"/>
              <w:rPr>
                <w:lang w:eastAsia="en-AU"/>
              </w:rPr>
            </w:pPr>
            <w:r w:rsidRPr="001B09E6">
              <w:rPr>
                <w:lang w:eastAsia="en-AU"/>
              </w:rPr>
              <w:t>4.3</w:t>
            </w:r>
          </w:p>
        </w:tc>
        <w:tc>
          <w:tcPr>
            <w:tcW w:w="381" w:type="pct"/>
            <w:tcBorders>
              <w:top w:val="nil"/>
              <w:left w:val="nil"/>
              <w:bottom w:val="nil"/>
              <w:right w:val="nil"/>
            </w:tcBorders>
            <w:shd w:val="clear" w:color="auto" w:fill="auto"/>
            <w:noWrap/>
            <w:hideMark/>
          </w:tcPr>
          <w:p w14:paraId="287B4A28" w14:textId="77777777" w:rsidR="00E45705" w:rsidRPr="001B09E6" w:rsidRDefault="00E45705" w:rsidP="00E45705">
            <w:pPr>
              <w:pStyle w:val="TableCellText"/>
              <w:spacing w:before="0" w:after="0"/>
              <w:jc w:val="center"/>
              <w:rPr>
                <w:lang w:eastAsia="en-AU"/>
              </w:rPr>
            </w:pPr>
            <w:r w:rsidRPr="001B09E6">
              <w:rPr>
                <w:lang w:eastAsia="en-AU"/>
              </w:rPr>
              <w:t>4.7</w:t>
            </w:r>
          </w:p>
        </w:tc>
      </w:tr>
      <w:tr w:rsidR="00E45705" w:rsidRPr="001B09E6" w14:paraId="1DE93966" w14:textId="77777777" w:rsidTr="00E45705">
        <w:trPr>
          <w:trHeight w:val="225"/>
        </w:trPr>
        <w:tc>
          <w:tcPr>
            <w:tcW w:w="798" w:type="pct"/>
            <w:tcBorders>
              <w:left w:val="nil"/>
              <w:right w:val="nil"/>
            </w:tcBorders>
            <w:shd w:val="clear" w:color="auto" w:fill="auto"/>
            <w:noWrap/>
            <w:hideMark/>
          </w:tcPr>
          <w:p w14:paraId="3EA9C042" w14:textId="77777777" w:rsidR="00E45705" w:rsidRPr="001B09E6" w:rsidRDefault="00E45705" w:rsidP="00E45705">
            <w:pPr>
              <w:pStyle w:val="TableCellText"/>
              <w:spacing w:before="0" w:after="0"/>
              <w:rPr>
                <w:lang w:eastAsia="en-AU"/>
              </w:rPr>
            </w:pPr>
            <w:r w:rsidRPr="001B09E6">
              <w:rPr>
                <w:lang w:eastAsia="en-AU"/>
              </w:rPr>
              <w:t>Without a disability</w:t>
            </w:r>
          </w:p>
        </w:tc>
        <w:tc>
          <w:tcPr>
            <w:tcW w:w="773" w:type="pct"/>
            <w:tcBorders>
              <w:left w:val="nil"/>
              <w:right w:val="nil"/>
            </w:tcBorders>
          </w:tcPr>
          <w:p w14:paraId="11416F95" w14:textId="77777777" w:rsidR="00E45705" w:rsidRPr="001B09E6" w:rsidRDefault="00E45705" w:rsidP="00E45705">
            <w:pPr>
              <w:pStyle w:val="TableCellText"/>
              <w:spacing w:before="0" w:after="0"/>
              <w:rPr>
                <w:lang w:eastAsia="en-AU"/>
              </w:rPr>
            </w:pPr>
            <w:r w:rsidRPr="001B09E6">
              <w:rPr>
                <w:lang w:eastAsia="en-AU"/>
              </w:rPr>
              <w:t>15 to 19 years</w:t>
            </w:r>
          </w:p>
        </w:tc>
        <w:tc>
          <w:tcPr>
            <w:tcW w:w="381" w:type="pct"/>
            <w:tcBorders>
              <w:left w:val="nil"/>
              <w:right w:val="nil"/>
            </w:tcBorders>
            <w:shd w:val="clear" w:color="auto" w:fill="auto"/>
            <w:noWrap/>
            <w:hideMark/>
          </w:tcPr>
          <w:p w14:paraId="1662652C" w14:textId="77777777" w:rsidR="00E45705" w:rsidRPr="001B09E6" w:rsidRDefault="00E45705" w:rsidP="00E45705">
            <w:pPr>
              <w:pStyle w:val="TableCellText"/>
              <w:spacing w:before="0" w:after="0"/>
              <w:jc w:val="center"/>
              <w:rPr>
                <w:lang w:eastAsia="en-AU"/>
              </w:rPr>
            </w:pPr>
            <w:r w:rsidRPr="001B09E6">
              <w:rPr>
                <w:lang w:eastAsia="en-AU"/>
              </w:rPr>
              <w:t>96.8</w:t>
            </w:r>
          </w:p>
        </w:tc>
        <w:tc>
          <w:tcPr>
            <w:tcW w:w="381" w:type="pct"/>
            <w:tcBorders>
              <w:left w:val="nil"/>
              <w:right w:val="nil"/>
            </w:tcBorders>
            <w:shd w:val="clear" w:color="auto" w:fill="auto"/>
            <w:noWrap/>
            <w:hideMark/>
          </w:tcPr>
          <w:p w14:paraId="57D00BBF" w14:textId="77777777" w:rsidR="00E45705" w:rsidRPr="001B09E6" w:rsidRDefault="00E45705" w:rsidP="00E45705">
            <w:pPr>
              <w:pStyle w:val="TableCellText"/>
              <w:spacing w:before="0" w:after="0"/>
              <w:jc w:val="center"/>
              <w:rPr>
                <w:lang w:eastAsia="en-AU"/>
              </w:rPr>
            </w:pPr>
            <w:r w:rsidRPr="001B09E6">
              <w:rPr>
                <w:lang w:eastAsia="en-AU"/>
              </w:rPr>
              <w:t>96.0</w:t>
            </w:r>
          </w:p>
        </w:tc>
        <w:tc>
          <w:tcPr>
            <w:tcW w:w="381" w:type="pct"/>
            <w:tcBorders>
              <w:left w:val="nil"/>
              <w:right w:val="nil"/>
            </w:tcBorders>
            <w:shd w:val="clear" w:color="auto" w:fill="auto"/>
            <w:noWrap/>
            <w:hideMark/>
          </w:tcPr>
          <w:p w14:paraId="635F7228" w14:textId="77777777" w:rsidR="00E45705" w:rsidRPr="001B09E6" w:rsidRDefault="00E45705" w:rsidP="00E45705">
            <w:pPr>
              <w:pStyle w:val="TableCellText"/>
              <w:spacing w:before="0" w:after="0"/>
              <w:jc w:val="center"/>
              <w:rPr>
                <w:lang w:eastAsia="en-AU"/>
              </w:rPr>
            </w:pPr>
            <w:r w:rsidRPr="001B09E6">
              <w:rPr>
                <w:lang w:eastAsia="en-AU"/>
              </w:rPr>
              <w:t>96.2</w:t>
            </w:r>
          </w:p>
        </w:tc>
        <w:tc>
          <w:tcPr>
            <w:tcW w:w="381" w:type="pct"/>
            <w:tcBorders>
              <w:left w:val="nil"/>
              <w:right w:val="nil"/>
            </w:tcBorders>
            <w:shd w:val="clear" w:color="auto" w:fill="auto"/>
            <w:noWrap/>
            <w:hideMark/>
          </w:tcPr>
          <w:p w14:paraId="5FAB4537" w14:textId="77777777" w:rsidR="00E45705" w:rsidRPr="001B09E6" w:rsidRDefault="00E45705" w:rsidP="00E45705">
            <w:pPr>
              <w:pStyle w:val="TableCellText"/>
              <w:spacing w:before="0" w:after="0"/>
              <w:jc w:val="center"/>
              <w:rPr>
                <w:lang w:eastAsia="en-AU"/>
              </w:rPr>
            </w:pPr>
            <w:r w:rsidRPr="001B09E6">
              <w:rPr>
                <w:lang w:eastAsia="en-AU"/>
              </w:rPr>
              <w:t>95.7</w:t>
            </w:r>
          </w:p>
        </w:tc>
        <w:tc>
          <w:tcPr>
            <w:tcW w:w="381" w:type="pct"/>
            <w:tcBorders>
              <w:left w:val="nil"/>
              <w:right w:val="nil"/>
            </w:tcBorders>
            <w:shd w:val="clear" w:color="auto" w:fill="auto"/>
            <w:noWrap/>
            <w:hideMark/>
          </w:tcPr>
          <w:p w14:paraId="488B4345" w14:textId="77777777" w:rsidR="00E45705" w:rsidRPr="001B09E6" w:rsidRDefault="00E45705" w:rsidP="00E45705">
            <w:pPr>
              <w:pStyle w:val="TableCellText"/>
              <w:spacing w:before="0" w:after="0"/>
              <w:jc w:val="center"/>
              <w:rPr>
                <w:lang w:eastAsia="en-AU"/>
              </w:rPr>
            </w:pPr>
            <w:r w:rsidRPr="001B09E6">
              <w:rPr>
                <w:lang w:eastAsia="en-AU"/>
              </w:rPr>
              <w:t>95.4</w:t>
            </w:r>
          </w:p>
        </w:tc>
        <w:tc>
          <w:tcPr>
            <w:tcW w:w="381" w:type="pct"/>
            <w:tcBorders>
              <w:left w:val="nil"/>
              <w:right w:val="nil"/>
            </w:tcBorders>
            <w:shd w:val="clear" w:color="auto" w:fill="auto"/>
            <w:noWrap/>
            <w:hideMark/>
          </w:tcPr>
          <w:p w14:paraId="21A08450" w14:textId="77777777" w:rsidR="00E45705" w:rsidRPr="001B09E6" w:rsidRDefault="00E45705" w:rsidP="00E45705">
            <w:pPr>
              <w:pStyle w:val="TableCellText"/>
              <w:spacing w:before="0" w:after="0"/>
              <w:jc w:val="center"/>
              <w:rPr>
                <w:lang w:eastAsia="en-AU"/>
              </w:rPr>
            </w:pPr>
            <w:r w:rsidRPr="001B09E6">
              <w:rPr>
                <w:lang w:eastAsia="en-AU"/>
              </w:rPr>
              <w:t>95.5</w:t>
            </w:r>
          </w:p>
        </w:tc>
        <w:tc>
          <w:tcPr>
            <w:tcW w:w="381" w:type="pct"/>
            <w:tcBorders>
              <w:left w:val="nil"/>
              <w:right w:val="nil"/>
            </w:tcBorders>
            <w:shd w:val="clear" w:color="auto" w:fill="auto"/>
            <w:noWrap/>
            <w:hideMark/>
          </w:tcPr>
          <w:p w14:paraId="2600A72A" w14:textId="77777777" w:rsidR="00E45705" w:rsidRPr="001B09E6" w:rsidRDefault="00E45705" w:rsidP="00E45705">
            <w:pPr>
              <w:pStyle w:val="TableCellText"/>
              <w:spacing w:before="0" w:after="0"/>
              <w:jc w:val="center"/>
              <w:rPr>
                <w:lang w:eastAsia="en-AU"/>
              </w:rPr>
            </w:pPr>
            <w:r w:rsidRPr="001B09E6">
              <w:rPr>
                <w:lang w:eastAsia="en-AU"/>
              </w:rPr>
              <w:t>95.7</w:t>
            </w:r>
          </w:p>
        </w:tc>
        <w:tc>
          <w:tcPr>
            <w:tcW w:w="381" w:type="pct"/>
            <w:tcBorders>
              <w:left w:val="nil"/>
              <w:right w:val="nil"/>
            </w:tcBorders>
            <w:shd w:val="clear" w:color="auto" w:fill="auto"/>
            <w:noWrap/>
            <w:hideMark/>
          </w:tcPr>
          <w:p w14:paraId="0219AF48" w14:textId="77777777" w:rsidR="00E45705" w:rsidRPr="001B09E6" w:rsidRDefault="00E45705" w:rsidP="00E45705">
            <w:pPr>
              <w:pStyle w:val="TableCellText"/>
              <w:spacing w:before="0" w:after="0"/>
              <w:jc w:val="center"/>
              <w:rPr>
                <w:lang w:eastAsia="en-AU"/>
              </w:rPr>
            </w:pPr>
            <w:r w:rsidRPr="001B09E6">
              <w:rPr>
                <w:lang w:eastAsia="en-AU"/>
              </w:rPr>
              <w:t>95.3</w:t>
            </w:r>
          </w:p>
        </w:tc>
        <w:tc>
          <w:tcPr>
            <w:tcW w:w="381" w:type="pct"/>
            <w:tcBorders>
              <w:left w:val="nil"/>
              <w:right w:val="nil"/>
            </w:tcBorders>
            <w:shd w:val="clear" w:color="auto" w:fill="auto"/>
            <w:noWrap/>
            <w:hideMark/>
          </w:tcPr>
          <w:p w14:paraId="2E661966" w14:textId="77777777" w:rsidR="00E45705" w:rsidRPr="001B09E6" w:rsidRDefault="00E45705" w:rsidP="00E45705">
            <w:pPr>
              <w:pStyle w:val="TableCellText"/>
              <w:spacing w:before="0" w:after="0"/>
              <w:jc w:val="center"/>
              <w:rPr>
                <w:lang w:eastAsia="en-AU"/>
              </w:rPr>
            </w:pPr>
            <w:r w:rsidRPr="001B09E6">
              <w:rPr>
                <w:lang w:eastAsia="en-AU"/>
              </w:rPr>
              <w:t>94.7</w:t>
            </w:r>
          </w:p>
        </w:tc>
      </w:tr>
      <w:tr w:rsidR="00E45705" w:rsidRPr="001B09E6" w14:paraId="17D71B07" w14:textId="77777777" w:rsidTr="00E45705">
        <w:trPr>
          <w:trHeight w:val="225"/>
        </w:trPr>
        <w:tc>
          <w:tcPr>
            <w:tcW w:w="798" w:type="pct"/>
            <w:tcBorders>
              <w:top w:val="nil"/>
              <w:left w:val="nil"/>
              <w:bottom w:val="single" w:sz="4" w:space="0" w:color="auto"/>
              <w:right w:val="nil"/>
            </w:tcBorders>
            <w:shd w:val="clear" w:color="auto" w:fill="auto"/>
            <w:noWrap/>
            <w:hideMark/>
          </w:tcPr>
          <w:p w14:paraId="174BB248" w14:textId="77777777" w:rsidR="00E45705" w:rsidRPr="001B09E6" w:rsidRDefault="00E45705" w:rsidP="00E45705">
            <w:pPr>
              <w:pStyle w:val="TableCellText"/>
              <w:spacing w:before="0" w:after="0"/>
              <w:rPr>
                <w:rFonts w:eastAsia="Times New Roman" w:cs="Arial"/>
                <w:lang w:eastAsia="en-AU"/>
              </w:rPr>
            </w:pPr>
          </w:p>
        </w:tc>
        <w:tc>
          <w:tcPr>
            <w:tcW w:w="773" w:type="pct"/>
            <w:tcBorders>
              <w:top w:val="nil"/>
              <w:left w:val="nil"/>
              <w:bottom w:val="single" w:sz="4" w:space="0" w:color="auto"/>
              <w:right w:val="nil"/>
            </w:tcBorders>
          </w:tcPr>
          <w:p w14:paraId="4E033EC9" w14:textId="77777777" w:rsidR="00E45705" w:rsidRPr="001B09E6" w:rsidRDefault="00E45705" w:rsidP="00E45705">
            <w:pPr>
              <w:pStyle w:val="TableCellText"/>
              <w:spacing w:before="0" w:after="0"/>
              <w:rPr>
                <w:lang w:eastAsia="en-AU"/>
              </w:rPr>
            </w:pPr>
            <w:r w:rsidRPr="001B09E6">
              <w:rPr>
                <w:lang w:eastAsia="en-AU"/>
              </w:rPr>
              <w:t>20 to 24 years</w:t>
            </w:r>
          </w:p>
        </w:tc>
        <w:tc>
          <w:tcPr>
            <w:tcW w:w="381" w:type="pct"/>
            <w:tcBorders>
              <w:top w:val="nil"/>
              <w:left w:val="nil"/>
              <w:bottom w:val="single" w:sz="4" w:space="0" w:color="auto"/>
              <w:right w:val="nil"/>
            </w:tcBorders>
            <w:shd w:val="clear" w:color="auto" w:fill="auto"/>
            <w:noWrap/>
            <w:hideMark/>
          </w:tcPr>
          <w:p w14:paraId="6D8C7B8F" w14:textId="77777777" w:rsidR="00E45705" w:rsidRPr="001B09E6" w:rsidRDefault="00E45705" w:rsidP="00E45705">
            <w:pPr>
              <w:pStyle w:val="TableCellText"/>
              <w:spacing w:before="0" w:after="0"/>
              <w:jc w:val="center"/>
              <w:rPr>
                <w:lang w:eastAsia="en-AU"/>
              </w:rPr>
            </w:pPr>
            <w:r w:rsidRPr="001B09E6">
              <w:rPr>
                <w:lang w:eastAsia="en-AU"/>
              </w:rPr>
              <w:t>96.8</w:t>
            </w:r>
          </w:p>
        </w:tc>
        <w:tc>
          <w:tcPr>
            <w:tcW w:w="381" w:type="pct"/>
            <w:tcBorders>
              <w:top w:val="nil"/>
              <w:left w:val="nil"/>
              <w:bottom w:val="single" w:sz="4" w:space="0" w:color="auto"/>
              <w:right w:val="nil"/>
            </w:tcBorders>
            <w:shd w:val="clear" w:color="auto" w:fill="auto"/>
            <w:noWrap/>
            <w:hideMark/>
          </w:tcPr>
          <w:p w14:paraId="416D1549" w14:textId="77777777" w:rsidR="00E45705" w:rsidRPr="001B09E6" w:rsidRDefault="00E45705" w:rsidP="00E45705">
            <w:pPr>
              <w:pStyle w:val="TableCellText"/>
              <w:spacing w:before="0" w:after="0"/>
              <w:jc w:val="center"/>
              <w:rPr>
                <w:lang w:eastAsia="en-AU"/>
              </w:rPr>
            </w:pPr>
            <w:r w:rsidRPr="001B09E6">
              <w:rPr>
                <w:lang w:eastAsia="en-AU"/>
              </w:rPr>
              <w:t>96.2</w:t>
            </w:r>
          </w:p>
        </w:tc>
        <w:tc>
          <w:tcPr>
            <w:tcW w:w="381" w:type="pct"/>
            <w:tcBorders>
              <w:top w:val="nil"/>
              <w:left w:val="nil"/>
              <w:bottom w:val="single" w:sz="4" w:space="0" w:color="auto"/>
              <w:right w:val="nil"/>
            </w:tcBorders>
            <w:shd w:val="clear" w:color="auto" w:fill="auto"/>
            <w:noWrap/>
            <w:hideMark/>
          </w:tcPr>
          <w:p w14:paraId="10D66092" w14:textId="77777777" w:rsidR="00E45705" w:rsidRPr="001B09E6" w:rsidRDefault="00E45705" w:rsidP="00E45705">
            <w:pPr>
              <w:pStyle w:val="TableCellText"/>
              <w:spacing w:before="0" w:after="0"/>
              <w:jc w:val="center"/>
              <w:rPr>
                <w:lang w:eastAsia="en-AU"/>
              </w:rPr>
            </w:pPr>
            <w:r w:rsidRPr="001B09E6">
              <w:rPr>
                <w:lang w:eastAsia="en-AU"/>
              </w:rPr>
              <w:t>96.1</w:t>
            </w:r>
          </w:p>
        </w:tc>
        <w:tc>
          <w:tcPr>
            <w:tcW w:w="381" w:type="pct"/>
            <w:tcBorders>
              <w:top w:val="nil"/>
              <w:left w:val="nil"/>
              <w:bottom w:val="single" w:sz="4" w:space="0" w:color="auto"/>
              <w:right w:val="nil"/>
            </w:tcBorders>
            <w:shd w:val="clear" w:color="auto" w:fill="auto"/>
            <w:noWrap/>
            <w:hideMark/>
          </w:tcPr>
          <w:p w14:paraId="0B438CB8" w14:textId="77777777" w:rsidR="00E45705" w:rsidRPr="001B09E6" w:rsidRDefault="00E45705" w:rsidP="00E45705">
            <w:pPr>
              <w:pStyle w:val="TableCellText"/>
              <w:spacing w:before="0" w:after="0"/>
              <w:jc w:val="center"/>
              <w:rPr>
                <w:lang w:eastAsia="en-AU"/>
              </w:rPr>
            </w:pPr>
            <w:r w:rsidRPr="001B09E6">
              <w:rPr>
                <w:lang w:eastAsia="en-AU"/>
              </w:rPr>
              <w:t>95.6</w:t>
            </w:r>
          </w:p>
        </w:tc>
        <w:tc>
          <w:tcPr>
            <w:tcW w:w="381" w:type="pct"/>
            <w:tcBorders>
              <w:top w:val="nil"/>
              <w:left w:val="nil"/>
              <w:bottom w:val="single" w:sz="4" w:space="0" w:color="auto"/>
              <w:right w:val="nil"/>
            </w:tcBorders>
            <w:shd w:val="clear" w:color="auto" w:fill="auto"/>
            <w:noWrap/>
            <w:hideMark/>
          </w:tcPr>
          <w:p w14:paraId="397A33DA" w14:textId="77777777" w:rsidR="00E45705" w:rsidRPr="001B09E6" w:rsidRDefault="00E45705" w:rsidP="00E45705">
            <w:pPr>
              <w:pStyle w:val="TableCellText"/>
              <w:spacing w:before="0" w:after="0"/>
              <w:jc w:val="center"/>
              <w:rPr>
                <w:lang w:eastAsia="en-AU"/>
              </w:rPr>
            </w:pPr>
            <w:r w:rsidRPr="001B09E6">
              <w:rPr>
                <w:lang w:eastAsia="en-AU"/>
              </w:rPr>
              <w:t>95.3</w:t>
            </w:r>
          </w:p>
        </w:tc>
        <w:tc>
          <w:tcPr>
            <w:tcW w:w="381" w:type="pct"/>
            <w:tcBorders>
              <w:top w:val="nil"/>
              <w:left w:val="nil"/>
              <w:bottom w:val="single" w:sz="4" w:space="0" w:color="auto"/>
              <w:right w:val="nil"/>
            </w:tcBorders>
            <w:shd w:val="clear" w:color="auto" w:fill="auto"/>
            <w:noWrap/>
            <w:hideMark/>
          </w:tcPr>
          <w:p w14:paraId="20241733" w14:textId="77777777" w:rsidR="00E45705" w:rsidRPr="001B09E6" w:rsidRDefault="00E45705" w:rsidP="00E45705">
            <w:pPr>
              <w:pStyle w:val="TableCellText"/>
              <w:spacing w:before="0" w:after="0"/>
              <w:jc w:val="center"/>
              <w:rPr>
                <w:lang w:eastAsia="en-AU"/>
              </w:rPr>
            </w:pPr>
            <w:r w:rsidRPr="001B09E6">
              <w:rPr>
                <w:lang w:eastAsia="en-AU"/>
              </w:rPr>
              <w:t>96.0</w:t>
            </w:r>
          </w:p>
        </w:tc>
        <w:tc>
          <w:tcPr>
            <w:tcW w:w="381" w:type="pct"/>
            <w:tcBorders>
              <w:top w:val="nil"/>
              <w:left w:val="nil"/>
              <w:bottom w:val="single" w:sz="4" w:space="0" w:color="auto"/>
              <w:right w:val="nil"/>
            </w:tcBorders>
            <w:shd w:val="clear" w:color="auto" w:fill="auto"/>
            <w:noWrap/>
            <w:hideMark/>
          </w:tcPr>
          <w:p w14:paraId="239AD3AD" w14:textId="77777777" w:rsidR="00E45705" w:rsidRPr="001B09E6" w:rsidRDefault="00E45705" w:rsidP="00E45705">
            <w:pPr>
              <w:pStyle w:val="TableCellText"/>
              <w:spacing w:before="0" w:after="0"/>
              <w:jc w:val="center"/>
              <w:rPr>
                <w:lang w:eastAsia="en-AU"/>
              </w:rPr>
            </w:pPr>
            <w:r w:rsidRPr="001B09E6">
              <w:rPr>
                <w:lang w:eastAsia="en-AU"/>
              </w:rPr>
              <w:t>96.0</w:t>
            </w:r>
          </w:p>
        </w:tc>
        <w:tc>
          <w:tcPr>
            <w:tcW w:w="381" w:type="pct"/>
            <w:tcBorders>
              <w:top w:val="nil"/>
              <w:left w:val="nil"/>
              <w:bottom w:val="single" w:sz="4" w:space="0" w:color="auto"/>
              <w:right w:val="nil"/>
            </w:tcBorders>
            <w:shd w:val="clear" w:color="auto" w:fill="auto"/>
            <w:noWrap/>
            <w:hideMark/>
          </w:tcPr>
          <w:p w14:paraId="05B746A7" w14:textId="77777777" w:rsidR="00E45705" w:rsidRPr="001B09E6" w:rsidRDefault="00E45705" w:rsidP="00E45705">
            <w:pPr>
              <w:pStyle w:val="TableCellText"/>
              <w:spacing w:before="0" w:after="0"/>
              <w:jc w:val="center"/>
              <w:rPr>
                <w:lang w:eastAsia="en-AU"/>
              </w:rPr>
            </w:pPr>
            <w:r w:rsidRPr="001B09E6">
              <w:rPr>
                <w:lang w:eastAsia="en-AU"/>
              </w:rPr>
              <w:t>95.7</w:t>
            </w:r>
          </w:p>
        </w:tc>
        <w:tc>
          <w:tcPr>
            <w:tcW w:w="381" w:type="pct"/>
            <w:tcBorders>
              <w:top w:val="nil"/>
              <w:left w:val="nil"/>
              <w:bottom w:val="single" w:sz="4" w:space="0" w:color="auto"/>
              <w:right w:val="nil"/>
            </w:tcBorders>
            <w:shd w:val="clear" w:color="auto" w:fill="auto"/>
            <w:noWrap/>
            <w:hideMark/>
          </w:tcPr>
          <w:p w14:paraId="631E2DFC" w14:textId="77777777" w:rsidR="00E45705" w:rsidRPr="001B09E6" w:rsidRDefault="00E45705" w:rsidP="00E45705">
            <w:pPr>
              <w:pStyle w:val="TableCellText"/>
              <w:spacing w:before="0" w:after="0"/>
              <w:jc w:val="center"/>
              <w:rPr>
                <w:lang w:eastAsia="en-AU"/>
              </w:rPr>
            </w:pPr>
            <w:r w:rsidRPr="001B09E6">
              <w:rPr>
                <w:lang w:eastAsia="en-AU"/>
              </w:rPr>
              <w:t>95.3</w:t>
            </w:r>
          </w:p>
        </w:tc>
      </w:tr>
    </w:tbl>
    <w:p w14:paraId="3234A666" w14:textId="77777777" w:rsidR="00E45705" w:rsidRPr="001B09E6" w:rsidRDefault="00E45705" w:rsidP="00E45705">
      <w:pPr>
        <w:pStyle w:val="Tablenote"/>
      </w:pPr>
      <w:r w:rsidRPr="001B09E6">
        <w:t>Source: National VET Provider Collection</w:t>
      </w:r>
      <w:bookmarkStart w:id="202" w:name="_Toc333919011"/>
    </w:p>
    <w:p w14:paraId="28E05C24" w14:textId="77777777" w:rsidR="00E45705" w:rsidRPr="001B09E6" w:rsidRDefault="00E45705" w:rsidP="00E45705">
      <w:pPr>
        <w:pStyle w:val="Heading3NoNumbering"/>
      </w:pPr>
      <w:r w:rsidRPr="001B09E6">
        <w:t>Table A2.28: VET attainment, remoteness</w:t>
      </w:r>
      <w:bookmarkEnd w:id="201"/>
      <w:bookmarkEnd w:id="202"/>
    </w:p>
    <w:p w14:paraId="423B96B0" w14:textId="77777777" w:rsidR="00E45705" w:rsidRPr="001B09E6" w:rsidRDefault="00E45705" w:rsidP="00E45705">
      <w:pPr>
        <w:pStyle w:val="TableHeading"/>
        <w:spacing w:before="112"/>
        <w:ind w:left="0" w:firstLine="0"/>
      </w:pPr>
      <w:r w:rsidRPr="001B09E6">
        <w:t>Course completions at Certificate II level or above by 15 to 24 year olds as a proportion of estimated resident population by remoteness (ARIA+) region, 2002-10, excluding those attending school (%)</w:t>
      </w:r>
    </w:p>
    <w:p w14:paraId="0310ADF7" w14:textId="77777777" w:rsidR="00E45705" w:rsidRPr="001B09E6" w:rsidRDefault="00E45705" w:rsidP="00E45705"/>
    <w:tbl>
      <w:tblPr>
        <w:tblW w:w="4654" w:type="pct"/>
        <w:tblLook w:val="04A0" w:firstRow="1" w:lastRow="0" w:firstColumn="1" w:lastColumn="0" w:noHBand="0" w:noVBand="1"/>
        <w:tblCaption w:val="Table A2.28: VET attainment, remoteness Course completions at Certificate II level or above by 15 to 24 year olds as a proportion of estimated resident population by remoteness (ARIA+) region, 2002-10, excluding those attending school (%) "/>
        <w:tblDescription w:val="Table A2.28: VET attainment, remoteness&#10;Course completions at Certificate II level or above by 15 to 24 year olds as a proportion of estimated resident population by remoteness (ARIA+) region, 2002-10, excluding those attending school (%)&#10;"/>
      </w:tblPr>
      <w:tblGrid>
        <w:gridCol w:w="2238"/>
        <w:gridCol w:w="2267"/>
        <w:gridCol w:w="1012"/>
        <w:gridCol w:w="1012"/>
        <w:gridCol w:w="1012"/>
        <w:gridCol w:w="1012"/>
        <w:gridCol w:w="1012"/>
        <w:gridCol w:w="1012"/>
        <w:gridCol w:w="1012"/>
        <w:gridCol w:w="1012"/>
        <w:gridCol w:w="1004"/>
      </w:tblGrid>
      <w:tr w:rsidR="00E45705" w:rsidRPr="001B09E6" w14:paraId="68CC9ADF" w14:textId="77777777" w:rsidTr="00E45705">
        <w:trPr>
          <w:trHeight w:val="225"/>
        </w:trPr>
        <w:tc>
          <w:tcPr>
            <w:tcW w:w="822" w:type="pct"/>
            <w:tcBorders>
              <w:top w:val="single" w:sz="4" w:space="0" w:color="auto"/>
              <w:left w:val="nil"/>
              <w:bottom w:val="single" w:sz="4" w:space="0" w:color="auto"/>
            </w:tcBorders>
            <w:shd w:val="clear" w:color="auto" w:fill="auto"/>
            <w:noWrap/>
            <w:hideMark/>
          </w:tcPr>
          <w:p w14:paraId="31EE8FE8" w14:textId="77777777" w:rsidR="00E45705" w:rsidRPr="001B09E6" w:rsidRDefault="00E45705" w:rsidP="00E45705">
            <w:pPr>
              <w:pStyle w:val="TableColumnHeading"/>
              <w:spacing w:before="0" w:after="0"/>
              <w:rPr>
                <w:lang w:eastAsia="en-AU"/>
              </w:rPr>
            </w:pPr>
          </w:p>
        </w:tc>
        <w:tc>
          <w:tcPr>
            <w:tcW w:w="833" w:type="pct"/>
            <w:tcBorders>
              <w:top w:val="single" w:sz="4" w:space="0" w:color="auto"/>
              <w:bottom w:val="single" w:sz="4" w:space="0" w:color="auto"/>
            </w:tcBorders>
          </w:tcPr>
          <w:p w14:paraId="28139372" w14:textId="77777777" w:rsidR="00E45705" w:rsidRPr="001B09E6" w:rsidRDefault="00E45705" w:rsidP="00E45705">
            <w:pPr>
              <w:pStyle w:val="TableColumnHeading"/>
              <w:spacing w:before="0" w:after="0"/>
              <w:rPr>
                <w:lang w:eastAsia="en-AU"/>
              </w:rPr>
            </w:pPr>
          </w:p>
        </w:tc>
        <w:tc>
          <w:tcPr>
            <w:tcW w:w="372" w:type="pct"/>
            <w:tcBorders>
              <w:top w:val="single" w:sz="4" w:space="0" w:color="auto"/>
              <w:bottom w:val="single" w:sz="4" w:space="0" w:color="auto"/>
            </w:tcBorders>
            <w:shd w:val="clear" w:color="auto" w:fill="auto"/>
            <w:noWrap/>
            <w:hideMark/>
          </w:tcPr>
          <w:p w14:paraId="120C56EE" w14:textId="77777777" w:rsidR="00E45705" w:rsidRPr="001B09E6" w:rsidRDefault="00E45705" w:rsidP="00E45705">
            <w:pPr>
              <w:pStyle w:val="TableColumnHeading"/>
              <w:spacing w:before="0" w:after="0"/>
              <w:rPr>
                <w:lang w:eastAsia="en-AU"/>
              </w:rPr>
            </w:pPr>
            <w:r w:rsidRPr="001B09E6">
              <w:rPr>
                <w:lang w:eastAsia="en-AU"/>
              </w:rPr>
              <w:t>2002</w:t>
            </w:r>
          </w:p>
        </w:tc>
        <w:tc>
          <w:tcPr>
            <w:tcW w:w="372" w:type="pct"/>
            <w:tcBorders>
              <w:top w:val="single" w:sz="4" w:space="0" w:color="auto"/>
              <w:bottom w:val="single" w:sz="4" w:space="0" w:color="auto"/>
            </w:tcBorders>
            <w:shd w:val="clear" w:color="auto" w:fill="auto"/>
            <w:noWrap/>
            <w:hideMark/>
          </w:tcPr>
          <w:p w14:paraId="7E6FAC1E" w14:textId="77777777" w:rsidR="00E45705" w:rsidRPr="001B09E6" w:rsidRDefault="00E45705" w:rsidP="00E45705">
            <w:pPr>
              <w:pStyle w:val="TableColumnHeading"/>
              <w:spacing w:before="0" w:after="0"/>
              <w:rPr>
                <w:lang w:eastAsia="en-AU"/>
              </w:rPr>
            </w:pPr>
            <w:r w:rsidRPr="001B09E6">
              <w:rPr>
                <w:lang w:eastAsia="en-AU"/>
              </w:rPr>
              <w:t>2003</w:t>
            </w:r>
          </w:p>
        </w:tc>
        <w:tc>
          <w:tcPr>
            <w:tcW w:w="372" w:type="pct"/>
            <w:tcBorders>
              <w:top w:val="single" w:sz="4" w:space="0" w:color="auto"/>
              <w:bottom w:val="single" w:sz="4" w:space="0" w:color="auto"/>
            </w:tcBorders>
            <w:shd w:val="clear" w:color="auto" w:fill="auto"/>
            <w:noWrap/>
            <w:hideMark/>
          </w:tcPr>
          <w:p w14:paraId="1D2AFBED" w14:textId="77777777" w:rsidR="00E45705" w:rsidRPr="001B09E6" w:rsidRDefault="00E45705" w:rsidP="00E45705">
            <w:pPr>
              <w:pStyle w:val="TableColumnHeading"/>
              <w:spacing w:before="0" w:after="0"/>
              <w:rPr>
                <w:lang w:eastAsia="en-AU"/>
              </w:rPr>
            </w:pPr>
            <w:r w:rsidRPr="001B09E6">
              <w:rPr>
                <w:lang w:eastAsia="en-AU"/>
              </w:rPr>
              <w:t>2004</w:t>
            </w:r>
          </w:p>
        </w:tc>
        <w:tc>
          <w:tcPr>
            <w:tcW w:w="372" w:type="pct"/>
            <w:tcBorders>
              <w:top w:val="single" w:sz="4" w:space="0" w:color="auto"/>
              <w:bottom w:val="single" w:sz="4" w:space="0" w:color="auto"/>
            </w:tcBorders>
            <w:shd w:val="clear" w:color="auto" w:fill="auto"/>
            <w:noWrap/>
            <w:hideMark/>
          </w:tcPr>
          <w:p w14:paraId="150F84D9" w14:textId="77777777" w:rsidR="00E45705" w:rsidRPr="001B09E6" w:rsidRDefault="00E45705" w:rsidP="00E45705">
            <w:pPr>
              <w:pStyle w:val="TableColumnHeading"/>
              <w:spacing w:before="0" w:after="0"/>
              <w:rPr>
                <w:lang w:eastAsia="en-AU"/>
              </w:rPr>
            </w:pPr>
            <w:r w:rsidRPr="001B09E6">
              <w:rPr>
                <w:lang w:eastAsia="en-AU"/>
              </w:rPr>
              <w:t>2005</w:t>
            </w:r>
          </w:p>
        </w:tc>
        <w:tc>
          <w:tcPr>
            <w:tcW w:w="372" w:type="pct"/>
            <w:tcBorders>
              <w:top w:val="single" w:sz="4" w:space="0" w:color="auto"/>
              <w:bottom w:val="single" w:sz="4" w:space="0" w:color="auto"/>
            </w:tcBorders>
            <w:shd w:val="clear" w:color="auto" w:fill="auto"/>
            <w:noWrap/>
            <w:hideMark/>
          </w:tcPr>
          <w:p w14:paraId="0F6832D4" w14:textId="77777777" w:rsidR="00E45705" w:rsidRPr="001B09E6" w:rsidRDefault="00E45705" w:rsidP="00E45705">
            <w:pPr>
              <w:pStyle w:val="TableColumnHeading"/>
              <w:spacing w:before="0" w:after="0"/>
              <w:rPr>
                <w:lang w:eastAsia="en-AU"/>
              </w:rPr>
            </w:pPr>
            <w:r w:rsidRPr="001B09E6">
              <w:rPr>
                <w:lang w:eastAsia="en-AU"/>
              </w:rPr>
              <w:t>2006</w:t>
            </w:r>
          </w:p>
        </w:tc>
        <w:tc>
          <w:tcPr>
            <w:tcW w:w="372" w:type="pct"/>
            <w:tcBorders>
              <w:top w:val="single" w:sz="4" w:space="0" w:color="auto"/>
              <w:bottom w:val="single" w:sz="4" w:space="0" w:color="auto"/>
            </w:tcBorders>
            <w:shd w:val="clear" w:color="auto" w:fill="auto"/>
            <w:noWrap/>
            <w:hideMark/>
          </w:tcPr>
          <w:p w14:paraId="2B72B91F" w14:textId="77777777" w:rsidR="00E45705" w:rsidRPr="001B09E6" w:rsidRDefault="00E45705" w:rsidP="00E45705">
            <w:pPr>
              <w:pStyle w:val="TableColumnHeading"/>
              <w:spacing w:before="0" w:after="0"/>
              <w:rPr>
                <w:lang w:eastAsia="en-AU"/>
              </w:rPr>
            </w:pPr>
            <w:r w:rsidRPr="001B09E6">
              <w:rPr>
                <w:lang w:eastAsia="en-AU"/>
              </w:rPr>
              <w:t>2007</w:t>
            </w:r>
          </w:p>
        </w:tc>
        <w:tc>
          <w:tcPr>
            <w:tcW w:w="372" w:type="pct"/>
            <w:tcBorders>
              <w:top w:val="single" w:sz="4" w:space="0" w:color="auto"/>
              <w:bottom w:val="single" w:sz="4" w:space="0" w:color="auto"/>
            </w:tcBorders>
            <w:shd w:val="clear" w:color="auto" w:fill="auto"/>
            <w:noWrap/>
            <w:hideMark/>
          </w:tcPr>
          <w:p w14:paraId="6B34A663" w14:textId="77777777" w:rsidR="00E45705" w:rsidRPr="001B09E6" w:rsidRDefault="00E45705" w:rsidP="00E45705">
            <w:pPr>
              <w:pStyle w:val="TableColumnHeading"/>
              <w:spacing w:before="0" w:after="0"/>
              <w:rPr>
                <w:lang w:eastAsia="en-AU"/>
              </w:rPr>
            </w:pPr>
            <w:r w:rsidRPr="001B09E6">
              <w:rPr>
                <w:lang w:eastAsia="en-AU"/>
              </w:rPr>
              <w:t>2008</w:t>
            </w:r>
          </w:p>
        </w:tc>
        <w:tc>
          <w:tcPr>
            <w:tcW w:w="372" w:type="pct"/>
            <w:tcBorders>
              <w:top w:val="single" w:sz="4" w:space="0" w:color="auto"/>
              <w:bottom w:val="single" w:sz="4" w:space="0" w:color="auto"/>
            </w:tcBorders>
            <w:shd w:val="clear" w:color="auto" w:fill="auto"/>
            <w:noWrap/>
            <w:hideMark/>
          </w:tcPr>
          <w:p w14:paraId="5DE012C8" w14:textId="77777777" w:rsidR="00E45705" w:rsidRPr="001B09E6" w:rsidRDefault="00E45705" w:rsidP="00E45705">
            <w:pPr>
              <w:pStyle w:val="TableColumnHeading"/>
              <w:spacing w:before="0" w:after="0"/>
              <w:rPr>
                <w:lang w:eastAsia="en-AU"/>
              </w:rPr>
            </w:pPr>
            <w:r w:rsidRPr="001B09E6">
              <w:rPr>
                <w:lang w:eastAsia="en-AU"/>
              </w:rPr>
              <w:t>2009</w:t>
            </w:r>
          </w:p>
        </w:tc>
        <w:tc>
          <w:tcPr>
            <w:tcW w:w="372" w:type="pct"/>
            <w:tcBorders>
              <w:top w:val="single" w:sz="4" w:space="0" w:color="auto"/>
              <w:bottom w:val="single" w:sz="4" w:space="0" w:color="auto"/>
            </w:tcBorders>
            <w:shd w:val="clear" w:color="auto" w:fill="auto"/>
            <w:noWrap/>
            <w:hideMark/>
          </w:tcPr>
          <w:p w14:paraId="783D755E" w14:textId="77777777" w:rsidR="00E45705" w:rsidRPr="001B09E6" w:rsidRDefault="00E45705" w:rsidP="00E45705">
            <w:pPr>
              <w:pStyle w:val="TableColumnHeading"/>
              <w:spacing w:before="0" w:after="0"/>
              <w:rPr>
                <w:lang w:eastAsia="en-AU"/>
              </w:rPr>
            </w:pPr>
            <w:r w:rsidRPr="001B09E6">
              <w:rPr>
                <w:lang w:eastAsia="en-AU"/>
              </w:rPr>
              <w:t>2010</w:t>
            </w:r>
          </w:p>
        </w:tc>
      </w:tr>
      <w:tr w:rsidR="00E45705" w:rsidRPr="001B09E6" w14:paraId="54B8AC29" w14:textId="77777777" w:rsidTr="00E45705">
        <w:trPr>
          <w:trHeight w:val="225"/>
        </w:trPr>
        <w:tc>
          <w:tcPr>
            <w:tcW w:w="822" w:type="pct"/>
            <w:tcBorders>
              <w:top w:val="single" w:sz="4" w:space="0" w:color="auto"/>
              <w:left w:val="nil"/>
              <w:right w:val="nil"/>
            </w:tcBorders>
            <w:shd w:val="clear" w:color="auto" w:fill="auto"/>
            <w:noWrap/>
            <w:hideMark/>
          </w:tcPr>
          <w:p w14:paraId="0C5E4371" w14:textId="77777777" w:rsidR="00E45705" w:rsidRPr="001B09E6" w:rsidRDefault="00E45705" w:rsidP="00E45705">
            <w:pPr>
              <w:pStyle w:val="TableCellText"/>
              <w:spacing w:before="0" w:after="0"/>
              <w:rPr>
                <w:lang w:eastAsia="en-AU"/>
              </w:rPr>
            </w:pPr>
            <w:r w:rsidRPr="001B09E6">
              <w:rPr>
                <w:lang w:eastAsia="en-AU"/>
              </w:rPr>
              <w:t>Major cities</w:t>
            </w:r>
          </w:p>
        </w:tc>
        <w:tc>
          <w:tcPr>
            <w:tcW w:w="833" w:type="pct"/>
            <w:tcBorders>
              <w:top w:val="single" w:sz="4" w:space="0" w:color="auto"/>
              <w:left w:val="nil"/>
              <w:right w:val="nil"/>
            </w:tcBorders>
          </w:tcPr>
          <w:p w14:paraId="174E0525" w14:textId="77777777" w:rsidR="00E45705" w:rsidRPr="001B09E6" w:rsidRDefault="00E45705" w:rsidP="00E45705">
            <w:pPr>
              <w:pStyle w:val="TableCellText"/>
              <w:spacing w:before="0" w:after="0"/>
              <w:rPr>
                <w:lang w:eastAsia="en-AU"/>
              </w:rPr>
            </w:pPr>
            <w:r w:rsidRPr="001B09E6">
              <w:rPr>
                <w:lang w:eastAsia="en-AU"/>
              </w:rPr>
              <w:t>15 to 19 years</w:t>
            </w:r>
          </w:p>
        </w:tc>
        <w:tc>
          <w:tcPr>
            <w:tcW w:w="372" w:type="pct"/>
            <w:tcBorders>
              <w:top w:val="single" w:sz="4" w:space="0" w:color="auto"/>
              <w:left w:val="nil"/>
              <w:right w:val="nil"/>
            </w:tcBorders>
            <w:shd w:val="clear" w:color="auto" w:fill="auto"/>
            <w:noWrap/>
            <w:hideMark/>
          </w:tcPr>
          <w:p w14:paraId="27280DAC" w14:textId="77777777" w:rsidR="00E45705" w:rsidRPr="001B09E6" w:rsidRDefault="00E45705" w:rsidP="00E45705">
            <w:pPr>
              <w:pStyle w:val="TableCellText"/>
              <w:spacing w:before="0" w:after="0"/>
              <w:jc w:val="center"/>
            </w:pPr>
            <w:r w:rsidRPr="001B09E6">
              <w:t>0.2</w:t>
            </w:r>
          </w:p>
        </w:tc>
        <w:tc>
          <w:tcPr>
            <w:tcW w:w="372" w:type="pct"/>
            <w:tcBorders>
              <w:top w:val="single" w:sz="4" w:space="0" w:color="auto"/>
              <w:left w:val="nil"/>
              <w:right w:val="nil"/>
            </w:tcBorders>
            <w:shd w:val="clear" w:color="auto" w:fill="auto"/>
            <w:noWrap/>
            <w:hideMark/>
          </w:tcPr>
          <w:p w14:paraId="46A13FEC" w14:textId="77777777" w:rsidR="00E45705" w:rsidRPr="001B09E6" w:rsidRDefault="00E45705" w:rsidP="00E45705">
            <w:pPr>
              <w:pStyle w:val="TableCellText"/>
              <w:spacing w:before="0" w:after="0"/>
              <w:jc w:val="center"/>
            </w:pPr>
            <w:r w:rsidRPr="001B09E6">
              <w:t>0.2</w:t>
            </w:r>
          </w:p>
        </w:tc>
        <w:tc>
          <w:tcPr>
            <w:tcW w:w="372" w:type="pct"/>
            <w:tcBorders>
              <w:top w:val="single" w:sz="4" w:space="0" w:color="auto"/>
              <w:left w:val="nil"/>
              <w:right w:val="nil"/>
            </w:tcBorders>
            <w:shd w:val="clear" w:color="auto" w:fill="auto"/>
            <w:noWrap/>
            <w:hideMark/>
          </w:tcPr>
          <w:p w14:paraId="331E22AB" w14:textId="77777777" w:rsidR="00E45705" w:rsidRPr="001B09E6" w:rsidRDefault="00E45705" w:rsidP="00E45705">
            <w:pPr>
              <w:pStyle w:val="TableCellText"/>
              <w:spacing w:before="0" w:after="0"/>
              <w:jc w:val="center"/>
            </w:pPr>
            <w:r w:rsidRPr="001B09E6">
              <w:t>0.2</w:t>
            </w:r>
          </w:p>
        </w:tc>
        <w:tc>
          <w:tcPr>
            <w:tcW w:w="372" w:type="pct"/>
            <w:tcBorders>
              <w:top w:val="single" w:sz="4" w:space="0" w:color="auto"/>
              <w:left w:val="nil"/>
              <w:right w:val="nil"/>
            </w:tcBorders>
            <w:shd w:val="clear" w:color="auto" w:fill="auto"/>
            <w:noWrap/>
            <w:hideMark/>
          </w:tcPr>
          <w:p w14:paraId="2624BD1C" w14:textId="77777777" w:rsidR="00E45705" w:rsidRPr="001B09E6" w:rsidRDefault="00E45705" w:rsidP="00E45705">
            <w:pPr>
              <w:pStyle w:val="TableCellText"/>
              <w:spacing w:before="0" w:after="0"/>
              <w:jc w:val="center"/>
            </w:pPr>
            <w:r w:rsidRPr="001B09E6">
              <w:t>0.2</w:t>
            </w:r>
          </w:p>
        </w:tc>
        <w:tc>
          <w:tcPr>
            <w:tcW w:w="372" w:type="pct"/>
            <w:tcBorders>
              <w:top w:val="single" w:sz="4" w:space="0" w:color="auto"/>
              <w:left w:val="nil"/>
              <w:right w:val="nil"/>
            </w:tcBorders>
            <w:shd w:val="clear" w:color="auto" w:fill="auto"/>
            <w:noWrap/>
            <w:hideMark/>
          </w:tcPr>
          <w:p w14:paraId="6A779D7B" w14:textId="77777777" w:rsidR="00E45705" w:rsidRPr="001B09E6" w:rsidRDefault="00E45705" w:rsidP="00E45705">
            <w:pPr>
              <w:pStyle w:val="TableCellText"/>
              <w:spacing w:before="0" w:after="0"/>
              <w:jc w:val="center"/>
            </w:pPr>
            <w:r w:rsidRPr="001B09E6">
              <w:t>0.2</w:t>
            </w:r>
          </w:p>
        </w:tc>
        <w:tc>
          <w:tcPr>
            <w:tcW w:w="372" w:type="pct"/>
            <w:tcBorders>
              <w:top w:val="single" w:sz="4" w:space="0" w:color="auto"/>
              <w:left w:val="nil"/>
              <w:right w:val="nil"/>
            </w:tcBorders>
            <w:shd w:val="clear" w:color="auto" w:fill="auto"/>
            <w:noWrap/>
            <w:hideMark/>
          </w:tcPr>
          <w:p w14:paraId="09E16E60" w14:textId="77777777" w:rsidR="00E45705" w:rsidRPr="001B09E6" w:rsidRDefault="00E45705" w:rsidP="00E45705">
            <w:pPr>
              <w:pStyle w:val="TableCellText"/>
              <w:spacing w:before="0" w:after="0"/>
              <w:jc w:val="center"/>
            </w:pPr>
            <w:r w:rsidRPr="001B09E6">
              <w:t>0.2</w:t>
            </w:r>
          </w:p>
        </w:tc>
        <w:tc>
          <w:tcPr>
            <w:tcW w:w="372" w:type="pct"/>
            <w:tcBorders>
              <w:top w:val="single" w:sz="4" w:space="0" w:color="auto"/>
              <w:left w:val="nil"/>
              <w:right w:val="nil"/>
            </w:tcBorders>
            <w:shd w:val="clear" w:color="auto" w:fill="auto"/>
            <w:noWrap/>
            <w:hideMark/>
          </w:tcPr>
          <w:p w14:paraId="28540190" w14:textId="77777777" w:rsidR="00E45705" w:rsidRPr="001B09E6" w:rsidRDefault="00E45705" w:rsidP="00E45705">
            <w:pPr>
              <w:pStyle w:val="TableCellText"/>
              <w:spacing w:before="0" w:after="0"/>
              <w:jc w:val="center"/>
            </w:pPr>
            <w:r w:rsidRPr="001B09E6">
              <w:t>0.2</w:t>
            </w:r>
          </w:p>
        </w:tc>
        <w:tc>
          <w:tcPr>
            <w:tcW w:w="372" w:type="pct"/>
            <w:tcBorders>
              <w:top w:val="single" w:sz="4" w:space="0" w:color="auto"/>
              <w:left w:val="nil"/>
              <w:right w:val="nil"/>
            </w:tcBorders>
            <w:shd w:val="clear" w:color="auto" w:fill="auto"/>
            <w:noWrap/>
            <w:hideMark/>
          </w:tcPr>
          <w:p w14:paraId="39CCBCFE" w14:textId="77777777" w:rsidR="00E45705" w:rsidRPr="001B09E6" w:rsidRDefault="00E45705" w:rsidP="00E45705">
            <w:pPr>
              <w:pStyle w:val="TableCellText"/>
              <w:spacing w:before="0" w:after="0"/>
              <w:jc w:val="center"/>
            </w:pPr>
            <w:r w:rsidRPr="001B09E6">
              <w:t>0.2</w:t>
            </w:r>
          </w:p>
        </w:tc>
        <w:tc>
          <w:tcPr>
            <w:tcW w:w="372" w:type="pct"/>
            <w:tcBorders>
              <w:top w:val="single" w:sz="4" w:space="0" w:color="auto"/>
              <w:left w:val="nil"/>
              <w:right w:val="nil"/>
            </w:tcBorders>
            <w:shd w:val="clear" w:color="auto" w:fill="auto"/>
            <w:noWrap/>
            <w:hideMark/>
          </w:tcPr>
          <w:p w14:paraId="7E7B2147" w14:textId="77777777" w:rsidR="00E45705" w:rsidRPr="001B09E6" w:rsidRDefault="00E45705" w:rsidP="00E45705">
            <w:pPr>
              <w:pStyle w:val="TableCellText"/>
              <w:spacing w:before="0" w:after="0"/>
              <w:jc w:val="center"/>
            </w:pPr>
            <w:r w:rsidRPr="001B09E6">
              <w:t>0.2</w:t>
            </w:r>
          </w:p>
        </w:tc>
      </w:tr>
      <w:tr w:rsidR="00E45705" w:rsidRPr="001B09E6" w14:paraId="49DF8635" w14:textId="77777777" w:rsidTr="00E45705">
        <w:trPr>
          <w:trHeight w:val="225"/>
        </w:trPr>
        <w:tc>
          <w:tcPr>
            <w:tcW w:w="822" w:type="pct"/>
            <w:tcBorders>
              <w:top w:val="nil"/>
              <w:left w:val="nil"/>
              <w:bottom w:val="nil"/>
              <w:right w:val="nil"/>
            </w:tcBorders>
            <w:shd w:val="clear" w:color="auto" w:fill="auto"/>
            <w:noWrap/>
            <w:hideMark/>
          </w:tcPr>
          <w:p w14:paraId="4BB1750A" w14:textId="77777777" w:rsidR="00E45705" w:rsidRPr="001B09E6" w:rsidRDefault="00E45705" w:rsidP="00E45705">
            <w:pPr>
              <w:pStyle w:val="TableCellText"/>
              <w:spacing w:before="0" w:after="0"/>
              <w:rPr>
                <w:lang w:eastAsia="en-AU"/>
              </w:rPr>
            </w:pPr>
          </w:p>
        </w:tc>
        <w:tc>
          <w:tcPr>
            <w:tcW w:w="833" w:type="pct"/>
            <w:tcBorders>
              <w:top w:val="nil"/>
              <w:left w:val="nil"/>
              <w:bottom w:val="dotted" w:sz="4" w:space="0" w:color="auto"/>
              <w:right w:val="nil"/>
            </w:tcBorders>
          </w:tcPr>
          <w:p w14:paraId="71E3D9CB" w14:textId="77777777" w:rsidR="00E45705" w:rsidRPr="001B09E6" w:rsidRDefault="00E45705" w:rsidP="00E45705">
            <w:pPr>
              <w:pStyle w:val="TableCellText"/>
              <w:spacing w:before="0" w:after="0"/>
              <w:rPr>
                <w:lang w:eastAsia="en-AU"/>
              </w:rPr>
            </w:pPr>
            <w:r w:rsidRPr="001B09E6">
              <w:rPr>
                <w:lang w:eastAsia="en-AU"/>
              </w:rPr>
              <w:t>20 to 24 years</w:t>
            </w:r>
          </w:p>
        </w:tc>
        <w:tc>
          <w:tcPr>
            <w:tcW w:w="372" w:type="pct"/>
            <w:tcBorders>
              <w:top w:val="nil"/>
              <w:left w:val="nil"/>
              <w:bottom w:val="dotted" w:sz="4" w:space="0" w:color="auto"/>
              <w:right w:val="nil"/>
            </w:tcBorders>
            <w:shd w:val="clear" w:color="auto" w:fill="auto"/>
            <w:noWrap/>
            <w:hideMark/>
          </w:tcPr>
          <w:p w14:paraId="4D2746CB"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76D3B1EF"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325E1603"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5E7F320D"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50B00911"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0C58C40B"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44659EEE"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098EEE80"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4B605667" w14:textId="77777777" w:rsidR="00E45705" w:rsidRPr="001B09E6" w:rsidRDefault="00E45705" w:rsidP="00E45705">
            <w:pPr>
              <w:pStyle w:val="TableCellText"/>
              <w:spacing w:before="0" w:after="0"/>
              <w:jc w:val="center"/>
            </w:pPr>
            <w:r w:rsidRPr="001B09E6">
              <w:t>0.3</w:t>
            </w:r>
          </w:p>
        </w:tc>
      </w:tr>
      <w:tr w:rsidR="00E45705" w:rsidRPr="001B09E6" w14:paraId="247FE0AF" w14:textId="77777777" w:rsidTr="00E45705">
        <w:trPr>
          <w:trHeight w:val="225"/>
        </w:trPr>
        <w:tc>
          <w:tcPr>
            <w:tcW w:w="822" w:type="pct"/>
            <w:tcBorders>
              <w:left w:val="nil"/>
              <w:right w:val="nil"/>
            </w:tcBorders>
            <w:shd w:val="clear" w:color="auto" w:fill="auto"/>
            <w:noWrap/>
            <w:hideMark/>
          </w:tcPr>
          <w:p w14:paraId="1F2C8276" w14:textId="77777777" w:rsidR="00E45705" w:rsidRPr="001B09E6" w:rsidRDefault="00E45705" w:rsidP="00E45705">
            <w:pPr>
              <w:pStyle w:val="TableCellText"/>
              <w:spacing w:before="0" w:after="0"/>
              <w:rPr>
                <w:lang w:eastAsia="en-AU"/>
              </w:rPr>
            </w:pPr>
            <w:r w:rsidRPr="001B09E6">
              <w:rPr>
                <w:lang w:eastAsia="en-AU"/>
              </w:rPr>
              <w:t>Inner regional</w:t>
            </w:r>
          </w:p>
        </w:tc>
        <w:tc>
          <w:tcPr>
            <w:tcW w:w="833" w:type="pct"/>
            <w:tcBorders>
              <w:top w:val="dotted" w:sz="4" w:space="0" w:color="auto"/>
              <w:left w:val="nil"/>
              <w:right w:val="nil"/>
            </w:tcBorders>
          </w:tcPr>
          <w:p w14:paraId="0995AF3A" w14:textId="77777777" w:rsidR="00E45705" w:rsidRPr="001B09E6" w:rsidRDefault="00E45705" w:rsidP="00E45705">
            <w:pPr>
              <w:pStyle w:val="TableCellText"/>
              <w:spacing w:before="0" w:after="0"/>
              <w:rPr>
                <w:lang w:eastAsia="en-AU"/>
              </w:rPr>
            </w:pPr>
            <w:r w:rsidRPr="001B09E6">
              <w:rPr>
                <w:lang w:eastAsia="en-AU"/>
              </w:rPr>
              <w:t>15 to 19 years</w:t>
            </w:r>
          </w:p>
        </w:tc>
        <w:tc>
          <w:tcPr>
            <w:tcW w:w="372" w:type="pct"/>
            <w:tcBorders>
              <w:top w:val="dotted" w:sz="4" w:space="0" w:color="auto"/>
              <w:left w:val="nil"/>
              <w:right w:val="nil"/>
            </w:tcBorders>
            <w:shd w:val="clear" w:color="auto" w:fill="auto"/>
            <w:noWrap/>
            <w:hideMark/>
          </w:tcPr>
          <w:p w14:paraId="4E700D0D"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3BB1826A"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23E4FC6B"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22B45B88"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7C282EE5"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2C9BF3C4"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75E36152"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2F196CB1"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7D6B9D56" w14:textId="77777777" w:rsidR="00E45705" w:rsidRPr="001B09E6" w:rsidRDefault="00E45705" w:rsidP="00E45705">
            <w:pPr>
              <w:pStyle w:val="TableCellText"/>
              <w:spacing w:before="0" w:after="0"/>
              <w:jc w:val="center"/>
            </w:pPr>
            <w:r w:rsidRPr="001B09E6">
              <w:t>0.4</w:t>
            </w:r>
          </w:p>
        </w:tc>
      </w:tr>
      <w:tr w:rsidR="00E45705" w:rsidRPr="001B09E6" w14:paraId="0BA67B73" w14:textId="77777777" w:rsidTr="00E45705">
        <w:trPr>
          <w:trHeight w:val="225"/>
        </w:trPr>
        <w:tc>
          <w:tcPr>
            <w:tcW w:w="822" w:type="pct"/>
            <w:tcBorders>
              <w:top w:val="nil"/>
              <w:left w:val="nil"/>
              <w:bottom w:val="nil"/>
              <w:right w:val="nil"/>
            </w:tcBorders>
            <w:shd w:val="clear" w:color="auto" w:fill="auto"/>
            <w:noWrap/>
            <w:hideMark/>
          </w:tcPr>
          <w:p w14:paraId="58DB578A" w14:textId="77777777" w:rsidR="00E45705" w:rsidRPr="001B09E6" w:rsidRDefault="00E45705" w:rsidP="00E45705">
            <w:pPr>
              <w:pStyle w:val="TableCellText"/>
              <w:spacing w:before="0" w:after="0"/>
              <w:rPr>
                <w:lang w:eastAsia="en-AU"/>
              </w:rPr>
            </w:pPr>
          </w:p>
        </w:tc>
        <w:tc>
          <w:tcPr>
            <w:tcW w:w="833" w:type="pct"/>
            <w:tcBorders>
              <w:top w:val="nil"/>
              <w:left w:val="nil"/>
              <w:bottom w:val="dotted" w:sz="4" w:space="0" w:color="auto"/>
              <w:right w:val="nil"/>
            </w:tcBorders>
          </w:tcPr>
          <w:p w14:paraId="71BA2B49" w14:textId="77777777" w:rsidR="00E45705" w:rsidRPr="001B09E6" w:rsidRDefault="00E45705" w:rsidP="00E45705">
            <w:pPr>
              <w:pStyle w:val="TableCellText"/>
              <w:spacing w:before="0" w:after="0"/>
              <w:rPr>
                <w:lang w:eastAsia="en-AU"/>
              </w:rPr>
            </w:pPr>
            <w:r w:rsidRPr="001B09E6">
              <w:rPr>
                <w:lang w:eastAsia="en-AU"/>
              </w:rPr>
              <w:t>20 to 24 years</w:t>
            </w:r>
          </w:p>
        </w:tc>
        <w:tc>
          <w:tcPr>
            <w:tcW w:w="372" w:type="pct"/>
            <w:tcBorders>
              <w:top w:val="nil"/>
              <w:left w:val="nil"/>
              <w:bottom w:val="dotted" w:sz="4" w:space="0" w:color="auto"/>
              <w:right w:val="nil"/>
            </w:tcBorders>
            <w:shd w:val="clear" w:color="auto" w:fill="auto"/>
            <w:noWrap/>
            <w:hideMark/>
          </w:tcPr>
          <w:p w14:paraId="0E1B8DC7"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521AC151"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677718D7"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5F00D6D5"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3E3E8458"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7F67EB12" w14:textId="77777777" w:rsidR="00E45705" w:rsidRPr="001B09E6" w:rsidRDefault="00E45705" w:rsidP="00E45705">
            <w:pPr>
              <w:pStyle w:val="TableCellText"/>
              <w:spacing w:before="0" w:after="0"/>
              <w:jc w:val="center"/>
            </w:pPr>
            <w:r w:rsidRPr="001B09E6">
              <w:t>0.4</w:t>
            </w:r>
          </w:p>
        </w:tc>
        <w:tc>
          <w:tcPr>
            <w:tcW w:w="372" w:type="pct"/>
            <w:tcBorders>
              <w:top w:val="nil"/>
              <w:left w:val="nil"/>
              <w:bottom w:val="dotted" w:sz="4" w:space="0" w:color="auto"/>
              <w:right w:val="nil"/>
            </w:tcBorders>
            <w:shd w:val="clear" w:color="auto" w:fill="auto"/>
            <w:noWrap/>
            <w:hideMark/>
          </w:tcPr>
          <w:p w14:paraId="50B22034" w14:textId="77777777" w:rsidR="00E45705" w:rsidRPr="001B09E6" w:rsidRDefault="00E45705" w:rsidP="00E45705">
            <w:pPr>
              <w:pStyle w:val="TableCellText"/>
              <w:spacing w:before="0" w:after="0"/>
              <w:jc w:val="center"/>
            </w:pPr>
            <w:r w:rsidRPr="001B09E6">
              <w:t>0.4</w:t>
            </w:r>
          </w:p>
        </w:tc>
        <w:tc>
          <w:tcPr>
            <w:tcW w:w="372" w:type="pct"/>
            <w:tcBorders>
              <w:top w:val="nil"/>
              <w:left w:val="nil"/>
              <w:bottom w:val="dotted" w:sz="4" w:space="0" w:color="auto"/>
              <w:right w:val="nil"/>
            </w:tcBorders>
            <w:shd w:val="clear" w:color="auto" w:fill="auto"/>
            <w:noWrap/>
            <w:hideMark/>
          </w:tcPr>
          <w:p w14:paraId="5C8A3EBC" w14:textId="77777777" w:rsidR="00E45705" w:rsidRPr="001B09E6" w:rsidRDefault="00E45705" w:rsidP="00E45705">
            <w:pPr>
              <w:pStyle w:val="TableCellText"/>
              <w:spacing w:before="0" w:after="0"/>
              <w:jc w:val="center"/>
            </w:pPr>
            <w:r w:rsidRPr="001B09E6">
              <w:t>0.4</w:t>
            </w:r>
          </w:p>
        </w:tc>
        <w:tc>
          <w:tcPr>
            <w:tcW w:w="372" w:type="pct"/>
            <w:tcBorders>
              <w:top w:val="nil"/>
              <w:left w:val="nil"/>
              <w:bottom w:val="dotted" w:sz="4" w:space="0" w:color="auto"/>
              <w:right w:val="nil"/>
            </w:tcBorders>
            <w:shd w:val="clear" w:color="auto" w:fill="auto"/>
            <w:noWrap/>
            <w:hideMark/>
          </w:tcPr>
          <w:p w14:paraId="3E9595F4" w14:textId="77777777" w:rsidR="00E45705" w:rsidRPr="001B09E6" w:rsidRDefault="00E45705" w:rsidP="00E45705">
            <w:pPr>
              <w:pStyle w:val="TableCellText"/>
              <w:spacing w:before="0" w:after="0"/>
              <w:jc w:val="center"/>
            </w:pPr>
            <w:r w:rsidRPr="001B09E6">
              <w:t>0.4</w:t>
            </w:r>
          </w:p>
        </w:tc>
      </w:tr>
      <w:tr w:rsidR="00E45705" w:rsidRPr="001B09E6" w14:paraId="094F5003" w14:textId="77777777" w:rsidTr="00E45705">
        <w:trPr>
          <w:trHeight w:val="225"/>
        </w:trPr>
        <w:tc>
          <w:tcPr>
            <w:tcW w:w="822" w:type="pct"/>
            <w:tcBorders>
              <w:left w:val="nil"/>
              <w:right w:val="nil"/>
            </w:tcBorders>
            <w:shd w:val="clear" w:color="auto" w:fill="auto"/>
            <w:noWrap/>
            <w:hideMark/>
          </w:tcPr>
          <w:p w14:paraId="0CDA9B09" w14:textId="77777777" w:rsidR="00E45705" w:rsidRPr="001B09E6" w:rsidRDefault="00E45705" w:rsidP="00E45705">
            <w:pPr>
              <w:pStyle w:val="TableCellText"/>
              <w:spacing w:before="0" w:after="0"/>
              <w:rPr>
                <w:lang w:eastAsia="en-AU"/>
              </w:rPr>
            </w:pPr>
            <w:r w:rsidRPr="001B09E6">
              <w:rPr>
                <w:lang w:eastAsia="en-AU"/>
              </w:rPr>
              <w:t>Outer regional</w:t>
            </w:r>
          </w:p>
        </w:tc>
        <w:tc>
          <w:tcPr>
            <w:tcW w:w="833" w:type="pct"/>
            <w:tcBorders>
              <w:top w:val="dotted" w:sz="4" w:space="0" w:color="auto"/>
              <w:left w:val="nil"/>
              <w:right w:val="nil"/>
            </w:tcBorders>
          </w:tcPr>
          <w:p w14:paraId="397A5AD9" w14:textId="77777777" w:rsidR="00E45705" w:rsidRPr="001B09E6" w:rsidRDefault="00E45705" w:rsidP="00E45705">
            <w:pPr>
              <w:pStyle w:val="TableCellText"/>
              <w:spacing w:before="0" w:after="0"/>
              <w:rPr>
                <w:lang w:eastAsia="en-AU"/>
              </w:rPr>
            </w:pPr>
            <w:r w:rsidRPr="001B09E6">
              <w:rPr>
                <w:lang w:eastAsia="en-AU"/>
              </w:rPr>
              <w:t>15 to 19 years</w:t>
            </w:r>
          </w:p>
        </w:tc>
        <w:tc>
          <w:tcPr>
            <w:tcW w:w="372" w:type="pct"/>
            <w:tcBorders>
              <w:top w:val="dotted" w:sz="4" w:space="0" w:color="auto"/>
              <w:left w:val="nil"/>
              <w:right w:val="nil"/>
            </w:tcBorders>
            <w:shd w:val="clear" w:color="auto" w:fill="auto"/>
            <w:noWrap/>
            <w:hideMark/>
          </w:tcPr>
          <w:p w14:paraId="25FC019D"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4FD6A226"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78177BE5"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37F8F634"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650A0606"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4C960BEA"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3353F3E3"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36C02A2D"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051ECA9B" w14:textId="77777777" w:rsidR="00E45705" w:rsidRPr="001B09E6" w:rsidRDefault="00E45705" w:rsidP="00E45705">
            <w:pPr>
              <w:pStyle w:val="TableCellText"/>
              <w:spacing w:before="0" w:after="0"/>
              <w:jc w:val="center"/>
            </w:pPr>
            <w:r w:rsidRPr="001B09E6">
              <w:t>0.4</w:t>
            </w:r>
          </w:p>
        </w:tc>
      </w:tr>
      <w:tr w:rsidR="00E45705" w:rsidRPr="001B09E6" w14:paraId="4CF24F5A" w14:textId="77777777" w:rsidTr="00E45705">
        <w:trPr>
          <w:trHeight w:val="225"/>
        </w:trPr>
        <w:tc>
          <w:tcPr>
            <w:tcW w:w="822" w:type="pct"/>
            <w:tcBorders>
              <w:top w:val="nil"/>
              <w:left w:val="nil"/>
              <w:bottom w:val="nil"/>
              <w:right w:val="nil"/>
            </w:tcBorders>
            <w:shd w:val="clear" w:color="auto" w:fill="auto"/>
            <w:noWrap/>
            <w:hideMark/>
          </w:tcPr>
          <w:p w14:paraId="42BD434E" w14:textId="77777777" w:rsidR="00E45705" w:rsidRPr="001B09E6" w:rsidRDefault="00E45705" w:rsidP="00E45705">
            <w:pPr>
              <w:pStyle w:val="TableCellText"/>
              <w:spacing w:before="0" w:after="0"/>
              <w:rPr>
                <w:lang w:eastAsia="en-AU"/>
              </w:rPr>
            </w:pPr>
          </w:p>
        </w:tc>
        <w:tc>
          <w:tcPr>
            <w:tcW w:w="833" w:type="pct"/>
            <w:tcBorders>
              <w:top w:val="nil"/>
              <w:left w:val="nil"/>
              <w:bottom w:val="dotted" w:sz="4" w:space="0" w:color="auto"/>
              <w:right w:val="nil"/>
            </w:tcBorders>
          </w:tcPr>
          <w:p w14:paraId="71CBD45C" w14:textId="77777777" w:rsidR="00E45705" w:rsidRPr="001B09E6" w:rsidRDefault="00E45705" w:rsidP="00E45705">
            <w:pPr>
              <w:pStyle w:val="TableCellText"/>
              <w:spacing w:before="0" w:after="0"/>
              <w:rPr>
                <w:lang w:eastAsia="en-AU"/>
              </w:rPr>
            </w:pPr>
            <w:r w:rsidRPr="001B09E6">
              <w:rPr>
                <w:lang w:eastAsia="en-AU"/>
              </w:rPr>
              <w:t>20 to 24 years</w:t>
            </w:r>
          </w:p>
        </w:tc>
        <w:tc>
          <w:tcPr>
            <w:tcW w:w="372" w:type="pct"/>
            <w:tcBorders>
              <w:top w:val="nil"/>
              <w:left w:val="nil"/>
              <w:bottom w:val="dotted" w:sz="4" w:space="0" w:color="auto"/>
              <w:right w:val="nil"/>
            </w:tcBorders>
            <w:shd w:val="clear" w:color="auto" w:fill="auto"/>
            <w:noWrap/>
            <w:hideMark/>
          </w:tcPr>
          <w:p w14:paraId="339EC323"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6CB0D6FA"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573416AD"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0456CD62" w14:textId="77777777" w:rsidR="00E45705" w:rsidRPr="001B09E6" w:rsidRDefault="00E45705" w:rsidP="00E45705">
            <w:pPr>
              <w:pStyle w:val="TableCellText"/>
              <w:spacing w:before="0" w:after="0"/>
              <w:jc w:val="center"/>
            </w:pPr>
            <w:r w:rsidRPr="001B09E6">
              <w:t>0.4</w:t>
            </w:r>
          </w:p>
        </w:tc>
        <w:tc>
          <w:tcPr>
            <w:tcW w:w="372" w:type="pct"/>
            <w:tcBorders>
              <w:top w:val="nil"/>
              <w:left w:val="nil"/>
              <w:bottom w:val="dotted" w:sz="4" w:space="0" w:color="auto"/>
              <w:right w:val="nil"/>
            </w:tcBorders>
            <w:shd w:val="clear" w:color="auto" w:fill="auto"/>
            <w:noWrap/>
            <w:hideMark/>
          </w:tcPr>
          <w:p w14:paraId="1111D69C"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7462E660" w14:textId="77777777" w:rsidR="00E45705" w:rsidRPr="001B09E6" w:rsidRDefault="00E45705" w:rsidP="00E45705">
            <w:pPr>
              <w:pStyle w:val="TableCellText"/>
              <w:spacing w:before="0" w:after="0"/>
              <w:jc w:val="center"/>
            </w:pPr>
            <w:r w:rsidRPr="001B09E6">
              <w:t>0.4</w:t>
            </w:r>
          </w:p>
        </w:tc>
        <w:tc>
          <w:tcPr>
            <w:tcW w:w="372" w:type="pct"/>
            <w:tcBorders>
              <w:top w:val="nil"/>
              <w:left w:val="nil"/>
              <w:bottom w:val="dotted" w:sz="4" w:space="0" w:color="auto"/>
              <w:right w:val="nil"/>
            </w:tcBorders>
            <w:shd w:val="clear" w:color="auto" w:fill="auto"/>
            <w:noWrap/>
            <w:hideMark/>
          </w:tcPr>
          <w:p w14:paraId="112CEA90" w14:textId="77777777" w:rsidR="00E45705" w:rsidRPr="001B09E6" w:rsidRDefault="00E45705" w:rsidP="00E45705">
            <w:pPr>
              <w:pStyle w:val="TableCellText"/>
              <w:spacing w:before="0" w:after="0"/>
              <w:jc w:val="center"/>
            </w:pPr>
            <w:r w:rsidRPr="001B09E6">
              <w:t>0.4</w:t>
            </w:r>
          </w:p>
        </w:tc>
        <w:tc>
          <w:tcPr>
            <w:tcW w:w="372" w:type="pct"/>
            <w:tcBorders>
              <w:top w:val="nil"/>
              <w:left w:val="nil"/>
              <w:bottom w:val="dotted" w:sz="4" w:space="0" w:color="auto"/>
              <w:right w:val="nil"/>
            </w:tcBorders>
            <w:shd w:val="clear" w:color="auto" w:fill="auto"/>
            <w:noWrap/>
            <w:hideMark/>
          </w:tcPr>
          <w:p w14:paraId="032F4931" w14:textId="77777777" w:rsidR="00E45705" w:rsidRPr="001B09E6" w:rsidRDefault="00E45705" w:rsidP="00E45705">
            <w:pPr>
              <w:pStyle w:val="TableCellText"/>
              <w:spacing w:before="0" w:after="0"/>
              <w:jc w:val="center"/>
            </w:pPr>
            <w:r w:rsidRPr="001B09E6">
              <w:t>0.4</w:t>
            </w:r>
          </w:p>
        </w:tc>
        <w:tc>
          <w:tcPr>
            <w:tcW w:w="372" w:type="pct"/>
            <w:tcBorders>
              <w:top w:val="nil"/>
              <w:left w:val="nil"/>
              <w:bottom w:val="dotted" w:sz="4" w:space="0" w:color="auto"/>
              <w:right w:val="nil"/>
            </w:tcBorders>
            <w:shd w:val="clear" w:color="auto" w:fill="auto"/>
            <w:noWrap/>
            <w:hideMark/>
          </w:tcPr>
          <w:p w14:paraId="48179D17" w14:textId="77777777" w:rsidR="00E45705" w:rsidRPr="001B09E6" w:rsidRDefault="00E45705" w:rsidP="00E45705">
            <w:pPr>
              <w:pStyle w:val="TableCellText"/>
              <w:spacing w:before="0" w:after="0"/>
              <w:jc w:val="center"/>
            </w:pPr>
            <w:r w:rsidRPr="001B09E6">
              <w:t>0.5</w:t>
            </w:r>
          </w:p>
        </w:tc>
      </w:tr>
      <w:tr w:rsidR="00E45705" w:rsidRPr="001B09E6" w14:paraId="5AF590EF" w14:textId="77777777" w:rsidTr="00E45705">
        <w:trPr>
          <w:trHeight w:val="225"/>
        </w:trPr>
        <w:tc>
          <w:tcPr>
            <w:tcW w:w="822" w:type="pct"/>
            <w:tcBorders>
              <w:left w:val="nil"/>
              <w:right w:val="nil"/>
            </w:tcBorders>
            <w:shd w:val="clear" w:color="auto" w:fill="auto"/>
            <w:noWrap/>
            <w:hideMark/>
          </w:tcPr>
          <w:p w14:paraId="06DB11EE" w14:textId="77777777" w:rsidR="00E45705" w:rsidRPr="001B09E6" w:rsidRDefault="00E45705" w:rsidP="00E45705">
            <w:pPr>
              <w:pStyle w:val="TableCellText"/>
              <w:spacing w:before="0" w:after="0"/>
              <w:rPr>
                <w:lang w:eastAsia="en-AU"/>
              </w:rPr>
            </w:pPr>
            <w:r w:rsidRPr="001B09E6">
              <w:rPr>
                <w:lang w:eastAsia="en-AU"/>
              </w:rPr>
              <w:t>Remote</w:t>
            </w:r>
          </w:p>
        </w:tc>
        <w:tc>
          <w:tcPr>
            <w:tcW w:w="833" w:type="pct"/>
            <w:tcBorders>
              <w:top w:val="dotted" w:sz="4" w:space="0" w:color="auto"/>
              <w:left w:val="nil"/>
              <w:right w:val="nil"/>
            </w:tcBorders>
          </w:tcPr>
          <w:p w14:paraId="1D4B8FF6" w14:textId="77777777" w:rsidR="00E45705" w:rsidRPr="001B09E6" w:rsidRDefault="00E45705" w:rsidP="00E45705">
            <w:pPr>
              <w:pStyle w:val="TableCellText"/>
              <w:spacing w:before="0" w:after="0"/>
              <w:rPr>
                <w:lang w:eastAsia="en-AU"/>
              </w:rPr>
            </w:pPr>
            <w:r w:rsidRPr="001B09E6">
              <w:rPr>
                <w:lang w:eastAsia="en-AU"/>
              </w:rPr>
              <w:t>15 to 19 years</w:t>
            </w:r>
          </w:p>
        </w:tc>
        <w:tc>
          <w:tcPr>
            <w:tcW w:w="372" w:type="pct"/>
            <w:tcBorders>
              <w:top w:val="dotted" w:sz="4" w:space="0" w:color="auto"/>
              <w:left w:val="nil"/>
              <w:right w:val="nil"/>
            </w:tcBorders>
            <w:shd w:val="clear" w:color="auto" w:fill="auto"/>
            <w:noWrap/>
            <w:hideMark/>
          </w:tcPr>
          <w:p w14:paraId="76DE8231"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513589FC"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0DFB6FE0" w14:textId="77777777" w:rsidR="00E45705" w:rsidRPr="001B09E6" w:rsidRDefault="00E45705" w:rsidP="00E45705">
            <w:pPr>
              <w:pStyle w:val="TableCellText"/>
              <w:spacing w:before="0" w:after="0"/>
              <w:jc w:val="center"/>
            </w:pPr>
            <w:r w:rsidRPr="001B09E6">
              <w:t>0.2</w:t>
            </w:r>
          </w:p>
        </w:tc>
        <w:tc>
          <w:tcPr>
            <w:tcW w:w="372" w:type="pct"/>
            <w:tcBorders>
              <w:top w:val="dotted" w:sz="4" w:space="0" w:color="auto"/>
              <w:left w:val="nil"/>
              <w:right w:val="nil"/>
            </w:tcBorders>
            <w:shd w:val="clear" w:color="auto" w:fill="auto"/>
            <w:noWrap/>
            <w:hideMark/>
          </w:tcPr>
          <w:p w14:paraId="01FFAA5D" w14:textId="77777777" w:rsidR="00E45705" w:rsidRPr="001B09E6" w:rsidRDefault="00E45705" w:rsidP="00E45705">
            <w:pPr>
              <w:pStyle w:val="TableCellText"/>
              <w:spacing w:before="0" w:after="0"/>
              <w:jc w:val="center"/>
            </w:pPr>
            <w:r w:rsidRPr="001B09E6">
              <w:t>0.2</w:t>
            </w:r>
          </w:p>
        </w:tc>
        <w:tc>
          <w:tcPr>
            <w:tcW w:w="372" w:type="pct"/>
            <w:tcBorders>
              <w:top w:val="dotted" w:sz="4" w:space="0" w:color="auto"/>
              <w:left w:val="nil"/>
              <w:right w:val="nil"/>
            </w:tcBorders>
            <w:shd w:val="clear" w:color="auto" w:fill="auto"/>
            <w:noWrap/>
            <w:hideMark/>
          </w:tcPr>
          <w:p w14:paraId="483757EC" w14:textId="77777777" w:rsidR="00E45705" w:rsidRPr="001B09E6" w:rsidRDefault="00E45705" w:rsidP="00E45705">
            <w:pPr>
              <w:pStyle w:val="TableCellText"/>
              <w:spacing w:before="0" w:after="0"/>
              <w:jc w:val="center"/>
            </w:pPr>
            <w:r w:rsidRPr="001B09E6">
              <w:t>0.2</w:t>
            </w:r>
          </w:p>
        </w:tc>
        <w:tc>
          <w:tcPr>
            <w:tcW w:w="372" w:type="pct"/>
            <w:tcBorders>
              <w:top w:val="dotted" w:sz="4" w:space="0" w:color="auto"/>
              <w:left w:val="nil"/>
              <w:right w:val="nil"/>
            </w:tcBorders>
            <w:shd w:val="clear" w:color="auto" w:fill="auto"/>
            <w:noWrap/>
            <w:hideMark/>
          </w:tcPr>
          <w:p w14:paraId="0E34E40A" w14:textId="77777777" w:rsidR="00E45705" w:rsidRPr="001B09E6" w:rsidRDefault="00E45705" w:rsidP="00E45705">
            <w:pPr>
              <w:pStyle w:val="TableCellText"/>
              <w:spacing w:before="0" w:after="0"/>
              <w:jc w:val="center"/>
            </w:pPr>
            <w:r w:rsidRPr="001B09E6">
              <w:t>0.2</w:t>
            </w:r>
          </w:p>
        </w:tc>
        <w:tc>
          <w:tcPr>
            <w:tcW w:w="372" w:type="pct"/>
            <w:tcBorders>
              <w:top w:val="dotted" w:sz="4" w:space="0" w:color="auto"/>
              <w:left w:val="nil"/>
              <w:right w:val="nil"/>
            </w:tcBorders>
            <w:shd w:val="clear" w:color="auto" w:fill="auto"/>
            <w:noWrap/>
            <w:hideMark/>
          </w:tcPr>
          <w:p w14:paraId="1E1CFBF2"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58FA421D"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13C72C27" w14:textId="77777777" w:rsidR="00E45705" w:rsidRPr="001B09E6" w:rsidRDefault="00E45705" w:rsidP="00E45705">
            <w:pPr>
              <w:pStyle w:val="TableCellText"/>
              <w:spacing w:before="0" w:after="0"/>
              <w:jc w:val="center"/>
            </w:pPr>
            <w:r w:rsidRPr="001B09E6">
              <w:t>0.3</w:t>
            </w:r>
          </w:p>
        </w:tc>
      </w:tr>
      <w:tr w:rsidR="00E45705" w:rsidRPr="001B09E6" w14:paraId="3ED94D5E" w14:textId="77777777" w:rsidTr="00E45705">
        <w:trPr>
          <w:trHeight w:val="225"/>
        </w:trPr>
        <w:tc>
          <w:tcPr>
            <w:tcW w:w="822" w:type="pct"/>
            <w:tcBorders>
              <w:top w:val="nil"/>
              <w:left w:val="nil"/>
              <w:bottom w:val="nil"/>
              <w:right w:val="nil"/>
            </w:tcBorders>
            <w:shd w:val="clear" w:color="auto" w:fill="auto"/>
            <w:noWrap/>
            <w:hideMark/>
          </w:tcPr>
          <w:p w14:paraId="19C60694" w14:textId="77777777" w:rsidR="00E45705" w:rsidRPr="001B09E6" w:rsidRDefault="00E45705" w:rsidP="00E45705">
            <w:pPr>
              <w:pStyle w:val="TableCellText"/>
              <w:spacing w:before="0" w:after="0"/>
              <w:rPr>
                <w:lang w:eastAsia="en-AU"/>
              </w:rPr>
            </w:pPr>
          </w:p>
        </w:tc>
        <w:tc>
          <w:tcPr>
            <w:tcW w:w="833" w:type="pct"/>
            <w:tcBorders>
              <w:top w:val="nil"/>
              <w:left w:val="nil"/>
              <w:bottom w:val="dotted" w:sz="4" w:space="0" w:color="auto"/>
              <w:right w:val="nil"/>
            </w:tcBorders>
          </w:tcPr>
          <w:p w14:paraId="5CF728DE" w14:textId="77777777" w:rsidR="00E45705" w:rsidRPr="001B09E6" w:rsidRDefault="00E45705" w:rsidP="00E45705">
            <w:pPr>
              <w:pStyle w:val="TableCellText"/>
              <w:spacing w:before="0" w:after="0"/>
              <w:rPr>
                <w:lang w:eastAsia="en-AU"/>
              </w:rPr>
            </w:pPr>
            <w:r w:rsidRPr="001B09E6">
              <w:rPr>
                <w:lang w:eastAsia="en-AU"/>
              </w:rPr>
              <w:t>20 to 24 years</w:t>
            </w:r>
          </w:p>
        </w:tc>
        <w:tc>
          <w:tcPr>
            <w:tcW w:w="372" w:type="pct"/>
            <w:tcBorders>
              <w:top w:val="nil"/>
              <w:left w:val="nil"/>
              <w:bottom w:val="dotted" w:sz="4" w:space="0" w:color="auto"/>
              <w:right w:val="nil"/>
            </w:tcBorders>
            <w:shd w:val="clear" w:color="auto" w:fill="auto"/>
            <w:noWrap/>
            <w:hideMark/>
          </w:tcPr>
          <w:p w14:paraId="10E7A2F8"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2163C12A"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0AF61D29"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1EC96A84"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3007FB68"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3D449A20" w14:textId="77777777" w:rsidR="00E45705" w:rsidRPr="001B09E6" w:rsidRDefault="00E45705" w:rsidP="00E45705">
            <w:pPr>
              <w:pStyle w:val="TableCellText"/>
              <w:spacing w:before="0" w:after="0"/>
              <w:jc w:val="center"/>
            </w:pPr>
            <w:r w:rsidRPr="001B09E6">
              <w:t>0.3</w:t>
            </w:r>
          </w:p>
        </w:tc>
        <w:tc>
          <w:tcPr>
            <w:tcW w:w="372" w:type="pct"/>
            <w:tcBorders>
              <w:top w:val="nil"/>
              <w:left w:val="nil"/>
              <w:bottom w:val="dotted" w:sz="4" w:space="0" w:color="auto"/>
              <w:right w:val="nil"/>
            </w:tcBorders>
            <w:shd w:val="clear" w:color="auto" w:fill="auto"/>
            <w:noWrap/>
            <w:hideMark/>
          </w:tcPr>
          <w:p w14:paraId="0BD99332" w14:textId="77777777" w:rsidR="00E45705" w:rsidRPr="001B09E6" w:rsidRDefault="00E45705" w:rsidP="00E45705">
            <w:pPr>
              <w:pStyle w:val="TableCellText"/>
              <w:spacing w:before="0" w:after="0"/>
              <w:jc w:val="center"/>
            </w:pPr>
            <w:r w:rsidRPr="001B09E6">
              <w:t>0.4</w:t>
            </w:r>
          </w:p>
        </w:tc>
        <w:tc>
          <w:tcPr>
            <w:tcW w:w="372" w:type="pct"/>
            <w:tcBorders>
              <w:top w:val="nil"/>
              <w:left w:val="nil"/>
              <w:bottom w:val="dotted" w:sz="4" w:space="0" w:color="auto"/>
              <w:right w:val="nil"/>
            </w:tcBorders>
            <w:shd w:val="clear" w:color="auto" w:fill="auto"/>
            <w:noWrap/>
            <w:hideMark/>
          </w:tcPr>
          <w:p w14:paraId="34F0A946" w14:textId="77777777" w:rsidR="00E45705" w:rsidRPr="001B09E6" w:rsidRDefault="00E45705" w:rsidP="00E45705">
            <w:pPr>
              <w:pStyle w:val="TableCellText"/>
              <w:spacing w:before="0" w:after="0"/>
              <w:jc w:val="center"/>
            </w:pPr>
            <w:r w:rsidRPr="001B09E6">
              <w:t>0.4</w:t>
            </w:r>
          </w:p>
        </w:tc>
        <w:tc>
          <w:tcPr>
            <w:tcW w:w="372" w:type="pct"/>
            <w:tcBorders>
              <w:top w:val="nil"/>
              <w:left w:val="nil"/>
              <w:bottom w:val="dotted" w:sz="4" w:space="0" w:color="auto"/>
              <w:right w:val="nil"/>
            </w:tcBorders>
            <w:shd w:val="clear" w:color="auto" w:fill="auto"/>
            <w:noWrap/>
            <w:hideMark/>
          </w:tcPr>
          <w:p w14:paraId="0F9AC08B" w14:textId="77777777" w:rsidR="00E45705" w:rsidRPr="001B09E6" w:rsidRDefault="00E45705" w:rsidP="00E45705">
            <w:pPr>
              <w:pStyle w:val="TableCellText"/>
              <w:spacing w:before="0" w:after="0"/>
              <w:jc w:val="center"/>
            </w:pPr>
            <w:r w:rsidRPr="001B09E6">
              <w:t>0.4</w:t>
            </w:r>
          </w:p>
        </w:tc>
      </w:tr>
      <w:tr w:rsidR="00E45705" w:rsidRPr="001B09E6" w14:paraId="5A092BE5" w14:textId="77777777" w:rsidTr="00E45705">
        <w:trPr>
          <w:trHeight w:val="225"/>
        </w:trPr>
        <w:tc>
          <w:tcPr>
            <w:tcW w:w="822" w:type="pct"/>
            <w:tcBorders>
              <w:left w:val="nil"/>
              <w:right w:val="nil"/>
            </w:tcBorders>
            <w:shd w:val="clear" w:color="auto" w:fill="auto"/>
            <w:noWrap/>
            <w:hideMark/>
          </w:tcPr>
          <w:p w14:paraId="3179E3D2" w14:textId="77777777" w:rsidR="00E45705" w:rsidRPr="001B09E6" w:rsidRDefault="00E45705" w:rsidP="00E45705">
            <w:pPr>
              <w:pStyle w:val="TableCellText"/>
              <w:spacing w:before="0" w:after="0"/>
              <w:rPr>
                <w:lang w:eastAsia="en-AU"/>
              </w:rPr>
            </w:pPr>
            <w:r w:rsidRPr="001B09E6">
              <w:rPr>
                <w:lang w:eastAsia="en-AU"/>
              </w:rPr>
              <w:t>Very remote</w:t>
            </w:r>
          </w:p>
        </w:tc>
        <w:tc>
          <w:tcPr>
            <w:tcW w:w="833" w:type="pct"/>
            <w:tcBorders>
              <w:top w:val="dotted" w:sz="4" w:space="0" w:color="auto"/>
              <w:left w:val="nil"/>
              <w:right w:val="nil"/>
            </w:tcBorders>
          </w:tcPr>
          <w:p w14:paraId="2C25AC82" w14:textId="77777777" w:rsidR="00E45705" w:rsidRPr="001B09E6" w:rsidRDefault="00E45705" w:rsidP="00E45705">
            <w:pPr>
              <w:pStyle w:val="TableCellText"/>
              <w:spacing w:before="0" w:after="0"/>
              <w:rPr>
                <w:lang w:eastAsia="en-AU"/>
              </w:rPr>
            </w:pPr>
            <w:r w:rsidRPr="001B09E6">
              <w:rPr>
                <w:lang w:eastAsia="en-AU"/>
              </w:rPr>
              <w:t>15 to 19 years</w:t>
            </w:r>
          </w:p>
        </w:tc>
        <w:tc>
          <w:tcPr>
            <w:tcW w:w="372" w:type="pct"/>
            <w:tcBorders>
              <w:top w:val="dotted" w:sz="4" w:space="0" w:color="auto"/>
              <w:left w:val="nil"/>
              <w:right w:val="nil"/>
            </w:tcBorders>
            <w:shd w:val="clear" w:color="auto" w:fill="auto"/>
            <w:noWrap/>
            <w:hideMark/>
          </w:tcPr>
          <w:p w14:paraId="3C57BA10" w14:textId="77777777" w:rsidR="00E45705" w:rsidRPr="001B09E6" w:rsidRDefault="00E45705" w:rsidP="00E45705">
            <w:pPr>
              <w:pStyle w:val="TableCellText"/>
              <w:spacing w:before="0" w:after="0"/>
              <w:jc w:val="center"/>
            </w:pPr>
            <w:r w:rsidRPr="001B09E6">
              <w:t>0.2</w:t>
            </w:r>
          </w:p>
        </w:tc>
        <w:tc>
          <w:tcPr>
            <w:tcW w:w="372" w:type="pct"/>
            <w:tcBorders>
              <w:top w:val="dotted" w:sz="4" w:space="0" w:color="auto"/>
              <w:left w:val="nil"/>
              <w:right w:val="nil"/>
            </w:tcBorders>
            <w:shd w:val="clear" w:color="auto" w:fill="auto"/>
            <w:noWrap/>
            <w:hideMark/>
          </w:tcPr>
          <w:p w14:paraId="0C89D28E"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1E5F43CA" w14:textId="77777777" w:rsidR="00E45705" w:rsidRPr="001B09E6" w:rsidRDefault="00E45705" w:rsidP="00E45705">
            <w:pPr>
              <w:pStyle w:val="TableCellText"/>
              <w:spacing w:before="0" w:after="0"/>
              <w:jc w:val="center"/>
            </w:pPr>
            <w:r w:rsidRPr="001B09E6">
              <w:t>0.2</w:t>
            </w:r>
          </w:p>
        </w:tc>
        <w:tc>
          <w:tcPr>
            <w:tcW w:w="372" w:type="pct"/>
            <w:tcBorders>
              <w:top w:val="dotted" w:sz="4" w:space="0" w:color="auto"/>
              <w:left w:val="nil"/>
              <w:right w:val="nil"/>
            </w:tcBorders>
            <w:shd w:val="clear" w:color="auto" w:fill="auto"/>
            <w:noWrap/>
            <w:hideMark/>
          </w:tcPr>
          <w:p w14:paraId="47B86AAF" w14:textId="77777777" w:rsidR="00E45705" w:rsidRPr="001B09E6" w:rsidRDefault="00E45705" w:rsidP="00E45705">
            <w:pPr>
              <w:pStyle w:val="TableCellText"/>
              <w:spacing w:before="0" w:after="0"/>
              <w:jc w:val="center"/>
            </w:pPr>
            <w:r w:rsidRPr="001B09E6">
              <w:t>0.2</w:t>
            </w:r>
          </w:p>
        </w:tc>
        <w:tc>
          <w:tcPr>
            <w:tcW w:w="372" w:type="pct"/>
            <w:tcBorders>
              <w:top w:val="dotted" w:sz="4" w:space="0" w:color="auto"/>
              <w:left w:val="nil"/>
              <w:right w:val="nil"/>
            </w:tcBorders>
            <w:shd w:val="clear" w:color="auto" w:fill="auto"/>
            <w:noWrap/>
            <w:hideMark/>
          </w:tcPr>
          <w:p w14:paraId="08E18E4C"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501CC177" w14:textId="77777777" w:rsidR="00E45705" w:rsidRPr="001B09E6" w:rsidRDefault="00E45705" w:rsidP="00E45705">
            <w:pPr>
              <w:pStyle w:val="TableCellText"/>
              <w:spacing w:before="0" w:after="0"/>
              <w:jc w:val="center"/>
            </w:pPr>
            <w:r w:rsidRPr="001B09E6">
              <w:t>0.2</w:t>
            </w:r>
          </w:p>
        </w:tc>
        <w:tc>
          <w:tcPr>
            <w:tcW w:w="372" w:type="pct"/>
            <w:tcBorders>
              <w:top w:val="dotted" w:sz="4" w:space="0" w:color="auto"/>
              <w:left w:val="nil"/>
              <w:right w:val="nil"/>
            </w:tcBorders>
            <w:shd w:val="clear" w:color="auto" w:fill="auto"/>
            <w:noWrap/>
            <w:hideMark/>
          </w:tcPr>
          <w:p w14:paraId="7A36D37C"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245C3369" w14:textId="77777777" w:rsidR="00E45705" w:rsidRPr="001B09E6" w:rsidRDefault="00E45705" w:rsidP="00E45705">
            <w:pPr>
              <w:pStyle w:val="TableCellText"/>
              <w:spacing w:before="0" w:after="0"/>
              <w:jc w:val="center"/>
            </w:pPr>
            <w:r w:rsidRPr="001B09E6">
              <w:t>0.3</w:t>
            </w:r>
          </w:p>
        </w:tc>
        <w:tc>
          <w:tcPr>
            <w:tcW w:w="372" w:type="pct"/>
            <w:tcBorders>
              <w:top w:val="dotted" w:sz="4" w:space="0" w:color="auto"/>
              <w:left w:val="nil"/>
              <w:right w:val="nil"/>
            </w:tcBorders>
            <w:shd w:val="clear" w:color="auto" w:fill="auto"/>
            <w:noWrap/>
            <w:hideMark/>
          </w:tcPr>
          <w:p w14:paraId="002D0443" w14:textId="77777777" w:rsidR="00E45705" w:rsidRPr="001B09E6" w:rsidRDefault="00E45705" w:rsidP="00E45705">
            <w:pPr>
              <w:pStyle w:val="TableCellText"/>
              <w:spacing w:before="0" w:after="0"/>
              <w:jc w:val="center"/>
            </w:pPr>
            <w:r w:rsidRPr="001B09E6">
              <w:t>0.4</w:t>
            </w:r>
          </w:p>
        </w:tc>
      </w:tr>
      <w:tr w:rsidR="00E45705" w:rsidRPr="001B09E6" w14:paraId="000106C2" w14:textId="77777777" w:rsidTr="00E45705">
        <w:trPr>
          <w:trHeight w:val="225"/>
        </w:trPr>
        <w:tc>
          <w:tcPr>
            <w:tcW w:w="822" w:type="pct"/>
            <w:tcBorders>
              <w:left w:val="nil"/>
              <w:bottom w:val="single" w:sz="4" w:space="0" w:color="auto"/>
              <w:right w:val="nil"/>
            </w:tcBorders>
            <w:shd w:val="clear" w:color="auto" w:fill="auto"/>
            <w:noWrap/>
            <w:hideMark/>
          </w:tcPr>
          <w:p w14:paraId="2CE5DAD1" w14:textId="77777777" w:rsidR="00E45705" w:rsidRPr="001B09E6" w:rsidRDefault="00E45705" w:rsidP="00E45705">
            <w:pPr>
              <w:pStyle w:val="TableCellText"/>
              <w:spacing w:before="0" w:after="0"/>
              <w:rPr>
                <w:lang w:eastAsia="en-AU"/>
              </w:rPr>
            </w:pPr>
          </w:p>
        </w:tc>
        <w:tc>
          <w:tcPr>
            <w:tcW w:w="833" w:type="pct"/>
            <w:tcBorders>
              <w:left w:val="nil"/>
              <w:bottom w:val="single" w:sz="4" w:space="0" w:color="auto"/>
              <w:right w:val="nil"/>
            </w:tcBorders>
          </w:tcPr>
          <w:p w14:paraId="09085800" w14:textId="77777777" w:rsidR="00E45705" w:rsidRPr="001B09E6" w:rsidRDefault="00E45705" w:rsidP="00E45705">
            <w:pPr>
              <w:pStyle w:val="TableCellText"/>
              <w:spacing w:before="0" w:after="0"/>
              <w:rPr>
                <w:lang w:eastAsia="en-AU"/>
              </w:rPr>
            </w:pPr>
            <w:r w:rsidRPr="001B09E6">
              <w:rPr>
                <w:lang w:eastAsia="en-AU"/>
              </w:rPr>
              <w:t>20 to 24 years</w:t>
            </w:r>
          </w:p>
        </w:tc>
        <w:tc>
          <w:tcPr>
            <w:tcW w:w="372" w:type="pct"/>
            <w:tcBorders>
              <w:left w:val="nil"/>
              <w:bottom w:val="single" w:sz="4" w:space="0" w:color="auto"/>
              <w:right w:val="nil"/>
            </w:tcBorders>
            <w:shd w:val="clear" w:color="auto" w:fill="auto"/>
            <w:noWrap/>
            <w:hideMark/>
          </w:tcPr>
          <w:p w14:paraId="2024A3D6" w14:textId="77777777" w:rsidR="00E45705" w:rsidRPr="001B09E6" w:rsidRDefault="00E45705" w:rsidP="00E45705">
            <w:pPr>
              <w:pStyle w:val="TableCellText"/>
              <w:spacing w:before="0" w:after="0"/>
              <w:jc w:val="center"/>
            </w:pPr>
            <w:r w:rsidRPr="001B09E6">
              <w:t>0.3</w:t>
            </w:r>
          </w:p>
        </w:tc>
        <w:tc>
          <w:tcPr>
            <w:tcW w:w="372" w:type="pct"/>
            <w:tcBorders>
              <w:left w:val="nil"/>
              <w:bottom w:val="single" w:sz="4" w:space="0" w:color="auto"/>
              <w:right w:val="nil"/>
            </w:tcBorders>
            <w:shd w:val="clear" w:color="auto" w:fill="auto"/>
            <w:noWrap/>
            <w:hideMark/>
          </w:tcPr>
          <w:p w14:paraId="38AE062F" w14:textId="77777777" w:rsidR="00E45705" w:rsidRPr="001B09E6" w:rsidRDefault="00E45705" w:rsidP="00E45705">
            <w:pPr>
              <w:pStyle w:val="TableCellText"/>
              <w:spacing w:before="0" w:after="0"/>
              <w:jc w:val="center"/>
            </w:pPr>
            <w:r w:rsidRPr="001B09E6">
              <w:t>0.3</w:t>
            </w:r>
          </w:p>
        </w:tc>
        <w:tc>
          <w:tcPr>
            <w:tcW w:w="372" w:type="pct"/>
            <w:tcBorders>
              <w:left w:val="nil"/>
              <w:bottom w:val="single" w:sz="4" w:space="0" w:color="auto"/>
              <w:right w:val="nil"/>
            </w:tcBorders>
            <w:shd w:val="clear" w:color="auto" w:fill="auto"/>
            <w:noWrap/>
            <w:hideMark/>
          </w:tcPr>
          <w:p w14:paraId="073010D2" w14:textId="77777777" w:rsidR="00E45705" w:rsidRPr="001B09E6" w:rsidRDefault="00E45705" w:rsidP="00E45705">
            <w:pPr>
              <w:pStyle w:val="TableCellText"/>
              <w:spacing w:before="0" w:after="0"/>
              <w:jc w:val="center"/>
            </w:pPr>
            <w:r w:rsidRPr="001B09E6">
              <w:t>0.3</w:t>
            </w:r>
          </w:p>
        </w:tc>
        <w:tc>
          <w:tcPr>
            <w:tcW w:w="372" w:type="pct"/>
            <w:tcBorders>
              <w:left w:val="nil"/>
              <w:bottom w:val="single" w:sz="4" w:space="0" w:color="auto"/>
              <w:right w:val="nil"/>
            </w:tcBorders>
            <w:shd w:val="clear" w:color="auto" w:fill="auto"/>
            <w:noWrap/>
            <w:hideMark/>
          </w:tcPr>
          <w:p w14:paraId="5A01F04D" w14:textId="77777777" w:rsidR="00E45705" w:rsidRPr="001B09E6" w:rsidRDefault="00E45705" w:rsidP="00E45705">
            <w:pPr>
              <w:pStyle w:val="TableCellText"/>
              <w:spacing w:before="0" w:after="0"/>
              <w:jc w:val="center"/>
            </w:pPr>
            <w:r w:rsidRPr="001B09E6">
              <w:t>0.3</w:t>
            </w:r>
          </w:p>
        </w:tc>
        <w:tc>
          <w:tcPr>
            <w:tcW w:w="372" w:type="pct"/>
            <w:tcBorders>
              <w:left w:val="nil"/>
              <w:bottom w:val="single" w:sz="4" w:space="0" w:color="auto"/>
              <w:right w:val="nil"/>
            </w:tcBorders>
            <w:shd w:val="clear" w:color="auto" w:fill="auto"/>
            <w:noWrap/>
            <w:hideMark/>
          </w:tcPr>
          <w:p w14:paraId="176C93AA" w14:textId="77777777" w:rsidR="00E45705" w:rsidRPr="001B09E6" w:rsidRDefault="00E45705" w:rsidP="00E45705">
            <w:pPr>
              <w:pStyle w:val="TableCellText"/>
              <w:spacing w:before="0" w:after="0"/>
              <w:jc w:val="center"/>
            </w:pPr>
            <w:r w:rsidRPr="001B09E6">
              <w:t>0.4</w:t>
            </w:r>
          </w:p>
        </w:tc>
        <w:tc>
          <w:tcPr>
            <w:tcW w:w="372" w:type="pct"/>
            <w:tcBorders>
              <w:left w:val="nil"/>
              <w:bottom w:val="single" w:sz="4" w:space="0" w:color="auto"/>
              <w:right w:val="nil"/>
            </w:tcBorders>
            <w:shd w:val="clear" w:color="auto" w:fill="auto"/>
            <w:noWrap/>
            <w:hideMark/>
          </w:tcPr>
          <w:p w14:paraId="3B69A47E" w14:textId="77777777" w:rsidR="00E45705" w:rsidRPr="001B09E6" w:rsidRDefault="00E45705" w:rsidP="00E45705">
            <w:pPr>
              <w:pStyle w:val="TableCellText"/>
              <w:spacing w:before="0" w:after="0"/>
              <w:jc w:val="center"/>
            </w:pPr>
            <w:r w:rsidRPr="001B09E6">
              <w:t>0.4</w:t>
            </w:r>
          </w:p>
        </w:tc>
        <w:tc>
          <w:tcPr>
            <w:tcW w:w="372" w:type="pct"/>
            <w:tcBorders>
              <w:left w:val="nil"/>
              <w:bottom w:val="single" w:sz="4" w:space="0" w:color="auto"/>
              <w:right w:val="nil"/>
            </w:tcBorders>
            <w:shd w:val="clear" w:color="auto" w:fill="auto"/>
            <w:noWrap/>
            <w:hideMark/>
          </w:tcPr>
          <w:p w14:paraId="5ED85767" w14:textId="77777777" w:rsidR="00E45705" w:rsidRPr="001B09E6" w:rsidRDefault="00E45705" w:rsidP="00E45705">
            <w:pPr>
              <w:pStyle w:val="TableCellText"/>
              <w:spacing w:before="0" w:after="0"/>
              <w:jc w:val="center"/>
            </w:pPr>
            <w:r w:rsidRPr="001B09E6">
              <w:t>0.5</w:t>
            </w:r>
          </w:p>
        </w:tc>
        <w:tc>
          <w:tcPr>
            <w:tcW w:w="372" w:type="pct"/>
            <w:tcBorders>
              <w:left w:val="nil"/>
              <w:bottom w:val="single" w:sz="4" w:space="0" w:color="auto"/>
              <w:right w:val="nil"/>
            </w:tcBorders>
            <w:shd w:val="clear" w:color="auto" w:fill="auto"/>
            <w:noWrap/>
            <w:hideMark/>
          </w:tcPr>
          <w:p w14:paraId="2C9DFE42" w14:textId="77777777" w:rsidR="00E45705" w:rsidRPr="001B09E6" w:rsidRDefault="00E45705" w:rsidP="00E45705">
            <w:pPr>
              <w:pStyle w:val="TableCellText"/>
              <w:spacing w:before="0" w:after="0"/>
              <w:jc w:val="center"/>
            </w:pPr>
            <w:r w:rsidRPr="001B09E6">
              <w:t>0.4</w:t>
            </w:r>
          </w:p>
        </w:tc>
        <w:tc>
          <w:tcPr>
            <w:tcW w:w="372" w:type="pct"/>
            <w:tcBorders>
              <w:left w:val="nil"/>
              <w:bottom w:val="single" w:sz="4" w:space="0" w:color="auto"/>
              <w:right w:val="nil"/>
            </w:tcBorders>
            <w:shd w:val="clear" w:color="auto" w:fill="auto"/>
            <w:noWrap/>
            <w:hideMark/>
          </w:tcPr>
          <w:p w14:paraId="442FFCC6" w14:textId="77777777" w:rsidR="00E45705" w:rsidRPr="001B09E6" w:rsidRDefault="00E45705" w:rsidP="00E45705">
            <w:pPr>
              <w:pStyle w:val="TableCellText"/>
              <w:spacing w:before="0" w:after="0"/>
              <w:jc w:val="center"/>
            </w:pPr>
            <w:r w:rsidRPr="001B09E6">
              <w:t>0.6</w:t>
            </w:r>
          </w:p>
        </w:tc>
      </w:tr>
    </w:tbl>
    <w:p w14:paraId="426CF740" w14:textId="77777777" w:rsidR="00E45705" w:rsidRPr="001B09E6" w:rsidRDefault="00E45705" w:rsidP="00E45705">
      <w:pPr>
        <w:pStyle w:val="Tablenote"/>
      </w:pPr>
      <w:r w:rsidRPr="001B09E6">
        <w:rPr>
          <w:lang w:eastAsia="en-AU"/>
        </w:rPr>
        <w:t>Note: Population not available by both remoteness region and age, so numbers are expressed as a percentage of the total population for that remoteness region</w:t>
      </w:r>
    </w:p>
    <w:p w14:paraId="6956239F" w14:textId="77777777" w:rsidR="00E45705" w:rsidRPr="001B09E6" w:rsidRDefault="00E45705" w:rsidP="00E45705">
      <w:pPr>
        <w:pStyle w:val="Tablenote"/>
      </w:pPr>
      <w:r w:rsidRPr="001B09E6">
        <w:rPr>
          <w:lang w:eastAsia="en-AU"/>
        </w:rPr>
        <w:t>Source: National VET Provider Collection, ABS Regional Population Growth, Australia 3218.0</w:t>
      </w:r>
    </w:p>
    <w:p w14:paraId="28A17C81" w14:textId="77777777" w:rsidR="00E45705" w:rsidRDefault="00E45705" w:rsidP="00E45705">
      <w:pPr>
        <w:spacing w:line="380" w:lineRule="atLeast"/>
        <w:rPr>
          <w:rFonts w:eastAsiaTheme="majorEastAsia" w:cstheme="majorBidi"/>
          <w:bCs/>
          <w:color w:val="931B2F"/>
          <w:sz w:val="32"/>
          <w:szCs w:val="26"/>
        </w:rPr>
      </w:pPr>
      <w:bookmarkStart w:id="203" w:name="_Toc192134423"/>
      <w:bookmarkStart w:id="204" w:name="_Toc333919012"/>
      <w:bookmarkStart w:id="205" w:name="_Toc192134426"/>
      <w:r>
        <w:br w:type="page"/>
      </w:r>
    </w:p>
    <w:p w14:paraId="5632305C" w14:textId="77777777" w:rsidR="00E45705" w:rsidRPr="001B09E6" w:rsidRDefault="00E45705" w:rsidP="00E45705">
      <w:pPr>
        <w:pStyle w:val="Heading2NoNumbering"/>
      </w:pPr>
      <w:bookmarkStart w:id="206" w:name="_Toc219347274"/>
      <w:r w:rsidRPr="001B09E6">
        <w:t>Transition – overall</w:t>
      </w:r>
      <w:bookmarkEnd w:id="203"/>
      <w:bookmarkEnd w:id="204"/>
      <w:bookmarkEnd w:id="206"/>
    </w:p>
    <w:p w14:paraId="5E762EE8" w14:textId="77777777" w:rsidR="00E45705" w:rsidRDefault="00E45705" w:rsidP="00E45705">
      <w:pPr>
        <w:pStyle w:val="Heading3NoNumbering"/>
      </w:pPr>
      <w:bookmarkStart w:id="207" w:name="_Toc192134424"/>
      <w:bookmarkStart w:id="208" w:name="_Toc333919013"/>
      <w:r w:rsidRPr="001B09E6">
        <w:t>Table A2.29: Young people not fully engaged</w:t>
      </w:r>
      <w:bookmarkEnd w:id="207"/>
      <w:bookmarkEnd w:id="208"/>
    </w:p>
    <w:p w14:paraId="76F2734A" w14:textId="77777777" w:rsidR="00E45705" w:rsidRPr="00B6204C" w:rsidRDefault="00E45705" w:rsidP="00E45705">
      <w:pPr>
        <w:pStyle w:val="TableHeading"/>
        <w:spacing w:before="112"/>
        <w:ind w:left="0" w:firstLine="0"/>
      </w:pPr>
      <w:r w:rsidRPr="001B09E6">
        <w:t>Proportion of persons not fully engaged in education, training or work by age, Australia, 2001-10 (%)</w:t>
      </w:r>
    </w:p>
    <w:tbl>
      <w:tblPr>
        <w:tblW w:w="12973" w:type="dxa"/>
        <w:tblInd w:w="93" w:type="dxa"/>
        <w:tblLook w:val="04A0" w:firstRow="1" w:lastRow="0" w:firstColumn="1" w:lastColumn="0" w:noHBand="0" w:noVBand="1"/>
        <w:tblCaption w:val="Table A2.29: Young people not fully engaged Proportion of persons not fully engaged in education, training or work by age, Australia, 2001-10 (%) "/>
        <w:tblDescription w:val="Table A2.29: Young people not fully engaged&#10;Proportion of persons not fully engaged in education, training or work by age, Australia, 2001-10 (%)&#10;"/>
      </w:tblPr>
      <w:tblGrid>
        <w:gridCol w:w="2497"/>
        <w:gridCol w:w="922"/>
        <w:gridCol w:w="921"/>
        <w:gridCol w:w="921"/>
        <w:gridCol w:w="921"/>
        <w:gridCol w:w="921"/>
        <w:gridCol w:w="921"/>
        <w:gridCol w:w="926"/>
        <w:gridCol w:w="921"/>
        <w:gridCol w:w="1034"/>
        <w:gridCol w:w="1034"/>
        <w:gridCol w:w="1034"/>
      </w:tblGrid>
      <w:tr w:rsidR="00E45705" w:rsidRPr="001B09E6" w14:paraId="728EC171" w14:textId="77777777" w:rsidTr="00E45705">
        <w:trPr>
          <w:trHeight w:val="300"/>
        </w:trPr>
        <w:tc>
          <w:tcPr>
            <w:tcW w:w="2497" w:type="dxa"/>
            <w:tcBorders>
              <w:top w:val="single" w:sz="4" w:space="0" w:color="auto"/>
              <w:left w:val="nil"/>
              <w:bottom w:val="single" w:sz="4" w:space="0" w:color="auto"/>
              <w:right w:val="nil"/>
            </w:tcBorders>
            <w:shd w:val="clear" w:color="auto" w:fill="auto"/>
            <w:noWrap/>
            <w:vAlign w:val="bottom"/>
            <w:hideMark/>
          </w:tcPr>
          <w:p w14:paraId="4E3DC522" w14:textId="77777777" w:rsidR="00E45705" w:rsidRPr="001B09E6" w:rsidRDefault="00E45705" w:rsidP="00E45705">
            <w:pPr>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 </w:t>
            </w:r>
          </w:p>
        </w:tc>
        <w:tc>
          <w:tcPr>
            <w:tcW w:w="922" w:type="dxa"/>
            <w:tcBorders>
              <w:top w:val="single" w:sz="4" w:space="0" w:color="auto"/>
              <w:left w:val="nil"/>
              <w:bottom w:val="single" w:sz="4" w:space="0" w:color="auto"/>
              <w:right w:val="nil"/>
            </w:tcBorders>
            <w:shd w:val="clear" w:color="auto" w:fill="auto"/>
            <w:noWrap/>
            <w:vAlign w:val="bottom"/>
            <w:hideMark/>
          </w:tcPr>
          <w:p w14:paraId="32C08EE1"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2001</w:t>
            </w:r>
          </w:p>
        </w:tc>
        <w:tc>
          <w:tcPr>
            <w:tcW w:w="921" w:type="dxa"/>
            <w:tcBorders>
              <w:top w:val="single" w:sz="4" w:space="0" w:color="auto"/>
              <w:left w:val="nil"/>
              <w:bottom w:val="single" w:sz="4" w:space="0" w:color="auto"/>
              <w:right w:val="nil"/>
            </w:tcBorders>
            <w:shd w:val="clear" w:color="auto" w:fill="auto"/>
            <w:noWrap/>
            <w:vAlign w:val="bottom"/>
            <w:hideMark/>
          </w:tcPr>
          <w:p w14:paraId="20362C4D"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2002</w:t>
            </w:r>
          </w:p>
        </w:tc>
        <w:tc>
          <w:tcPr>
            <w:tcW w:w="921" w:type="dxa"/>
            <w:tcBorders>
              <w:top w:val="single" w:sz="4" w:space="0" w:color="auto"/>
              <w:left w:val="nil"/>
              <w:bottom w:val="single" w:sz="4" w:space="0" w:color="auto"/>
              <w:right w:val="nil"/>
            </w:tcBorders>
            <w:shd w:val="clear" w:color="auto" w:fill="auto"/>
            <w:noWrap/>
            <w:vAlign w:val="bottom"/>
            <w:hideMark/>
          </w:tcPr>
          <w:p w14:paraId="594E424A"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2003</w:t>
            </w:r>
          </w:p>
        </w:tc>
        <w:tc>
          <w:tcPr>
            <w:tcW w:w="921" w:type="dxa"/>
            <w:tcBorders>
              <w:top w:val="single" w:sz="4" w:space="0" w:color="auto"/>
              <w:left w:val="nil"/>
              <w:bottom w:val="single" w:sz="4" w:space="0" w:color="auto"/>
              <w:right w:val="nil"/>
            </w:tcBorders>
            <w:shd w:val="clear" w:color="auto" w:fill="auto"/>
            <w:noWrap/>
            <w:vAlign w:val="bottom"/>
            <w:hideMark/>
          </w:tcPr>
          <w:p w14:paraId="2A51F331"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2004</w:t>
            </w:r>
          </w:p>
        </w:tc>
        <w:tc>
          <w:tcPr>
            <w:tcW w:w="921" w:type="dxa"/>
            <w:tcBorders>
              <w:top w:val="single" w:sz="4" w:space="0" w:color="auto"/>
              <w:left w:val="nil"/>
              <w:bottom w:val="single" w:sz="4" w:space="0" w:color="auto"/>
              <w:right w:val="nil"/>
            </w:tcBorders>
            <w:shd w:val="clear" w:color="auto" w:fill="auto"/>
            <w:noWrap/>
            <w:vAlign w:val="bottom"/>
            <w:hideMark/>
          </w:tcPr>
          <w:p w14:paraId="24EB5E44"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2005</w:t>
            </w:r>
          </w:p>
        </w:tc>
        <w:tc>
          <w:tcPr>
            <w:tcW w:w="921" w:type="dxa"/>
            <w:tcBorders>
              <w:top w:val="single" w:sz="4" w:space="0" w:color="auto"/>
              <w:left w:val="nil"/>
              <w:bottom w:val="single" w:sz="4" w:space="0" w:color="auto"/>
              <w:right w:val="nil"/>
            </w:tcBorders>
            <w:shd w:val="clear" w:color="auto" w:fill="auto"/>
            <w:noWrap/>
            <w:vAlign w:val="bottom"/>
            <w:hideMark/>
          </w:tcPr>
          <w:p w14:paraId="748C2AC5"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2006</w:t>
            </w:r>
          </w:p>
        </w:tc>
        <w:tc>
          <w:tcPr>
            <w:tcW w:w="926" w:type="dxa"/>
            <w:tcBorders>
              <w:top w:val="single" w:sz="4" w:space="0" w:color="auto"/>
              <w:left w:val="nil"/>
              <w:bottom w:val="single" w:sz="4" w:space="0" w:color="auto"/>
              <w:right w:val="nil"/>
            </w:tcBorders>
            <w:shd w:val="clear" w:color="auto" w:fill="auto"/>
            <w:noWrap/>
            <w:vAlign w:val="bottom"/>
            <w:hideMark/>
          </w:tcPr>
          <w:p w14:paraId="4051C020"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2007</w:t>
            </w:r>
          </w:p>
        </w:tc>
        <w:tc>
          <w:tcPr>
            <w:tcW w:w="921" w:type="dxa"/>
            <w:tcBorders>
              <w:top w:val="single" w:sz="4" w:space="0" w:color="auto"/>
              <w:left w:val="nil"/>
              <w:bottom w:val="single" w:sz="4" w:space="0" w:color="auto"/>
              <w:right w:val="nil"/>
            </w:tcBorders>
            <w:shd w:val="clear" w:color="auto" w:fill="auto"/>
            <w:noWrap/>
            <w:vAlign w:val="bottom"/>
            <w:hideMark/>
          </w:tcPr>
          <w:p w14:paraId="1B446F82"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2008</w:t>
            </w:r>
          </w:p>
        </w:tc>
        <w:tc>
          <w:tcPr>
            <w:tcW w:w="1034" w:type="dxa"/>
            <w:tcBorders>
              <w:top w:val="single" w:sz="4" w:space="0" w:color="auto"/>
              <w:left w:val="nil"/>
              <w:bottom w:val="single" w:sz="4" w:space="0" w:color="auto"/>
              <w:right w:val="nil"/>
            </w:tcBorders>
            <w:shd w:val="clear" w:color="auto" w:fill="auto"/>
            <w:noWrap/>
            <w:vAlign w:val="bottom"/>
            <w:hideMark/>
          </w:tcPr>
          <w:p w14:paraId="2B768693"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2009</w:t>
            </w:r>
          </w:p>
        </w:tc>
        <w:tc>
          <w:tcPr>
            <w:tcW w:w="1034" w:type="dxa"/>
            <w:tcBorders>
              <w:top w:val="single" w:sz="4" w:space="0" w:color="auto"/>
              <w:left w:val="nil"/>
              <w:bottom w:val="single" w:sz="4" w:space="0" w:color="auto"/>
              <w:right w:val="nil"/>
            </w:tcBorders>
            <w:shd w:val="clear" w:color="auto" w:fill="auto"/>
            <w:noWrap/>
            <w:vAlign w:val="bottom"/>
            <w:hideMark/>
          </w:tcPr>
          <w:p w14:paraId="7D157FA7"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2010</w:t>
            </w:r>
          </w:p>
        </w:tc>
        <w:tc>
          <w:tcPr>
            <w:tcW w:w="1034" w:type="dxa"/>
            <w:tcBorders>
              <w:top w:val="single" w:sz="4" w:space="0" w:color="auto"/>
              <w:left w:val="nil"/>
              <w:bottom w:val="single" w:sz="4" w:space="0" w:color="auto"/>
              <w:right w:val="nil"/>
            </w:tcBorders>
            <w:shd w:val="clear" w:color="auto" w:fill="auto"/>
            <w:noWrap/>
            <w:vAlign w:val="bottom"/>
            <w:hideMark/>
          </w:tcPr>
          <w:p w14:paraId="3CCF2A18"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2011</w:t>
            </w:r>
          </w:p>
        </w:tc>
      </w:tr>
      <w:tr w:rsidR="00E45705" w:rsidRPr="001B09E6" w14:paraId="289F9A3C" w14:textId="77777777" w:rsidTr="00E45705">
        <w:trPr>
          <w:trHeight w:val="300"/>
        </w:trPr>
        <w:tc>
          <w:tcPr>
            <w:tcW w:w="2497" w:type="dxa"/>
            <w:tcBorders>
              <w:top w:val="nil"/>
              <w:left w:val="nil"/>
              <w:bottom w:val="nil"/>
              <w:right w:val="nil"/>
            </w:tcBorders>
            <w:shd w:val="clear" w:color="auto" w:fill="auto"/>
            <w:noWrap/>
            <w:vAlign w:val="bottom"/>
            <w:hideMark/>
          </w:tcPr>
          <w:p w14:paraId="69A00D60"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 to 19 years</w:t>
            </w:r>
          </w:p>
        </w:tc>
        <w:tc>
          <w:tcPr>
            <w:tcW w:w="922" w:type="dxa"/>
            <w:tcBorders>
              <w:top w:val="nil"/>
              <w:left w:val="nil"/>
              <w:bottom w:val="nil"/>
              <w:right w:val="nil"/>
            </w:tcBorders>
            <w:shd w:val="clear" w:color="auto" w:fill="auto"/>
            <w:noWrap/>
            <w:vAlign w:val="bottom"/>
            <w:hideMark/>
          </w:tcPr>
          <w:p w14:paraId="3C2E097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13.4</w:t>
            </w:r>
          </w:p>
        </w:tc>
        <w:tc>
          <w:tcPr>
            <w:tcW w:w="921" w:type="dxa"/>
            <w:tcBorders>
              <w:top w:val="nil"/>
              <w:left w:val="nil"/>
              <w:bottom w:val="nil"/>
              <w:right w:val="nil"/>
            </w:tcBorders>
            <w:shd w:val="clear" w:color="auto" w:fill="auto"/>
            <w:noWrap/>
            <w:vAlign w:val="bottom"/>
            <w:hideMark/>
          </w:tcPr>
          <w:p w14:paraId="4D2F1D0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12.9</w:t>
            </w:r>
          </w:p>
        </w:tc>
        <w:tc>
          <w:tcPr>
            <w:tcW w:w="921" w:type="dxa"/>
            <w:tcBorders>
              <w:top w:val="nil"/>
              <w:left w:val="nil"/>
              <w:bottom w:val="nil"/>
              <w:right w:val="nil"/>
            </w:tcBorders>
            <w:shd w:val="clear" w:color="auto" w:fill="auto"/>
            <w:noWrap/>
            <w:vAlign w:val="bottom"/>
            <w:hideMark/>
          </w:tcPr>
          <w:p w14:paraId="2378C7B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13.2</w:t>
            </w:r>
          </w:p>
        </w:tc>
        <w:tc>
          <w:tcPr>
            <w:tcW w:w="921" w:type="dxa"/>
            <w:tcBorders>
              <w:top w:val="nil"/>
              <w:left w:val="nil"/>
              <w:bottom w:val="nil"/>
              <w:right w:val="nil"/>
            </w:tcBorders>
            <w:shd w:val="clear" w:color="auto" w:fill="auto"/>
            <w:noWrap/>
            <w:vAlign w:val="bottom"/>
            <w:hideMark/>
          </w:tcPr>
          <w:p w14:paraId="6B91B5B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12.4</w:t>
            </w:r>
          </w:p>
        </w:tc>
        <w:tc>
          <w:tcPr>
            <w:tcW w:w="921" w:type="dxa"/>
            <w:tcBorders>
              <w:top w:val="nil"/>
              <w:left w:val="nil"/>
              <w:bottom w:val="nil"/>
              <w:right w:val="nil"/>
            </w:tcBorders>
            <w:shd w:val="clear" w:color="auto" w:fill="auto"/>
            <w:noWrap/>
            <w:vAlign w:val="bottom"/>
            <w:hideMark/>
          </w:tcPr>
          <w:p w14:paraId="4FF4A38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13.9</w:t>
            </w:r>
          </w:p>
        </w:tc>
        <w:tc>
          <w:tcPr>
            <w:tcW w:w="921" w:type="dxa"/>
            <w:tcBorders>
              <w:top w:val="nil"/>
              <w:left w:val="nil"/>
              <w:bottom w:val="nil"/>
              <w:right w:val="nil"/>
            </w:tcBorders>
            <w:shd w:val="clear" w:color="auto" w:fill="auto"/>
            <w:noWrap/>
            <w:vAlign w:val="bottom"/>
            <w:hideMark/>
          </w:tcPr>
          <w:p w14:paraId="7731D2C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13.1</w:t>
            </w:r>
          </w:p>
        </w:tc>
        <w:tc>
          <w:tcPr>
            <w:tcW w:w="926" w:type="dxa"/>
            <w:tcBorders>
              <w:top w:val="nil"/>
              <w:left w:val="nil"/>
              <w:bottom w:val="nil"/>
              <w:right w:val="nil"/>
            </w:tcBorders>
            <w:shd w:val="clear" w:color="auto" w:fill="auto"/>
            <w:noWrap/>
            <w:vAlign w:val="bottom"/>
            <w:hideMark/>
          </w:tcPr>
          <w:p w14:paraId="4D70BFC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12.8</w:t>
            </w:r>
          </w:p>
        </w:tc>
        <w:tc>
          <w:tcPr>
            <w:tcW w:w="921" w:type="dxa"/>
            <w:tcBorders>
              <w:top w:val="nil"/>
              <w:left w:val="nil"/>
              <w:bottom w:val="nil"/>
              <w:right w:val="nil"/>
            </w:tcBorders>
            <w:shd w:val="clear" w:color="auto" w:fill="auto"/>
            <w:noWrap/>
            <w:vAlign w:val="bottom"/>
            <w:hideMark/>
          </w:tcPr>
          <w:p w14:paraId="79798C2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12.5</w:t>
            </w:r>
          </w:p>
        </w:tc>
        <w:tc>
          <w:tcPr>
            <w:tcW w:w="1034" w:type="dxa"/>
            <w:tcBorders>
              <w:top w:val="nil"/>
              <w:left w:val="nil"/>
              <w:bottom w:val="nil"/>
              <w:right w:val="nil"/>
            </w:tcBorders>
            <w:shd w:val="clear" w:color="auto" w:fill="auto"/>
            <w:noWrap/>
            <w:vAlign w:val="bottom"/>
            <w:hideMark/>
          </w:tcPr>
          <w:p w14:paraId="4702BF1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15.5</w:t>
            </w:r>
          </w:p>
        </w:tc>
        <w:tc>
          <w:tcPr>
            <w:tcW w:w="1034" w:type="dxa"/>
            <w:tcBorders>
              <w:top w:val="nil"/>
              <w:left w:val="nil"/>
              <w:bottom w:val="nil"/>
              <w:right w:val="nil"/>
            </w:tcBorders>
            <w:shd w:val="clear" w:color="auto" w:fill="auto"/>
            <w:noWrap/>
            <w:vAlign w:val="bottom"/>
            <w:hideMark/>
          </w:tcPr>
          <w:p w14:paraId="4F697FD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14.8</w:t>
            </w:r>
          </w:p>
        </w:tc>
        <w:tc>
          <w:tcPr>
            <w:tcW w:w="1034" w:type="dxa"/>
            <w:tcBorders>
              <w:top w:val="nil"/>
              <w:left w:val="nil"/>
              <w:bottom w:val="nil"/>
              <w:right w:val="nil"/>
            </w:tcBorders>
            <w:shd w:val="clear" w:color="auto" w:fill="auto"/>
            <w:noWrap/>
            <w:vAlign w:val="bottom"/>
            <w:hideMark/>
          </w:tcPr>
          <w:p w14:paraId="1D5A349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14.1</w:t>
            </w:r>
          </w:p>
        </w:tc>
      </w:tr>
      <w:tr w:rsidR="00E45705" w:rsidRPr="001B09E6" w14:paraId="0CC43AE0" w14:textId="77777777" w:rsidTr="00E45705">
        <w:trPr>
          <w:trHeight w:val="300"/>
        </w:trPr>
        <w:tc>
          <w:tcPr>
            <w:tcW w:w="2497" w:type="dxa"/>
            <w:tcBorders>
              <w:top w:val="nil"/>
              <w:left w:val="nil"/>
              <w:bottom w:val="single" w:sz="4" w:space="0" w:color="auto"/>
              <w:right w:val="nil"/>
            </w:tcBorders>
            <w:shd w:val="clear" w:color="auto" w:fill="auto"/>
            <w:noWrap/>
            <w:vAlign w:val="bottom"/>
            <w:hideMark/>
          </w:tcPr>
          <w:p w14:paraId="0DECB76F"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 to 24 years</w:t>
            </w:r>
          </w:p>
        </w:tc>
        <w:tc>
          <w:tcPr>
            <w:tcW w:w="922" w:type="dxa"/>
            <w:tcBorders>
              <w:top w:val="nil"/>
              <w:left w:val="nil"/>
              <w:bottom w:val="single" w:sz="4" w:space="0" w:color="auto"/>
              <w:right w:val="nil"/>
            </w:tcBorders>
            <w:shd w:val="clear" w:color="auto" w:fill="auto"/>
            <w:noWrap/>
            <w:vAlign w:val="bottom"/>
            <w:hideMark/>
          </w:tcPr>
          <w:p w14:paraId="4D45C35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23.5</w:t>
            </w:r>
          </w:p>
        </w:tc>
        <w:tc>
          <w:tcPr>
            <w:tcW w:w="921" w:type="dxa"/>
            <w:tcBorders>
              <w:top w:val="nil"/>
              <w:left w:val="nil"/>
              <w:bottom w:val="single" w:sz="4" w:space="0" w:color="auto"/>
              <w:right w:val="nil"/>
            </w:tcBorders>
            <w:shd w:val="clear" w:color="auto" w:fill="auto"/>
            <w:noWrap/>
            <w:vAlign w:val="bottom"/>
            <w:hideMark/>
          </w:tcPr>
          <w:p w14:paraId="0862B16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22.8</w:t>
            </w:r>
          </w:p>
        </w:tc>
        <w:tc>
          <w:tcPr>
            <w:tcW w:w="921" w:type="dxa"/>
            <w:tcBorders>
              <w:top w:val="nil"/>
              <w:left w:val="nil"/>
              <w:bottom w:val="single" w:sz="4" w:space="0" w:color="auto"/>
              <w:right w:val="nil"/>
            </w:tcBorders>
            <w:shd w:val="clear" w:color="auto" w:fill="auto"/>
            <w:noWrap/>
            <w:vAlign w:val="bottom"/>
            <w:hideMark/>
          </w:tcPr>
          <w:p w14:paraId="4D3D628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23.1</w:t>
            </w:r>
          </w:p>
        </w:tc>
        <w:tc>
          <w:tcPr>
            <w:tcW w:w="921" w:type="dxa"/>
            <w:tcBorders>
              <w:top w:val="nil"/>
              <w:left w:val="nil"/>
              <w:bottom w:val="single" w:sz="4" w:space="0" w:color="auto"/>
              <w:right w:val="nil"/>
            </w:tcBorders>
            <w:shd w:val="clear" w:color="auto" w:fill="auto"/>
            <w:noWrap/>
            <w:vAlign w:val="bottom"/>
            <w:hideMark/>
          </w:tcPr>
          <w:p w14:paraId="46F9131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22.5</w:t>
            </w:r>
          </w:p>
        </w:tc>
        <w:tc>
          <w:tcPr>
            <w:tcW w:w="921" w:type="dxa"/>
            <w:tcBorders>
              <w:top w:val="nil"/>
              <w:left w:val="nil"/>
              <w:bottom w:val="single" w:sz="4" w:space="0" w:color="auto"/>
              <w:right w:val="nil"/>
            </w:tcBorders>
            <w:shd w:val="clear" w:color="auto" w:fill="auto"/>
            <w:noWrap/>
            <w:vAlign w:val="bottom"/>
            <w:hideMark/>
          </w:tcPr>
          <w:p w14:paraId="5C5ED2A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21.5</w:t>
            </w:r>
          </w:p>
        </w:tc>
        <w:tc>
          <w:tcPr>
            <w:tcW w:w="921" w:type="dxa"/>
            <w:tcBorders>
              <w:top w:val="nil"/>
              <w:left w:val="nil"/>
              <w:bottom w:val="single" w:sz="4" w:space="0" w:color="auto"/>
              <w:right w:val="nil"/>
            </w:tcBorders>
            <w:shd w:val="clear" w:color="auto" w:fill="auto"/>
            <w:noWrap/>
            <w:vAlign w:val="bottom"/>
            <w:hideMark/>
          </w:tcPr>
          <w:p w14:paraId="3CC3C3A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21.1</w:t>
            </w:r>
          </w:p>
        </w:tc>
        <w:tc>
          <w:tcPr>
            <w:tcW w:w="926" w:type="dxa"/>
            <w:tcBorders>
              <w:top w:val="nil"/>
              <w:left w:val="nil"/>
              <w:bottom w:val="single" w:sz="4" w:space="0" w:color="auto"/>
              <w:right w:val="nil"/>
            </w:tcBorders>
            <w:shd w:val="clear" w:color="auto" w:fill="auto"/>
            <w:noWrap/>
            <w:vAlign w:val="bottom"/>
            <w:hideMark/>
          </w:tcPr>
          <w:p w14:paraId="3D34E07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20.0</w:t>
            </w:r>
          </w:p>
        </w:tc>
        <w:tc>
          <w:tcPr>
            <w:tcW w:w="921" w:type="dxa"/>
            <w:tcBorders>
              <w:top w:val="nil"/>
              <w:left w:val="nil"/>
              <w:bottom w:val="single" w:sz="4" w:space="0" w:color="auto"/>
              <w:right w:val="nil"/>
            </w:tcBorders>
            <w:shd w:val="clear" w:color="auto" w:fill="auto"/>
            <w:noWrap/>
            <w:vAlign w:val="bottom"/>
            <w:hideMark/>
          </w:tcPr>
          <w:p w14:paraId="3093FB1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19.5</w:t>
            </w:r>
          </w:p>
        </w:tc>
        <w:tc>
          <w:tcPr>
            <w:tcW w:w="1034" w:type="dxa"/>
            <w:tcBorders>
              <w:top w:val="nil"/>
              <w:left w:val="nil"/>
              <w:bottom w:val="single" w:sz="4" w:space="0" w:color="auto"/>
              <w:right w:val="nil"/>
            </w:tcBorders>
            <w:shd w:val="clear" w:color="auto" w:fill="auto"/>
            <w:noWrap/>
            <w:vAlign w:val="bottom"/>
            <w:hideMark/>
          </w:tcPr>
          <w:p w14:paraId="381379B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22.2</w:t>
            </w:r>
          </w:p>
        </w:tc>
        <w:tc>
          <w:tcPr>
            <w:tcW w:w="1034" w:type="dxa"/>
            <w:tcBorders>
              <w:top w:val="nil"/>
              <w:left w:val="nil"/>
              <w:bottom w:val="single" w:sz="4" w:space="0" w:color="auto"/>
              <w:right w:val="nil"/>
            </w:tcBorders>
            <w:shd w:val="clear" w:color="auto" w:fill="auto"/>
            <w:noWrap/>
            <w:vAlign w:val="bottom"/>
            <w:hideMark/>
          </w:tcPr>
          <w:p w14:paraId="5E323B3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21.8</w:t>
            </w:r>
          </w:p>
        </w:tc>
        <w:tc>
          <w:tcPr>
            <w:tcW w:w="1034" w:type="dxa"/>
            <w:tcBorders>
              <w:top w:val="nil"/>
              <w:left w:val="nil"/>
              <w:bottom w:val="single" w:sz="4" w:space="0" w:color="auto"/>
              <w:right w:val="nil"/>
            </w:tcBorders>
            <w:shd w:val="clear" w:color="auto" w:fill="auto"/>
            <w:noWrap/>
            <w:vAlign w:val="bottom"/>
            <w:hideMark/>
          </w:tcPr>
          <w:p w14:paraId="4815F0D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22.5</w:t>
            </w:r>
          </w:p>
        </w:tc>
      </w:tr>
      <w:tr w:rsidR="00E45705" w:rsidRPr="001B09E6" w14:paraId="043CB7C4" w14:textId="77777777" w:rsidTr="00E45705">
        <w:trPr>
          <w:trHeight w:val="300"/>
        </w:trPr>
        <w:tc>
          <w:tcPr>
            <w:tcW w:w="12973" w:type="dxa"/>
            <w:gridSpan w:val="12"/>
            <w:tcBorders>
              <w:top w:val="nil"/>
              <w:left w:val="nil"/>
              <w:bottom w:val="nil"/>
              <w:right w:val="nil"/>
            </w:tcBorders>
            <w:shd w:val="clear" w:color="auto" w:fill="auto"/>
            <w:noWrap/>
            <w:vAlign w:val="bottom"/>
            <w:hideMark/>
          </w:tcPr>
          <w:p w14:paraId="5F1358A6" w14:textId="77777777" w:rsidR="00E45705" w:rsidRPr="001B09E6" w:rsidRDefault="00E45705" w:rsidP="00E45705">
            <w:pPr>
              <w:rPr>
                <w:rFonts w:asciiTheme="minorHAnsi" w:eastAsia="Times New Roman" w:hAnsiTheme="minorHAnsi"/>
                <w:color w:val="000000"/>
                <w:lang w:eastAsia="en-AU"/>
              </w:rPr>
            </w:pPr>
          </w:p>
        </w:tc>
      </w:tr>
      <w:tr w:rsidR="00E45705" w:rsidRPr="001B09E6" w14:paraId="6A3DC2B9" w14:textId="77777777" w:rsidTr="00E45705">
        <w:trPr>
          <w:trHeight w:val="300"/>
        </w:trPr>
        <w:tc>
          <w:tcPr>
            <w:tcW w:w="12973" w:type="dxa"/>
            <w:gridSpan w:val="12"/>
            <w:tcBorders>
              <w:top w:val="nil"/>
              <w:left w:val="nil"/>
              <w:bottom w:val="nil"/>
              <w:right w:val="nil"/>
            </w:tcBorders>
            <w:shd w:val="clear" w:color="auto" w:fill="auto"/>
            <w:noWrap/>
            <w:vAlign w:val="bottom"/>
            <w:hideMark/>
          </w:tcPr>
          <w:p w14:paraId="28629D6A" w14:textId="77777777" w:rsidR="00E45705" w:rsidRPr="001B09E6" w:rsidRDefault="00E45705" w:rsidP="00E45705">
            <w:pPr>
              <w:pStyle w:val="TableHeading"/>
              <w:spacing w:before="112"/>
            </w:pPr>
            <w:r w:rsidRPr="001B09E6">
              <w:t>95% confidence interval</w:t>
            </w:r>
          </w:p>
        </w:tc>
      </w:tr>
      <w:tr w:rsidR="00E45705" w:rsidRPr="001B09E6" w14:paraId="73D1209A" w14:textId="77777777" w:rsidTr="00E45705">
        <w:trPr>
          <w:trHeight w:val="300"/>
        </w:trPr>
        <w:tc>
          <w:tcPr>
            <w:tcW w:w="2497" w:type="dxa"/>
            <w:tcBorders>
              <w:top w:val="single" w:sz="4" w:space="0" w:color="auto"/>
              <w:left w:val="nil"/>
              <w:bottom w:val="single" w:sz="4" w:space="0" w:color="auto"/>
              <w:right w:val="nil"/>
            </w:tcBorders>
            <w:shd w:val="clear" w:color="auto" w:fill="auto"/>
            <w:noWrap/>
            <w:vAlign w:val="bottom"/>
            <w:hideMark/>
          </w:tcPr>
          <w:p w14:paraId="5E641D87" w14:textId="77777777" w:rsidR="00E45705" w:rsidRPr="001B09E6" w:rsidRDefault="00E45705" w:rsidP="00E45705">
            <w:pPr>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 </w:t>
            </w:r>
          </w:p>
        </w:tc>
        <w:tc>
          <w:tcPr>
            <w:tcW w:w="922" w:type="dxa"/>
            <w:tcBorders>
              <w:top w:val="single" w:sz="4" w:space="0" w:color="auto"/>
              <w:left w:val="nil"/>
              <w:bottom w:val="single" w:sz="4" w:space="0" w:color="auto"/>
              <w:right w:val="nil"/>
            </w:tcBorders>
            <w:shd w:val="clear" w:color="auto" w:fill="auto"/>
            <w:noWrap/>
            <w:vAlign w:val="bottom"/>
            <w:hideMark/>
          </w:tcPr>
          <w:p w14:paraId="41CDBA94"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2001</w:t>
            </w:r>
          </w:p>
        </w:tc>
        <w:tc>
          <w:tcPr>
            <w:tcW w:w="921" w:type="dxa"/>
            <w:tcBorders>
              <w:top w:val="single" w:sz="4" w:space="0" w:color="auto"/>
              <w:left w:val="nil"/>
              <w:bottom w:val="single" w:sz="4" w:space="0" w:color="auto"/>
              <w:right w:val="nil"/>
            </w:tcBorders>
            <w:shd w:val="clear" w:color="auto" w:fill="auto"/>
            <w:noWrap/>
            <w:vAlign w:val="bottom"/>
            <w:hideMark/>
          </w:tcPr>
          <w:p w14:paraId="0C7BA73F"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2002</w:t>
            </w:r>
          </w:p>
        </w:tc>
        <w:tc>
          <w:tcPr>
            <w:tcW w:w="921" w:type="dxa"/>
            <w:tcBorders>
              <w:top w:val="single" w:sz="4" w:space="0" w:color="auto"/>
              <w:left w:val="nil"/>
              <w:bottom w:val="single" w:sz="4" w:space="0" w:color="auto"/>
              <w:right w:val="nil"/>
            </w:tcBorders>
            <w:shd w:val="clear" w:color="auto" w:fill="auto"/>
            <w:noWrap/>
            <w:vAlign w:val="bottom"/>
            <w:hideMark/>
          </w:tcPr>
          <w:p w14:paraId="7ECBC971"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2003</w:t>
            </w:r>
          </w:p>
        </w:tc>
        <w:tc>
          <w:tcPr>
            <w:tcW w:w="921" w:type="dxa"/>
            <w:tcBorders>
              <w:top w:val="single" w:sz="4" w:space="0" w:color="auto"/>
              <w:left w:val="nil"/>
              <w:bottom w:val="single" w:sz="4" w:space="0" w:color="auto"/>
              <w:right w:val="nil"/>
            </w:tcBorders>
            <w:shd w:val="clear" w:color="auto" w:fill="auto"/>
            <w:noWrap/>
            <w:vAlign w:val="bottom"/>
            <w:hideMark/>
          </w:tcPr>
          <w:p w14:paraId="6AFBDEAC"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2004</w:t>
            </w:r>
          </w:p>
        </w:tc>
        <w:tc>
          <w:tcPr>
            <w:tcW w:w="921" w:type="dxa"/>
            <w:tcBorders>
              <w:top w:val="single" w:sz="4" w:space="0" w:color="auto"/>
              <w:left w:val="nil"/>
              <w:bottom w:val="single" w:sz="4" w:space="0" w:color="auto"/>
              <w:right w:val="nil"/>
            </w:tcBorders>
            <w:shd w:val="clear" w:color="auto" w:fill="auto"/>
            <w:noWrap/>
            <w:vAlign w:val="bottom"/>
            <w:hideMark/>
          </w:tcPr>
          <w:p w14:paraId="5B9A589B"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2005</w:t>
            </w:r>
          </w:p>
        </w:tc>
        <w:tc>
          <w:tcPr>
            <w:tcW w:w="921" w:type="dxa"/>
            <w:tcBorders>
              <w:top w:val="single" w:sz="4" w:space="0" w:color="auto"/>
              <w:left w:val="nil"/>
              <w:bottom w:val="single" w:sz="4" w:space="0" w:color="auto"/>
              <w:right w:val="nil"/>
            </w:tcBorders>
            <w:shd w:val="clear" w:color="auto" w:fill="auto"/>
            <w:noWrap/>
            <w:vAlign w:val="bottom"/>
            <w:hideMark/>
          </w:tcPr>
          <w:p w14:paraId="4B461058"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2006</w:t>
            </w:r>
          </w:p>
        </w:tc>
        <w:tc>
          <w:tcPr>
            <w:tcW w:w="926" w:type="dxa"/>
            <w:tcBorders>
              <w:top w:val="single" w:sz="4" w:space="0" w:color="auto"/>
              <w:left w:val="nil"/>
              <w:bottom w:val="single" w:sz="4" w:space="0" w:color="auto"/>
              <w:right w:val="nil"/>
            </w:tcBorders>
            <w:shd w:val="clear" w:color="auto" w:fill="auto"/>
            <w:noWrap/>
            <w:vAlign w:val="bottom"/>
            <w:hideMark/>
          </w:tcPr>
          <w:p w14:paraId="59EDD83C"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2007</w:t>
            </w:r>
          </w:p>
        </w:tc>
        <w:tc>
          <w:tcPr>
            <w:tcW w:w="921" w:type="dxa"/>
            <w:tcBorders>
              <w:top w:val="single" w:sz="4" w:space="0" w:color="auto"/>
              <w:left w:val="nil"/>
              <w:bottom w:val="single" w:sz="4" w:space="0" w:color="auto"/>
              <w:right w:val="nil"/>
            </w:tcBorders>
            <w:shd w:val="clear" w:color="auto" w:fill="auto"/>
            <w:noWrap/>
            <w:vAlign w:val="bottom"/>
            <w:hideMark/>
          </w:tcPr>
          <w:p w14:paraId="148D4E97"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2008</w:t>
            </w:r>
          </w:p>
        </w:tc>
        <w:tc>
          <w:tcPr>
            <w:tcW w:w="1034" w:type="dxa"/>
            <w:tcBorders>
              <w:top w:val="single" w:sz="4" w:space="0" w:color="auto"/>
              <w:left w:val="nil"/>
              <w:bottom w:val="single" w:sz="4" w:space="0" w:color="auto"/>
              <w:right w:val="nil"/>
            </w:tcBorders>
            <w:shd w:val="clear" w:color="auto" w:fill="auto"/>
            <w:noWrap/>
            <w:vAlign w:val="bottom"/>
            <w:hideMark/>
          </w:tcPr>
          <w:p w14:paraId="0C0CB3B3"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2009</w:t>
            </w:r>
          </w:p>
        </w:tc>
        <w:tc>
          <w:tcPr>
            <w:tcW w:w="1034" w:type="dxa"/>
            <w:tcBorders>
              <w:top w:val="single" w:sz="4" w:space="0" w:color="auto"/>
              <w:left w:val="nil"/>
              <w:bottom w:val="single" w:sz="4" w:space="0" w:color="auto"/>
              <w:right w:val="nil"/>
            </w:tcBorders>
            <w:shd w:val="clear" w:color="auto" w:fill="auto"/>
            <w:noWrap/>
            <w:vAlign w:val="bottom"/>
            <w:hideMark/>
          </w:tcPr>
          <w:p w14:paraId="5E56A062"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2010</w:t>
            </w:r>
          </w:p>
        </w:tc>
        <w:tc>
          <w:tcPr>
            <w:tcW w:w="1034" w:type="dxa"/>
            <w:tcBorders>
              <w:top w:val="single" w:sz="4" w:space="0" w:color="auto"/>
              <w:left w:val="nil"/>
              <w:bottom w:val="single" w:sz="4" w:space="0" w:color="auto"/>
              <w:right w:val="nil"/>
            </w:tcBorders>
            <w:shd w:val="clear" w:color="auto" w:fill="auto"/>
            <w:noWrap/>
            <w:vAlign w:val="bottom"/>
            <w:hideMark/>
          </w:tcPr>
          <w:p w14:paraId="3C53BEF2"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2011</w:t>
            </w:r>
          </w:p>
        </w:tc>
      </w:tr>
      <w:tr w:rsidR="00E45705" w:rsidRPr="001B09E6" w14:paraId="55E5EB97" w14:textId="77777777" w:rsidTr="00E45705">
        <w:trPr>
          <w:trHeight w:val="300"/>
        </w:trPr>
        <w:tc>
          <w:tcPr>
            <w:tcW w:w="2497" w:type="dxa"/>
            <w:tcBorders>
              <w:top w:val="nil"/>
              <w:left w:val="nil"/>
              <w:bottom w:val="nil"/>
              <w:right w:val="nil"/>
            </w:tcBorders>
            <w:shd w:val="clear" w:color="auto" w:fill="auto"/>
            <w:noWrap/>
            <w:vAlign w:val="bottom"/>
            <w:hideMark/>
          </w:tcPr>
          <w:p w14:paraId="38DCBA38"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 to 19 years</w:t>
            </w:r>
          </w:p>
        </w:tc>
        <w:tc>
          <w:tcPr>
            <w:tcW w:w="922" w:type="dxa"/>
            <w:tcBorders>
              <w:top w:val="nil"/>
              <w:left w:val="nil"/>
              <w:bottom w:val="nil"/>
              <w:right w:val="nil"/>
            </w:tcBorders>
            <w:shd w:val="clear" w:color="auto" w:fill="auto"/>
            <w:noWrap/>
            <w:vAlign w:val="bottom"/>
            <w:hideMark/>
          </w:tcPr>
          <w:p w14:paraId="06E0BD0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0.4</w:t>
            </w:r>
          </w:p>
        </w:tc>
        <w:tc>
          <w:tcPr>
            <w:tcW w:w="921" w:type="dxa"/>
            <w:tcBorders>
              <w:top w:val="nil"/>
              <w:left w:val="nil"/>
              <w:bottom w:val="nil"/>
              <w:right w:val="nil"/>
            </w:tcBorders>
            <w:shd w:val="clear" w:color="auto" w:fill="auto"/>
            <w:noWrap/>
            <w:vAlign w:val="bottom"/>
            <w:hideMark/>
          </w:tcPr>
          <w:p w14:paraId="76BF8DD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0.9</w:t>
            </w:r>
          </w:p>
        </w:tc>
        <w:tc>
          <w:tcPr>
            <w:tcW w:w="921" w:type="dxa"/>
            <w:tcBorders>
              <w:top w:val="nil"/>
              <w:left w:val="nil"/>
              <w:bottom w:val="nil"/>
              <w:right w:val="nil"/>
            </w:tcBorders>
            <w:shd w:val="clear" w:color="auto" w:fill="auto"/>
            <w:noWrap/>
            <w:vAlign w:val="bottom"/>
            <w:hideMark/>
          </w:tcPr>
          <w:p w14:paraId="2DB1D0C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0.9</w:t>
            </w:r>
          </w:p>
        </w:tc>
        <w:tc>
          <w:tcPr>
            <w:tcW w:w="921" w:type="dxa"/>
            <w:tcBorders>
              <w:top w:val="nil"/>
              <w:left w:val="nil"/>
              <w:bottom w:val="nil"/>
              <w:right w:val="nil"/>
            </w:tcBorders>
            <w:shd w:val="clear" w:color="auto" w:fill="auto"/>
            <w:noWrap/>
            <w:vAlign w:val="bottom"/>
            <w:hideMark/>
          </w:tcPr>
          <w:p w14:paraId="19A2D0B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1.3</w:t>
            </w:r>
          </w:p>
        </w:tc>
        <w:tc>
          <w:tcPr>
            <w:tcW w:w="921" w:type="dxa"/>
            <w:tcBorders>
              <w:top w:val="nil"/>
              <w:left w:val="nil"/>
              <w:bottom w:val="nil"/>
              <w:right w:val="nil"/>
            </w:tcBorders>
            <w:shd w:val="clear" w:color="auto" w:fill="auto"/>
            <w:noWrap/>
            <w:vAlign w:val="bottom"/>
            <w:hideMark/>
          </w:tcPr>
          <w:p w14:paraId="162CAF7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1.0</w:t>
            </w:r>
          </w:p>
        </w:tc>
        <w:tc>
          <w:tcPr>
            <w:tcW w:w="921" w:type="dxa"/>
            <w:tcBorders>
              <w:top w:val="nil"/>
              <w:left w:val="nil"/>
              <w:bottom w:val="nil"/>
              <w:right w:val="nil"/>
            </w:tcBorders>
            <w:shd w:val="clear" w:color="auto" w:fill="auto"/>
            <w:noWrap/>
            <w:vAlign w:val="bottom"/>
            <w:hideMark/>
          </w:tcPr>
          <w:p w14:paraId="4B54B65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0.9</w:t>
            </w:r>
          </w:p>
        </w:tc>
        <w:tc>
          <w:tcPr>
            <w:tcW w:w="926" w:type="dxa"/>
            <w:tcBorders>
              <w:top w:val="nil"/>
              <w:left w:val="nil"/>
              <w:bottom w:val="nil"/>
              <w:right w:val="nil"/>
            </w:tcBorders>
            <w:shd w:val="clear" w:color="auto" w:fill="auto"/>
            <w:noWrap/>
            <w:vAlign w:val="bottom"/>
            <w:hideMark/>
          </w:tcPr>
          <w:p w14:paraId="0BE4B58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1.0</w:t>
            </w:r>
          </w:p>
        </w:tc>
        <w:tc>
          <w:tcPr>
            <w:tcW w:w="921" w:type="dxa"/>
            <w:tcBorders>
              <w:top w:val="nil"/>
              <w:left w:val="nil"/>
              <w:bottom w:val="nil"/>
              <w:right w:val="nil"/>
            </w:tcBorders>
            <w:shd w:val="clear" w:color="auto" w:fill="auto"/>
            <w:noWrap/>
            <w:vAlign w:val="bottom"/>
            <w:hideMark/>
          </w:tcPr>
          <w:p w14:paraId="6013AD5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1.1</w:t>
            </w:r>
          </w:p>
        </w:tc>
        <w:tc>
          <w:tcPr>
            <w:tcW w:w="1034" w:type="dxa"/>
            <w:tcBorders>
              <w:top w:val="nil"/>
              <w:left w:val="nil"/>
              <w:bottom w:val="nil"/>
              <w:right w:val="nil"/>
            </w:tcBorders>
            <w:shd w:val="clear" w:color="auto" w:fill="auto"/>
            <w:noWrap/>
            <w:vAlign w:val="bottom"/>
            <w:hideMark/>
          </w:tcPr>
          <w:p w14:paraId="6DECD0A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1.3</w:t>
            </w:r>
          </w:p>
        </w:tc>
        <w:tc>
          <w:tcPr>
            <w:tcW w:w="1034" w:type="dxa"/>
            <w:tcBorders>
              <w:top w:val="nil"/>
              <w:left w:val="nil"/>
              <w:bottom w:val="nil"/>
              <w:right w:val="nil"/>
            </w:tcBorders>
            <w:shd w:val="clear" w:color="auto" w:fill="auto"/>
            <w:noWrap/>
            <w:vAlign w:val="bottom"/>
            <w:hideMark/>
          </w:tcPr>
          <w:p w14:paraId="310D2A1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1034" w:type="dxa"/>
            <w:tcBorders>
              <w:top w:val="nil"/>
              <w:left w:val="nil"/>
              <w:bottom w:val="nil"/>
              <w:right w:val="nil"/>
            </w:tcBorders>
            <w:shd w:val="clear" w:color="auto" w:fill="auto"/>
            <w:noWrap/>
            <w:vAlign w:val="bottom"/>
            <w:hideMark/>
          </w:tcPr>
          <w:p w14:paraId="6113F68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1.3</w:t>
            </w:r>
          </w:p>
        </w:tc>
      </w:tr>
      <w:tr w:rsidR="00E45705" w:rsidRPr="001B09E6" w14:paraId="102C9C07" w14:textId="77777777" w:rsidTr="00E45705">
        <w:trPr>
          <w:trHeight w:val="300"/>
        </w:trPr>
        <w:tc>
          <w:tcPr>
            <w:tcW w:w="2497" w:type="dxa"/>
            <w:tcBorders>
              <w:top w:val="nil"/>
              <w:left w:val="nil"/>
              <w:bottom w:val="single" w:sz="4" w:space="0" w:color="auto"/>
              <w:right w:val="nil"/>
            </w:tcBorders>
            <w:shd w:val="clear" w:color="auto" w:fill="auto"/>
            <w:noWrap/>
            <w:vAlign w:val="bottom"/>
            <w:hideMark/>
          </w:tcPr>
          <w:p w14:paraId="708BE96D"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 to 24 years</w:t>
            </w:r>
          </w:p>
        </w:tc>
        <w:tc>
          <w:tcPr>
            <w:tcW w:w="922" w:type="dxa"/>
            <w:tcBorders>
              <w:top w:val="nil"/>
              <w:left w:val="nil"/>
              <w:bottom w:val="single" w:sz="4" w:space="0" w:color="auto"/>
              <w:right w:val="nil"/>
            </w:tcBorders>
            <w:shd w:val="clear" w:color="auto" w:fill="auto"/>
            <w:noWrap/>
            <w:vAlign w:val="bottom"/>
            <w:hideMark/>
          </w:tcPr>
          <w:p w14:paraId="4286F82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21" w:type="dxa"/>
            <w:tcBorders>
              <w:top w:val="nil"/>
              <w:left w:val="nil"/>
              <w:bottom w:val="single" w:sz="4" w:space="0" w:color="auto"/>
              <w:right w:val="nil"/>
            </w:tcBorders>
            <w:shd w:val="clear" w:color="auto" w:fill="auto"/>
            <w:noWrap/>
            <w:vAlign w:val="bottom"/>
            <w:hideMark/>
          </w:tcPr>
          <w:p w14:paraId="4EEBC0A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1.1</w:t>
            </w:r>
          </w:p>
        </w:tc>
        <w:tc>
          <w:tcPr>
            <w:tcW w:w="921" w:type="dxa"/>
            <w:tcBorders>
              <w:top w:val="nil"/>
              <w:left w:val="nil"/>
              <w:bottom w:val="single" w:sz="4" w:space="0" w:color="auto"/>
              <w:right w:val="nil"/>
            </w:tcBorders>
            <w:shd w:val="clear" w:color="auto" w:fill="auto"/>
            <w:noWrap/>
            <w:vAlign w:val="bottom"/>
            <w:hideMark/>
          </w:tcPr>
          <w:p w14:paraId="454B56A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1.1</w:t>
            </w:r>
          </w:p>
        </w:tc>
        <w:tc>
          <w:tcPr>
            <w:tcW w:w="921" w:type="dxa"/>
            <w:tcBorders>
              <w:top w:val="nil"/>
              <w:left w:val="nil"/>
              <w:bottom w:val="single" w:sz="4" w:space="0" w:color="auto"/>
              <w:right w:val="nil"/>
            </w:tcBorders>
            <w:shd w:val="clear" w:color="auto" w:fill="auto"/>
            <w:noWrap/>
            <w:vAlign w:val="bottom"/>
            <w:hideMark/>
          </w:tcPr>
          <w:p w14:paraId="7648528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21" w:type="dxa"/>
            <w:tcBorders>
              <w:top w:val="nil"/>
              <w:left w:val="nil"/>
              <w:bottom w:val="single" w:sz="4" w:space="0" w:color="auto"/>
              <w:right w:val="nil"/>
            </w:tcBorders>
            <w:shd w:val="clear" w:color="auto" w:fill="auto"/>
            <w:noWrap/>
            <w:vAlign w:val="bottom"/>
            <w:hideMark/>
          </w:tcPr>
          <w:p w14:paraId="4F92192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1.2</w:t>
            </w:r>
          </w:p>
        </w:tc>
        <w:tc>
          <w:tcPr>
            <w:tcW w:w="921" w:type="dxa"/>
            <w:tcBorders>
              <w:top w:val="nil"/>
              <w:left w:val="nil"/>
              <w:bottom w:val="single" w:sz="4" w:space="0" w:color="auto"/>
              <w:right w:val="nil"/>
            </w:tcBorders>
            <w:shd w:val="clear" w:color="auto" w:fill="auto"/>
            <w:noWrap/>
            <w:vAlign w:val="bottom"/>
            <w:hideMark/>
          </w:tcPr>
          <w:p w14:paraId="32DB8B1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1.4</w:t>
            </w:r>
          </w:p>
        </w:tc>
        <w:tc>
          <w:tcPr>
            <w:tcW w:w="926" w:type="dxa"/>
            <w:tcBorders>
              <w:top w:val="nil"/>
              <w:left w:val="nil"/>
              <w:bottom w:val="single" w:sz="4" w:space="0" w:color="auto"/>
              <w:right w:val="nil"/>
            </w:tcBorders>
            <w:shd w:val="clear" w:color="auto" w:fill="auto"/>
            <w:noWrap/>
            <w:vAlign w:val="bottom"/>
            <w:hideMark/>
          </w:tcPr>
          <w:p w14:paraId="2B72D0D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1.2</w:t>
            </w:r>
          </w:p>
        </w:tc>
        <w:tc>
          <w:tcPr>
            <w:tcW w:w="921" w:type="dxa"/>
            <w:tcBorders>
              <w:top w:val="nil"/>
              <w:left w:val="nil"/>
              <w:bottom w:val="single" w:sz="4" w:space="0" w:color="auto"/>
              <w:right w:val="nil"/>
            </w:tcBorders>
            <w:shd w:val="clear" w:color="auto" w:fill="auto"/>
            <w:noWrap/>
            <w:vAlign w:val="bottom"/>
            <w:hideMark/>
          </w:tcPr>
          <w:p w14:paraId="6EC35EE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1.3</w:t>
            </w:r>
          </w:p>
        </w:tc>
        <w:tc>
          <w:tcPr>
            <w:tcW w:w="1034" w:type="dxa"/>
            <w:tcBorders>
              <w:top w:val="nil"/>
              <w:left w:val="nil"/>
              <w:bottom w:val="single" w:sz="4" w:space="0" w:color="auto"/>
              <w:right w:val="nil"/>
            </w:tcBorders>
            <w:shd w:val="clear" w:color="auto" w:fill="auto"/>
            <w:noWrap/>
            <w:vAlign w:val="bottom"/>
            <w:hideMark/>
          </w:tcPr>
          <w:p w14:paraId="581D0C6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w:t>
            </w:r>
          </w:p>
        </w:tc>
        <w:tc>
          <w:tcPr>
            <w:tcW w:w="1034" w:type="dxa"/>
            <w:tcBorders>
              <w:top w:val="nil"/>
              <w:left w:val="nil"/>
              <w:bottom w:val="single" w:sz="4" w:space="0" w:color="auto"/>
              <w:right w:val="nil"/>
            </w:tcBorders>
            <w:shd w:val="clear" w:color="auto" w:fill="auto"/>
            <w:noWrap/>
            <w:vAlign w:val="bottom"/>
            <w:hideMark/>
          </w:tcPr>
          <w:p w14:paraId="6D728E2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1034" w:type="dxa"/>
            <w:tcBorders>
              <w:top w:val="nil"/>
              <w:left w:val="nil"/>
              <w:bottom w:val="single" w:sz="4" w:space="0" w:color="auto"/>
              <w:right w:val="nil"/>
            </w:tcBorders>
            <w:shd w:val="clear" w:color="auto" w:fill="auto"/>
            <w:noWrap/>
            <w:vAlign w:val="bottom"/>
            <w:hideMark/>
          </w:tcPr>
          <w:p w14:paraId="5EC394B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r>
      <w:tr w:rsidR="00E45705" w:rsidRPr="001B09E6" w14:paraId="021D5234" w14:textId="77777777" w:rsidTr="00E45705">
        <w:trPr>
          <w:trHeight w:val="300"/>
        </w:trPr>
        <w:tc>
          <w:tcPr>
            <w:tcW w:w="12973" w:type="dxa"/>
            <w:gridSpan w:val="12"/>
            <w:tcBorders>
              <w:top w:val="nil"/>
              <w:left w:val="nil"/>
              <w:bottom w:val="nil"/>
              <w:right w:val="nil"/>
            </w:tcBorders>
            <w:shd w:val="clear" w:color="auto" w:fill="auto"/>
            <w:noWrap/>
            <w:vAlign w:val="bottom"/>
            <w:hideMark/>
          </w:tcPr>
          <w:p w14:paraId="1A6A7BD5" w14:textId="77777777" w:rsidR="00E45705" w:rsidRPr="001B09E6" w:rsidRDefault="00E45705" w:rsidP="00E45705">
            <w:pPr>
              <w:pStyle w:val="Tablenote"/>
              <w:rPr>
                <w:lang w:eastAsia="en-AU"/>
              </w:rPr>
            </w:pPr>
            <w:r w:rsidRPr="001B09E6">
              <w:rPr>
                <w:lang w:eastAsia="en-AU"/>
              </w:rPr>
              <w:t>Source: ABS Survey of Education and Work 6227.0</w:t>
            </w:r>
          </w:p>
        </w:tc>
      </w:tr>
      <w:tr w:rsidR="00E45705" w:rsidRPr="001B09E6" w14:paraId="7AAA5A7B" w14:textId="77777777" w:rsidTr="00E45705">
        <w:trPr>
          <w:trHeight w:val="300"/>
        </w:trPr>
        <w:tc>
          <w:tcPr>
            <w:tcW w:w="12973" w:type="dxa"/>
            <w:gridSpan w:val="12"/>
            <w:tcBorders>
              <w:top w:val="nil"/>
              <w:left w:val="nil"/>
              <w:bottom w:val="nil"/>
              <w:right w:val="nil"/>
            </w:tcBorders>
            <w:shd w:val="clear" w:color="auto" w:fill="auto"/>
            <w:noWrap/>
            <w:vAlign w:val="bottom"/>
            <w:hideMark/>
          </w:tcPr>
          <w:p w14:paraId="39E754BB" w14:textId="77777777" w:rsidR="00E45705" w:rsidRPr="001B09E6" w:rsidRDefault="00E45705" w:rsidP="00E45705">
            <w:pPr>
              <w:pStyle w:val="TableHeading"/>
              <w:spacing w:before="112"/>
            </w:pPr>
            <w:r w:rsidRPr="001B09E6">
              <w:t>Proportion of persons aged 18-24 years not fully engaged in employment, education or training at or above Certificate III level (NEA Indicator 10) (%)</w:t>
            </w:r>
          </w:p>
        </w:tc>
      </w:tr>
      <w:tr w:rsidR="00E45705" w:rsidRPr="001B09E6" w14:paraId="38D96718" w14:textId="77777777" w:rsidTr="00E45705">
        <w:trPr>
          <w:trHeight w:val="300"/>
        </w:trPr>
        <w:tc>
          <w:tcPr>
            <w:tcW w:w="2497" w:type="dxa"/>
            <w:tcBorders>
              <w:top w:val="single" w:sz="4" w:space="0" w:color="auto"/>
              <w:left w:val="nil"/>
              <w:bottom w:val="single" w:sz="4" w:space="0" w:color="auto"/>
              <w:right w:val="nil"/>
            </w:tcBorders>
            <w:shd w:val="clear" w:color="auto" w:fill="auto"/>
            <w:noWrap/>
            <w:vAlign w:val="bottom"/>
            <w:hideMark/>
          </w:tcPr>
          <w:p w14:paraId="745E1BA3"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2001</w:t>
            </w:r>
          </w:p>
        </w:tc>
        <w:tc>
          <w:tcPr>
            <w:tcW w:w="922" w:type="dxa"/>
            <w:tcBorders>
              <w:top w:val="single" w:sz="4" w:space="0" w:color="auto"/>
              <w:left w:val="nil"/>
              <w:bottom w:val="single" w:sz="4" w:space="0" w:color="auto"/>
              <w:right w:val="nil"/>
            </w:tcBorders>
            <w:shd w:val="clear" w:color="auto" w:fill="auto"/>
            <w:noWrap/>
            <w:vAlign w:val="bottom"/>
            <w:hideMark/>
          </w:tcPr>
          <w:p w14:paraId="59573F43"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2002</w:t>
            </w:r>
          </w:p>
        </w:tc>
        <w:tc>
          <w:tcPr>
            <w:tcW w:w="921" w:type="dxa"/>
            <w:tcBorders>
              <w:top w:val="single" w:sz="4" w:space="0" w:color="auto"/>
              <w:left w:val="nil"/>
              <w:bottom w:val="single" w:sz="4" w:space="0" w:color="auto"/>
              <w:right w:val="nil"/>
            </w:tcBorders>
            <w:shd w:val="clear" w:color="auto" w:fill="auto"/>
            <w:noWrap/>
            <w:vAlign w:val="bottom"/>
            <w:hideMark/>
          </w:tcPr>
          <w:p w14:paraId="0322E1B5"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2003</w:t>
            </w:r>
          </w:p>
        </w:tc>
        <w:tc>
          <w:tcPr>
            <w:tcW w:w="921" w:type="dxa"/>
            <w:tcBorders>
              <w:top w:val="single" w:sz="4" w:space="0" w:color="auto"/>
              <w:left w:val="nil"/>
              <w:bottom w:val="single" w:sz="4" w:space="0" w:color="auto"/>
              <w:right w:val="nil"/>
            </w:tcBorders>
            <w:shd w:val="clear" w:color="auto" w:fill="auto"/>
            <w:noWrap/>
            <w:vAlign w:val="bottom"/>
            <w:hideMark/>
          </w:tcPr>
          <w:p w14:paraId="6C399399"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2004</w:t>
            </w:r>
          </w:p>
        </w:tc>
        <w:tc>
          <w:tcPr>
            <w:tcW w:w="921" w:type="dxa"/>
            <w:tcBorders>
              <w:top w:val="single" w:sz="4" w:space="0" w:color="auto"/>
              <w:left w:val="nil"/>
              <w:bottom w:val="single" w:sz="4" w:space="0" w:color="auto"/>
              <w:right w:val="nil"/>
            </w:tcBorders>
            <w:shd w:val="clear" w:color="auto" w:fill="auto"/>
            <w:noWrap/>
            <w:vAlign w:val="bottom"/>
            <w:hideMark/>
          </w:tcPr>
          <w:p w14:paraId="77E05349"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2005</w:t>
            </w:r>
          </w:p>
        </w:tc>
        <w:tc>
          <w:tcPr>
            <w:tcW w:w="921" w:type="dxa"/>
            <w:tcBorders>
              <w:top w:val="single" w:sz="4" w:space="0" w:color="auto"/>
              <w:left w:val="nil"/>
              <w:bottom w:val="single" w:sz="4" w:space="0" w:color="auto"/>
              <w:right w:val="nil"/>
            </w:tcBorders>
            <w:shd w:val="clear" w:color="auto" w:fill="auto"/>
            <w:noWrap/>
            <w:vAlign w:val="bottom"/>
            <w:hideMark/>
          </w:tcPr>
          <w:p w14:paraId="73E80E47"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2006</w:t>
            </w:r>
          </w:p>
        </w:tc>
        <w:tc>
          <w:tcPr>
            <w:tcW w:w="921" w:type="dxa"/>
            <w:tcBorders>
              <w:top w:val="single" w:sz="4" w:space="0" w:color="auto"/>
              <w:left w:val="nil"/>
              <w:bottom w:val="single" w:sz="4" w:space="0" w:color="auto"/>
              <w:right w:val="nil"/>
            </w:tcBorders>
            <w:shd w:val="clear" w:color="auto" w:fill="auto"/>
            <w:noWrap/>
            <w:vAlign w:val="bottom"/>
            <w:hideMark/>
          </w:tcPr>
          <w:p w14:paraId="2878B640"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2007</w:t>
            </w:r>
          </w:p>
        </w:tc>
        <w:tc>
          <w:tcPr>
            <w:tcW w:w="926" w:type="dxa"/>
            <w:tcBorders>
              <w:top w:val="single" w:sz="4" w:space="0" w:color="auto"/>
              <w:left w:val="nil"/>
              <w:bottom w:val="single" w:sz="4" w:space="0" w:color="auto"/>
              <w:right w:val="nil"/>
            </w:tcBorders>
            <w:shd w:val="clear" w:color="auto" w:fill="auto"/>
            <w:noWrap/>
            <w:vAlign w:val="bottom"/>
            <w:hideMark/>
          </w:tcPr>
          <w:p w14:paraId="39F483DA"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2008</w:t>
            </w:r>
          </w:p>
        </w:tc>
        <w:tc>
          <w:tcPr>
            <w:tcW w:w="921" w:type="dxa"/>
            <w:tcBorders>
              <w:top w:val="single" w:sz="4" w:space="0" w:color="auto"/>
              <w:left w:val="nil"/>
              <w:bottom w:val="single" w:sz="4" w:space="0" w:color="auto"/>
              <w:right w:val="nil"/>
            </w:tcBorders>
            <w:shd w:val="clear" w:color="auto" w:fill="auto"/>
            <w:noWrap/>
            <w:vAlign w:val="bottom"/>
            <w:hideMark/>
          </w:tcPr>
          <w:p w14:paraId="74730A6C"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2009</w:t>
            </w:r>
          </w:p>
        </w:tc>
        <w:tc>
          <w:tcPr>
            <w:tcW w:w="1034" w:type="dxa"/>
            <w:tcBorders>
              <w:top w:val="single" w:sz="4" w:space="0" w:color="auto"/>
              <w:left w:val="nil"/>
              <w:bottom w:val="single" w:sz="4" w:space="0" w:color="auto"/>
              <w:right w:val="nil"/>
            </w:tcBorders>
            <w:shd w:val="clear" w:color="auto" w:fill="auto"/>
            <w:noWrap/>
            <w:vAlign w:val="bottom"/>
            <w:hideMark/>
          </w:tcPr>
          <w:p w14:paraId="7C63D554"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2010</w:t>
            </w:r>
          </w:p>
        </w:tc>
        <w:tc>
          <w:tcPr>
            <w:tcW w:w="1034" w:type="dxa"/>
            <w:tcBorders>
              <w:top w:val="single" w:sz="4" w:space="0" w:color="auto"/>
              <w:left w:val="nil"/>
              <w:bottom w:val="single" w:sz="4" w:space="0" w:color="auto"/>
              <w:right w:val="nil"/>
            </w:tcBorders>
            <w:shd w:val="clear" w:color="auto" w:fill="auto"/>
            <w:noWrap/>
            <w:vAlign w:val="bottom"/>
            <w:hideMark/>
          </w:tcPr>
          <w:p w14:paraId="1CFC00B6"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2011</w:t>
            </w:r>
          </w:p>
        </w:tc>
        <w:tc>
          <w:tcPr>
            <w:tcW w:w="1034" w:type="dxa"/>
            <w:tcBorders>
              <w:top w:val="nil"/>
              <w:left w:val="nil"/>
              <w:bottom w:val="nil"/>
              <w:right w:val="nil"/>
            </w:tcBorders>
            <w:shd w:val="clear" w:color="auto" w:fill="auto"/>
            <w:noWrap/>
            <w:vAlign w:val="bottom"/>
            <w:hideMark/>
          </w:tcPr>
          <w:p w14:paraId="0AB41013" w14:textId="77777777" w:rsidR="00E45705" w:rsidRPr="001B09E6" w:rsidRDefault="00E45705" w:rsidP="00E45705">
            <w:pPr>
              <w:rPr>
                <w:rFonts w:asciiTheme="minorHAnsi" w:eastAsia="Times New Roman" w:hAnsiTheme="minorHAnsi"/>
                <w:color w:val="800000"/>
                <w:sz w:val="18"/>
                <w:szCs w:val="18"/>
                <w:lang w:eastAsia="en-AU"/>
              </w:rPr>
            </w:pPr>
          </w:p>
        </w:tc>
      </w:tr>
      <w:tr w:rsidR="00E45705" w:rsidRPr="001B09E6" w14:paraId="3125E20F" w14:textId="77777777" w:rsidTr="00E45705">
        <w:trPr>
          <w:trHeight w:val="300"/>
        </w:trPr>
        <w:tc>
          <w:tcPr>
            <w:tcW w:w="2497" w:type="dxa"/>
            <w:tcBorders>
              <w:top w:val="dotted" w:sz="4" w:space="0" w:color="auto"/>
              <w:left w:val="nil"/>
              <w:bottom w:val="single" w:sz="4" w:space="0" w:color="auto"/>
              <w:right w:val="nil"/>
            </w:tcBorders>
            <w:shd w:val="clear" w:color="auto" w:fill="auto"/>
            <w:noWrap/>
            <w:vAlign w:val="bottom"/>
            <w:hideMark/>
          </w:tcPr>
          <w:p w14:paraId="0754D46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28.6</w:t>
            </w:r>
          </w:p>
        </w:tc>
        <w:tc>
          <w:tcPr>
            <w:tcW w:w="922" w:type="dxa"/>
            <w:tcBorders>
              <w:top w:val="dotted" w:sz="4" w:space="0" w:color="auto"/>
              <w:left w:val="nil"/>
              <w:bottom w:val="single" w:sz="4" w:space="0" w:color="auto"/>
              <w:right w:val="nil"/>
            </w:tcBorders>
            <w:shd w:val="clear" w:color="auto" w:fill="auto"/>
            <w:noWrap/>
            <w:vAlign w:val="bottom"/>
            <w:hideMark/>
          </w:tcPr>
          <w:p w14:paraId="5C65D86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27.0</w:t>
            </w:r>
          </w:p>
        </w:tc>
        <w:tc>
          <w:tcPr>
            <w:tcW w:w="921" w:type="dxa"/>
            <w:tcBorders>
              <w:top w:val="dotted" w:sz="4" w:space="0" w:color="auto"/>
              <w:left w:val="nil"/>
              <w:bottom w:val="single" w:sz="4" w:space="0" w:color="auto"/>
              <w:right w:val="nil"/>
            </w:tcBorders>
            <w:shd w:val="clear" w:color="auto" w:fill="auto"/>
            <w:noWrap/>
            <w:vAlign w:val="bottom"/>
            <w:hideMark/>
          </w:tcPr>
          <w:p w14:paraId="4A2B9E7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27.5</w:t>
            </w:r>
          </w:p>
        </w:tc>
        <w:tc>
          <w:tcPr>
            <w:tcW w:w="921" w:type="dxa"/>
            <w:tcBorders>
              <w:top w:val="dotted" w:sz="4" w:space="0" w:color="auto"/>
              <w:left w:val="nil"/>
              <w:bottom w:val="single" w:sz="4" w:space="0" w:color="auto"/>
              <w:right w:val="nil"/>
            </w:tcBorders>
            <w:shd w:val="clear" w:color="auto" w:fill="auto"/>
            <w:noWrap/>
            <w:vAlign w:val="bottom"/>
            <w:hideMark/>
          </w:tcPr>
          <w:p w14:paraId="066C0EA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27.2</w:t>
            </w:r>
          </w:p>
        </w:tc>
        <w:tc>
          <w:tcPr>
            <w:tcW w:w="921" w:type="dxa"/>
            <w:tcBorders>
              <w:top w:val="dotted" w:sz="4" w:space="0" w:color="auto"/>
              <w:left w:val="nil"/>
              <w:bottom w:val="single" w:sz="4" w:space="0" w:color="auto"/>
              <w:right w:val="nil"/>
            </w:tcBorders>
            <w:shd w:val="clear" w:color="auto" w:fill="auto"/>
            <w:noWrap/>
            <w:vAlign w:val="bottom"/>
            <w:hideMark/>
          </w:tcPr>
          <w:p w14:paraId="7A7B166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26.0</w:t>
            </w:r>
          </w:p>
        </w:tc>
        <w:tc>
          <w:tcPr>
            <w:tcW w:w="921" w:type="dxa"/>
            <w:tcBorders>
              <w:top w:val="dotted" w:sz="4" w:space="0" w:color="auto"/>
              <w:left w:val="nil"/>
              <w:bottom w:val="single" w:sz="4" w:space="0" w:color="auto"/>
              <w:right w:val="nil"/>
            </w:tcBorders>
            <w:shd w:val="clear" w:color="auto" w:fill="auto"/>
            <w:noWrap/>
            <w:vAlign w:val="bottom"/>
            <w:hideMark/>
          </w:tcPr>
          <w:p w14:paraId="5F1833C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26.0</w:t>
            </w:r>
          </w:p>
        </w:tc>
        <w:tc>
          <w:tcPr>
            <w:tcW w:w="921" w:type="dxa"/>
            <w:tcBorders>
              <w:top w:val="dotted" w:sz="4" w:space="0" w:color="auto"/>
              <w:left w:val="nil"/>
              <w:bottom w:val="single" w:sz="4" w:space="0" w:color="auto"/>
              <w:right w:val="nil"/>
            </w:tcBorders>
            <w:shd w:val="clear" w:color="auto" w:fill="auto"/>
            <w:noWrap/>
            <w:vAlign w:val="bottom"/>
            <w:hideMark/>
          </w:tcPr>
          <w:p w14:paraId="3E88485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24.5</w:t>
            </w:r>
          </w:p>
        </w:tc>
        <w:tc>
          <w:tcPr>
            <w:tcW w:w="926" w:type="dxa"/>
            <w:tcBorders>
              <w:top w:val="dotted" w:sz="4" w:space="0" w:color="auto"/>
              <w:left w:val="nil"/>
              <w:bottom w:val="single" w:sz="4" w:space="0" w:color="auto"/>
              <w:right w:val="nil"/>
            </w:tcBorders>
            <w:shd w:val="clear" w:color="auto" w:fill="auto"/>
            <w:noWrap/>
            <w:vAlign w:val="bottom"/>
            <w:hideMark/>
          </w:tcPr>
          <w:p w14:paraId="0D4D128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23.7</w:t>
            </w:r>
          </w:p>
        </w:tc>
        <w:tc>
          <w:tcPr>
            <w:tcW w:w="921" w:type="dxa"/>
            <w:tcBorders>
              <w:top w:val="dotted" w:sz="4" w:space="0" w:color="auto"/>
              <w:left w:val="nil"/>
              <w:bottom w:val="single" w:sz="4" w:space="0" w:color="auto"/>
              <w:right w:val="nil"/>
            </w:tcBorders>
            <w:shd w:val="clear" w:color="auto" w:fill="auto"/>
            <w:noWrap/>
            <w:vAlign w:val="bottom"/>
            <w:hideMark/>
          </w:tcPr>
          <w:p w14:paraId="60CC400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27.3</w:t>
            </w:r>
          </w:p>
        </w:tc>
        <w:tc>
          <w:tcPr>
            <w:tcW w:w="1034" w:type="dxa"/>
            <w:tcBorders>
              <w:top w:val="dotted" w:sz="4" w:space="0" w:color="auto"/>
              <w:left w:val="nil"/>
              <w:bottom w:val="single" w:sz="4" w:space="0" w:color="auto"/>
              <w:right w:val="nil"/>
            </w:tcBorders>
            <w:shd w:val="clear" w:color="auto" w:fill="auto"/>
            <w:noWrap/>
            <w:vAlign w:val="bottom"/>
            <w:hideMark/>
          </w:tcPr>
          <w:p w14:paraId="16C0F98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27.3</w:t>
            </w:r>
          </w:p>
        </w:tc>
        <w:tc>
          <w:tcPr>
            <w:tcW w:w="1034" w:type="dxa"/>
            <w:tcBorders>
              <w:top w:val="dotted" w:sz="4" w:space="0" w:color="auto"/>
              <w:left w:val="nil"/>
              <w:bottom w:val="single" w:sz="4" w:space="0" w:color="auto"/>
              <w:right w:val="nil"/>
            </w:tcBorders>
            <w:shd w:val="clear" w:color="auto" w:fill="auto"/>
            <w:noWrap/>
            <w:vAlign w:val="bottom"/>
            <w:hideMark/>
          </w:tcPr>
          <w:p w14:paraId="04307CB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27.5</w:t>
            </w:r>
          </w:p>
        </w:tc>
        <w:tc>
          <w:tcPr>
            <w:tcW w:w="1034" w:type="dxa"/>
            <w:tcBorders>
              <w:top w:val="nil"/>
              <w:left w:val="nil"/>
              <w:bottom w:val="nil"/>
              <w:right w:val="nil"/>
            </w:tcBorders>
            <w:shd w:val="clear" w:color="auto" w:fill="auto"/>
            <w:noWrap/>
            <w:vAlign w:val="bottom"/>
            <w:hideMark/>
          </w:tcPr>
          <w:p w14:paraId="532E4550" w14:textId="77777777" w:rsidR="00E45705" w:rsidRPr="001B09E6" w:rsidRDefault="00E45705" w:rsidP="00E45705">
            <w:pPr>
              <w:rPr>
                <w:rFonts w:asciiTheme="minorHAnsi" w:eastAsia="Times New Roman" w:hAnsiTheme="minorHAnsi"/>
                <w:color w:val="000000"/>
                <w:sz w:val="18"/>
                <w:szCs w:val="18"/>
                <w:lang w:eastAsia="en-AU"/>
              </w:rPr>
            </w:pPr>
          </w:p>
        </w:tc>
      </w:tr>
      <w:tr w:rsidR="00E45705" w:rsidRPr="001B09E6" w14:paraId="57B1E8C6" w14:textId="77777777" w:rsidTr="00E45705">
        <w:trPr>
          <w:trHeight w:val="300"/>
        </w:trPr>
        <w:tc>
          <w:tcPr>
            <w:tcW w:w="12973" w:type="dxa"/>
            <w:gridSpan w:val="12"/>
            <w:tcBorders>
              <w:top w:val="nil"/>
              <w:left w:val="nil"/>
              <w:bottom w:val="nil"/>
              <w:right w:val="nil"/>
            </w:tcBorders>
            <w:shd w:val="clear" w:color="auto" w:fill="auto"/>
            <w:noWrap/>
            <w:vAlign w:val="bottom"/>
            <w:hideMark/>
          </w:tcPr>
          <w:p w14:paraId="155E24AE" w14:textId="77777777" w:rsidR="00E45705" w:rsidRPr="001B09E6" w:rsidRDefault="00E45705" w:rsidP="00E45705">
            <w:pPr>
              <w:rPr>
                <w:rFonts w:asciiTheme="minorHAnsi" w:eastAsia="Times New Roman" w:hAnsiTheme="minorHAnsi"/>
                <w:color w:val="000000"/>
                <w:lang w:eastAsia="en-AU"/>
              </w:rPr>
            </w:pPr>
          </w:p>
        </w:tc>
      </w:tr>
      <w:tr w:rsidR="00E45705" w:rsidRPr="001B09E6" w14:paraId="13F2F482" w14:textId="77777777" w:rsidTr="00E45705">
        <w:trPr>
          <w:trHeight w:val="300"/>
        </w:trPr>
        <w:tc>
          <w:tcPr>
            <w:tcW w:w="12973" w:type="dxa"/>
            <w:gridSpan w:val="12"/>
            <w:tcBorders>
              <w:top w:val="nil"/>
              <w:left w:val="nil"/>
              <w:bottom w:val="nil"/>
              <w:right w:val="nil"/>
            </w:tcBorders>
            <w:shd w:val="clear" w:color="auto" w:fill="auto"/>
            <w:noWrap/>
            <w:vAlign w:val="bottom"/>
            <w:hideMark/>
          </w:tcPr>
          <w:p w14:paraId="5F3BCB4B" w14:textId="77777777" w:rsidR="00E45705" w:rsidRPr="001B09E6" w:rsidRDefault="00E45705" w:rsidP="00E45705">
            <w:pPr>
              <w:pStyle w:val="TableHeading"/>
              <w:spacing w:before="112"/>
            </w:pPr>
            <w:r w:rsidRPr="001B09E6">
              <w:t>95% confidence interval</w:t>
            </w:r>
          </w:p>
        </w:tc>
      </w:tr>
      <w:tr w:rsidR="00E45705" w:rsidRPr="001B09E6" w14:paraId="568629FF" w14:textId="77777777" w:rsidTr="00E45705">
        <w:trPr>
          <w:trHeight w:val="300"/>
        </w:trPr>
        <w:tc>
          <w:tcPr>
            <w:tcW w:w="2497" w:type="dxa"/>
            <w:tcBorders>
              <w:top w:val="single" w:sz="4" w:space="0" w:color="auto"/>
              <w:left w:val="nil"/>
              <w:bottom w:val="single" w:sz="4" w:space="0" w:color="auto"/>
              <w:right w:val="nil"/>
            </w:tcBorders>
            <w:shd w:val="clear" w:color="auto" w:fill="auto"/>
            <w:noWrap/>
            <w:vAlign w:val="bottom"/>
            <w:hideMark/>
          </w:tcPr>
          <w:p w14:paraId="6A9AE728"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2001</w:t>
            </w:r>
          </w:p>
        </w:tc>
        <w:tc>
          <w:tcPr>
            <w:tcW w:w="922" w:type="dxa"/>
            <w:tcBorders>
              <w:top w:val="single" w:sz="4" w:space="0" w:color="auto"/>
              <w:left w:val="nil"/>
              <w:bottom w:val="single" w:sz="4" w:space="0" w:color="auto"/>
              <w:right w:val="nil"/>
            </w:tcBorders>
            <w:shd w:val="clear" w:color="auto" w:fill="auto"/>
            <w:noWrap/>
            <w:vAlign w:val="bottom"/>
            <w:hideMark/>
          </w:tcPr>
          <w:p w14:paraId="53A2D1C1"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2002</w:t>
            </w:r>
          </w:p>
        </w:tc>
        <w:tc>
          <w:tcPr>
            <w:tcW w:w="921" w:type="dxa"/>
            <w:tcBorders>
              <w:top w:val="single" w:sz="4" w:space="0" w:color="auto"/>
              <w:left w:val="nil"/>
              <w:bottom w:val="single" w:sz="4" w:space="0" w:color="auto"/>
              <w:right w:val="nil"/>
            </w:tcBorders>
            <w:shd w:val="clear" w:color="auto" w:fill="auto"/>
            <w:noWrap/>
            <w:vAlign w:val="bottom"/>
            <w:hideMark/>
          </w:tcPr>
          <w:p w14:paraId="2855CC5B"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2003</w:t>
            </w:r>
          </w:p>
        </w:tc>
        <w:tc>
          <w:tcPr>
            <w:tcW w:w="921" w:type="dxa"/>
            <w:tcBorders>
              <w:top w:val="single" w:sz="4" w:space="0" w:color="auto"/>
              <w:left w:val="nil"/>
              <w:bottom w:val="single" w:sz="4" w:space="0" w:color="auto"/>
              <w:right w:val="nil"/>
            </w:tcBorders>
            <w:shd w:val="clear" w:color="auto" w:fill="auto"/>
            <w:noWrap/>
            <w:vAlign w:val="bottom"/>
            <w:hideMark/>
          </w:tcPr>
          <w:p w14:paraId="7E8D8078"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2004</w:t>
            </w:r>
          </w:p>
        </w:tc>
        <w:tc>
          <w:tcPr>
            <w:tcW w:w="921" w:type="dxa"/>
            <w:tcBorders>
              <w:top w:val="single" w:sz="4" w:space="0" w:color="auto"/>
              <w:left w:val="nil"/>
              <w:bottom w:val="single" w:sz="4" w:space="0" w:color="auto"/>
              <w:right w:val="nil"/>
            </w:tcBorders>
            <w:shd w:val="clear" w:color="auto" w:fill="auto"/>
            <w:noWrap/>
            <w:vAlign w:val="bottom"/>
            <w:hideMark/>
          </w:tcPr>
          <w:p w14:paraId="15866B64"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2005</w:t>
            </w:r>
          </w:p>
        </w:tc>
        <w:tc>
          <w:tcPr>
            <w:tcW w:w="921" w:type="dxa"/>
            <w:tcBorders>
              <w:top w:val="single" w:sz="4" w:space="0" w:color="auto"/>
              <w:left w:val="nil"/>
              <w:bottom w:val="single" w:sz="4" w:space="0" w:color="auto"/>
              <w:right w:val="nil"/>
            </w:tcBorders>
            <w:shd w:val="clear" w:color="auto" w:fill="auto"/>
            <w:noWrap/>
            <w:vAlign w:val="bottom"/>
            <w:hideMark/>
          </w:tcPr>
          <w:p w14:paraId="60D28F1A"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2006</w:t>
            </w:r>
          </w:p>
        </w:tc>
        <w:tc>
          <w:tcPr>
            <w:tcW w:w="921" w:type="dxa"/>
            <w:tcBorders>
              <w:top w:val="single" w:sz="4" w:space="0" w:color="auto"/>
              <w:left w:val="nil"/>
              <w:bottom w:val="single" w:sz="4" w:space="0" w:color="auto"/>
              <w:right w:val="nil"/>
            </w:tcBorders>
            <w:shd w:val="clear" w:color="auto" w:fill="auto"/>
            <w:noWrap/>
            <w:vAlign w:val="bottom"/>
            <w:hideMark/>
          </w:tcPr>
          <w:p w14:paraId="08C8C5FF"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2007</w:t>
            </w:r>
          </w:p>
        </w:tc>
        <w:tc>
          <w:tcPr>
            <w:tcW w:w="926" w:type="dxa"/>
            <w:tcBorders>
              <w:top w:val="single" w:sz="4" w:space="0" w:color="auto"/>
              <w:left w:val="nil"/>
              <w:bottom w:val="single" w:sz="4" w:space="0" w:color="auto"/>
              <w:right w:val="nil"/>
            </w:tcBorders>
            <w:shd w:val="clear" w:color="auto" w:fill="auto"/>
            <w:noWrap/>
            <w:vAlign w:val="bottom"/>
            <w:hideMark/>
          </w:tcPr>
          <w:p w14:paraId="19606A2E"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2008</w:t>
            </w:r>
          </w:p>
        </w:tc>
        <w:tc>
          <w:tcPr>
            <w:tcW w:w="921" w:type="dxa"/>
            <w:tcBorders>
              <w:top w:val="single" w:sz="4" w:space="0" w:color="auto"/>
              <w:left w:val="nil"/>
              <w:bottom w:val="single" w:sz="4" w:space="0" w:color="auto"/>
              <w:right w:val="nil"/>
            </w:tcBorders>
            <w:shd w:val="clear" w:color="auto" w:fill="auto"/>
            <w:noWrap/>
            <w:vAlign w:val="bottom"/>
            <w:hideMark/>
          </w:tcPr>
          <w:p w14:paraId="22D63670"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2009</w:t>
            </w:r>
          </w:p>
        </w:tc>
        <w:tc>
          <w:tcPr>
            <w:tcW w:w="1034" w:type="dxa"/>
            <w:tcBorders>
              <w:top w:val="single" w:sz="4" w:space="0" w:color="auto"/>
              <w:left w:val="nil"/>
              <w:bottom w:val="single" w:sz="4" w:space="0" w:color="auto"/>
              <w:right w:val="nil"/>
            </w:tcBorders>
            <w:shd w:val="clear" w:color="auto" w:fill="auto"/>
            <w:noWrap/>
            <w:vAlign w:val="bottom"/>
            <w:hideMark/>
          </w:tcPr>
          <w:p w14:paraId="0EF3245B"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2010</w:t>
            </w:r>
          </w:p>
        </w:tc>
        <w:tc>
          <w:tcPr>
            <w:tcW w:w="1034" w:type="dxa"/>
            <w:tcBorders>
              <w:top w:val="single" w:sz="4" w:space="0" w:color="auto"/>
              <w:left w:val="nil"/>
              <w:bottom w:val="single" w:sz="4" w:space="0" w:color="auto"/>
              <w:right w:val="nil"/>
            </w:tcBorders>
            <w:shd w:val="clear" w:color="auto" w:fill="auto"/>
            <w:noWrap/>
            <w:vAlign w:val="bottom"/>
            <w:hideMark/>
          </w:tcPr>
          <w:p w14:paraId="20C67D58"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2011</w:t>
            </w:r>
          </w:p>
        </w:tc>
        <w:tc>
          <w:tcPr>
            <w:tcW w:w="1034" w:type="dxa"/>
            <w:tcBorders>
              <w:top w:val="nil"/>
              <w:left w:val="nil"/>
              <w:bottom w:val="nil"/>
              <w:right w:val="nil"/>
            </w:tcBorders>
            <w:shd w:val="clear" w:color="auto" w:fill="auto"/>
            <w:noWrap/>
            <w:vAlign w:val="bottom"/>
            <w:hideMark/>
          </w:tcPr>
          <w:p w14:paraId="79C35AFA" w14:textId="77777777" w:rsidR="00E45705" w:rsidRPr="001B09E6" w:rsidRDefault="00E45705" w:rsidP="00E45705">
            <w:pPr>
              <w:rPr>
                <w:rFonts w:asciiTheme="minorHAnsi" w:eastAsia="Times New Roman" w:hAnsiTheme="minorHAnsi"/>
                <w:color w:val="800000"/>
                <w:sz w:val="18"/>
                <w:szCs w:val="18"/>
                <w:lang w:eastAsia="en-AU"/>
              </w:rPr>
            </w:pPr>
          </w:p>
        </w:tc>
      </w:tr>
      <w:tr w:rsidR="00E45705" w:rsidRPr="001B09E6" w14:paraId="75B8DC74" w14:textId="77777777" w:rsidTr="00E45705">
        <w:trPr>
          <w:trHeight w:val="300"/>
        </w:trPr>
        <w:tc>
          <w:tcPr>
            <w:tcW w:w="2497" w:type="dxa"/>
            <w:tcBorders>
              <w:top w:val="dotted" w:sz="4" w:space="0" w:color="auto"/>
              <w:left w:val="nil"/>
              <w:bottom w:val="single" w:sz="4" w:space="0" w:color="auto"/>
              <w:right w:val="nil"/>
            </w:tcBorders>
            <w:shd w:val="clear" w:color="auto" w:fill="auto"/>
            <w:noWrap/>
            <w:vAlign w:val="bottom"/>
            <w:hideMark/>
          </w:tcPr>
          <w:p w14:paraId="7405FB2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0.5</w:t>
            </w:r>
          </w:p>
        </w:tc>
        <w:tc>
          <w:tcPr>
            <w:tcW w:w="922" w:type="dxa"/>
            <w:tcBorders>
              <w:top w:val="dotted" w:sz="4" w:space="0" w:color="auto"/>
              <w:left w:val="nil"/>
              <w:bottom w:val="single" w:sz="4" w:space="0" w:color="auto"/>
              <w:right w:val="nil"/>
            </w:tcBorders>
            <w:shd w:val="clear" w:color="auto" w:fill="auto"/>
            <w:noWrap/>
            <w:vAlign w:val="bottom"/>
            <w:hideMark/>
          </w:tcPr>
          <w:p w14:paraId="2481912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1.1</w:t>
            </w:r>
          </w:p>
        </w:tc>
        <w:tc>
          <w:tcPr>
            <w:tcW w:w="921" w:type="dxa"/>
            <w:tcBorders>
              <w:top w:val="dotted" w:sz="4" w:space="0" w:color="auto"/>
              <w:left w:val="nil"/>
              <w:bottom w:val="single" w:sz="4" w:space="0" w:color="auto"/>
              <w:right w:val="nil"/>
            </w:tcBorders>
            <w:shd w:val="clear" w:color="auto" w:fill="auto"/>
            <w:noWrap/>
            <w:vAlign w:val="bottom"/>
            <w:hideMark/>
          </w:tcPr>
          <w:p w14:paraId="19AACB8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1.0</w:t>
            </w:r>
          </w:p>
        </w:tc>
        <w:tc>
          <w:tcPr>
            <w:tcW w:w="921" w:type="dxa"/>
            <w:tcBorders>
              <w:top w:val="dotted" w:sz="4" w:space="0" w:color="auto"/>
              <w:left w:val="nil"/>
              <w:bottom w:val="single" w:sz="4" w:space="0" w:color="auto"/>
              <w:right w:val="nil"/>
            </w:tcBorders>
            <w:shd w:val="clear" w:color="auto" w:fill="auto"/>
            <w:noWrap/>
            <w:vAlign w:val="bottom"/>
            <w:hideMark/>
          </w:tcPr>
          <w:p w14:paraId="484DE62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21" w:type="dxa"/>
            <w:tcBorders>
              <w:top w:val="dotted" w:sz="4" w:space="0" w:color="auto"/>
              <w:left w:val="nil"/>
              <w:bottom w:val="single" w:sz="4" w:space="0" w:color="auto"/>
              <w:right w:val="nil"/>
            </w:tcBorders>
            <w:shd w:val="clear" w:color="auto" w:fill="auto"/>
            <w:noWrap/>
            <w:vAlign w:val="bottom"/>
            <w:hideMark/>
          </w:tcPr>
          <w:p w14:paraId="6F82911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1.4</w:t>
            </w:r>
          </w:p>
        </w:tc>
        <w:tc>
          <w:tcPr>
            <w:tcW w:w="921" w:type="dxa"/>
            <w:tcBorders>
              <w:top w:val="dotted" w:sz="4" w:space="0" w:color="auto"/>
              <w:left w:val="nil"/>
              <w:bottom w:val="single" w:sz="4" w:space="0" w:color="auto"/>
              <w:right w:val="nil"/>
            </w:tcBorders>
            <w:shd w:val="clear" w:color="auto" w:fill="auto"/>
            <w:noWrap/>
            <w:vAlign w:val="bottom"/>
            <w:hideMark/>
          </w:tcPr>
          <w:p w14:paraId="7F064C3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1.2</w:t>
            </w:r>
          </w:p>
        </w:tc>
        <w:tc>
          <w:tcPr>
            <w:tcW w:w="921" w:type="dxa"/>
            <w:tcBorders>
              <w:top w:val="dotted" w:sz="4" w:space="0" w:color="auto"/>
              <w:left w:val="nil"/>
              <w:bottom w:val="single" w:sz="4" w:space="0" w:color="auto"/>
              <w:right w:val="nil"/>
            </w:tcBorders>
            <w:shd w:val="clear" w:color="auto" w:fill="auto"/>
            <w:noWrap/>
            <w:vAlign w:val="bottom"/>
            <w:hideMark/>
          </w:tcPr>
          <w:p w14:paraId="2FA7DBA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1.1</w:t>
            </w:r>
          </w:p>
        </w:tc>
        <w:tc>
          <w:tcPr>
            <w:tcW w:w="926" w:type="dxa"/>
            <w:tcBorders>
              <w:top w:val="dotted" w:sz="4" w:space="0" w:color="auto"/>
              <w:left w:val="nil"/>
              <w:bottom w:val="single" w:sz="4" w:space="0" w:color="auto"/>
              <w:right w:val="nil"/>
            </w:tcBorders>
            <w:shd w:val="clear" w:color="auto" w:fill="auto"/>
            <w:noWrap/>
            <w:vAlign w:val="bottom"/>
            <w:hideMark/>
          </w:tcPr>
          <w:p w14:paraId="55A1D27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1.2</w:t>
            </w:r>
          </w:p>
        </w:tc>
        <w:tc>
          <w:tcPr>
            <w:tcW w:w="921" w:type="dxa"/>
            <w:tcBorders>
              <w:top w:val="dotted" w:sz="4" w:space="0" w:color="auto"/>
              <w:left w:val="nil"/>
              <w:bottom w:val="single" w:sz="4" w:space="0" w:color="auto"/>
              <w:right w:val="nil"/>
            </w:tcBorders>
            <w:shd w:val="clear" w:color="auto" w:fill="auto"/>
            <w:noWrap/>
            <w:vAlign w:val="bottom"/>
            <w:hideMark/>
          </w:tcPr>
          <w:p w14:paraId="3C13AEF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1.8</w:t>
            </w:r>
          </w:p>
        </w:tc>
        <w:tc>
          <w:tcPr>
            <w:tcW w:w="1034" w:type="dxa"/>
            <w:tcBorders>
              <w:top w:val="dotted" w:sz="4" w:space="0" w:color="auto"/>
              <w:left w:val="nil"/>
              <w:bottom w:val="single" w:sz="4" w:space="0" w:color="auto"/>
              <w:right w:val="nil"/>
            </w:tcBorders>
            <w:shd w:val="clear" w:color="auto" w:fill="auto"/>
            <w:noWrap/>
            <w:vAlign w:val="bottom"/>
            <w:hideMark/>
          </w:tcPr>
          <w:p w14:paraId="5A2C191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1034" w:type="dxa"/>
            <w:tcBorders>
              <w:top w:val="dotted" w:sz="4" w:space="0" w:color="auto"/>
              <w:left w:val="nil"/>
              <w:bottom w:val="single" w:sz="4" w:space="0" w:color="auto"/>
              <w:right w:val="nil"/>
            </w:tcBorders>
            <w:shd w:val="clear" w:color="auto" w:fill="auto"/>
            <w:noWrap/>
            <w:vAlign w:val="bottom"/>
            <w:hideMark/>
          </w:tcPr>
          <w:p w14:paraId="68CC502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1.4</w:t>
            </w:r>
          </w:p>
        </w:tc>
        <w:tc>
          <w:tcPr>
            <w:tcW w:w="1034" w:type="dxa"/>
            <w:tcBorders>
              <w:top w:val="nil"/>
              <w:left w:val="nil"/>
              <w:bottom w:val="nil"/>
              <w:right w:val="nil"/>
            </w:tcBorders>
            <w:shd w:val="clear" w:color="auto" w:fill="auto"/>
            <w:noWrap/>
            <w:vAlign w:val="bottom"/>
            <w:hideMark/>
          </w:tcPr>
          <w:p w14:paraId="012B506B" w14:textId="77777777" w:rsidR="00E45705" w:rsidRPr="001B09E6" w:rsidRDefault="00E45705" w:rsidP="00E45705">
            <w:pPr>
              <w:rPr>
                <w:rFonts w:asciiTheme="minorHAnsi" w:eastAsia="Times New Roman" w:hAnsiTheme="minorHAnsi"/>
                <w:color w:val="000000"/>
                <w:sz w:val="18"/>
                <w:szCs w:val="18"/>
                <w:lang w:eastAsia="en-AU"/>
              </w:rPr>
            </w:pPr>
          </w:p>
        </w:tc>
      </w:tr>
      <w:tr w:rsidR="00E45705" w:rsidRPr="001B09E6" w14:paraId="0354ADDD" w14:textId="77777777" w:rsidTr="00E45705">
        <w:trPr>
          <w:trHeight w:val="300"/>
        </w:trPr>
        <w:tc>
          <w:tcPr>
            <w:tcW w:w="12973" w:type="dxa"/>
            <w:gridSpan w:val="12"/>
            <w:tcBorders>
              <w:top w:val="nil"/>
              <w:left w:val="nil"/>
              <w:bottom w:val="nil"/>
              <w:right w:val="nil"/>
            </w:tcBorders>
            <w:shd w:val="clear" w:color="auto" w:fill="auto"/>
            <w:noWrap/>
            <w:vAlign w:val="bottom"/>
            <w:hideMark/>
          </w:tcPr>
          <w:p w14:paraId="4FEE4833" w14:textId="77777777" w:rsidR="00E45705" w:rsidRPr="001B09E6" w:rsidRDefault="00E45705" w:rsidP="00E45705">
            <w:pPr>
              <w:pStyle w:val="Tablenote"/>
              <w:rPr>
                <w:lang w:eastAsia="en-AU"/>
              </w:rPr>
            </w:pPr>
            <w:r w:rsidRPr="001B09E6">
              <w:rPr>
                <w:lang w:eastAsia="en-AU"/>
              </w:rPr>
              <w:t>Source: ABS Survey of Education and Work 6227.0</w:t>
            </w:r>
          </w:p>
        </w:tc>
      </w:tr>
    </w:tbl>
    <w:p w14:paraId="629EA8E3" w14:textId="77777777" w:rsidR="00E45705" w:rsidRDefault="00E45705" w:rsidP="00E45705">
      <w:r>
        <w:rPr>
          <w:bCs/>
          <w:caps/>
        </w:rPr>
        <w:br w:type="page"/>
      </w:r>
    </w:p>
    <w:tbl>
      <w:tblPr>
        <w:tblW w:w="14403" w:type="dxa"/>
        <w:tblInd w:w="93" w:type="dxa"/>
        <w:tblLook w:val="04A0" w:firstRow="1" w:lastRow="0" w:firstColumn="1" w:lastColumn="0" w:noHBand="0" w:noVBand="1"/>
        <w:tblCaption w:val="Proportion of persons aged 18-24 years who are fully engaged in employment, education or training at or above Certificate III level (NEA Indicator 10), by sex (%) "/>
        <w:tblDescription w:val="Proportion of persons aged 18-24 years who are fully engaged in employment, education or training at or above Certificate III level (NEA Indicator 10), by sex (%)&#10;"/>
      </w:tblPr>
      <w:tblGrid>
        <w:gridCol w:w="866"/>
        <w:gridCol w:w="3544"/>
        <w:gridCol w:w="908"/>
        <w:gridCol w:w="908"/>
        <w:gridCol w:w="908"/>
        <w:gridCol w:w="460"/>
        <w:gridCol w:w="448"/>
        <w:gridCol w:w="545"/>
        <w:gridCol w:w="363"/>
        <w:gridCol w:w="487"/>
        <w:gridCol w:w="421"/>
        <w:gridCol w:w="571"/>
        <w:gridCol w:w="337"/>
        <w:gridCol w:w="797"/>
        <w:gridCol w:w="111"/>
        <w:gridCol w:w="598"/>
        <w:gridCol w:w="310"/>
        <w:gridCol w:w="399"/>
        <w:gridCol w:w="509"/>
        <w:gridCol w:w="154"/>
        <w:gridCol w:w="759"/>
      </w:tblGrid>
      <w:tr w:rsidR="00E45705" w:rsidRPr="001B09E6" w14:paraId="5A1756B7" w14:textId="77777777" w:rsidTr="00E45705">
        <w:trPr>
          <w:trHeight w:val="300"/>
        </w:trPr>
        <w:tc>
          <w:tcPr>
            <w:tcW w:w="14403" w:type="dxa"/>
            <w:gridSpan w:val="21"/>
            <w:tcBorders>
              <w:top w:val="nil"/>
              <w:left w:val="nil"/>
              <w:bottom w:val="nil"/>
              <w:right w:val="nil"/>
            </w:tcBorders>
            <w:shd w:val="clear" w:color="auto" w:fill="auto"/>
            <w:noWrap/>
            <w:vAlign w:val="bottom"/>
            <w:hideMark/>
          </w:tcPr>
          <w:p w14:paraId="7BC1EFBE" w14:textId="77777777" w:rsidR="00E45705" w:rsidRPr="001B09E6" w:rsidRDefault="00E45705" w:rsidP="00E45705">
            <w:pPr>
              <w:pStyle w:val="TableHeading"/>
              <w:spacing w:before="112"/>
            </w:pPr>
            <w:r w:rsidRPr="001B09E6">
              <w:t>Proportion of persons aged 18-24 years who are fully engaged in employment, education or training at or above Certificate III level (NEA Indicator 10), by sex (%)</w:t>
            </w:r>
          </w:p>
        </w:tc>
      </w:tr>
      <w:tr w:rsidR="00E45705" w:rsidRPr="001B09E6" w14:paraId="51CAF9CC" w14:textId="77777777" w:rsidTr="00E45705">
        <w:trPr>
          <w:trHeight w:val="300"/>
        </w:trPr>
        <w:tc>
          <w:tcPr>
            <w:tcW w:w="866" w:type="dxa"/>
            <w:tcBorders>
              <w:top w:val="single" w:sz="4" w:space="0" w:color="auto"/>
              <w:left w:val="nil"/>
              <w:bottom w:val="single" w:sz="4" w:space="0" w:color="auto"/>
              <w:right w:val="nil"/>
            </w:tcBorders>
            <w:shd w:val="clear" w:color="auto" w:fill="auto"/>
            <w:noWrap/>
            <w:vAlign w:val="bottom"/>
            <w:hideMark/>
          </w:tcPr>
          <w:p w14:paraId="4C668CB6" w14:textId="77777777" w:rsidR="00E45705" w:rsidRPr="001B09E6" w:rsidRDefault="00E45705" w:rsidP="00E45705">
            <w:pPr>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 </w:t>
            </w:r>
          </w:p>
        </w:tc>
        <w:tc>
          <w:tcPr>
            <w:tcW w:w="3544" w:type="dxa"/>
            <w:tcBorders>
              <w:top w:val="single" w:sz="4" w:space="0" w:color="auto"/>
              <w:left w:val="nil"/>
              <w:bottom w:val="single" w:sz="4" w:space="0" w:color="auto"/>
              <w:right w:val="nil"/>
            </w:tcBorders>
            <w:shd w:val="clear" w:color="auto" w:fill="auto"/>
            <w:noWrap/>
            <w:vAlign w:val="bottom"/>
            <w:hideMark/>
          </w:tcPr>
          <w:p w14:paraId="153100FB" w14:textId="77777777" w:rsidR="00E45705" w:rsidRPr="001B09E6" w:rsidRDefault="00E45705" w:rsidP="00E45705">
            <w:pPr>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 </w:t>
            </w:r>
          </w:p>
        </w:tc>
        <w:tc>
          <w:tcPr>
            <w:tcW w:w="908" w:type="dxa"/>
            <w:tcBorders>
              <w:top w:val="single" w:sz="4" w:space="0" w:color="auto"/>
              <w:left w:val="nil"/>
              <w:bottom w:val="single" w:sz="4" w:space="0" w:color="auto"/>
              <w:right w:val="nil"/>
            </w:tcBorders>
            <w:shd w:val="clear" w:color="auto" w:fill="auto"/>
            <w:noWrap/>
            <w:vAlign w:val="bottom"/>
            <w:hideMark/>
          </w:tcPr>
          <w:p w14:paraId="13FF4F04"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2001</w:t>
            </w:r>
          </w:p>
        </w:tc>
        <w:tc>
          <w:tcPr>
            <w:tcW w:w="908" w:type="dxa"/>
            <w:tcBorders>
              <w:top w:val="single" w:sz="4" w:space="0" w:color="auto"/>
              <w:left w:val="nil"/>
              <w:bottom w:val="single" w:sz="4" w:space="0" w:color="auto"/>
              <w:right w:val="nil"/>
            </w:tcBorders>
            <w:shd w:val="clear" w:color="auto" w:fill="auto"/>
            <w:noWrap/>
            <w:vAlign w:val="bottom"/>
            <w:hideMark/>
          </w:tcPr>
          <w:p w14:paraId="4486F7E9"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2002</w:t>
            </w:r>
          </w:p>
        </w:tc>
        <w:tc>
          <w:tcPr>
            <w:tcW w:w="908" w:type="dxa"/>
            <w:tcBorders>
              <w:top w:val="single" w:sz="4" w:space="0" w:color="auto"/>
              <w:left w:val="nil"/>
              <w:bottom w:val="single" w:sz="4" w:space="0" w:color="auto"/>
              <w:right w:val="nil"/>
            </w:tcBorders>
            <w:shd w:val="clear" w:color="auto" w:fill="auto"/>
            <w:noWrap/>
            <w:vAlign w:val="bottom"/>
            <w:hideMark/>
          </w:tcPr>
          <w:p w14:paraId="08E18CF9"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2003</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4FE9F270"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2004</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5D06A58D"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2005</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6309FD85"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2006</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114FB55B"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2007</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39ED15F6"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2008</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57705728"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2009</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0BCC7CBD"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2010</w:t>
            </w:r>
          </w:p>
        </w:tc>
        <w:tc>
          <w:tcPr>
            <w:tcW w:w="913" w:type="dxa"/>
            <w:gridSpan w:val="2"/>
            <w:tcBorders>
              <w:top w:val="single" w:sz="4" w:space="0" w:color="auto"/>
              <w:left w:val="nil"/>
              <w:bottom w:val="single" w:sz="4" w:space="0" w:color="auto"/>
              <w:right w:val="nil"/>
            </w:tcBorders>
            <w:shd w:val="clear" w:color="auto" w:fill="auto"/>
            <w:noWrap/>
            <w:vAlign w:val="bottom"/>
            <w:hideMark/>
          </w:tcPr>
          <w:p w14:paraId="3EDA2505"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2011</w:t>
            </w:r>
          </w:p>
        </w:tc>
      </w:tr>
      <w:tr w:rsidR="00E45705" w:rsidRPr="001B09E6" w14:paraId="20168947" w14:textId="77777777" w:rsidTr="00E45705">
        <w:trPr>
          <w:trHeight w:val="365"/>
        </w:trPr>
        <w:tc>
          <w:tcPr>
            <w:tcW w:w="866" w:type="dxa"/>
            <w:tcBorders>
              <w:top w:val="nil"/>
              <w:left w:val="nil"/>
              <w:bottom w:val="nil"/>
              <w:right w:val="nil"/>
            </w:tcBorders>
            <w:shd w:val="clear" w:color="auto" w:fill="auto"/>
            <w:noWrap/>
            <w:vAlign w:val="bottom"/>
            <w:hideMark/>
          </w:tcPr>
          <w:p w14:paraId="72DDDDCC"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Males</w:t>
            </w:r>
          </w:p>
        </w:tc>
        <w:tc>
          <w:tcPr>
            <w:tcW w:w="3544" w:type="dxa"/>
            <w:tcBorders>
              <w:top w:val="nil"/>
              <w:left w:val="nil"/>
              <w:bottom w:val="nil"/>
              <w:right w:val="nil"/>
            </w:tcBorders>
            <w:shd w:val="clear" w:color="auto" w:fill="auto"/>
            <w:vAlign w:val="bottom"/>
            <w:hideMark/>
          </w:tcPr>
          <w:p w14:paraId="4492E162"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employment</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14:paraId="51DD334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51.4</w:t>
            </w:r>
          </w:p>
        </w:tc>
        <w:tc>
          <w:tcPr>
            <w:tcW w:w="908" w:type="dxa"/>
            <w:tcBorders>
              <w:top w:val="nil"/>
              <w:left w:val="nil"/>
              <w:bottom w:val="nil"/>
              <w:right w:val="nil"/>
            </w:tcBorders>
            <w:shd w:val="clear" w:color="auto" w:fill="auto"/>
            <w:noWrap/>
            <w:vAlign w:val="bottom"/>
            <w:hideMark/>
          </w:tcPr>
          <w:p w14:paraId="2E044FD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50.5</w:t>
            </w:r>
          </w:p>
        </w:tc>
        <w:tc>
          <w:tcPr>
            <w:tcW w:w="908" w:type="dxa"/>
            <w:tcBorders>
              <w:top w:val="nil"/>
              <w:left w:val="nil"/>
              <w:bottom w:val="nil"/>
              <w:right w:val="nil"/>
            </w:tcBorders>
            <w:shd w:val="clear" w:color="auto" w:fill="auto"/>
            <w:noWrap/>
            <w:vAlign w:val="bottom"/>
            <w:hideMark/>
          </w:tcPr>
          <w:p w14:paraId="7677649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50.0</w:t>
            </w:r>
          </w:p>
        </w:tc>
        <w:tc>
          <w:tcPr>
            <w:tcW w:w="908" w:type="dxa"/>
            <w:gridSpan w:val="2"/>
            <w:tcBorders>
              <w:top w:val="nil"/>
              <w:left w:val="nil"/>
              <w:bottom w:val="nil"/>
              <w:right w:val="nil"/>
            </w:tcBorders>
            <w:shd w:val="clear" w:color="auto" w:fill="auto"/>
            <w:noWrap/>
            <w:vAlign w:val="bottom"/>
            <w:hideMark/>
          </w:tcPr>
          <w:p w14:paraId="5D5AAFE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50.8</w:t>
            </w:r>
          </w:p>
        </w:tc>
        <w:tc>
          <w:tcPr>
            <w:tcW w:w="908" w:type="dxa"/>
            <w:gridSpan w:val="2"/>
            <w:tcBorders>
              <w:top w:val="nil"/>
              <w:left w:val="nil"/>
              <w:bottom w:val="nil"/>
              <w:right w:val="nil"/>
            </w:tcBorders>
            <w:shd w:val="clear" w:color="auto" w:fill="auto"/>
            <w:noWrap/>
            <w:vAlign w:val="bottom"/>
            <w:hideMark/>
          </w:tcPr>
          <w:p w14:paraId="7B1AE97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53.1</w:t>
            </w:r>
          </w:p>
        </w:tc>
        <w:tc>
          <w:tcPr>
            <w:tcW w:w="908" w:type="dxa"/>
            <w:gridSpan w:val="2"/>
            <w:tcBorders>
              <w:top w:val="nil"/>
              <w:left w:val="nil"/>
              <w:bottom w:val="nil"/>
              <w:right w:val="nil"/>
            </w:tcBorders>
            <w:shd w:val="clear" w:color="auto" w:fill="auto"/>
            <w:noWrap/>
            <w:vAlign w:val="bottom"/>
            <w:hideMark/>
          </w:tcPr>
          <w:p w14:paraId="527C3F9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54.0</w:t>
            </w:r>
          </w:p>
        </w:tc>
        <w:tc>
          <w:tcPr>
            <w:tcW w:w="908" w:type="dxa"/>
            <w:gridSpan w:val="2"/>
            <w:tcBorders>
              <w:top w:val="nil"/>
              <w:left w:val="nil"/>
              <w:bottom w:val="nil"/>
              <w:right w:val="nil"/>
            </w:tcBorders>
            <w:shd w:val="clear" w:color="auto" w:fill="auto"/>
            <w:noWrap/>
            <w:vAlign w:val="bottom"/>
            <w:hideMark/>
          </w:tcPr>
          <w:p w14:paraId="039F91E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53.2</w:t>
            </w:r>
          </w:p>
        </w:tc>
        <w:tc>
          <w:tcPr>
            <w:tcW w:w="908" w:type="dxa"/>
            <w:gridSpan w:val="2"/>
            <w:tcBorders>
              <w:top w:val="nil"/>
              <w:left w:val="nil"/>
              <w:bottom w:val="nil"/>
              <w:right w:val="nil"/>
            </w:tcBorders>
            <w:shd w:val="clear" w:color="auto" w:fill="auto"/>
            <w:noWrap/>
            <w:vAlign w:val="bottom"/>
            <w:hideMark/>
          </w:tcPr>
          <w:p w14:paraId="1BACA71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52.4</w:t>
            </w:r>
          </w:p>
        </w:tc>
        <w:tc>
          <w:tcPr>
            <w:tcW w:w="908" w:type="dxa"/>
            <w:gridSpan w:val="2"/>
            <w:tcBorders>
              <w:top w:val="nil"/>
              <w:left w:val="nil"/>
              <w:bottom w:val="nil"/>
              <w:right w:val="nil"/>
            </w:tcBorders>
            <w:shd w:val="clear" w:color="auto" w:fill="auto"/>
            <w:noWrap/>
            <w:vAlign w:val="bottom"/>
            <w:hideMark/>
          </w:tcPr>
          <w:p w14:paraId="4993710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47.1</w:t>
            </w:r>
          </w:p>
        </w:tc>
        <w:tc>
          <w:tcPr>
            <w:tcW w:w="908" w:type="dxa"/>
            <w:gridSpan w:val="2"/>
            <w:tcBorders>
              <w:top w:val="nil"/>
              <w:left w:val="nil"/>
              <w:bottom w:val="nil"/>
              <w:right w:val="nil"/>
            </w:tcBorders>
            <w:shd w:val="clear" w:color="auto" w:fill="auto"/>
            <w:noWrap/>
            <w:vAlign w:val="bottom"/>
            <w:hideMark/>
          </w:tcPr>
          <w:p w14:paraId="3863F88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47.2</w:t>
            </w:r>
          </w:p>
        </w:tc>
        <w:tc>
          <w:tcPr>
            <w:tcW w:w="913" w:type="dxa"/>
            <w:gridSpan w:val="2"/>
            <w:tcBorders>
              <w:top w:val="nil"/>
              <w:left w:val="nil"/>
              <w:bottom w:val="nil"/>
              <w:right w:val="nil"/>
            </w:tcBorders>
            <w:shd w:val="clear" w:color="auto" w:fill="auto"/>
            <w:noWrap/>
            <w:vAlign w:val="bottom"/>
            <w:hideMark/>
          </w:tcPr>
          <w:p w14:paraId="6E431F5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47.5</w:t>
            </w:r>
          </w:p>
        </w:tc>
      </w:tr>
      <w:tr w:rsidR="00E45705" w:rsidRPr="001B09E6" w14:paraId="1F4DB0C7" w14:textId="77777777" w:rsidTr="00E45705">
        <w:trPr>
          <w:trHeight w:val="567"/>
        </w:trPr>
        <w:tc>
          <w:tcPr>
            <w:tcW w:w="866" w:type="dxa"/>
            <w:tcBorders>
              <w:top w:val="nil"/>
              <w:left w:val="nil"/>
              <w:bottom w:val="nil"/>
              <w:right w:val="nil"/>
            </w:tcBorders>
            <w:shd w:val="clear" w:color="auto" w:fill="auto"/>
            <w:noWrap/>
            <w:vAlign w:val="bottom"/>
            <w:hideMark/>
          </w:tcPr>
          <w:p w14:paraId="1B9D2AA8"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14:paraId="777A3BE8"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education/  training at or above Certificate III level</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14:paraId="27591B0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21.7</w:t>
            </w:r>
          </w:p>
        </w:tc>
        <w:tc>
          <w:tcPr>
            <w:tcW w:w="908" w:type="dxa"/>
            <w:tcBorders>
              <w:top w:val="nil"/>
              <w:left w:val="nil"/>
              <w:bottom w:val="nil"/>
              <w:right w:val="nil"/>
            </w:tcBorders>
            <w:shd w:val="clear" w:color="auto" w:fill="auto"/>
            <w:noWrap/>
            <w:vAlign w:val="bottom"/>
            <w:hideMark/>
          </w:tcPr>
          <w:p w14:paraId="206FD7F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24.7</w:t>
            </w:r>
          </w:p>
        </w:tc>
        <w:tc>
          <w:tcPr>
            <w:tcW w:w="908" w:type="dxa"/>
            <w:tcBorders>
              <w:top w:val="nil"/>
              <w:left w:val="nil"/>
              <w:bottom w:val="nil"/>
              <w:right w:val="nil"/>
            </w:tcBorders>
            <w:shd w:val="clear" w:color="auto" w:fill="auto"/>
            <w:noWrap/>
            <w:vAlign w:val="bottom"/>
            <w:hideMark/>
          </w:tcPr>
          <w:p w14:paraId="7DBC8CB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23.9</w:t>
            </w:r>
          </w:p>
        </w:tc>
        <w:tc>
          <w:tcPr>
            <w:tcW w:w="908" w:type="dxa"/>
            <w:gridSpan w:val="2"/>
            <w:tcBorders>
              <w:top w:val="nil"/>
              <w:left w:val="nil"/>
              <w:bottom w:val="nil"/>
              <w:right w:val="nil"/>
            </w:tcBorders>
            <w:shd w:val="clear" w:color="auto" w:fill="auto"/>
            <w:noWrap/>
            <w:vAlign w:val="bottom"/>
            <w:hideMark/>
          </w:tcPr>
          <w:p w14:paraId="457064D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23.9</w:t>
            </w:r>
          </w:p>
        </w:tc>
        <w:tc>
          <w:tcPr>
            <w:tcW w:w="908" w:type="dxa"/>
            <w:gridSpan w:val="2"/>
            <w:tcBorders>
              <w:top w:val="nil"/>
              <w:left w:val="nil"/>
              <w:bottom w:val="nil"/>
              <w:right w:val="nil"/>
            </w:tcBorders>
            <w:shd w:val="clear" w:color="auto" w:fill="auto"/>
            <w:noWrap/>
            <w:vAlign w:val="bottom"/>
            <w:hideMark/>
          </w:tcPr>
          <w:p w14:paraId="03D848E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22.4</w:t>
            </w:r>
          </w:p>
        </w:tc>
        <w:tc>
          <w:tcPr>
            <w:tcW w:w="908" w:type="dxa"/>
            <w:gridSpan w:val="2"/>
            <w:tcBorders>
              <w:top w:val="nil"/>
              <w:left w:val="nil"/>
              <w:bottom w:val="nil"/>
              <w:right w:val="nil"/>
            </w:tcBorders>
            <w:shd w:val="clear" w:color="auto" w:fill="auto"/>
            <w:noWrap/>
            <w:vAlign w:val="bottom"/>
            <w:hideMark/>
          </w:tcPr>
          <w:p w14:paraId="1B72328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22.2</w:t>
            </w:r>
          </w:p>
        </w:tc>
        <w:tc>
          <w:tcPr>
            <w:tcW w:w="908" w:type="dxa"/>
            <w:gridSpan w:val="2"/>
            <w:tcBorders>
              <w:top w:val="nil"/>
              <w:left w:val="nil"/>
              <w:bottom w:val="nil"/>
              <w:right w:val="nil"/>
            </w:tcBorders>
            <w:shd w:val="clear" w:color="auto" w:fill="auto"/>
            <w:noWrap/>
            <w:vAlign w:val="bottom"/>
            <w:hideMark/>
          </w:tcPr>
          <w:p w14:paraId="0709C9C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24.4</w:t>
            </w:r>
          </w:p>
        </w:tc>
        <w:tc>
          <w:tcPr>
            <w:tcW w:w="908" w:type="dxa"/>
            <w:gridSpan w:val="2"/>
            <w:tcBorders>
              <w:top w:val="nil"/>
              <w:left w:val="nil"/>
              <w:bottom w:val="nil"/>
              <w:right w:val="nil"/>
            </w:tcBorders>
            <w:shd w:val="clear" w:color="auto" w:fill="auto"/>
            <w:noWrap/>
            <w:vAlign w:val="bottom"/>
            <w:hideMark/>
          </w:tcPr>
          <w:p w14:paraId="1D8F860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25.4</w:t>
            </w:r>
          </w:p>
        </w:tc>
        <w:tc>
          <w:tcPr>
            <w:tcW w:w="908" w:type="dxa"/>
            <w:gridSpan w:val="2"/>
            <w:tcBorders>
              <w:top w:val="nil"/>
              <w:left w:val="nil"/>
              <w:bottom w:val="nil"/>
              <w:right w:val="nil"/>
            </w:tcBorders>
            <w:shd w:val="clear" w:color="auto" w:fill="auto"/>
            <w:noWrap/>
            <w:vAlign w:val="bottom"/>
            <w:hideMark/>
          </w:tcPr>
          <w:p w14:paraId="2614A79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25.7</w:t>
            </w:r>
          </w:p>
        </w:tc>
        <w:tc>
          <w:tcPr>
            <w:tcW w:w="908" w:type="dxa"/>
            <w:gridSpan w:val="2"/>
            <w:tcBorders>
              <w:top w:val="nil"/>
              <w:left w:val="nil"/>
              <w:bottom w:val="nil"/>
              <w:right w:val="nil"/>
            </w:tcBorders>
            <w:shd w:val="clear" w:color="auto" w:fill="auto"/>
            <w:noWrap/>
            <w:vAlign w:val="bottom"/>
            <w:hideMark/>
          </w:tcPr>
          <w:p w14:paraId="016EDDF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25.8</w:t>
            </w:r>
          </w:p>
        </w:tc>
        <w:tc>
          <w:tcPr>
            <w:tcW w:w="913" w:type="dxa"/>
            <w:gridSpan w:val="2"/>
            <w:tcBorders>
              <w:top w:val="nil"/>
              <w:left w:val="nil"/>
              <w:bottom w:val="nil"/>
              <w:right w:val="nil"/>
            </w:tcBorders>
            <w:shd w:val="clear" w:color="auto" w:fill="auto"/>
            <w:noWrap/>
            <w:vAlign w:val="bottom"/>
            <w:hideMark/>
          </w:tcPr>
          <w:p w14:paraId="1545515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26.8</w:t>
            </w:r>
          </w:p>
        </w:tc>
      </w:tr>
      <w:tr w:rsidR="00E45705" w:rsidRPr="001B09E6" w14:paraId="11C0E98C" w14:textId="77777777" w:rsidTr="00E45705">
        <w:trPr>
          <w:trHeight w:val="706"/>
        </w:trPr>
        <w:tc>
          <w:tcPr>
            <w:tcW w:w="866" w:type="dxa"/>
            <w:tcBorders>
              <w:top w:val="nil"/>
              <w:left w:val="nil"/>
              <w:bottom w:val="nil"/>
              <w:right w:val="nil"/>
            </w:tcBorders>
            <w:shd w:val="clear" w:color="auto" w:fill="auto"/>
            <w:noWrap/>
            <w:vAlign w:val="bottom"/>
            <w:hideMark/>
          </w:tcPr>
          <w:p w14:paraId="0283762F"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14:paraId="0859A788"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Mix of full-time or part-time employment or education/training at or above Certificate III level</w:t>
            </w:r>
            <w:r w:rsidRPr="001B09E6">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nil"/>
              <w:right w:val="nil"/>
            </w:tcBorders>
            <w:shd w:val="clear" w:color="auto" w:fill="auto"/>
            <w:noWrap/>
            <w:vAlign w:val="bottom"/>
            <w:hideMark/>
          </w:tcPr>
          <w:p w14:paraId="727CBBF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w:t>
            </w:r>
          </w:p>
        </w:tc>
        <w:tc>
          <w:tcPr>
            <w:tcW w:w="908" w:type="dxa"/>
            <w:tcBorders>
              <w:top w:val="nil"/>
              <w:left w:val="nil"/>
              <w:bottom w:val="nil"/>
              <w:right w:val="nil"/>
            </w:tcBorders>
            <w:shd w:val="clear" w:color="auto" w:fill="auto"/>
            <w:noWrap/>
            <w:vAlign w:val="bottom"/>
            <w:hideMark/>
          </w:tcPr>
          <w:p w14:paraId="3643408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w:t>
            </w:r>
          </w:p>
        </w:tc>
        <w:tc>
          <w:tcPr>
            <w:tcW w:w="908" w:type="dxa"/>
            <w:tcBorders>
              <w:top w:val="nil"/>
              <w:left w:val="nil"/>
              <w:bottom w:val="nil"/>
              <w:right w:val="nil"/>
            </w:tcBorders>
            <w:shd w:val="clear" w:color="auto" w:fill="auto"/>
            <w:noWrap/>
            <w:vAlign w:val="bottom"/>
            <w:hideMark/>
          </w:tcPr>
          <w:p w14:paraId="4D10747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2.4</w:t>
            </w:r>
          </w:p>
        </w:tc>
        <w:tc>
          <w:tcPr>
            <w:tcW w:w="908" w:type="dxa"/>
            <w:gridSpan w:val="2"/>
            <w:tcBorders>
              <w:top w:val="nil"/>
              <w:left w:val="nil"/>
              <w:bottom w:val="nil"/>
              <w:right w:val="nil"/>
            </w:tcBorders>
            <w:shd w:val="clear" w:color="auto" w:fill="auto"/>
            <w:noWrap/>
            <w:vAlign w:val="bottom"/>
            <w:hideMark/>
          </w:tcPr>
          <w:p w14:paraId="0B50836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2.7</w:t>
            </w:r>
          </w:p>
        </w:tc>
        <w:tc>
          <w:tcPr>
            <w:tcW w:w="908" w:type="dxa"/>
            <w:gridSpan w:val="2"/>
            <w:tcBorders>
              <w:top w:val="nil"/>
              <w:left w:val="nil"/>
              <w:bottom w:val="nil"/>
              <w:right w:val="nil"/>
            </w:tcBorders>
            <w:shd w:val="clear" w:color="auto" w:fill="auto"/>
            <w:noWrap/>
            <w:vAlign w:val="bottom"/>
            <w:hideMark/>
          </w:tcPr>
          <w:p w14:paraId="2ACE94B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2.8</w:t>
            </w:r>
          </w:p>
        </w:tc>
        <w:tc>
          <w:tcPr>
            <w:tcW w:w="908" w:type="dxa"/>
            <w:gridSpan w:val="2"/>
            <w:tcBorders>
              <w:top w:val="nil"/>
              <w:left w:val="nil"/>
              <w:bottom w:val="nil"/>
              <w:right w:val="nil"/>
            </w:tcBorders>
            <w:shd w:val="clear" w:color="auto" w:fill="auto"/>
            <w:noWrap/>
            <w:vAlign w:val="bottom"/>
            <w:hideMark/>
          </w:tcPr>
          <w:p w14:paraId="522ADE3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w:t>
            </w:r>
          </w:p>
        </w:tc>
        <w:tc>
          <w:tcPr>
            <w:tcW w:w="908" w:type="dxa"/>
            <w:gridSpan w:val="2"/>
            <w:tcBorders>
              <w:top w:val="nil"/>
              <w:left w:val="nil"/>
              <w:bottom w:val="nil"/>
              <w:right w:val="nil"/>
            </w:tcBorders>
            <w:shd w:val="clear" w:color="auto" w:fill="auto"/>
            <w:noWrap/>
            <w:vAlign w:val="bottom"/>
            <w:hideMark/>
          </w:tcPr>
          <w:p w14:paraId="519C636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2.9</w:t>
            </w:r>
          </w:p>
        </w:tc>
        <w:tc>
          <w:tcPr>
            <w:tcW w:w="908" w:type="dxa"/>
            <w:gridSpan w:val="2"/>
            <w:tcBorders>
              <w:top w:val="nil"/>
              <w:left w:val="nil"/>
              <w:bottom w:val="nil"/>
              <w:right w:val="nil"/>
            </w:tcBorders>
            <w:shd w:val="clear" w:color="auto" w:fill="auto"/>
            <w:noWrap/>
            <w:vAlign w:val="bottom"/>
            <w:hideMark/>
          </w:tcPr>
          <w:p w14:paraId="779E952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3.0</w:t>
            </w:r>
          </w:p>
        </w:tc>
        <w:tc>
          <w:tcPr>
            <w:tcW w:w="908" w:type="dxa"/>
            <w:gridSpan w:val="2"/>
            <w:tcBorders>
              <w:top w:val="nil"/>
              <w:left w:val="nil"/>
              <w:bottom w:val="nil"/>
              <w:right w:val="nil"/>
            </w:tcBorders>
            <w:shd w:val="clear" w:color="auto" w:fill="auto"/>
            <w:noWrap/>
            <w:vAlign w:val="bottom"/>
            <w:hideMark/>
          </w:tcPr>
          <w:p w14:paraId="19CCC32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w:t>
            </w:r>
          </w:p>
        </w:tc>
        <w:tc>
          <w:tcPr>
            <w:tcW w:w="908" w:type="dxa"/>
            <w:gridSpan w:val="2"/>
            <w:tcBorders>
              <w:top w:val="nil"/>
              <w:left w:val="nil"/>
              <w:bottom w:val="nil"/>
              <w:right w:val="nil"/>
            </w:tcBorders>
            <w:shd w:val="clear" w:color="auto" w:fill="auto"/>
            <w:noWrap/>
            <w:vAlign w:val="bottom"/>
            <w:hideMark/>
          </w:tcPr>
          <w:p w14:paraId="5F6660E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w:t>
            </w:r>
          </w:p>
        </w:tc>
        <w:tc>
          <w:tcPr>
            <w:tcW w:w="913" w:type="dxa"/>
            <w:gridSpan w:val="2"/>
            <w:tcBorders>
              <w:top w:val="nil"/>
              <w:left w:val="nil"/>
              <w:bottom w:val="nil"/>
              <w:right w:val="nil"/>
            </w:tcBorders>
            <w:shd w:val="clear" w:color="auto" w:fill="auto"/>
            <w:noWrap/>
            <w:vAlign w:val="bottom"/>
            <w:hideMark/>
          </w:tcPr>
          <w:p w14:paraId="759FE27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2.4</w:t>
            </w:r>
          </w:p>
        </w:tc>
      </w:tr>
      <w:tr w:rsidR="00E45705" w:rsidRPr="001B09E6" w14:paraId="7B0D2BEF" w14:textId="77777777" w:rsidTr="00E45705">
        <w:trPr>
          <w:trHeight w:val="300"/>
        </w:trPr>
        <w:tc>
          <w:tcPr>
            <w:tcW w:w="866" w:type="dxa"/>
            <w:tcBorders>
              <w:top w:val="nil"/>
              <w:left w:val="nil"/>
              <w:bottom w:val="nil"/>
              <w:right w:val="nil"/>
            </w:tcBorders>
            <w:shd w:val="clear" w:color="auto" w:fill="auto"/>
            <w:noWrap/>
            <w:vAlign w:val="bottom"/>
            <w:hideMark/>
          </w:tcPr>
          <w:p w14:paraId="30CC5762"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14:paraId="2A4114EF"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Total fully engaged</w:t>
            </w:r>
            <w:r w:rsidRPr="001B09E6">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14:paraId="1DCCCF7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75.0</w:t>
            </w:r>
          </w:p>
        </w:tc>
        <w:tc>
          <w:tcPr>
            <w:tcW w:w="908" w:type="dxa"/>
            <w:tcBorders>
              <w:top w:val="dotted" w:sz="4" w:space="0" w:color="auto"/>
              <w:left w:val="nil"/>
              <w:bottom w:val="dotted" w:sz="4" w:space="0" w:color="auto"/>
              <w:right w:val="nil"/>
            </w:tcBorders>
            <w:shd w:val="clear" w:color="auto" w:fill="auto"/>
            <w:noWrap/>
            <w:vAlign w:val="bottom"/>
            <w:hideMark/>
          </w:tcPr>
          <w:p w14:paraId="5540F73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77.0</w:t>
            </w:r>
          </w:p>
        </w:tc>
        <w:tc>
          <w:tcPr>
            <w:tcW w:w="908" w:type="dxa"/>
            <w:tcBorders>
              <w:top w:val="dotted" w:sz="4" w:space="0" w:color="auto"/>
              <w:left w:val="nil"/>
              <w:bottom w:val="dotted" w:sz="4" w:space="0" w:color="auto"/>
              <w:right w:val="nil"/>
            </w:tcBorders>
            <w:shd w:val="clear" w:color="auto" w:fill="auto"/>
            <w:noWrap/>
            <w:vAlign w:val="bottom"/>
            <w:hideMark/>
          </w:tcPr>
          <w:p w14:paraId="38595FD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76.3</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57BE609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77.3</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3D8B93F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78.4</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2EB9074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78.5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0B5A369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80.5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1EED375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80.9</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0D70E17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75.1</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3E8587E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75.2</w:t>
            </w:r>
          </w:p>
        </w:tc>
        <w:tc>
          <w:tcPr>
            <w:tcW w:w="913" w:type="dxa"/>
            <w:gridSpan w:val="2"/>
            <w:tcBorders>
              <w:top w:val="dotted" w:sz="4" w:space="0" w:color="auto"/>
              <w:left w:val="nil"/>
              <w:bottom w:val="dotted" w:sz="4" w:space="0" w:color="auto"/>
              <w:right w:val="nil"/>
            </w:tcBorders>
            <w:shd w:val="clear" w:color="auto" w:fill="auto"/>
            <w:noWrap/>
            <w:vAlign w:val="bottom"/>
            <w:hideMark/>
          </w:tcPr>
          <w:p w14:paraId="23BBEA0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76.7</w:t>
            </w:r>
          </w:p>
        </w:tc>
      </w:tr>
      <w:tr w:rsidR="00E45705" w:rsidRPr="001B09E6" w14:paraId="7B3CD0EB" w14:textId="77777777" w:rsidTr="00E45705">
        <w:trPr>
          <w:trHeight w:val="300"/>
        </w:trPr>
        <w:tc>
          <w:tcPr>
            <w:tcW w:w="866" w:type="dxa"/>
            <w:tcBorders>
              <w:top w:val="nil"/>
              <w:left w:val="nil"/>
              <w:bottom w:val="single" w:sz="4" w:space="0" w:color="auto"/>
              <w:right w:val="nil"/>
            </w:tcBorders>
            <w:shd w:val="clear" w:color="auto" w:fill="auto"/>
            <w:noWrap/>
            <w:vAlign w:val="bottom"/>
            <w:hideMark/>
          </w:tcPr>
          <w:p w14:paraId="435B6E87"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 </w:t>
            </w:r>
          </w:p>
        </w:tc>
        <w:tc>
          <w:tcPr>
            <w:tcW w:w="3544" w:type="dxa"/>
            <w:tcBorders>
              <w:top w:val="nil"/>
              <w:left w:val="nil"/>
              <w:bottom w:val="single" w:sz="4" w:space="0" w:color="auto"/>
              <w:right w:val="nil"/>
            </w:tcBorders>
            <w:shd w:val="clear" w:color="auto" w:fill="auto"/>
            <w:vAlign w:val="bottom"/>
            <w:hideMark/>
          </w:tcPr>
          <w:p w14:paraId="25AC10E1"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Not fully engaged</w:t>
            </w:r>
          </w:p>
        </w:tc>
        <w:tc>
          <w:tcPr>
            <w:tcW w:w="908" w:type="dxa"/>
            <w:tcBorders>
              <w:top w:val="nil"/>
              <w:left w:val="nil"/>
              <w:bottom w:val="single" w:sz="4" w:space="0" w:color="auto"/>
              <w:right w:val="nil"/>
            </w:tcBorders>
            <w:shd w:val="clear" w:color="auto" w:fill="auto"/>
            <w:noWrap/>
            <w:vAlign w:val="bottom"/>
            <w:hideMark/>
          </w:tcPr>
          <w:p w14:paraId="5510476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25.0</w:t>
            </w:r>
          </w:p>
        </w:tc>
        <w:tc>
          <w:tcPr>
            <w:tcW w:w="908" w:type="dxa"/>
            <w:tcBorders>
              <w:top w:val="nil"/>
              <w:left w:val="nil"/>
              <w:bottom w:val="single" w:sz="4" w:space="0" w:color="auto"/>
              <w:right w:val="nil"/>
            </w:tcBorders>
            <w:shd w:val="clear" w:color="auto" w:fill="auto"/>
            <w:noWrap/>
            <w:vAlign w:val="bottom"/>
            <w:hideMark/>
          </w:tcPr>
          <w:p w14:paraId="6C91099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23.0</w:t>
            </w:r>
          </w:p>
        </w:tc>
        <w:tc>
          <w:tcPr>
            <w:tcW w:w="908" w:type="dxa"/>
            <w:tcBorders>
              <w:top w:val="nil"/>
              <w:left w:val="nil"/>
              <w:bottom w:val="single" w:sz="4" w:space="0" w:color="auto"/>
              <w:right w:val="nil"/>
            </w:tcBorders>
            <w:shd w:val="clear" w:color="auto" w:fill="auto"/>
            <w:noWrap/>
            <w:vAlign w:val="bottom"/>
            <w:hideMark/>
          </w:tcPr>
          <w:p w14:paraId="1329123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23.7</w:t>
            </w:r>
          </w:p>
        </w:tc>
        <w:tc>
          <w:tcPr>
            <w:tcW w:w="908" w:type="dxa"/>
            <w:gridSpan w:val="2"/>
            <w:tcBorders>
              <w:top w:val="nil"/>
              <w:left w:val="nil"/>
              <w:bottom w:val="single" w:sz="4" w:space="0" w:color="auto"/>
              <w:right w:val="nil"/>
            </w:tcBorders>
            <w:shd w:val="clear" w:color="auto" w:fill="auto"/>
            <w:noWrap/>
            <w:vAlign w:val="bottom"/>
            <w:hideMark/>
          </w:tcPr>
          <w:p w14:paraId="29AD6CB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22.7</w:t>
            </w:r>
          </w:p>
        </w:tc>
        <w:tc>
          <w:tcPr>
            <w:tcW w:w="908" w:type="dxa"/>
            <w:gridSpan w:val="2"/>
            <w:tcBorders>
              <w:top w:val="nil"/>
              <w:left w:val="nil"/>
              <w:bottom w:val="single" w:sz="4" w:space="0" w:color="auto"/>
              <w:right w:val="nil"/>
            </w:tcBorders>
            <w:shd w:val="clear" w:color="auto" w:fill="auto"/>
            <w:noWrap/>
            <w:vAlign w:val="bottom"/>
            <w:hideMark/>
          </w:tcPr>
          <w:p w14:paraId="7D30E8B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21.6</w:t>
            </w:r>
          </w:p>
        </w:tc>
        <w:tc>
          <w:tcPr>
            <w:tcW w:w="908" w:type="dxa"/>
            <w:gridSpan w:val="2"/>
            <w:tcBorders>
              <w:top w:val="nil"/>
              <w:left w:val="nil"/>
              <w:bottom w:val="single" w:sz="4" w:space="0" w:color="auto"/>
              <w:right w:val="nil"/>
            </w:tcBorders>
            <w:shd w:val="clear" w:color="auto" w:fill="auto"/>
            <w:noWrap/>
            <w:vAlign w:val="bottom"/>
            <w:hideMark/>
          </w:tcPr>
          <w:p w14:paraId="585DC4A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21.5</w:t>
            </w:r>
          </w:p>
        </w:tc>
        <w:tc>
          <w:tcPr>
            <w:tcW w:w="908" w:type="dxa"/>
            <w:gridSpan w:val="2"/>
            <w:tcBorders>
              <w:top w:val="nil"/>
              <w:left w:val="nil"/>
              <w:bottom w:val="single" w:sz="4" w:space="0" w:color="auto"/>
              <w:right w:val="nil"/>
            </w:tcBorders>
            <w:shd w:val="clear" w:color="auto" w:fill="auto"/>
            <w:noWrap/>
            <w:vAlign w:val="bottom"/>
            <w:hideMark/>
          </w:tcPr>
          <w:p w14:paraId="204ED9D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19.5</w:t>
            </w:r>
          </w:p>
        </w:tc>
        <w:tc>
          <w:tcPr>
            <w:tcW w:w="908" w:type="dxa"/>
            <w:gridSpan w:val="2"/>
            <w:tcBorders>
              <w:top w:val="nil"/>
              <w:left w:val="nil"/>
              <w:bottom w:val="single" w:sz="4" w:space="0" w:color="auto"/>
              <w:right w:val="nil"/>
            </w:tcBorders>
            <w:shd w:val="clear" w:color="auto" w:fill="auto"/>
            <w:noWrap/>
            <w:vAlign w:val="bottom"/>
            <w:hideMark/>
          </w:tcPr>
          <w:p w14:paraId="0C08FC4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19.1</w:t>
            </w:r>
          </w:p>
        </w:tc>
        <w:tc>
          <w:tcPr>
            <w:tcW w:w="908" w:type="dxa"/>
            <w:gridSpan w:val="2"/>
            <w:tcBorders>
              <w:top w:val="nil"/>
              <w:left w:val="nil"/>
              <w:bottom w:val="single" w:sz="4" w:space="0" w:color="auto"/>
              <w:right w:val="nil"/>
            </w:tcBorders>
            <w:shd w:val="clear" w:color="auto" w:fill="auto"/>
            <w:noWrap/>
            <w:vAlign w:val="bottom"/>
            <w:hideMark/>
          </w:tcPr>
          <w:p w14:paraId="4FC224F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24.9</w:t>
            </w:r>
          </w:p>
        </w:tc>
        <w:tc>
          <w:tcPr>
            <w:tcW w:w="908" w:type="dxa"/>
            <w:gridSpan w:val="2"/>
            <w:tcBorders>
              <w:top w:val="nil"/>
              <w:left w:val="nil"/>
              <w:bottom w:val="single" w:sz="4" w:space="0" w:color="auto"/>
              <w:right w:val="nil"/>
            </w:tcBorders>
            <w:shd w:val="clear" w:color="auto" w:fill="auto"/>
            <w:noWrap/>
            <w:vAlign w:val="bottom"/>
            <w:hideMark/>
          </w:tcPr>
          <w:p w14:paraId="6610683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24.8</w:t>
            </w:r>
          </w:p>
        </w:tc>
        <w:tc>
          <w:tcPr>
            <w:tcW w:w="913" w:type="dxa"/>
            <w:gridSpan w:val="2"/>
            <w:tcBorders>
              <w:top w:val="nil"/>
              <w:left w:val="nil"/>
              <w:bottom w:val="single" w:sz="4" w:space="0" w:color="auto"/>
              <w:right w:val="nil"/>
            </w:tcBorders>
            <w:shd w:val="clear" w:color="auto" w:fill="auto"/>
            <w:noWrap/>
            <w:vAlign w:val="bottom"/>
            <w:hideMark/>
          </w:tcPr>
          <w:p w14:paraId="1E7B4CC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23.3</w:t>
            </w:r>
          </w:p>
        </w:tc>
      </w:tr>
      <w:tr w:rsidR="00E45705" w:rsidRPr="001B09E6" w14:paraId="5070423B" w14:textId="77777777" w:rsidTr="00E45705">
        <w:trPr>
          <w:trHeight w:val="300"/>
        </w:trPr>
        <w:tc>
          <w:tcPr>
            <w:tcW w:w="866" w:type="dxa"/>
            <w:tcBorders>
              <w:top w:val="nil"/>
              <w:left w:val="nil"/>
              <w:bottom w:val="nil"/>
              <w:right w:val="nil"/>
            </w:tcBorders>
            <w:shd w:val="clear" w:color="auto" w:fill="auto"/>
            <w:noWrap/>
            <w:vAlign w:val="bottom"/>
            <w:hideMark/>
          </w:tcPr>
          <w:p w14:paraId="6727BFC7"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Females</w:t>
            </w:r>
          </w:p>
        </w:tc>
        <w:tc>
          <w:tcPr>
            <w:tcW w:w="3544" w:type="dxa"/>
            <w:tcBorders>
              <w:top w:val="nil"/>
              <w:left w:val="nil"/>
              <w:bottom w:val="nil"/>
              <w:right w:val="nil"/>
            </w:tcBorders>
            <w:shd w:val="clear" w:color="auto" w:fill="auto"/>
            <w:vAlign w:val="bottom"/>
            <w:hideMark/>
          </w:tcPr>
          <w:p w14:paraId="7AF53199"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employment</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14:paraId="2B7CA18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39.5</w:t>
            </w:r>
          </w:p>
        </w:tc>
        <w:tc>
          <w:tcPr>
            <w:tcW w:w="908" w:type="dxa"/>
            <w:tcBorders>
              <w:top w:val="nil"/>
              <w:left w:val="nil"/>
              <w:bottom w:val="nil"/>
              <w:right w:val="nil"/>
            </w:tcBorders>
            <w:shd w:val="clear" w:color="auto" w:fill="auto"/>
            <w:noWrap/>
            <w:vAlign w:val="bottom"/>
            <w:hideMark/>
          </w:tcPr>
          <w:p w14:paraId="674DCE6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37.0</w:t>
            </w:r>
          </w:p>
        </w:tc>
        <w:tc>
          <w:tcPr>
            <w:tcW w:w="908" w:type="dxa"/>
            <w:tcBorders>
              <w:top w:val="nil"/>
              <w:left w:val="nil"/>
              <w:bottom w:val="nil"/>
              <w:right w:val="nil"/>
            </w:tcBorders>
            <w:shd w:val="clear" w:color="auto" w:fill="auto"/>
            <w:noWrap/>
            <w:vAlign w:val="bottom"/>
            <w:hideMark/>
          </w:tcPr>
          <w:p w14:paraId="2EF4F44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36.3</w:t>
            </w:r>
          </w:p>
        </w:tc>
        <w:tc>
          <w:tcPr>
            <w:tcW w:w="908" w:type="dxa"/>
            <w:gridSpan w:val="2"/>
            <w:tcBorders>
              <w:top w:val="nil"/>
              <w:left w:val="nil"/>
              <w:bottom w:val="nil"/>
              <w:right w:val="nil"/>
            </w:tcBorders>
            <w:shd w:val="clear" w:color="auto" w:fill="auto"/>
            <w:noWrap/>
            <w:vAlign w:val="bottom"/>
            <w:hideMark/>
          </w:tcPr>
          <w:p w14:paraId="064C28F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35.6</w:t>
            </w:r>
          </w:p>
        </w:tc>
        <w:tc>
          <w:tcPr>
            <w:tcW w:w="908" w:type="dxa"/>
            <w:gridSpan w:val="2"/>
            <w:tcBorders>
              <w:top w:val="nil"/>
              <w:left w:val="nil"/>
              <w:bottom w:val="nil"/>
              <w:right w:val="nil"/>
            </w:tcBorders>
            <w:shd w:val="clear" w:color="auto" w:fill="auto"/>
            <w:noWrap/>
            <w:vAlign w:val="bottom"/>
            <w:hideMark/>
          </w:tcPr>
          <w:p w14:paraId="32CCC8D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35.2</w:t>
            </w:r>
          </w:p>
        </w:tc>
        <w:tc>
          <w:tcPr>
            <w:tcW w:w="908" w:type="dxa"/>
            <w:gridSpan w:val="2"/>
            <w:tcBorders>
              <w:top w:val="nil"/>
              <w:left w:val="nil"/>
              <w:bottom w:val="nil"/>
              <w:right w:val="nil"/>
            </w:tcBorders>
            <w:shd w:val="clear" w:color="auto" w:fill="auto"/>
            <w:noWrap/>
            <w:vAlign w:val="bottom"/>
            <w:hideMark/>
          </w:tcPr>
          <w:p w14:paraId="7542185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37.5</w:t>
            </w:r>
          </w:p>
        </w:tc>
        <w:tc>
          <w:tcPr>
            <w:tcW w:w="908" w:type="dxa"/>
            <w:gridSpan w:val="2"/>
            <w:tcBorders>
              <w:top w:val="nil"/>
              <w:left w:val="nil"/>
              <w:bottom w:val="nil"/>
              <w:right w:val="nil"/>
            </w:tcBorders>
            <w:shd w:val="clear" w:color="auto" w:fill="auto"/>
            <w:noWrap/>
            <w:vAlign w:val="bottom"/>
            <w:hideMark/>
          </w:tcPr>
          <w:p w14:paraId="03AD27A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37.4</w:t>
            </w:r>
          </w:p>
        </w:tc>
        <w:tc>
          <w:tcPr>
            <w:tcW w:w="908" w:type="dxa"/>
            <w:gridSpan w:val="2"/>
            <w:tcBorders>
              <w:top w:val="nil"/>
              <w:left w:val="nil"/>
              <w:bottom w:val="nil"/>
              <w:right w:val="nil"/>
            </w:tcBorders>
            <w:shd w:val="clear" w:color="auto" w:fill="auto"/>
            <w:noWrap/>
            <w:vAlign w:val="bottom"/>
            <w:hideMark/>
          </w:tcPr>
          <w:p w14:paraId="24D6644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38.8</w:t>
            </w:r>
          </w:p>
        </w:tc>
        <w:tc>
          <w:tcPr>
            <w:tcW w:w="908" w:type="dxa"/>
            <w:gridSpan w:val="2"/>
            <w:tcBorders>
              <w:top w:val="nil"/>
              <w:left w:val="nil"/>
              <w:bottom w:val="nil"/>
              <w:right w:val="nil"/>
            </w:tcBorders>
            <w:shd w:val="clear" w:color="auto" w:fill="auto"/>
            <w:noWrap/>
            <w:vAlign w:val="bottom"/>
            <w:hideMark/>
          </w:tcPr>
          <w:p w14:paraId="4FD16C8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34.8</w:t>
            </w:r>
          </w:p>
        </w:tc>
        <w:tc>
          <w:tcPr>
            <w:tcW w:w="908" w:type="dxa"/>
            <w:gridSpan w:val="2"/>
            <w:tcBorders>
              <w:top w:val="nil"/>
              <w:left w:val="nil"/>
              <w:bottom w:val="nil"/>
              <w:right w:val="nil"/>
            </w:tcBorders>
            <w:shd w:val="clear" w:color="auto" w:fill="auto"/>
            <w:noWrap/>
            <w:vAlign w:val="bottom"/>
            <w:hideMark/>
          </w:tcPr>
          <w:p w14:paraId="303E53F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34.4</w:t>
            </w:r>
          </w:p>
        </w:tc>
        <w:tc>
          <w:tcPr>
            <w:tcW w:w="913" w:type="dxa"/>
            <w:gridSpan w:val="2"/>
            <w:tcBorders>
              <w:top w:val="nil"/>
              <w:left w:val="nil"/>
              <w:bottom w:val="nil"/>
              <w:right w:val="nil"/>
            </w:tcBorders>
            <w:shd w:val="clear" w:color="auto" w:fill="auto"/>
            <w:noWrap/>
            <w:vAlign w:val="bottom"/>
            <w:hideMark/>
          </w:tcPr>
          <w:p w14:paraId="6228C09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32.1</w:t>
            </w:r>
          </w:p>
        </w:tc>
      </w:tr>
      <w:tr w:rsidR="00E45705" w:rsidRPr="001B09E6" w14:paraId="659EE9A1" w14:textId="77777777" w:rsidTr="00E45705">
        <w:trPr>
          <w:trHeight w:val="568"/>
        </w:trPr>
        <w:tc>
          <w:tcPr>
            <w:tcW w:w="866" w:type="dxa"/>
            <w:tcBorders>
              <w:top w:val="nil"/>
              <w:left w:val="nil"/>
              <w:bottom w:val="nil"/>
              <w:right w:val="nil"/>
            </w:tcBorders>
            <w:shd w:val="clear" w:color="auto" w:fill="auto"/>
            <w:noWrap/>
            <w:vAlign w:val="bottom"/>
            <w:hideMark/>
          </w:tcPr>
          <w:p w14:paraId="7DA9BD2D"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14:paraId="73CB6F31"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education/  training at or above Certificate III level</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14:paraId="5E7590C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25.7</w:t>
            </w:r>
          </w:p>
        </w:tc>
        <w:tc>
          <w:tcPr>
            <w:tcW w:w="908" w:type="dxa"/>
            <w:tcBorders>
              <w:top w:val="nil"/>
              <w:left w:val="nil"/>
              <w:bottom w:val="nil"/>
              <w:right w:val="nil"/>
            </w:tcBorders>
            <w:shd w:val="clear" w:color="auto" w:fill="auto"/>
            <w:noWrap/>
            <w:vAlign w:val="bottom"/>
            <w:hideMark/>
          </w:tcPr>
          <w:p w14:paraId="5F40045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29.1</w:t>
            </w:r>
          </w:p>
        </w:tc>
        <w:tc>
          <w:tcPr>
            <w:tcW w:w="908" w:type="dxa"/>
            <w:tcBorders>
              <w:top w:val="nil"/>
              <w:left w:val="nil"/>
              <w:bottom w:val="nil"/>
              <w:right w:val="nil"/>
            </w:tcBorders>
            <w:shd w:val="clear" w:color="auto" w:fill="auto"/>
            <w:noWrap/>
            <w:vAlign w:val="bottom"/>
            <w:hideMark/>
          </w:tcPr>
          <w:p w14:paraId="35F4A7C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29.3</w:t>
            </w:r>
          </w:p>
        </w:tc>
        <w:tc>
          <w:tcPr>
            <w:tcW w:w="908" w:type="dxa"/>
            <w:gridSpan w:val="2"/>
            <w:tcBorders>
              <w:top w:val="nil"/>
              <w:left w:val="nil"/>
              <w:bottom w:val="nil"/>
              <w:right w:val="nil"/>
            </w:tcBorders>
            <w:shd w:val="clear" w:color="auto" w:fill="auto"/>
            <w:noWrap/>
            <w:vAlign w:val="bottom"/>
            <w:hideMark/>
          </w:tcPr>
          <w:p w14:paraId="05D61D8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28.9</w:t>
            </w:r>
          </w:p>
        </w:tc>
        <w:tc>
          <w:tcPr>
            <w:tcW w:w="908" w:type="dxa"/>
            <w:gridSpan w:val="2"/>
            <w:tcBorders>
              <w:top w:val="nil"/>
              <w:left w:val="nil"/>
              <w:bottom w:val="nil"/>
              <w:right w:val="nil"/>
            </w:tcBorders>
            <w:shd w:val="clear" w:color="auto" w:fill="auto"/>
            <w:noWrap/>
            <w:vAlign w:val="bottom"/>
            <w:hideMark/>
          </w:tcPr>
          <w:p w14:paraId="02382E9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30.0</w:t>
            </w:r>
          </w:p>
        </w:tc>
        <w:tc>
          <w:tcPr>
            <w:tcW w:w="908" w:type="dxa"/>
            <w:gridSpan w:val="2"/>
            <w:tcBorders>
              <w:top w:val="nil"/>
              <w:left w:val="nil"/>
              <w:bottom w:val="nil"/>
              <w:right w:val="nil"/>
            </w:tcBorders>
            <w:shd w:val="clear" w:color="auto" w:fill="auto"/>
            <w:noWrap/>
            <w:vAlign w:val="bottom"/>
            <w:hideMark/>
          </w:tcPr>
          <w:p w14:paraId="405F5F0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28.7</w:t>
            </w:r>
          </w:p>
        </w:tc>
        <w:tc>
          <w:tcPr>
            <w:tcW w:w="908" w:type="dxa"/>
            <w:gridSpan w:val="2"/>
            <w:tcBorders>
              <w:top w:val="nil"/>
              <w:left w:val="nil"/>
              <w:bottom w:val="nil"/>
              <w:right w:val="nil"/>
            </w:tcBorders>
            <w:shd w:val="clear" w:color="auto" w:fill="auto"/>
            <w:noWrap/>
            <w:vAlign w:val="bottom"/>
            <w:hideMark/>
          </w:tcPr>
          <w:p w14:paraId="25CE183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29.6</w:t>
            </w:r>
          </w:p>
        </w:tc>
        <w:tc>
          <w:tcPr>
            <w:tcW w:w="908" w:type="dxa"/>
            <w:gridSpan w:val="2"/>
            <w:tcBorders>
              <w:top w:val="nil"/>
              <w:left w:val="nil"/>
              <w:bottom w:val="nil"/>
              <w:right w:val="nil"/>
            </w:tcBorders>
            <w:shd w:val="clear" w:color="auto" w:fill="auto"/>
            <w:noWrap/>
            <w:vAlign w:val="bottom"/>
            <w:hideMark/>
          </w:tcPr>
          <w:p w14:paraId="6E82EF8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29.6</w:t>
            </w:r>
          </w:p>
        </w:tc>
        <w:tc>
          <w:tcPr>
            <w:tcW w:w="908" w:type="dxa"/>
            <w:gridSpan w:val="2"/>
            <w:tcBorders>
              <w:top w:val="nil"/>
              <w:left w:val="nil"/>
              <w:bottom w:val="nil"/>
              <w:right w:val="nil"/>
            </w:tcBorders>
            <w:shd w:val="clear" w:color="auto" w:fill="auto"/>
            <w:noWrap/>
            <w:vAlign w:val="bottom"/>
            <w:hideMark/>
          </w:tcPr>
          <w:p w14:paraId="302D200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32.3</w:t>
            </w:r>
          </w:p>
        </w:tc>
        <w:tc>
          <w:tcPr>
            <w:tcW w:w="908" w:type="dxa"/>
            <w:gridSpan w:val="2"/>
            <w:tcBorders>
              <w:top w:val="nil"/>
              <w:left w:val="nil"/>
              <w:bottom w:val="nil"/>
              <w:right w:val="nil"/>
            </w:tcBorders>
            <w:shd w:val="clear" w:color="auto" w:fill="auto"/>
            <w:noWrap/>
            <w:vAlign w:val="bottom"/>
            <w:hideMark/>
          </w:tcPr>
          <w:p w14:paraId="4E32C01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31.7</w:t>
            </w:r>
          </w:p>
        </w:tc>
        <w:tc>
          <w:tcPr>
            <w:tcW w:w="913" w:type="dxa"/>
            <w:gridSpan w:val="2"/>
            <w:tcBorders>
              <w:top w:val="nil"/>
              <w:left w:val="nil"/>
              <w:bottom w:val="nil"/>
              <w:right w:val="nil"/>
            </w:tcBorders>
            <w:shd w:val="clear" w:color="auto" w:fill="auto"/>
            <w:noWrap/>
            <w:vAlign w:val="bottom"/>
            <w:hideMark/>
          </w:tcPr>
          <w:p w14:paraId="0BFF8BB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32.3</w:t>
            </w:r>
          </w:p>
        </w:tc>
      </w:tr>
      <w:tr w:rsidR="00E45705" w:rsidRPr="001B09E6" w14:paraId="4E702DD5" w14:textId="77777777" w:rsidTr="00E45705">
        <w:trPr>
          <w:trHeight w:val="711"/>
        </w:trPr>
        <w:tc>
          <w:tcPr>
            <w:tcW w:w="866" w:type="dxa"/>
            <w:tcBorders>
              <w:top w:val="nil"/>
              <w:left w:val="nil"/>
              <w:bottom w:val="nil"/>
              <w:right w:val="nil"/>
            </w:tcBorders>
            <w:shd w:val="clear" w:color="auto" w:fill="auto"/>
            <w:noWrap/>
            <w:vAlign w:val="bottom"/>
            <w:hideMark/>
          </w:tcPr>
          <w:p w14:paraId="1C75A7A6"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14:paraId="68AD3CD5"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Mix of full-time or part-time employment or education/training at or above Certificate III level</w:t>
            </w:r>
            <w:r w:rsidRPr="001B09E6">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nil"/>
              <w:right w:val="nil"/>
            </w:tcBorders>
            <w:shd w:val="clear" w:color="auto" w:fill="auto"/>
            <w:noWrap/>
            <w:vAlign w:val="bottom"/>
            <w:hideMark/>
          </w:tcPr>
          <w:p w14:paraId="590393B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2.5</w:t>
            </w:r>
          </w:p>
        </w:tc>
        <w:tc>
          <w:tcPr>
            <w:tcW w:w="908" w:type="dxa"/>
            <w:tcBorders>
              <w:top w:val="nil"/>
              <w:left w:val="nil"/>
              <w:bottom w:val="nil"/>
              <w:right w:val="nil"/>
            </w:tcBorders>
            <w:shd w:val="clear" w:color="auto" w:fill="auto"/>
            <w:noWrap/>
            <w:vAlign w:val="bottom"/>
            <w:hideMark/>
          </w:tcPr>
          <w:p w14:paraId="7945BEB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2.6</w:t>
            </w:r>
          </w:p>
        </w:tc>
        <w:tc>
          <w:tcPr>
            <w:tcW w:w="908" w:type="dxa"/>
            <w:tcBorders>
              <w:top w:val="nil"/>
              <w:left w:val="nil"/>
              <w:bottom w:val="nil"/>
              <w:right w:val="nil"/>
            </w:tcBorders>
            <w:shd w:val="clear" w:color="auto" w:fill="auto"/>
            <w:noWrap/>
            <w:vAlign w:val="bottom"/>
            <w:hideMark/>
          </w:tcPr>
          <w:p w14:paraId="03B3903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3.0</w:t>
            </w:r>
          </w:p>
        </w:tc>
        <w:tc>
          <w:tcPr>
            <w:tcW w:w="908" w:type="dxa"/>
            <w:gridSpan w:val="2"/>
            <w:tcBorders>
              <w:top w:val="nil"/>
              <w:left w:val="nil"/>
              <w:bottom w:val="nil"/>
              <w:right w:val="nil"/>
            </w:tcBorders>
            <w:shd w:val="clear" w:color="auto" w:fill="auto"/>
            <w:noWrap/>
            <w:vAlign w:val="bottom"/>
            <w:hideMark/>
          </w:tcPr>
          <w:p w14:paraId="1AB1288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3.7</w:t>
            </w:r>
          </w:p>
        </w:tc>
        <w:tc>
          <w:tcPr>
            <w:tcW w:w="908" w:type="dxa"/>
            <w:gridSpan w:val="2"/>
            <w:tcBorders>
              <w:top w:val="nil"/>
              <w:left w:val="nil"/>
              <w:bottom w:val="nil"/>
              <w:right w:val="nil"/>
            </w:tcBorders>
            <w:shd w:val="clear" w:color="auto" w:fill="auto"/>
            <w:noWrap/>
            <w:vAlign w:val="bottom"/>
            <w:hideMark/>
          </w:tcPr>
          <w:p w14:paraId="196CE85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4.3</w:t>
            </w:r>
          </w:p>
        </w:tc>
        <w:tc>
          <w:tcPr>
            <w:tcW w:w="908" w:type="dxa"/>
            <w:gridSpan w:val="2"/>
            <w:tcBorders>
              <w:top w:val="nil"/>
              <w:left w:val="nil"/>
              <w:bottom w:val="nil"/>
              <w:right w:val="nil"/>
            </w:tcBorders>
            <w:shd w:val="clear" w:color="auto" w:fill="auto"/>
            <w:noWrap/>
            <w:vAlign w:val="bottom"/>
            <w:hideMark/>
          </w:tcPr>
          <w:p w14:paraId="0219F98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3.1</w:t>
            </w:r>
          </w:p>
        </w:tc>
        <w:tc>
          <w:tcPr>
            <w:tcW w:w="908" w:type="dxa"/>
            <w:gridSpan w:val="2"/>
            <w:tcBorders>
              <w:top w:val="nil"/>
              <w:left w:val="nil"/>
              <w:bottom w:val="nil"/>
              <w:right w:val="nil"/>
            </w:tcBorders>
            <w:shd w:val="clear" w:color="auto" w:fill="auto"/>
            <w:noWrap/>
            <w:vAlign w:val="bottom"/>
            <w:hideMark/>
          </w:tcPr>
          <w:p w14:paraId="39871C3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3.2</w:t>
            </w:r>
          </w:p>
        </w:tc>
        <w:tc>
          <w:tcPr>
            <w:tcW w:w="908" w:type="dxa"/>
            <w:gridSpan w:val="2"/>
            <w:tcBorders>
              <w:top w:val="nil"/>
              <w:left w:val="nil"/>
              <w:bottom w:val="nil"/>
              <w:right w:val="nil"/>
            </w:tcBorders>
            <w:shd w:val="clear" w:color="auto" w:fill="auto"/>
            <w:noWrap/>
            <w:vAlign w:val="bottom"/>
            <w:hideMark/>
          </w:tcPr>
          <w:p w14:paraId="0F52583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3.1</w:t>
            </w:r>
          </w:p>
        </w:tc>
        <w:tc>
          <w:tcPr>
            <w:tcW w:w="908" w:type="dxa"/>
            <w:gridSpan w:val="2"/>
            <w:tcBorders>
              <w:top w:val="nil"/>
              <w:left w:val="nil"/>
              <w:bottom w:val="nil"/>
              <w:right w:val="nil"/>
            </w:tcBorders>
            <w:shd w:val="clear" w:color="auto" w:fill="auto"/>
            <w:noWrap/>
            <w:vAlign w:val="bottom"/>
            <w:hideMark/>
          </w:tcPr>
          <w:p w14:paraId="650E94C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3.2</w:t>
            </w:r>
          </w:p>
        </w:tc>
        <w:tc>
          <w:tcPr>
            <w:tcW w:w="908" w:type="dxa"/>
            <w:gridSpan w:val="2"/>
            <w:tcBorders>
              <w:top w:val="nil"/>
              <w:left w:val="nil"/>
              <w:bottom w:val="nil"/>
              <w:right w:val="nil"/>
            </w:tcBorders>
            <w:shd w:val="clear" w:color="auto" w:fill="auto"/>
            <w:noWrap/>
            <w:vAlign w:val="bottom"/>
            <w:hideMark/>
          </w:tcPr>
          <w:p w14:paraId="7B6ED15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3.9</w:t>
            </w:r>
          </w:p>
        </w:tc>
        <w:tc>
          <w:tcPr>
            <w:tcW w:w="913" w:type="dxa"/>
            <w:gridSpan w:val="2"/>
            <w:tcBorders>
              <w:top w:val="nil"/>
              <w:left w:val="nil"/>
              <w:bottom w:val="nil"/>
              <w:right w:val="nil"/>
            </w:tcBorders>
            <w:shd w:val="clear" w:color="auto" w:fill="auto"/>
            <w:noWrap/>
            <w:vAlign w:val="bottom"/>
            <w:hideMark/>
          </w:tcPr>
          <w:p w14:paraId="6560D24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3.7</w:t>
            </w:r>
          </w:p>
        </w:tc>
      </w:tr>
      <w:tr w:rsidR="00E45705" w:rsidRPr="001B09E6" w14:paraId="07B501B0" w14:textId="77777777" w:rsidTr="00E45705">
        <w:trPr>
          <w:trHeight w:val="300"/>
        </w:trPr>
        <w:tc>
          <w:tcPr>
            <w:tcW w:w="866" w:type="dxa"/>
            <w:tcBorders>
              <w:top w:val="nil"/>
              <w:left w:val="nil"/>
              <w:bottom w:val="nil"/>
              <w:right w:val="nil"/>
            </w:tcBorders>
            <w:shd w:val="clear" w:color="auto" w:fill="auto"/>
            <w:noWrap/>
            <w:vAlign w:val="bottom"/>
            <w:hideMark/>
          </w:tcPr>
          <w:p w14:paraId="409B3320"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14:paraId="1D0517F0"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Total fully engaged</w:t>
            </w:r>
            <w:r w:rsidRPr="001B09E6">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14:paraId="6774065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67.7</w:t>
            </w:r>
          </w:p>
        </w:tc>
        <w:tc>
          <w:tcPr>
            <w:tcW w:w="908" w:type="dxa"/>
            <w:tcBorders>
              <w:top w:val="dotted" w:sz="4" w:space="0" w:color="auto"/>
              <w:left w:val="nil"/>
              <w:bottom w:val="dotted" w:sz="4" w:space="0" w:color="auto"/>
              <w:right w:val="nil"/>
            </w:tcBorders>
            <w:shd w:val="clear" w:color="auto" w:fill="auto"/>
            <w:noWrap/>
            <w:vAlign w:val="bottom"/>
            <w:hideMark/>
          </w:tcPr>
          <w:p w14:paraId="6923FB4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68.8</w:t>
            </w:r>
          </w:p>
        </w:tc>
        <w:tc>
          <w:tcPr>
            <w:tcW w:w="908" w:type="dxa"/>
            <w:tcBorders>
              <w:top w:val="dotted" w:sz="4" w:space="0" w:color="auto"/>
              <w:left w:val="nil"/>
              <w:bottom w:val="dotted" w:sz="4" w:space="0" w:color="auto"/>
              <w:right w:val="nil"/>
            </w:tcBorders>
            <w:shd w:val="clear" w:color="auto" w:fill="auto"/>
            <w:noWrap/>
            <w:vAlign w:val="bottom"/>
            <w:hideMark/>
          </w:tcPr>
          <w:p w14:paraId="246B3A5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68.6</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40AAF9B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68.1</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7A3BE6C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69.5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6712658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69.3</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47CE775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70.2</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56C40E8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71.5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3A6E426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70.3</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32F6892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70.0</w:t>
            </w:r>
          </w:p>
        </w:tc>
        <w:tc>
          <w:tcPr>
            <w:tcW w:w="913" w:type="dxa"/>
            <w:gridSpan w:val="2"/>
            <w:tcBorders>
              <w:top w:val="dotted" w:sz="4" w:space="0" w:color="auto"/>
              <w:left w:val="nil"/>
              <w:bottom w:val="dotted" w:sz="4" w:space="0" w:color="auto"/>
              <w:right w:val="nil"/>
            </w:tcBorders>
            <w:shd w:val="clear" w:color="auto" w:fill="auto"/>
            <w:noWrap/>
            <w:vAlign w:val="bottom"/>
            <w:hideMark/>
          </w:tcPr>
          <w:p w14:paraId="36F8F3F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68.2</w:t>
            </w:r>
          </w:p>
        </w:tc>
      </w:tr>
      <w:tr w:rsidR="00E45705" w:rsidRPr="001B09E6" w14:paraId="4273A67F" w14:textId="77777777" w:rsidTr="00E45705">
        <w:trPr>
          <w:trHeight w:val="300"/>
        </w:trPr>
        <w:tc>
          <w:tcPr>
            <w:tcW w:w="866" w:type="dxa"/>
            <w:tcBorders>
              <w:top w:val="nil"/>
              <w:left w:val="nil"/>
              <w:bottom w:val="single" w:sz="4" w:space="0" w:color="auto"/>
              <w:right w:val="nil"/>
            </w:tcBorders>
            <w:shd w:val="clear" w:color="auto" w:fill="auto"/>
            <w:noWrap/>
            <w:vAlign w:val="bottom"/>
            <w:hideMark/>
          </w:tcPr>
          <w:p w14:paraId="460E6912"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 </w:t>
            </w:r>
          </w:p>
        </w:tc>
        <w:tc>
          <w:tcPr>
            <w:tcW w:w="3544" w:type="dxa"/>
            <w:tcBorders>
              <w:top w:val="nil"/>
              <w:left w:val="nil"/>
              <w:bottom w:val="single" w:sz="4" w:space="0" w:color="auto"/>
              <w:right w:val="nil"/>
            </w:tcBorders>
            <w:shd w:val="clear" w:color="auto" w:fill="auto"/>
            <w:vAlign w:val="bottom"/>
            <w:hideMark/>
          </w:tcPr>
          <w:p w14:paraId="31E1B0DB"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Not fully engaged</w:t>
            </w:r>
          </w:p>
        </w:tc>
        <w:tc>
          <w:tcPr>
            <w:tcW w:w="908" w:type="dxa"/>
            <w:tcBorders>
              <w:top w:val="nil"/>
              <w:left w:val="nil"/>
              <w:bottom w:val="single" w:sz="4" w:space="0" w:color="auto"/>
              <w:right w:val="nil"/>
            </w:tcBorders>
            <w:shd w:val="clear" w:color="auto" w:fill="auto"/>
            <w:noWrap/>
            <w:vAlign w:val="bottom"/>
            <w:hideMark/>
          </w:tcPr>
          <w:p w14:paraId="3A4A88D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32.3</w:t>
            </w:r>
          </w:p>
        </w:tc>
        <w:tc>
          <w:tcPr>
            <w:tcW w:w="908" w:type="dxa"/>
            <w:tcBorders>
              <w:top w:val="nil"/>
              <w:left w:val="nil"/>
              <w:bottom w:val="single" w:sz="4" w:space="0" w:color="auto"/>
              <w:right w:val="nil"/>
            </w:tcBorders>
            <w:shd w:val="clear" w:color="auto" w:fill="auto"/>
            <w:noWrap/>
            <w:vAlign w:val="bottom"/>
            <w:hideMark/>
          </w:tcPr>
          <w:p w14:paraId="586F89C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31.2</w:t>
            </w:r>
          </w:p>
        </w:tc>
        <w:tc>
          <w:tcPr>
            <w:tcW w:w="908" w:type="dxa"/>
            <w:tcBorders>
              <w:top w:val="nil"/>
              <w:left w:val="nil"/>
              <w:bottom w:val="single" w:sz="4" w:space="0" w:color="auto"/>
              <w:right w:val="nil"/>
            </w:tcBorders>
            <w:shd w:val="clear" w:color="auto" w:fill="auto"/>
            <w:noWrap/>
            <w:vAlign w:val="bottom"/>
            <w:hideMark/>
          </w:tcPr>
          <w:p w14:paraId="4A06491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31.4</w:t>
            </w:r>
          </w:p>
        </w:tc>
        <w:tc>
          <w:tcPr>
            <w:tcW w:w="908" w:type="dxa"/>
            <w:gridSpan w:val="2"/>
            <w:tcBorders>
              <w:top w:val="nil"/>
              <w:left w:val="nil"/>
              <w:bottom w:val="single" w:sz="4" w:space="0" w:color="auto"/>
              <w:right w:val="nil"/>
            </w:tcBorders>
            <w:shd w:val="clear" w:color="auto" w:fill="auto"/>
            <w:noWrap/>
            <w:vAlign w:val="bottom"/>
            <w:hideMark/>
          </w:tcPr>
          <w:p w14:paraId="6E2E424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31.9</w:t>
            </w:r>
          </w:p>
        </w:tc>
        <w:tc>
          <w:tcPr>
            <w:tcW w:w="908" w:type="dxa"/>
            <w:gridSpan w:val="2"/>
            <w:tcBorders>
              <w:top w:val="nil"/>
              <w:left w:val="nil"/>
              <w:bottom w:val="single" w:sz="4" w:space="0" w:color="auto"/>
              <w:right w:val="nil"/>
            </w:tcBorders>
            <w:shd w:val="clear" w:color="auto" w:fill="auto"/>
            <w:noWrap/>
            <w:vAlign w:val="bottom"/>
            <w:hideMark/>
          </w:tcPr>
          <w:p w14:paraId="7FB2937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30.5</w:t>
            </w:r>
          </w:p>
        </w:tc>
        <w:tc>
          <w:tcPr>
            <w:tcW w:w="908" w:type="dxa"/>
            <w:gridSpan w:val="2"/>
            <w:tcBorders>
              <w:top w:val="nil"/>
              <w:left w:val="nil"/>
              <w:bottom w:val="single" w:sz="4" w:space="0" w:color="auto"/>
              <w:right w:val="nil"/>
            </w:tcBorders>
            <w:shd w:val="clear" w:color="auto" w:fill="auto"/>
            <w:noWrap/>
            <w:vAlign w:val="bottom"/>
            <w:hideMark/>
          </w:tcPr>
          <w:p w14:paraId="00CFE9B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30.7</w:t>
            </w:r>
          </w:p>
        </w:tc>
        <w:tc>
          <w:tcPr>
            <w:tcW w:w="908" w:type="dxa"/>
            <w:gridSpan w:val="2"/>
            <w:tcBorders>
              <w:top w:val="nil"/>
              <w:left w:val="nil"/>
              <w:bottom w:val="single" w:sz="4" w:space="0" w:color="auto"/>
              <w:right w:val="nil"/>
            </w:tcBorders>
            <w:shd w:val="clear" w:color="auto" w:fill="auto"/>
            <w:noWrap/>
            <w:vAlign w:val="bottom"/>
            <w:hideMark/>
          </w:tcPr>
          <w:p w14:paraId="4345CED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29.8</w:t>
            </w:r>
          </w:p>
        </w:tc>
        <w:tc>
          <w:tcPr>
            <w:tcW w:w="908" w:type="dxa"/>
            <w:gridSpan w:val="2"/>
            <w:tcBorders>
              <w:top w:val="nil"/>
              <w:left w:val="nil"/>
              <w:bottom w:val="single" w:sz="4" w:space="0" w:color="auto"/>
              <w:right w:val="nil"/>
            </w:tcBorders>
            <w:shd w:val="clear" w:color="auto" w:fill="auto"/>
            <w:noWrap/>
            <w:vAlign w:val="bottom"/>
            <w:hideMark/>
          </w:tcPr>
          <w:p w14:paraId="681D2B9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28.5</w:t>
            </w:r>
          </w:p>
        </w:tc>
        <w:tc>
          <w:tcPr>
            <w:tcW w:w="908" w:type="dxa"/>
            <w:gridSpan w:val="2"/>
            <w:tcBorders>
              <w:top w:val="nil"/>
              <w:left w:val="nil"/>
              <w:bottom w:val="single" w:sz="4" w:space="0" w:color="auto"/>
              <w:right w:val="nil"/>
            </w:tcBorders>
            <w:shd w:val="clear" w:color="auto" w:fill="auto"/>
            <w:noWrap/>
            <w:vAlign w:val="bottom"/>
            <w:hideMark/>
          </w:tcPr>
          <w:p w14:paraId="421EB74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29.7</w:t>
            </w:r>
          </w:p>
        </w:tc>
        <w:tc>
          <w:tcPr>
            <w:tcW w:w="908" w:type="dxa"/>
            <w:gridSpan w:val="2"/>
            <w:tcBorders>
              <w:top w:val="nil"/>
              <w:left w:val="nil"/>
              <w:bottom w:val="single" w:sz="4" w:space="0" w:color="auto"/>
              <w:right w:val="nil"/>
            </w:tcBorders>
            <w:shd w:val="clear" w:color="auto" w:fill="auto"/>
            <w:noWrap/>
            <w:vAlign w:val="bottom"/>
            <w:hideMark/>
          </w:tcPr>
          <w:p w14:paraId="2F69A35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30.0</w:t>
            </w:r>
          </w:p>
        </w:tc>
        <w:tc>
          <w:tcPr>
            <w:tcW w:w="913" w:type="dxa"/>
            <w:gridSpan w:val="2"/>
            <w:tcBorders>
              <w:top w:val="nil"/>
              <w:left w:val="nil"/>
              <w:bottom w:val="single" w:sz="4" w:space="0" w:color="auto"/>
              <w:right w:val="nil"/>
            </w:tcBorders>
            <w:shd w:val="clear" w:color="auto" w:fill="auto"/>
            <w:noWrap/>
            <w:vAlign w:val="bottom"/>
            <w:hideMark/>
          </w:tcPr>
          <w:p w14:paraId="02AD03B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31.8</w:t>
            </w:r>
          </w:p>
        </w:tc>
      </w:tr>
      <w:tr w:rsidR="00E45705" w:rsidRPr="001B09E6" w14:paraId="403C65A2" w14:textId="77777777" w:rsidTr="00E45705">
        <w:trPr>
          <w:trHeight w:val="300"/>
        </w:trPr>
        <w:tc>
          <w:tcPr>
            <w:tcW w:w="866" w:type="dxa"/>
            <w:tcBorders>
              <w:top w:val="single" w:sz="4" w:space="0" w:color="auto"/>
              <w:left w:val="nil"/>
              <w:right w:val="nil"/>
            </w:tcBorders>
            <w:shd w:val="clear" w:color="auto" w:fill="auto"/>
            <w:noWrap/>
            <w:vAlign w:val="bottom"/>
            <w:hideMark/>
          </w:tcPr>
          <w:p w14:paraId="69C72004"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Persons</w:t>
            </w:r>
          </w:p>
        </w:tc>
        <w:tc>
          <w:tcPr>
            <w:tcW w:w="3544" w:type="dxa"/>
            <w:tcBorders>
              <w:top w:val="single" w:sz="4" w:space="0" w:color="auto"/>
              <w:left w:val="nil"/>
              <w:right w:val="nil"/>
            </w:tcBorders>
            <w:shd w:val="clear" w:color="auto" w:fill="auto"/>
            <w:vAlign w:val="bottom"/>
            <w:hideMark/>
          </w:tcPr>
          <w:p w14:paraId="17242E0B"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employment</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single" w:sz="4" w:space="0" w:color="auto"/>
              <w:left w:val="nil"/>
              <w:right w:val="nil"/>
            </w:tcBorders>
            <w:shd w:val="clear" w:color="auto" w:fill="auto"/>
            <w:noWrap/>
            <w:vAlign w:val="bottom"/>
            <w:hideMark/>
          </w:tcPr>
          <w:p w14:paraId="620727B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45.6</w:t>
            </w:r>
          </w:p>
        </w:tc>
        <w:tc>
          <w:tcPr>
            <w:tcW w:w="908" w:type="dxa"/>
            <w:tcBorders>
              <w:top w:val="single" w:sz="4" w:space="0" w:color="auto"/>
              <w:left w:val="nil"/>
              <w:right w:val="nil"/>
            </w:tcBorders>
            <w:shd w:val="clear" w:color="auto" w:fill="auto"/>
            <w:noWrap/>
            <w:vAlign w:val="bottom"/>
            <w:hideMark/>
          </w:tcPr>
          <w:p w14:paraId="478CBCBA"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43.9</w:t>
            </w:r>
          </w:p>
        </w:tc>
        <w:tc>
          <w:tcPr>
            <w:tcW w:w="908" w:type="dxa"/>
            <w:tcBorders>
              <w:top w:val="single" w:sz="4" w:space="0" w:color="auto"/>
              <w:left w:val="nil"/>
              <w:right w:val="nil"/>
            </w:tcBorders>
            <w:shd w:val="clear" w:color="auto" w:fill="auto"/>
            <w:noWrap/>
            <w:vAlign w:val="bottom"/>
            <w:hideMark/>
          </w:tcPr>
          <w:p w14:paraId="7D310C73"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43.3</w:t>
            </w:r>
          </w:p>
        </w:tc>
        <w:tc>
          <w:tcPr>
            <w:tcW w:w="908" w:type="dxa"/>
            <w:gridSpan w:val="2"/>
            <w:tcBorders>
              <w:top w:val="single" w:sz="4" w:space="0" w:color="auto"/>
              <w:left w:val="nil"/>
              <w:right w:val="nil"/>
            </w:tcBorders>
            <w:shd w:val="clear" w:color="auto" w:fill="auto"/>
            <w:noWrap/>
            <w:vAlign w:val="bottom"/>
            <w:hideMark/>
          </w:tcPr>
          <w:p w14:paraId="5DB792A9"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43.3</w:t>
            </w:r>
          </w:p>
        </w:tc>
        <w:tc>
          <w:tcPr>
            <w:tcW w:w="908" w:type="dxa"/>
            <w:gridSpan w:val="2"/>
            <w:tcBorders>
              <w:top w:val="single" w:sz="4" w:space="0" w:color="auto"/>
              <w:left w:val="nil"/>
              <w:right w:val="nil"/>
            </w:tcBorders>
            <w:shd w:val="clear" w:color="auto" w:fill="auto"/>
            <w:noWrap/>
            <w:vAlign w:val="bottom"/>
            <w:hideMark/>
          </w:tcPr>
          <w:p w14:paraId="66823309"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44.3</w:t>
            </w:r>
          </w:p>
        </w:tc>
        <w:tc>
          <w:tcPr>
            <w:tcW w:w="908" w:type="dxa"/>
            <w:gridSpan w:val="2"/>
            <w:tcBorders>
              <w:top w:val="single" w:sz="4" w:space="0" w:color="auto"/>
              <w:left w:val="nil"/>
              <w:right w:val="nil"/>
            </w:tcBorders>
            <w:shd w:val="clear" w:color="auto" w:fill="auto"/>
            <w:noWrap/>
            <w:vAlign w:val="bottom"/>
            <w:hideMark/>
          </w:tcPr>
          <w:p w14:paraId="2BECD1B6"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45.9</w:t>
            </w:r>
          </w:p>
        </w:tc>
        <w:tc>
          <w:tcPr>
            <w:tcW w:w="908" w:type="dxa"/>
            <w:gridSpan w:val="2"/>
            <w:tcBorders>
              <w:top w:val="single" w:sz="4" w:space="0" w:color="auto"/>
              <w:left w:val="nil"/>
              <w:right w:val="nil"/>
            </w:tcBorders>
            <w:shd w:val="clear" w:color="auto" w:fill="auto"/>
            <w:noWrap/>
            <w:vAlign w:val="bottom"/>
            <w:hideMark/>
          </w:tcPr>
          <w:p w14:paraId="37360D1B"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45.5</w:t>
            </w:r>
          </w:p>
        </w:tc>
        <w:tc>
          <w:tcPr>
            <w:tcW w:w="908" w:type="dxa"/>
            <w:gridSpan w:val="2"/>
            <w:tcBorders>
              <w:top w:val="single" w:sz="4" w:space="0" w:color="auto"/>
              <w:left w:val="nil"/>
              <w:right w:val="nil"/>
            </w:tcBorders>
            <w:shd w:val="clear" w:color="auto" w:fill="auto"/>
            <w:noWrap/>
            <w:vAlign w:val="bottom"/>
            <w:hideMark/>
          </w:tcPr>
          <w:p w14:paraId="2FA1A46B"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45.7</w:t>
            </w:r>
          </w:p>
        </w:tc>
        <w:tc>
          <w:tcPr>
            <w:tcW w:w="908" w:type="dxa"/>
            <w:gridSpan w:val="2"/>
            <w:tcBorders>
              <w:top w:val="single" w:sz="4" w:space="0" w:color="auto"/>
              <w:left w:val="nil"/>
              <w:right w:val="nil"/>
            </w:tcBorders>
            <w:shd w:val="clear" w:color="auto" w:fill="auto"/>
            <w:noWrap/>
            <w:vAlign w:val="bottom"/>
            <w:hideMark/>
          </w:tcPr>
          <w:p w14:paraId="672D6E04"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41.1</w:t>
            </w:r>
          </w:p>
        </w:tc>
        <w:tc>
          <w:tcPr>
            <w:tcW w:w="908" w:type="dxa"/>
            <w:gridSpan w:val="2"/>
            <w:tcBorders>
              <w:top w:val="single" w:sz="4" w:space="0" w:color="auto"/>
              <w:left w:val="nil"/>
              <w:right w:val="nil"/>
            </w:tcBorders>
            <w:shd w:val="clear" w:color="auto" w:fill="auto"/>
            <w:noWrap/>
            <w:vAlign w:val="bottom"/>
            <w:hideMark/>
          </w:tcPr>
          <w:p w14:paraId="54E284CA"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41.1</w:t>
            </w:r>
          </w:p>
        </w:tc>
        <w:tc>
          <w:tcPr>
            <w:tcW w:w="913" w:type="dxa"/>
            <w:gridSpan w:val="2"/>
            <w:tcBorders>
              <w:top w:val="single" w:sz="4" w:space="0" w:color="auto"/>
              <w:left w:val="nil"/>
              <w:right w:val="nil"/>
            </w:tcBorders>
            <w:shd w:val="clear" w:color="auto" w:fill="auto"/>
            <w:noWrap/>
            <w:vAlign w:val="bottom"/>
            <w:hideMark/>
          </w:tcPr>
          <w:p w14:paraId="110D2475"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39.9</w:t>
            </w:r>
          </w:p>
        </w:tc>
      </w:tr>
      <w:tr w:rsidR="00E45705" w:rsidRPr="001B09E6" w14:paraId="26643A48" w14:textId="77777777" w:rsidTr="00E45705">
        <w:trPr>
          <w:trHeight w:val="567"/>
        </w:trPr>
        <w:tc>
          <w:tcPr>
            <w:tcW w:w="866" w:type="dxa"/>
            <w:tcBorders>
              <w:top w:val="nil"/>
              <w:left w:val="nil"/>
              <w:right w:val="nil"/>
            </w:tcBorders>
            <w:shd w:val="clear" w:color="auto" w:fill="auto"/>
            <w:noWrap/>
            <w:vAlign w:val="bottom"/>
            <w:hideMark/>
          </w:tcPr>
          <w:p w14:paraId="6813DC7A"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right w:val="nil"/>
            </w:tcBorders>
            <w:shd w:val="clear" w:color="auto" w:fill="auto"/>
            <w:vAlign w:val="bottom"/>
            <w:hideMark/>
          </w:tcPr>
          <w:p w14:paraId="5CFE3259"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education/  training at or above Certificate III level</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right w:val="nil"/>
            </w:tcBorders>
            <w:shd w:val="clear" w:color="auto" w:fill="auto"/>
            <w:noWrap/>
            <w:vAlign w:val="bottom"/>
            <w:hideMark/>
          </w:tcPr>
          <w:p w14:paraId="1EDE6E1B"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23.7</w:t>
            </w:r>
          </w:p>
        </w:tc>
        <w:tc>
          <w:tcPr>
            <w:tcW w:w="908" w:type="dxa"/>
            <w:tcBorders>
              <w:top w:val="nil"/>
              <w:left w:val="nil"/>
              <w:right w:val="nil"/>
            </w:tcBorders>
            <w:shd w:val="clear" w:color="auto" w:fill="auto"/>
            <w:noWrap/>
            <w:vAlign w:val="bottom"/>
            <w:hideMark/>
          </w:tcPr>
          <w:p w14:paraId="5632B941"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26.9</w:t>
            </w:r>
          </w:p>
        </w:tc>
        <w:tc>
          <w:tcPr>
            <w:tcW w:w="908" w:type="dxa"/>
            <w:tcBorders>
              <w:top w:val="nil"/>
              <w:left w:val="nil"/>
              <w:right w:val="nil"/>
            </w:tcBorders>
            <w:shd w:val="clear" w:color="auto" w:fill="auto"/>
            <w:noWrap/>
            <w:vAlign w:val="bottom"/>
            <w:hideMark/>
          </w:tcPr>
          <w:p w14:paraId="72F9DC56"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26.6</w:t>
            </w:r>
          </w:p>
        </w:tc>
        <w:tc>
          <w:tcPr>
            <w:tcW w:w="908" w:type="dxa"/>
            <w:gridSpan w:val="2"/>
            <w:tcBorders>
              <w:top w:val="nil"/>
              <w:left w:val="nil"/>
              <w:right w:val="nil"/>
            </w:tcBorders>
            <w:shd w:val="clear" w:color="auto" w:fill="auto"/>
            <w:noWrap/>
            <w:vAlign w:val="bottom"/>
            <w:hideMark/>
          </w:tcPr>
          <w:p w14:paraId="7686B464"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26.4</w:t>
            </w:r>
          </w:p>
        </w:tc>
        <w:tc>
          <w:tcPr>
            <w:tcW w:w="908" w:type="dxa"/>
            <w:gridSpan w:val="2"/>
            <w:tcBorders>
              <w:top w:val="nil"/>
              <w:left w:val="nil"/>
              <w:right w:val="nil"/>
            </w:tcBorders>
            <w:shd w:val="clear" w:color="auto" w:fill="auto"/>
            <w:noWrap/>
            <w:vAlign w:val="bottom"/>
            <w:hideMark/>
          </w:tcPr>
          <w:p w14:paraId="28C368ED"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26.2</w:t>
            </w:r>
          </w:p>
        </w:tc>
        <w:tc>
          <w:tcPr>
            <w:tcW w:w="908" w:type="dxa"/>
            <w:gridSpan w:val="2"/>
            <w:tcBorders>
              <w:top w:val="nil"/>
              <w:left w:val="nil"/>
              <w:right w:val="nil"/>
            </w:tcBorders>
            <w:shd w:val="clear" w:color="auto" w:fill="auto"/>
            <w:noWrap/>
            <w:vAlign w:val="bottom"/>
            <w:hideMark/>
          </w:tcPr>
          <w:p w14:paraId="6B9D04AB"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25.4</w:t>
            </w:r>
          </w:p>
        </w:tc>
        <w:tc>
          <w:tcPr>
            <w:tcW w:w="908" w:type="dxa"/>
            <w:gridSpan w:val="2"/>
            <w:tcBorders>
              <w:top w:val="nil"/>
              <w:left w:val="nil"/>
              <w:right w:val="nil"/>
            </w:tcBorders>
            <w:shd w:val="clear" w:color="auto" w:fill="auto"/>
            <w:noWrap/>
            <w:vAlign w:val="bottom"/>
            <w:hideMark/>
          </w:tcPr>
          <w:p w14:paraId="01C8F349"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26.9</w:t>
            </w:r>
          </w:p>
        </w:tc>
        <w:tc>
          <w:tcPr>
            <w:tcW w:w="908" w:type="dxa"/>
            <w:gridSpan w:val="2"/>
            <w:tcBorders>
              <w:top w:val="nil"/>
              <w:left w:val="nil"/>
              <w:right w:val="nil"/>
            </w:tcBorders>
            <w:shd w:val="clear" w:color="auto" w:fill="auto"/>
            <w:noWrap/>
            <w:vAlign w:val="bottom"/>
            <w:hideMark/>
          </w:tcPr>
          <w:p w14:paraId="1529DF02"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27.5</w:t>
            </w:r>
          </w:p>
        </w:tc>
        <w:tc>
          <w:tcPr>
            <w:tcW w:w="908" w:type="dxa"/>
            <w:gridSpan w:val="2"/>
            <w:tcBorders>
              <w:top w:val="nil"/>
              <w:left w:val="nil"/>
              <w:right w:val="nil"/>
            </w:tcBorders>
            <w:shd w:val="clear" w:color="auto" w:fill="auto"/>
            <w:noWrap/>
            <w:vAlign w:val="bottom"/>
            <w:hideMark/>
          </w:tcPr>
          <w:p w14:paraId="025D1F02"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28.9</w:t>
            </w:r>
          </w:p>
        </w:tc>
        <w:tc>
          <w:tcPr>
            <w:tcW w:w="908" w:type="dxa"/>
            <w:gridSpan w:val="2"/>
            <w:tcBorders>
              <w:top w:val="nil"/>
              <w:left w:val="nil"/>
              <w:right w:val="nil"/>
            </w:tcBorders>
            <w:shd w:val="clear" w:color="auto" w:fill="auto"/>
            <w:noWrap/>
            <w:vAlign w:val="bottom"/>
            <w:hideMark/>
          </w:tcPr>
          <w:p w14:paraId="497B3A96"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28.7</w:t>
            </w:r>
          </w:p>
        </w:tc>
        <w:tc>
          <w:tcPr>
            <w:tcW w:w="913" w:type="dxa"/>
            <w:gridSpan w:val="2"/>
            <w:tcBorders>
              <w:top w:val="nil"/>
              <w:left w:val="nil"/>
              <w:right w:val="nil"/>
            </w:tcBorders>
            <w:shd w:val="clear" w:color="auto" w:fill="auto"/>
            <w:noWrap/>
            <w:vAlign w:val="bottom"/>
            <w:hideMark/>
          </w:tcPr>
          <w:p w14:paraId="17836271"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29.5</w:t>
            </w:r>
          </w:p>
        </w:tc>
      </w:tr>
      <w:tr w:rsidR="00E45705" w:rsidRPr="001B09E6" w14:paraId="5A6316A1" w14:textId="77777777" w:rsidTr="00E45705">
        <w:trPr>
          <w:trHeight w:val="709"/>
        </w:trPr>
        <w:tc>
          <w:tcPr>
            <w:tcW w:w="866" w:type="dxa"/>
            <w:tcBorders>
              <w:top w:val="nil"/>
              <w:left w:val="nil"/>
              <w:right w:val="nil"/>
            </w:tcBorders>
            <w:shd w:val="clear" w:color="auto" w:fill="auto"/>
            <w:noWrap/>
            <w:vAlign w:val="bottom"/>
            <w:hideMark/>
          </w:tcPr>
          <w:p w14:paraId="6E1C9C98"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bottom w:val="dotted" w:sz="4" w:space="0" w:color="auto"/>
              <w:right w:val="nil"/>
            </w:tcBorders>
            <w:shd w:val="clear" w:color="auto" w:fill="auto"/>
            <w:vAlign w:val="bottom"/>
            <w:hideMark/>
          </w:tcPr>
          <w:p w14:paraId="5AB05526"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Mix of full-time or part-time employment or education/training at or above Certificate III level</w:t>
            </w:r>
            <w:r w:rsidRPr="001B09E6">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dotted" w:sz="4" w:space="0" w:color="auto"/>
              <w:right w:val="nil"/>
            </w:tcBorders>
            <w:shd w:val="clear" w:color="auto" w:fill="auto"/>
            <w:noWrap/>
            <w:vAlign w:val="bottom"/>
            <w:hideMark/>
          </w:tcPr>
          <w:p w14:paraId="39BF7C3B"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2.2</w:t>
            </w:r>
          </w:p>
        </w:tc>
        <w:tc>
          <w:tcPr>
            <w:tcW w:w="908" w:type="dxa"/>
            <w:tcBorders>
              <w:top w:val="nil"/>
              <w:left w:val="nil"/>
              <w:bottom w:val="dotted" w:sz="4" w:space="0" w:color="auto"/>
              <w:right w:val="nil"/>
            </w:tcBorders>
            <w:shd w:val="clear" w:color="auto" w:fill="auto"/>
            <w:noWrap/>
            <w:vAlign w:val="bottom"/>
            <w:hideMark/>
          </w:tcPr>
          <w:p w14:paraId="020DACB8"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2.3</w:t>
            </w:r>
          </w:p>
        </w:tc>
        <w:tc>
          <w:tcPr>
            <w:tcW w:w="908" w:type="dxa"/>
            <w:tcBorders>
              <w:top w:val="nil"/>
              <w:left w:val="nil"/>
              <w:bottom w:val="dotted" w:sz="4" w:space="0" w:color="auto"/>
              <w:right w:val="nil"/>
            </w:tcBorders>
            <w:shd w:val="clear" w:color="auto" w:fill="auto"/>
            <w:noWrap/>
            <w:vAlign w:val="bottom"/>
            <w:hideMark/>
          </w:tcPr>
          <w:p w14:paraId="61A7B4AE"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w:t>
            </w:r>
          </w:p>
        </w:tc>
        <w:tc>
          <w:tcPr>
            <w:tcW w:w="908" w:type="dxa"/>
            <w:gridSpan w:val="2"/>
            <w:tcBorders>
              <w:top w:val="nil"/>
              <w:left w:val="nil"/>
              <w:bottom w:val="dotted" w:sz="4" w:space="0" w:color="auto"/>
              <w:right w:val="nil"/>
            </w:tcBorders>
            <w:shd w:val="clear" w:color="auto" w:fill="auto"/>
            <w:noWrap/>
            <w:vAlign w:val="bottom"/>
            <w:hideMark/>
          </w:tcPr>
          <w:p w14:paraId="79CB6CF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3.2</w:t>
            </w:r>
          </w:p>
        </w:tc>
        <w:tc>
          <w:tcPr>
            <w:tcW w:w="908" w:type="dxa"/>
            <w:gridSpan w:val="2"/>
            <w:tcBorders>
              <w:top w:val="nil"/>
              <w:left w:val="nil"/>
              <w:bottom w:val="dotted" w:sz="4" w:space="0" w:color="auto"/>
              <w:right w:val="nil"/>
            </w:tcBorders>
            <w:shd w:val="clear" w:color="auto" w:fill="auto"/>
            <w:noWrap/>
            <w:vAlign w:val="bottom"/>
            <w:hideMark/>
          </w:tcPr>
          <w:p w14:paraId="0C21782A"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3.5</w:t>
            </w:r>
          </w:p>
        </w:tc>
        <w:tc>
          <w:tcPr>
            <w:tcW w:w="908" w:type="dxa"/>
            <w:gridSpan w:val="2"/>
            <w:tcBorders>
              <w:top w:val="nil"/>
              <w:left w:val="nil"/>
              <w:bottom w:val="dotted" w:sz="4" w:space="0" w:color="auto"/>
              <w:right w:val="nil"/>
            </w:tcBorders>
            <w:shd w:val="clear" w:color="auto" w:fill="auto"/>
            <w:noWrap/>
            <w:vAlign w:val="bottom"/>
            <w:hideMark/>
          </w:tcPr>
          <w:p w14:paraId="7B0B8ABE"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w:t>
            </w:r>
          </w:p>
        </w:tc>
        <w:tc>
          <w:tcPr>
            <w:tcW w:w="908" w:type="dxa"/>
            <w:gridSpan w:val="2"/>
            <w:tcBorders>
              <w:top w:val="nil"/>
              <w:left w:val="nil"/>
              <w:bottom w:val="dotted" w:sz="4" w:space="0" w:color="auto"/>
              <w:right w:val="nil"/>
            </w:tcBorders>
            <w:shd w:val="clear" w:color="auto" w:fill="auto"/>
            <w:noWrap/>
            <w:vAlign w:val="bottom"/>
            <w:hideMark/>
          </w:tcPr>
          <w:p w14:paraId="04D690AA"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3.1</w:t>
            </w:r>
          </w:p>
        </w:tc>
        <w:tc>
          <w:tcPr>
            <w:tcW w:w="908" w:type="dxa"/>
            <w:gridSpan w:val="2"/>
            <w:tcBorders>
              <w:top w:val="nil"/>
              <w:left w:val="nil"/>
              <w:bottom w:val="dotted" w:sz="4" w:space="0" w:color="auto"/>
              <w:right w:val="nil"/>
            </w:tcBorders>
            <w:shd w:val="clear" w:color="auto" w:fill="auto"/>
            <w:noWrap/>
            <w:vAlign w:val="bottom"/>
            <w:hideMark/>
          </w:tcPr>
          <w:p w14:paraId="36788421"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3.1</w:t>
            </w:r>
          </w:p>
        </w:tc>
        <w:tc>
          <w:tcPr>
            <w:tcW w:w="908" w:type="dxa"/>
            <w:gridSpan w:val="2"/>
            <w:tcBorders>
              <w:top w:val="nil"/>
              <w:left w:val="nil"/>
              <w:bottom w:val="dotted" w:sz="4" w:space="0" w:color="auto"/>
              <w:right w:val="nil"/>
            </w:tcBorders>
            <w:shd w:val="clear" w:color="auto" w:fill="auto"/>
            <w:noWrap/>
            <w:vAlign w:val="bottom"/>
            <w:hideMark/>
          </w:tcPr>
          <w:p w14:paraId="4871AC92"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w:t>
            </w:r>
          </w:p>
        </w:tc>
        <w:tc>
          <w:tcPr>
            <w:tcW w:w="908" w:type="dxa"/>
            <w:gridSpan w:val="2"/>
            <w:tcBorders>
              <w:top w:val="nil"/>
              <w:left w:val="nil"/>
              <w:bottom w:val="dotted" w:sz="4" w:space="0" w:color="auto"/>
              <w:right w:val="nil"/>
            </w:tcBorders>
            <w:shd w:val="clear" w:color="auto" w:fill="auto"/>
            <w:noWrap/>
            <w:vAlign w:val="bottom"/>
            <w:hideMark/>
          </w:tcPr>
          <w:p w14:paraId="4BF63AE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3.0</w:t>
            </w:r>
          </w:p>
        </w:tc>
        <w:tc>
          <w:tcPr>
            <w:tcW w:w="913" w:type="dxa"/>
            <w:gridSpan w:val="2"/>
            <w:tcBorders>
              <w:top w:val="nil"/>
              <w:left w:val="nil"/>
              <w:bottom w:val="dotted" w:sz="4" w:space="0" w:color="auto"/>
              <w:right w:val="nil"/>
            </w:tcBorders>
            <w:shd w:val="clear" w:color="auto" w:fill="auto"/>
            <w:noWrap/>
            <w:vAlign w:val="bottom"/>
            <w:hideMark/>
          </w:tcPr>
          <w:p w14:paraId="403F606D"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3.1</w:t>
            </w:r>
          </w:p>
        </w:tc>
      </w:tr>
      <w:tr w:rsidR="00E45705" w:rsidRPr="001B09E6" w14:paraId="08724397" w14:textId="77777777" w:rsidTr="00E45705">
        <w:trPr>
          <w:trHeight w:val="300"/>
        </w:trPr>
        <w:tc>
          <w:tcPr>
            <w:tcW w:w="866" w:type="dxa"/>
            <w:tcBorders>
              <w:top w:val="nil"/>
              <w:left w:val="nil"/>
              <w:right w:val="nil"/>
            </w:tcBorders>
            <w:shd w:val="clear" w:color="auto" w:fill="auto"/>
            <w:noWrap/>
            <w:vAlign w:val="bottom"/>
            <w:hideMark/>
          </w:tcPr>
          <w:p w14:paraId="266800F2"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14:paraId="7EF91150"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Total fully engaged</w:t>
            </w:r>
            <w:r w:rsidRPr="001B09E6">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14:paraId="341A1C41"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71.4</w:t>
            </w:r>
          </w:p>
        </w:tc>
        <w:tc>
          <w:tcPr>
            <w:tcW w:w="908" w:type="dxa"/>
            <w:tcBorders>
              <w:top w:val="dotted" w:sz="4" w:space="0" w:color="auto"/>
              <w:left w:val="nil"/>
              <w:bottom w:val="dotted" w:sz="4" w:space="0" w:color="auto"/>
              <w:right w:val="nil"/>
            </w:tcBorders>
            <w:shd w:val="clear" w:color="auto" w:fill="auto"/>
            <w:noWrap/>
            <w:vAlign w:val="bottom"/>
            <w:hideMark/>
          </w:tcPr>
          <w:p w14:paraId="68BABC8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73.0</w:t>
            </w:r>
          </w:p>
        </w:tc>
        <w:tc>
          <w:tcPr>
            <w:tcW w:w="908" w:type="dxa"/>
            <w:tcBorders>
              <w:top w:val="dotted" w:sz="4" w:space="0" w:color="auto"/>
              <w:left w:val="nil"/>
              <w:bottom w:val="dotted" w:sz="4" w:space="0" w:color="auto"/>
              <w:right w:val="nil"/>
            </w:tcBorders>
            <w:shd w:val="clear" w:color="auto" w:fill="auto"/>
            <w:noWrap/>
            <w:vAlign w:val="bottom"/>
            <w:hideMark/>
          </w:tcPr>
          <w:p w14:paraId="5EE096B5"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72.5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69029902"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72.8</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23B4DA37"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74.0</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6C242673"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74.0</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41E40C01"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75.5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64AD5083"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76.3</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67F69CB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72.7</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7AE7CEC1"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72.7</w:t>
            </w:r>
          </w:p>
        </w:tc>
        <w:tc>
          <w:tcPr>
            <w:tcW w:w="913" w:type="dxa"/>
            <w:gridSpan w:val="2"/>
            <w:tcBorders>
              <w:top w:val="dotted" w:sz="4" w:space="0" w:color="auto"/>
              <w:left w:val="nil"/>
              <w:bottom w:val="dotted" w:sz="4" w:space="0" w:color="auto"/>
              <w:right w:val="nil"/>
            </w:tcBorders>
            <w:shd w:val="clear" w:color="auto" w:fill="auto"/>
            <w:noWrap/>
            <w:vAlign w:val="bottom"/>
            <w:hideMark/>
          </w:tcPr>
          <w:p w14:paraId="29F3C8F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72.5</w:t>
            </w:r>
          </w:p>
        </w:tc>
      </w:tr>
      <w:tr w:rsidR="00E45705" w:rsidRPr="001B09E6" w14:paraId="281D79F5" w14:textId="77777777" w:rsidTr="00E45705">
        <w:trPr>
          <w:trHeight w:val="300"/>
        </w:trPr>
        <w:tc>
          <w:tcPr>
            <w:tcW w:w="866" w:type="dxa"/>
            <w:tcBorders>
              <w:top w:val="nil"/>
              <w:left w:val="nil"/>
              <w:bottom w:val="single" w:sz="4" w:space="0" w:color="auto"/>
              <w:right w:val="nil"/>
            </w:tcBorders>
            <w:shd w:val="clear" w:color="auto" w:fill="auto"/>
            <w:noWrap/>
            <w:vAlign w:val="bottom"/>
            <w:hideMark/>
          </w:tcPr>
          <w:p w14:paraId="2297BBBE"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dotted" w:sz="4" w:space="0" w:color="auto"/>
              <w:left w:val="nil"/>
              <w:bottom w:val="single" w:sz="4" w:space="0" w:color="auto"/>
              <w:right w:val="nil"/>
            </w:tcBorders>
            <w:shd w:val="clear" w:color="auto" w:fill="auto"/>
            <w:vAlign w:val="bottom"/>
            <w:hideMark/>
          </w:tcPr>
          <w:p w14:paraId="320A313B"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Not fully engaged</w:t>
            </w:r>
          </w:p>
        </w:tc>
        <w:tc>
          <w:tcPr>
            <w:tcW w:w="908" w:type="dxa"/>
            <w:tcBorders>
              <w:top w:val="dotted" w:sz="4" w:space="0" w:color="auto"/>
              <w:left w:val="nil"/>
              <w:bottom w:val="single" w:sz="4" w:space="0" w:color="auto"/>
              <w:right w:val="nil"/>
            </w:tcBorders>
            <w:shd w:val="clear" w:color="auto" w:fill="auto"/>
            <w:noWrap/>
            <w:vAlign w:val="bottom"/>
            <w:hideMark/>
          </w:tcPr>
          <w:p w14:paraId="4C0F69AB"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28.6</w:t>
            </w:r>
          </w:p>
        </w:tc>
        <w:tc>
          <w:tcPr>
            <w:tcW w:w="908" w:type="dxa"/>
            <w:tcBorders>
              <w:top w:val="dotted" w:sz="4" w:space="0" w:color="auto"/>
              <w:left w:val="nil"/>
              <w:bottom w:val="single" w:sz="4" w:space="0" w:color="auto"/>
              <w:right w:val="nil"/>
            </w:tcBorders>
            <w:shd w:val="clear" w:color="auto" w:fill="auto"/>
            <w:noWrap/>
            <w:vAlign w:val="bottom"/>
            <w:hideMark/>
          </w:tcPr>
          <w:p w14:paraId="065598A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27.0</w:t>
            </w:r>
          </w:p>
        </w:tc>
        <w:tc>
          <w:tcPr>
            <w:tcW w:w="908" w:type="dxa"/>
            <w:tcBorders>
              <w:top w:val="dotted" w:sz="4" w:space="0" w:color="auto"/>
              <w:left w:val="nil"/>
              <w:bottom w:val="single" w:sz="4" w:space="0" w:color="auto"/>
              <w:right w:val="nil"/>
            </w:tcBorders>
            <w:shd w:val="clear" w:color="auto" w:fill="auto"/>
            <w:noWrap/>
            <w:vAlign w:val="bottom"/>
            <w:hideMark/>
          </w:tcPr>
          <w:p w14:paraId="1CCE9FE8"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27.5</w:t>
            </w:r>
          </w:p>
        </w:tc>
        <w:tc>
          <w:tcPr>
            <w:tcW w:w="908" w:type="dxa"/>
            <w:gridSpan w:val="2"/>
            <w:tcBorders>
              <w:top w:val="dotted" w:sz="4" w:space="0" w:color="auto"/>
              <w:left w:val="nil"/>
              <w:bottom w:val="single" w:sz="4" w:space="0" w:color="auto"/>
              <w:right w:val="nil"/>
            </w:tcBorders>
            <w:shd w:val="clear" w:color="auto" w:fill="auto"/>
            <w:noWrap/>
            <w:vAlign w:val="bottom"/>
            <w:hideMark/>
          </w:tcPr>
          <w:p w14:paraId="3DD93B35"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27.2</w:t>
            </w:r>
          </w:p>
        </w:tc>
        <w:tc>
          <w:tcPr>
            <w:tcW w:w="908" w:type="dxa"/>
            <w:gridSpan w:val="2"/>
            <w:tcBorders>
              <w:top w:val="dotted" w:sz="4" w:space="0" w:color="auto"/>
              <w:left w:val="nil"/>
              <w:bottom w:val="single" w:sz="4" w:space="0" w:color="auto"/>
              <w:right w:val="nil"/>
            </w:tcBorders>
            <w:shd w:val="clear" w:color="auto" w:fill="auto"/>
            <w:noWrap/>
            <w:vAlign w:val="bottom"/>
            <w:hideMark/>
          </w:tcPr>
          <w:p w14:paraId="51C1355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26.0</w:t>
            </w:r>
          </w:p>
        </w:tc>
        <w:tc>
          <w:tcPr>
            <w:tcW w:w="908" w:type="dxa"/>
            <w:gridSpan w:val="2"/>
            <w:tcBorders>
              <w:top w:val="dotted" w:sz="4" w:space="0" w:color="auto"/>
              <w:left w:val="nil"/>
              <w:bottom w:val="single" w:sz="4" w:space="0" w:color="auto"/>
              <w:right w:val="nil"/>
            </w:tcBorders>
            <w:shd w:val="clear" w:color="auto" w:fill="auto"/>
            <w:noWrap/>
            <w:vAlign w:val="bottom"/>
            <w:hideMark/>
          </w:tcPr>
          <w:p w14:paraId="7C296489"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26.0</w:t>
            </w:r>
          </w:p>
        </w:tc>
        <w:tc>
          <w:tcPr>
            <w:tcW w:w="908" w:type="dxa"/>
            <w:gridSpan w:val="2"/>
            <w:tcBorders>
              <w:top w:val="dotted" w:sz="4" w:space="0" w:color="auto"/>
              <w:left w:val="nil"/>
              <w:bottom w:val="single" w:sz="4" w:space="0" w:color="auto"/>
              <w:right w:val="nil"/>
            </w:tcBorders>
            <w:shd w:val="clear" w:color="auto" w:fill="auto"/>
            <w:noWrap/>
            <w:vAlign w:val="bottom"/>
            <w:hideMark/>
          </w:tcPr>
          <w:p w14:paraId="5B02D29B"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24.5</w:t>
            </w:r>
          </w:p>
        </w:tc>
        <w:tc>
          <w:tcPr>
            <w:tcW w:w="908" w:type="dxa"/>
            <w:gridSpan w:val="2"/>
            <w:tcBorders>
              <w:top w:val="dotted" w:sz="4" w:space="0" w:color="auto"/>
              <w:left w:val="nil"/>
              <w:bottom w:val="single" w:sz="4" w:space="0" w:color="auto"/>
              <w:right w:val="nil"/>
            </w:tcBorders>
            <w:shd w:val="clear" w:color="auto" w:fill="auto"/>
            <w:noWrap/>
            <w:vAlign w:val="bottom"/>
            <w:hideMark/>
          </w:tcPr>
          <w:p w14:paraId="16566173"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23.7</w:t>
            </w:r>
          </w:p>
        </w:tc>
        <w:tc>
          <w:tcPr>
            <w:tcW w:w="908" w:type="dxa"/>
            <w:gridSpan w:val="2"/>
            <w:tcBorders>
              <w:top w:val="dotted" w:sz="4" w:space="0" w:color="auto"/>
              <w:left w:val="nil"/>
              <w:bottom w:val="single" w:sz="4" w:space="0" w:color="auto"/>
              <w:right w:val="nil"/>
            </w:tcBorders>
            <w:shd w:val="clear" w:color="auto" w:fill="auto"/>
            <w:noWrap/>
            <w:vAlign w:val="bottom"/>
            <w:hideMark/>
          </w:tcPr>
          <w:p w14:paraId="0AE523CA"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27.3</w:t>
            </w:r>
          </w:p>
        </w:tc>
        <w:tc>
          <w:tcPr>
            <w:tcW w:w="908" w:type="dxa"/>
            <w:gridSpan w:val="2"/>
            <w:tcBorders>
              <w:top w:val="dotted" w:sz="4" w:space="0" w:color="auto"/>
              <w:left w:val="nil"/>
              <w:bottom w:val="single" w:sz="4" w:space="0" w:color="auto"/>
              <w:right w:val="nil"/>
            </w:tcBorders>
            <w:shd w:val="clear" w:color="auto" w:fill="auto"/>
            <w:noWrap/>
            <w:vAlign w:val="bottom"/>
            <w:hideMark/>
          </w:tcPr>
          <w:p w14:paraId="139AB9E7"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27.3</w:t>
            </w:r>
          </w:p>
        </w:tc>
        <w:tc>
          <w:tcPr>
            <w:tcW w:w="913" w:type="dxa"/>
            <w:gridSpan w:val="2"/>
            <w:tcBorders>
              <w:top w:val="dotted" w:sz="4" w:space="0" w:color="auto"/>
              <w:left w:val="nil"/>
              <w:bottom w:val="single" w:sz="4" w:space="0" w:color="auto"/>
              <w:right w:val="nil"/>
            </w:tcBorders>
            <w:shd w:val="clear" w:color="auto" w:fill="auto"/>
            <w:noWrap/>
            <w:vAlign w:val="bottom"/>
            <w:hideMark/>
          </w:tcPr>
          <w:p w14:paraId="31DA8B44"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27.5</w:t>
            </w:r>
          </w:p>
        </w:tc>
      </w:tr>
      <w:tr w:rsidR="00E45705" w:rsidRPr="001B09E6" w14:paraId="601020C0" w14:textId="77777777" w:rsidTr="00E45705">
        <w:trPr>
          <w:trHeight w:val="300"/>
        </w:trPr>
        <w:tc>
          <w:tcPr>
            <w:tcW w:w="14403" w:type="dxa"/>
            <w:gridSpan w:val="21"/>
            <w:tcBorders>
              <w:top w:val="nil"/>
              <w:left w:val="nil"/>
              <w:bottom w:val="nil"/>
              <w:right w:val="nil"/>
            </w:tcBorders>
            <w:shd w:val="clear" w:color="auto" w:fill="auto"/>
            <w:noWrap/>
            <w:vAlign w:val="bottom"/>
            <w:hideMark/>
          </w:tcPr>
          <w:p w14:paraId="0DDC8612" w14:textId="77777777" w:rsidR="00E45705" w:rsidRPr="001B09E6" w:rsidRDefault="00E45705" w:rsidP="00E45705">
            <w:pPr>
              <w:pStyle w:val="Tablenote"/>
              <w:rPr>
                <w:lang w:eastAsia="en-AU"/>
              </w:rPr>
            </w:pPr>
            <w:r w:rsidRPr="001B09E6">
              <w:rPr>
                <w:lang w:eastAsia="en-AU"/>
              </w:rPr>
              <w:t>Source: ABS Survey of Education and Work 6227.0</w:t>
            </w:r>
          </w:p>
        </w:tc>
      </w:tr>
      <w:tr w:rsidR="00E45705" w:rsidRPr="001B09E6" w14:paraId="5EF9896D" w14:textId="77777777" w:rsidTr="00E45705">
        <w:trPr>
          <w:trHeight w:val="300"/>
        </w:trPr>
        <w:tc>
          <w:tcPr>
            <w:tcW w:w="14403" w:type="dxa"/>
            <w:gridSpan w:val="21"/>
            <w:tcBorders>
              <w:top w:val="nil"/>
              <w:left w:val="nil"/>
              <w:bottom w:val="nil"/>
              <w:right w:val="nil"/>
            </w:tcBorders>
            <w:shd w:val="clear" w:color="auto" w:fill="auto"/>
            <w:noWrap/>
            <w:vAlign w:val="bottom"/>
          </w:tcPr>
          <w:p w14:paraId="65C55923" w14:textId="77777777" w:rsidR="00E45705" w:rsidRPr="001B09E6" w:rsidRDefault="00E45705" w:rsidP="00E45705">
            <w:pPr>
              <w:pStyle w:val="Tablenote"/>
              <w:rPr>
                <w:lang w:eastAsia="en-AU"/>
              </w:rPr>
            </w:pPr>
            <w:r w:rsidRPr="001B09E6">
              <w:rPr>
                <w:lang w:eastAsia="en-AU"/>
              </w:rPr>
              <w:t>1 Excludes persons in both full-time employment and full-time education/training.</w:t>
            </w:r>
          </w:p>
        </w:tc>
      </w:tr>
      <w:tr w:rsidR="00E45705" w:rsidRPr="001B09E6" w14:paraId="4ED146B1" w14:textId="77777777" w:rsidTr="00E45705">
        <w:trPr>
          <w:trHeight w:val="300"/>
        </w:trPr>
        <w:tc>
          <w:tcPr>
            <w:tcW w:w="14403" w:type="dxa"/>
            <w:gridSpan w:val="21"/>
            <w:tcBorders>
              <w:top w:val="nil"/>
              <w:left w:val="nil"/>
              <w:bottom w:val="nil"/>
              <w:right w:val="nil"/>
            </w:tcBorders>
            <w:shd w:val="clear" w:color="auto" w:fill="auto"/>
            <w:noWrap/>
            <w:vAlign w:val="bottom"/>
          </w:tcPr>
          <w:p w14:paraId="261A0227" w14:textId="77777777" w:rsidR="00E45705" w:rsidRPr="001B09E6" w:rsidRDefault="00E45705" w:rsidP="00E45705">
            <w:pPr>
              <w:pStyle w:val="Tablenote"/>
              <w:rPr>
                <w:lang w:eastAsia="en-AU"/>
              </w:rPr>
            </w:pPr>
            <w:r w:rsidRPr="001B09E6">
              <w:rPr>
                <w:lang w:eastAsia="en-AU"/>
              </w:rPr>
              <w:t>2 Comprises persons in full-time employment and full-time education/training at Certificate III level or above; and part-time employment and part-time education/training.</w:t>
            </w:r>
          </w:p>
        </w:tc>
      </w:tr>
      <w:tr w:rsidR="00E45705" w:rsidRPr="001B09E6" w14:paraId="6F83D6E4" w14:textId="77777777" w:rsidTr="00E45705">
        <w:trPr>
          <w:trHeight w:val="300"/>
        </w:trPr>
        <w:tc>
          <w:tcPr>
            <w:tcW w:w="14403" w:type="dxa"/>
            <w:gridSpan w:val="21"/>
            <w:tcBorders>
              <w:top w:val="nil"/>
              <w:left w:val="nil"/>
              <w:bottom w:val="nil"/>
              <w:right w:val="nil"/>
            </w:tcBorders>
            <w:shd w:val="clear" w:color="auto" w:fill="auto"/>
            <w:noWrap/>
            <w:vAlign w:val="bottom"/>
          </w:tcPr>
          <w:p w14:paraId="4D91DACD" w14:textId="77777777" w:rsidR="00E45705" w:rsidRPr="001B09E6" w:rsidRDefault="00E45705" w:rsidP="00E45705">
            <w:pPr>
              <w:pStyle w:val="Tablenote"/>
              <w:rPr>
                <w:lang w:eastAsia="en-AU"/>
              </w:rPr>
            </w:pPr>
            <w:r w:rsidRPr="001B09E6">
              <w:rPr>
                <w:lang w:eastAsia="en-AU"/>
              </w:rPr>
              <w:t>3 Fully Engaged comprises persons in full-time employment; full-time education/training at Certificate III level or above; or both part-time employment and part-time education/training at Certificate III level or above.</w:t>
            </w:r>
          </w:p>
        </w:tc>
      </w:tr>
      <w:tr w:rsidR="00E45705" w:rsidRPr="001B09E6" w14:paraId="081F54B9" w14:textId="77777777" w:rsidTr="00E45705">
        <w:trPr>
          <w:trHeight w:val="300"/>
        </w:trPr>
        <w:tc>
          <w:tcPr>
            <w:tcW w:w="14403" w:type="dxa"/>
            <w:gridSpan w:val="21"/>
            <w:tcBorders>
              <w:top w:val="nil"/>
              <w:left w:val="nil"/>
              <w:bottom w:val="nil"/>
              <w:right w:val="nil"/>
            </w:tcBorders>
            <w:shd w:val="clear" w:color="auto" w:fill="auto"/>
            <w:noWrap/>
            <w:vAlign w:val="bottom"/>
            <w:hideMark/>
          </w:tcPr>
          <w:p w14:paraId="2FD7E2AA" w14:textId="77777777" w:rsidR="00E45705" w:rsidRPr="001B09E6" w:rsidRDefault="00E45705" w:rsidP="00E45705">
            <w:pPr>
              <w:pStyle w:val="TableHeading"/>
              <w:spacing w:before="112"/>
            </w:pPr>
            <w:r w:rsidRPr="001B09E6">
              <w:t>95% confidence interval for proportion of persons aged 18-24 years who are fully engaged in employment, education or training at or above Certificate III level (NEA Indicator 10), by sex (%)</w:t>
            </w:r>
          </w:p>
        </w:tc>
      </w:tr>
      <w:tr w:rsidR="00E45705" w:rsidRPr="001B09E6" w14:paraId="5296FE56" w14:textId="77777777" w:rsidTr="00E45705">
        <w:trPr>
          <w:trHeight w:val="300"/>
        </w:trPr>
        <w:tc>
          <w:tcPr>
            <w:tcW w:w="866" w:type="dxa"/>
            <w:tcBorders>
              <w:top w:val="single" w:sz="4" w:space="0" w:color="auto"/>
              <w:left w:val="nil"/>
              <w:bottom w:val="single" w:sz="4" w:space="0" w:color="auto"/>
              <w:right w:val="nil"/>
            </w:tcBorders>
            <w:shd w:val="clear" w:color="auto" w:fill="auto"/>
            <w:noWrap/>
            <w:vAlign w:val="bottom"/>
            <w:hideMark/>
          </w:tcPr>
          <w:p w14:paraId="35020331" w14:textId="77777777" w:rsidR="00E45705" w:rsidRPr="001B09E6" w:rsidRDefault="00E45705" w:rsidP="00E45705">
            <w:pPr>
              <w:rPr>
                <w:rFonts w:asciiTheme="minorHAnsi" w:eastAsia="Times New Roman" w:hAnsiTheme="minorHAnsi"/>
                <w:color w:val="800000"/>
                <w:sz w:val="18"/>
                <w:szCs w:val="18"/>
                <w:lang w:eastAsia="en-AU"/>
              </w:rPr>
            </w:pPr>
          </w:p>
        </w:tc>
        <w:tc>
          <w:tcPr>
            <w:tcW w:w="3544" w:type="dxa"/>
            <w:tcBorders>
              <w:top w:val="single" w:sz="4" w:space="0" w:color="auto"/>
              <w:left w:val="nil"/>
              <w:bottom w:val="single" w:sz="4" w:space="0" w:color="auto"/>
              <w:right w:val="nil"/>
            </w:tcBorders>
            <w:shd w:val="clear" w:color="auto" w:fill="auto"/>
            <w:noWrap/>
            <w:vAlign w:val="bottom"/>
            <w:hideMark/>
          </w:tcPr>
          <w:p w14:paraId="29413B4E" w14:textId="77777777" w:rsidR="00E45705" w:rsidRPr="001B09E6" w:rsidRDefault="00E45705" w:rsidP="00E45705">
            <w:pPr>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 </w:t>
            </w:r>
          </w:p>
        </w:tc>
        <w:tc>
          <w:tcPr>
            <w:tcW w:w="908" w:type="dxa"/>
            <w:tcBorders>
              <w:top w:val="single" w:sz="4" w:space="0" w:color="auto"/>
              <w:left w:val="nil"/>
              <w:bottom w:val="single" w:sz="4" w:space="0" w:color="auto"/>
              <w:right w:val="nil"/>
            </w:tcBorders>
            <w:shd w:val="clear" w:color="auto" w:fill="auto"/>
            <w:noWrap/>
            <w:vAlign w:val="bottom"/>
            <w:hideMark/>
          </w:tcPr>
          <w:p w14:paraId="468CE445"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2001</w:t>
            </w:r>
          </w:p>
        </w:tc>
        <w:tc>
          <w:tcPr>
            <w:tcW w:w="908" w:type="dxa"/>
            <w:tcBorders>
              <w:top w:val="single" w:sz="4" w:space="0" w:color="auto"/>
              <w:left w:val="nil"/>
              <w:bottom w:val="single" w:sz="4" w:space="0" w:color="auto"/>
              <w:right w:val="nil"/>
            </w:tcBorders>
            <w:shd w:val="clear" w:color="auto" w:fill="auto"/>
            <w:noWrap/>
            <w:vAlign w:val="bottom"/>
            <w:hideMark/>
          </w:tcPr>
          <w:p w14:paraId="261E091A"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2002</w:t>
            </w:r>
          </w:p>
        </w:tc>
        <w:tc>
          <w:tcPr>
            <w:tcW w:w="908" w:type="dxa"/>
            <w:tcBorders>
              <w:top w:val="single" w:sz="4" w:space="0" w:color="auto"/>
              <w:left w:val="nil"/>
              <w:bottom w:val="single" w:sz="4" w:space="0" w:color="auto"/>
              <w:right w:val="nil"/>
            </w:tcBorders>
            <w:shd w:val="clear" w:color="auto" w:fill="auto"/>
            <w:noWrap/>
            <w:vAlign w:val="bottom"/>
            <w:hideMark/>
          </w:tcPr>
          <w:p w14:paraId="695002B5"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2003</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3D84D8E8"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2004</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2C821F7D"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2005</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16FEC4C5"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2006</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46CF828C"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2007</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21D00B8E"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2008</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45580022"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2009</w:t>
            </w:r>
          </w:p>
        </w:tc>
        <w:tc>
          <w:tcPr>
            <w:tcW w:w="908" w:type="dxa"/>
            <w:gridSpan w:val="2"/>
            <w:tcBorders>
              <w:top w:val="single" w:sz="4" w:space="0" w:color="auto"/>
              <w:left w:val="nil"/>
              <w:bottom w:val="single" w:sz="4" w:space="0" w:color="auto"/>
              <w:right w:val="nil"/>
            </w:tcBorders>
            <w:shd w:val="clear" w:color="auto" w:fill="auto"/>
            <w:noWrap/>
            <w:vAlign w:val="bottom"/>
            <w:hideMark/>
          </w:tcPr>
          <w:p w14:paraId="5C09DF02"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2010</w:t>
            </w:r>
          </w:p>
        </w:tc>
        <w:tc>
          <w:tcPr>
            <w:tcW w:w="913" w:type="dxa"/>
            <w:gridSpan w:val="2"/>
            <w:tcBorders>
              <w:top w:val="single" w:sz="4" w:space="0" w:color="auto"/>
              <w:left w:val="nil"/>
              <w:bottom w:val="single" w:sz="4" w:space="0" w:color="auto"/>
              <w:right w:val="nil"/>
            </w:tcBorders>
            <w:shd w:val="clear" w:color="auto" w:fill="auto"/>
            <w:noWrap/>
            <w:vAlign w:val="bottom"/>
            <w:hideMark/>
          </w:tcPr>
          <w:p w14:paraId="01BD3496" w14:textId="77777777" w:rsidR="00E45705" w:rsidRPr="001B09E6" w:rsidRDefault="00E45705" w:rsidP="00E45705">
            <w:pPr>
              <w:jc w:val="right"/>
              <w:rPr>
                <w:rFonts w:asciiTheme="minorHAnsi" w:eastAsia="Times New Roman" w:hAnsiTheme="minorHAnsi"/>
                <w:color w:val="800000"/>
                <w:sz w:val="18"/>
                <w:szCs w:val="18"/>
                <w:lang w:eastAsia="en-AU"/>
              </w:rPr>
            </w:pPr>
            <w:r w:rsidRPr="001B09E6">
              <w:rPr>
                <w:rFonts w:asciiTheme="minorHAnsi" w:eastAsia="Times New Roman" w:hAnsiTheme="minorHAnsi"/>
                <w:color w:val="800000"/>
                <w:sz w:val="18"/>
                <w:szCs w:val="18"/>
                <w:lang w:eastAsia="en-AU"/>
              </w:rPr>
              <w:t>2011</w:t>
            </w:r>
          </w:p>
        </w:tc>
      </w:tr>
      <w:tr w:rsidR="00E45705" w:rsidRPr="001B09E6" w14:paraId="1F7BC511" w14:textId="77777777" w:rsidTr="00E45705">
        <w:trPr>
          <w:trHeight w:val="300"/>
        </w:trPr>
        <w:tc>
          <w:tcPr>
            <w:tcW w:w="866" w:type="dxa"/>
            <w:tcBorders>
              <w:top w:val="nil"/>
              <w:left w:val="nil"/>
              <w:bottom w:val="nil"/>
              <w:right w:val="nil"/>
            </w:tcBorders>
            <w:shd w:val="clear" w:color="auto" w:fill="auto"/>
            <w:noWrap/>
            <w:vAlign w:val="bottom"/>
            <w:hideMark/>
          </w:tcPr>
          <w:p w14:paraId="05A80AA8"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Males</w:t>
            </w:r>
          </w:p>
        </w:tc>
        <w:tc>
          <w:tcPr>
            <w:tcW w:w="3544" w:type="dxa"/>
            <w:tcBorders>
              <w:top w:val="nil"/>
              <w:left w:val="nil"/>
              <w:bottom w:val="nil"/>
              <w:right w:val="nil"/>
            </w:tcBorders>
            <w:shd w:val="clear" w:color="auto" w:fill="auto"/>
            <w:vAlign w:val="bottom"/>
            <w:hideMark/>
          </w:tcPr>
          <w:p w14:paraId="1AAD783F"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employment</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14:paraId="0BEAB89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0.9</w:t>
            </w:r>
          </w:p>
        </w:tc>
        <w:tc>
          <w:tcPr>
            <w:tcW w:w="908" w:type="dxa"/>
            <w:tcBorders>
              <w:top w:val="nil"/>
              <w:left w:val="nil"/>
              <w:bottom w:val="nil"/>
              <w:right w:val="nil"/>
            </w:tcBorders>
            <w:shd w:val="clear" w:color="auto" w:fill="auto"/>
            <w:noWrap/>
            <w:vAlign w:val="bottom"/>
            <w:hideMark/>
          </w:tcPr>
          <w:p w14:paraId="46B953E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tcBorders>
              <w:top w:val="nil"/>
              <w:left w:val="nil"/>
              <w:bottom w:val="nil"/>
              <w:right w:val="nil"/>
            </w:tcBorders>
            <w:shd w:val="clear" w:color="auto" w:fill="auto"/>
            <w:noWrap/>
            <w:vAlign w:val="bottom"/>
            <w:hideMark/>
          </w:tcPr>
          <w:p w14:paraId="4ED56C5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14:paraId="6CAAE74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1.8</w:t>
            </w:r>
          </w:p>
        </w:tc>
        <w:tc>
          <w:tcPr>
            <w:tcW w:w="908" w:type="dxa"/>
            <w:gridSpan w:val="2"/>
            <w:tcBorders>
              <w:top w:val="nil"/>
              <w:left w:val="nil"/>
              <w:bottom w:val="nil"/>
              <w:right w:val="nil"/>
            </w:tcBorders>
            <w:shd w:val="clear" w:color="auto" w:fill="auto"/>
            <w:noWrap/>
            <w:vAlign w:val="bottom"/>
            <w:hideMark/>
          </w:tcPr>
          <w:p w14:paraId="7377712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14:paraId="483D91D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14:paraId="7D11558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14:paraId="1D0BD7A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14:paraId="6A5C8B1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w:t>
            </w:r>
          </w:p>
        </w:tc>
        <w:tc>
          <w:tcPr>
            <w:tcW w:w="908" w:type="dxa"/>
            <w:gridSpan w:val="2"/>
            <w:tcBorders>
              <w:top w:val="nil"/>
              <w:left w:val="nil"/>
              <w:bottom w:val="nil"/>
              <w:right w:val="nil"/>
            </w:tcBorders>
            <w:shd w:val="clear" w:color="auto" w:fill="auto"/>
            <w:noWrap/>
            <w:vAlign w:val="bottom"/>
            <w:hideMark/>
          </w:tcPr>
          <w:p w14:paraId="7B51BDE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13" w:type="dxa"/>
            <w:gridSpan w:val="2"/>
            <w:tcBorders>
              <w:top w:val="nil"/>
              <w:left w:val="nil"/>
              <w:bottom w:val="nil"/>
              <w:right w:val="nil"/>
            </w:tcBorders>
            <w:shd w:val="clear" w:color="auto" w:fill="auto"/>
            <w:noWrap/>
            <w:vAlign w:val="bottom"/>
            <w:hideMark/>
          </w:tcPr>
          <w:p w14:paraId="09EE8BF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w:t>
            </w:r>
          </w:p>
        </w:tc>
      </w:tr>
      <w:tr w:rsidR="00E45705" w:rsidRPr="001B09E6" w14:paraId="1D4D4FD9" w14:textId="77777777" w:rsidTr="00E45705">
        <w:trPr>
          <w:trHeight w:val="567"/>
        </w:trPr>
        <w:tc>
          <w:tcPr>
            <w:tcW w:w="866" w:type="dxa"/>
            <w:tcBorders>
              <w:top w:val="nil"/>
              <w:left w:val="nil"/>
              <w:bottom w:val="nil"/>
              <w:right w:val="nil"/>
            </w:tcBorders>
            <w:shd w:val="clear" w:color="auto" w:fill="auto"/>
            <w:noWrap/>
            <w:vAlign w:val="bottom"/>
            <w:hideMark/>
          </w:tcPr>
          <w:p w14:paraId="6A43E435"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14:paraId="4996A696"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education/  training at or above Certificate III level</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14:paraId="3381A07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0.9</w:t>
            </w:r>
          </w:p>
        </w:tc>
        <w:tc>
          <w:tcPr>
            <w:tcW w:w="908" w:type="dxa"/>
            <w:tcBorders>
              <w:top w:val="nil"/>
              <w:left w:val="nil"/>
              <w:bottom w:val="nil"/>
              <w:right w:val="nil"/>
            </w:tcBorders>
            <w:shd w:val="clear" w:color="auto" w:fill="auto"/>
            <w:noWrap/>
            <w:vAlign w:val="bottom"/>
            <w:hideMark/>
          </w:tcPr>
          <w:p w14:paraId="0EF58BC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tcBorders>
              <w:top w:val="nil"/>
              <w:left w:val="nil"/>
              <w:bottom w:val="nil"/>
              <w:right w:val="nil"/>
            </w:tcBorders>
            <w:shd w:val="clear" w:color="auto" w:fill="auto"/>
            <w:noWrap/>
            <w:vAlign w:val="bottom"/>
            <w:hideMark/>
          </w:tcPr>
          <w:p w14:paraId="7D006B5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gridSpan w:val="2"/>
            <w:tcBorders>
              <w:top w:val="nil"/>
              <w:left w:val="nil"/>
              <w:bottom w:val="nil"/>
              <w:right w:val="nil"/>
            </w:tcBorders>
            <w:shd w:val="clear" w:color="auto" w:fill="auto"/>
            <w:noWrap/>
            <w:vAlign w:val="bottom"/>
            <w:hideMark/>
          </w:tcPr>
          <w:p w14:paraId="1422FA3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1.8</w:t>
            </w:r>
          </w:p>
        </w:tc>
        <w:tc>
          <w:tcPr>
            <w:tcW w:w="908" w:type="dxa"/>
            <w:gridSpan w:val="2"/>
            <w:tcBorders>
              <w:top w:val="nil"/>
              <w:left w:val="nil"/>
              <w:bottom w:val="nil"/>
              <w:right w:val="nil"/>
            </w:tcBorders>
            <w:shd w:val="clear" w:color="auto" w:fill="auto"/>
            <w:noWrap/>
            <w:vAlign w:val="bottom"/>
            <w:hideMark/>
          </w:tcPr>
          <w:p w14:paraId="1CE500F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14:paraId="186200E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14:paraId="02C9989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w:t>
            </w:r>
          </w:p>
        </w:tc>
        <w:tc>
          <w:tcPr>
            <w:tcW w:w="908" w:type="dxa"/>
            <w:gridSpan w:val="2"/>
            <w:tcBorders>
              <w:top w:val="nil"/>
              <w:left w:val="nil"/>
              <w:bottom w:val="nil"/>
              <w:right w:val="nil"/>
            </w:tcBorders>
            <w:shd w:val="clear" w:color="auto" w:fill="auto"/>
            <w:noWrap/>
            <w:vAlign w:val="bottom"/>
            <w:hideMark/>
          </w:tcPr>
          <w:p w14:paraId="0AEF268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gridSpan w:val="2"/>
            <w:tcBorders>
              <w:top w:val="nil"/>
              <w:left w:val="nil"/>
              <w:bottom w:val="nil"/>
              <w:right w:val="nil"/>
            </w:tcBorders>
            <w:shd w:val="clear" w:color="auto" w:fill="auto"/>
            <w:noWrap/>
            <w:vAlign w:val="bottom"/>
            <w:hideMark/>
          </w:tcPr>
          <w:p w14:paraId="13A4FA4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2.4</w:t>
            </w:r>
          </w:p>
        </w:tc>
        <w:tc>
          <w:tcPr>
            <w:tcW w:w="908" w:type="dxa"/>
            <w:gridSpan w:val="2"/>
            <w:tcBorders>
              <w:top w:val="nil"/>
              <w:left w:val="nil"/>
              <w:bottom w:val="nil"/>
              <w:right w:val="nil"/>
            </w:tcBorders>
            <w:shd w:val="clear" w:color="auto" w:fill="auto"/>
            <w:noWrap/>
            <w:vAlign w:val="bottom"/>
            <w:hideMark/>
          </w:tcPr>
          <w:p w14:paraId="3B23723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w:t>
            </w:r>
          </w:p>
        </w:tc>
        <w:tc>
          <w:tcPr>
            <w:tcW w:w="913" w:type="dxa"/>
            <w:gridSpan w:val="2"/>
            <w:tcBorders>
              <w:top w:val="nil"/>
              <w:left w:val="nil"/>
              <w:bottom w:val="nil"/>
              <w:right w:val="nil"/>
            </w:tcBorders>
            <w:shd w:val="clear" w:color="auto" w:fill="auto"/>
            <w:noWrap/>
            <w:vAlign w:val="bottom"/>
            <w:hideMark/>
          </w:tcPr>
          <w:p w14:paraId="59E0BA0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2.6</w:t>
            </w:r>
          </w:p>
        </w:tc>
      </w:tr>
      <w:tr w:rsidR="00E45705" w:rsidRPr="001B09E6" w14:paraId="6EC993E8" w14:textId="77777777" w:rsidTr="00E45705">
        <w:trPr>
          <w:trHeight w:val="709"/>
        </w:trPr>
        <w:tc>
          <w:tcPr>
            <w:tcW w:w="866" w:type="dxa"/>
            <w:tcBorders>
              <w:top w:val="nil"/>
              <w:left w:val="nil"/>
              <w:bottom w:val="nil"/>
              <w:right w:val="nil"/>
            </w:tcBorders>
            <w:shd w:val="clear" w:color="auto" w:fill="auto"/>
            <w:noWrap/>
            <w:vAlign w:val="bottom"/>
            <w:hideMark/>
          </w:tcPr>
          <w:p w14:paraId="39FCFF3D"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14:paraId="39D8A4F9"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Mix of full-time or part-time employment or education/training at or above Certificate III level</w:t>
            </w:r>
            <w:r w:rsidRPr="001B09E6">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nil"/>
              <w:right w:val="nil"/>
            </w:tcBorders>
            <w:shd w:val="clear" w:color="auto" w:fill="auto"/>
            <w:noWrap/>
            <w:vAlign w:val="bottom"/>
            <w:hideMark/>
          </w:tcPr>
          <w:p w14:paraId="473DA7D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0.4</w:t>
            </w:r>
          </w:p>
        </w:tc>
        <w:tc>
          <w:tcPr>
            <w:tcW w:w="908" w:type="dxa"/>
            <w:tcBorders>
              <w:top w:val="nil"/>
              <w:left w:val="nil"/>
              <w:bottom w:val="nil"/>
              <w:right w:val="nil"/>
            </w:tcBorders>
            <w:shd w:val="clear" w:color="auto" w:fill="auto"/>
            <w:noWrap/>
            <w:vAlign w:val="bottom"/>
            <w:hideMark/>
          </w:tcPr>
          <w:p w14:paraId="235BE21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0.5</w:t>
            </w:r>
          </w:p>
        </w:tc>
        <w:tc>
          <w:tcPr>
            <w:tcW w:w="908" w:type="dxa"/>
            <w:tcBorders>
              <w:top w:val="nil"/>
              <w:left w:val="nil"/>
              <w:bottom w:val="nil"/>
              <w:right w:val="nil"/>
            </w:tcBorders>
            <w:shd w:val="clear" w:color="auto" w:fill="auto"/>
            <w:noWrap/>
            <w:vAlign w:val="bottom"/>
            <w:hideMark/>
          </w:tcPr>
          <w:p w14:paraId="16FCFB5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14:paraId="0243564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14:paraId="6C50DC0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14:paraId="7516896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0.5</w:t>
            </w:r>
          </w:p>
        </w:tc>
        <w:tc>
          <w:tcPr>
            <w:tcW w:w="908" w:type="dxa"/>
            <w:gridSpan w:val="2"/>
            <w:tcBorders>
              <w:top w:val="nil"/>
              <w:left w:val="nil"/>
              <w:bottom w:val="nil"/>
              <w:right w:val="nil"/>
            </w:tcBorders>
            <w:shd w:val="clear" w:color="auto" w:fill="auto"/>
            <w:noWrap/>
            <w:vAlign w:val="bottom"/>
            <w:hideMark/>
          </w:tcPr>
          <w:p w14:paraId="7CA3466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0.8</w:t>
            </w:r>
          </w:p>
        </w:tc>
        <w:tc>
          <w:tcPr>
            <w:tcW w:w="908" w:type="dxa"/>
            <w:gridSpan w:val="2"/>
            <w:tcBorders>
              <w:top w:val="nil"/>
              <w:left w:val="nil"/>
              <w:bottom w:val="nil"/>
              <w:right w:val="nil"/>
            </w:tcBorders>
            <w:shd w:val="clear" w:color="auto" w:fill="auto"/>
            <w:noWrap/>
            <w:vAlign w:val="bottom"/>
            <w:hideMark/>
          </w:tcPr>
          <w:p w14:paraId="1ED0F0F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14:paraId="50B88D2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14:paraId="530B896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0.7</w:t>
            </w:r>
          </w:p>
        </w:tc>
        <w:tc>
          <w:tcPr>
            <w:tcW w:w="913" w:type="dxa"/>
            <w:gridSpan w:val="2"/>
            <w:tcBorders>
              <w:top w:val="nil"/>
              <w:left w:val="nil"/>
              <w:bottom w:val="nil"/>
              <w:right w:val="nil"/>
            </w:tcBorders>
            <w:shd w:val="clear" w:color="auto" w:fill="auto"/>
            <w:noWrap/>
            <w:vAlign w:val="bottom"/>
            <w:hideMark/>
          </w:tcPr>
          <w:p w14:paraId="7CA205E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0.7</w:t>
            </w:r>
          </w:p>
        </w:tc>
      </w:tr>
      <w:tr w:rsidR="00E45705" w:rsidRPr="001B09E6" w14:paraId="11F1A7D4" w14:textId="77777777" w:rsidTr="00E45705">
        <w:trPr>
          <w:trHeight w:val="300"/>
        </w:trPr>
        <w:tc>
          <w:tcPr>
            <w:tcW w:w="866" w:type="dxa"/>
            <w:tcBorders>
              <w:top w:val="nil"/>
              <w:left w:val="nil"/>
              <w:bottom w:val="nil"/>
              <w:right w:val="nil"/>
            </w:tcBorders>
            <w:shd w:val="clear" w:color="auto" w:fill="auto"/>
            <w:noWrap/>
            <w:vAlign w:val="bottom"/>
            <w:hideMark/>
          </w:tcPr>
          <w:p w14:paraId="463C2A96"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14:paraId="0D3A8759"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Total fully engaged</w:t>
            </w:r>
            <w:r w:rsidRPr="001B09E6">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14:paraId="1967266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0.7</w:t>
            </w:r>
          </w:p>
        </w:tc>
        <w:tc>
          <w:tcPr>
            <w:tcW w:w="908" w:type="dxa"/>
            <w:tcBorders>
              <w:top w:val="dotted" w:sz="4" w:space="0" w:color="auto"/>
              <w:left w:val="nil"/>
              <w:bottom w:val="dotted" w:sz="4" w:space="0" w:color="auto"/>
              <w:right w:val="nil"/>
            </w:tcBorders>
            <w:shd w:val="clear" w:color="auto" w:fill="auto"/>
            <w:noWrap/>
            <w:vAlign w:val="bottom"/>
            <w:hideMark/>
          </w:tcPr>
          <w:p w14:paraId="25399C7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1.4</w:t>
            </w:r>
          </w:p>
        </w:tc>
        <w:tc>
          <w:tcPr>
            <w:tcW w:w="908" w:type="dxa"/>
            <w:tcBorders>
              <w:top w:val="dotted" w:sz="4" w:space="0" w:color="auto"/>
              <w:left w:val="nil"/>
              <w:bottom w:val="dotted" w:sz="4" w:space="0" w:color="auto"/>
              <w:right w:val="nil"/>
            </w:tcBorders>
            <w:shd w:val="clear" w:color="auto" w:fill="auto"/>
            <w:noWrap/>
            <w:vAlign w:val="bottom"/>
            <w:hideMark/>
          </w:tcPr>
          <w:p w14:paraId="2E34EAB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1.4</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3F1CFB4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1.8</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55E1486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3EA3A7A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2763A4C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34B4805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0BAB751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1.8</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4BB8197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13" w:type="dxa"/>
            <w:gridSpan w:val="2"/>
            <w:tcBorders>
              <w:top w:val="dotted" w:sz="4" w:space="0" w:color="auto"/>
              <w:left w:val="nil"/>
              <w:bottom w:val="dotted" w:sz="4" w:space="0" w:color="auto"/>
              <w:right w:val="nil"/>
            </w:tcBorders>
            <w:shd w:val="clear" w:color="auto" w:fill="auto"/>
            <w:noWrap/>
            <w:vAlign w:val="bottom"/>
            <w:hideMark/>
          </w:tcPr>
          <w:p w14:paraId="70B6052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w:t>
            </w:r>
          </w:p>
        </w:tc>
      </w:tr>
      <w:tr w:rsidR="00E45705" w:rsidRPr="001B09E6" w14:paraId="05192505" w14:textId="77777777" w:rsidTr="00E45705">
        <w:trPr>
          <w:trHeight w:val="300"/>
        </w:trPr>
        <w:tc>
          <w:tcPr>
            <w:tcW w:w="866" w:type="dxa"/>
            <w:tcBorders>
              <w:top w:val="nil"/>
              <w:left w:val="nil"/>
              <w:bottom w:val="single" w:sz="4" w:space="0" w:color="auto"/>
              <w:right w:val="nil"/>
            </w:tcBorders>
            <w:shd w:val="clear" w:color="auto" w:fill="auto"/>
            <w:noWrap/>
            <w:vAlign w:val="bottom"/>
            <w:hideMark/>
          </w:tcPr>
          <w:p w14:paraId="7EC03C10"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 </w:t>
            </w:r>
          </w:p>
        </w:tc>
        <w:tc>
          <w:tcPr>
            <w:tcW w:w="3544" w:type="dxa"/>
            <w:tcBorders>
              <w:top w:val="nil"/>
              <w:left w:val="nil"/>
              <w:bottom w:val="single" w:sz="4" w:space="0" w:color="auto"/>
              <w:right w:val="nil"/>
            </w:tcBorders>
            <w:shd w:val="clear" w:color="auto" w:fill="auto"/>
            <w:vAlign w:val="bottom"/>
            <w:hideMark/>
          </w:tcPr>
          <w:p w14:paraId="2FCD4007"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Not fully engaged</w:t>
            </w:r>
          </w:p>
        </w:tc>
        <w:tc>
          <w:tcPr>
            <w:tcW w:w="908" w:type="dxa"/>
            <w:tcBorders>
              <w:top w:val="nil"/>
              <w:left w:val="nil"/>
              <w:bottom w:val="single" w:sz="4" w:space="0" w:color="auto"/>
              <w:right w:val="nil"/>
            </w:tcBorders>
            <w:shd w:val="clear" w:color="auto" w:fill="auto"/>
            <w:noWrap/>
            <w:vAlign w:val="bottom"/>
            <w:hideMark/>
          </w:tcPr>
          <w:p w14:paraId="701E1D1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0.9</w:t>
            </w:r>
          </w:p>
        </w:tc>
        <w:tc>
          <w:tcPr>
            <w:tcW w:w="908" w:type="dxa"/>
            <w:tcBorders>
              <w:top w:val="nil"/>
              <w:left w:val="nil"/>
              <w:bottom w:val="single" w:sz="4" w:space="0" w:color="auto"/>
              <w:right w:val="nil"/>
            </w:tcBorders>
            <w:shd w:val="clear" w:color="auto" w:fill="auto"/>
            <w:noWrap/>
            <w:vAlign w:val="bottom"/>
            <w:hideMark/>
          </w:tcPr>
          <w:p w14:paraId="4E4EDF4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tcBorders>
              <w:top w:val="nil"/>
              <w:left w:val="nil"/>
              <w:bottom w:val="single" w:sz="4" w:space="0" w:color="auto"/>
              <w:right w:val="nil"/>
            </w:tcBorders>
            <w:shd w:val="clear" w:color="auto" w:fill="auto"/>
            <w:noWrap/>
            <w:vAlign w:val="bottom"/>
            <w:hideMark/>
          </w:tcPr>
          <w:p w14:paraId="42D9BF8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gridSpan w:val="2"/>
            <w:tcBorders>
              <w:top w:val="nil"/>
              <w:left w:val="nil"/>
              <w:bottom w:val="single" w:sz="4" w:space="0" w:color="auto"/>
              <w:right w:val="nil"/>
            </w:tcBorders>
            <w:shd w:val="clear" w:color="auto" w:fill="auto"/>
            <w:noWrap/>
            <w:vAlign w:val="bottom"/>
            <w:hideMark/>
          </w:tcPr>
          <w:p w14:paraId="3695721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1.8</w:t>
            </w:r>
          </w:p>
        </w:tc>
        <w:tc>
          <w:tcPr>
            <w:tcW w:w="908" w:type="dxa"/>
            <w:gridSpan w:val="2"/>
            <w:tcBorders>
              <w:top w:val="nil"/>
              <w:left w:val="nil"/>
              <w:bottom w:val="single" w:sz="4" w:space="0" w:color="auto"/>
              <w:right w:val="nil"/>
            </w:tcBorders>
            <w:shd w:val="clear" w:color="auto" w:fill="auto"/>
            <w:noWrap/>
            <w:vAlign w:val="bottom"/>
            <w:hideMark/>
          </w:tcPr>
          <w:p w14:paraId="1E4794B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gridSpan w:val="2"/>
            <w:tcBorders>
              <w:top w:val="nil"/>
              <w:left w:val="nil"/>
              <w:bottom w:val="single" w:sz="4" w:space="0" w:color="auto"/>
              <w:right w:val="nil"/>
            </w:tcBorders>
            <w:shd w:val="clear" w:color="auto" w:fill="auto"/>
            <w:noWrap/>
            <w:vAlign w:val="bottom"/>
            <w:hideMark/>
          </w:tcPr>
          <w:p w14:paraId="3B21ADB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gridSpan w:val="2"/>
            <w:tcBorders>
              <w:top w:val="nil"/>
              <w:left w:val="nil"/>
              <w:bottom w:val="single" w:sz="4" w:space="0" w:color="auto"/>
              <w:right w:val="nil"/>
            </w:tcBorders>
            <w:shd w:val="clear" w:color="auto" w:fill="auto"/>
            <w:noWrap/>
            <w:vAlign w:val="bottom"/>
            <w:hideMark/>
          </w:tcPr>
          <w:p w14:paraId="1613036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gridSpan w:val="2"/>
            <w:tcBorders>
              <w:top w:val="nil"/>
              <w:left w:val="nil"/>
              <w:bottom w:val="single" w:sz="4" w:space="0" w:color="auto"/>
              <w:right w:val="nil"/>
            </w:tcBorders>
            <w:shd w:val="clear" w:color="auto" w:fill="auto"/>
            <w:noWrap/>
            <w:vAlign w:val="bottom"/>
            <w:hideMark/>
          </w:tcPr>
          <w:p w14:paraId="727654C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gridSpan w:val="2"/>
            <w:tcBorders>
              <w:top w:val="nil"/>
              <w:left w:val="nil"/>
              <w:bottom w:val="single" w:sz="4" w:space="0" w:color="auto"/>
              <w:right w:val="nil"/>
            </w:tcBorders>
            <w:shd w:val="clear" w:color="auto" w:fill="auto"/>
            <w:noWrap/>
            <w:vAlign w:val="bottom"/>
            <w:hideMark/>
          </w:tcPr>
          <w:p w14:paraId="409FC97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1.8</w:t>
            </w:r>
          </w:p>
        </w:tc>
        <w:tc>
          <w:tcPr>
            <w:tcW w:w="908" w:type="dxa"/>
            <w:gridSpan w:val="2"/>
            <w:tcBorders>
              <w:top w:val="nil"/>
              <w:left w:val="nil"/>
              <w:bottom w:val="single" w:sz="4" w:space="0" w:color="auto"/>
              <w:right w:val="nil"/>
            </w:tcBorders>
            <w:shd w:val="clear" w:color="auto" w:fill="auto"/>
            <w:noWrap/>
            <w:vAlign w:val="bottom"/>
            <w:hideMark/>
          </w:tcPr>
          <w:p w14:paraId="4CFF917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13" w:type="dxa"/>
            <w:gridSpan w:val="2"/>
            <w:tcBorders>
              <w:top w:val="nil"/>
              <w:left w:val="nil"/>
              <w:bottom w:val="single" w:sz="4" w:space="0" w:color="auto"/>
              <w:right w:val="nil"/>
            </w:tcBorders>
            <w:shd w:val="clear" w:color="auto" w:fill="auto"/>
            <w:noWrap/>
            <w:vAlign w:val="bottom"/>
            <w:hideMark/>
          </w:tcPr>
          <w:p w14:paraId="037D9DB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w:t>
            </w:r>
          </w:p>
        </w:tc>
      </w:tr>
      <w:tr w:rsidR="00E45705" w:rsidRPr="001B09E6" w14:paraId="7F968E8F" w14:textId="77777777" w:rsidTr="00E45705">
        <w:trPr>
          <w:trHeight w:val="300"/>
        </w:trPr>
        <w:tc>
          <w:tcPr>
            <w:tcW w:w="866" w:type="dxa"/>
            <w:tcBorders>
              <w:top w:val="nil"/>
              <w:left w:val="nil"/>
              <w:bottom w:val="nil"/>
              <w:right w:val="nil"/>
            </w:tcBorders>
            <w:shd w:val="clear" w:color="auto" w:fill="auto"/>
            <w:noWrap/>
            <w:vAlign w:val="bottom"/>
            <w:hideMark/>
          </w:tcPr>
          <w:p w14:paraId="30ADDDA0"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Females</w:t>
            </w:r>
          </w:p>
        </w:tc>
        <w:tc>
          <w:tcPr>
            <w:tcW w:w="3544" w:type="dxa"/>
            <w:tcBorders>
              <w:top w:val="nil"/>
              <w:left w:val="nil"/>
              <w:bottom w:val="nil"/>
              <w:right w:val="nil"/>
            </w:tcBorders>
            <w:shd w:val="clear" w:color="auto" w:fill="auto"/>
            <w:vAlign w:val="bottom"/>
            <w:hideMark/>
          </w:tcPr>
          <w:p w14:paraId="191C0E6E"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employment</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14:paraId="64625A7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1.0</w:t>
            </w:r>
          </w:p>
        </w:tc>
        <w:tc>
          <w:tcPr>
            <w:tcW w:w="908" w:type="dxa"/>
            <w:tcBorders>
              <w:top w:val="nil"/>
              <w:left w:val="nil"/>
              <w:bottom w:val="nil"/>
              <w:right w:val="nil"/>
            </w:tcBorders>
            <w:shd w:val="clear" w:color="auto" w:fill="auto"/>
            <w:noWrap/>
            <w:vAlign w:val="bottom"/>
            <w:hideMark/>
          </w:tcPr>
          <w:p w14:paraId="2C36670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08" w:type="dxa"/>
            <w:tcBorders>
              <w:top w:val="nil"/>
              <w:left w:val="nil"/>
              <w:bottom w:val="nil"/>
              <w:right w:val="nil"/>
            </w:tcBorders>
            <w:shd w:val="clear" w:color="auto" w:fill="auto"/>
            <w:noWrap/>
            <w:vAlign w:val="bottom"/>
            <w:hideMark/>
          </w:tcPr>
          <w:p w14:paraId="3E1AFD1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1.6</w:t>
            </w:r>
          </w:p>
        </w:tc>
        <w:tc>
          <w:tcPr>
            <w:tcW w:w="908" w:type="dxa"/>
            <w:gridSpan w:val="2"/>
            <w:tcBorders>
              <w:top w:val="nil"/>
              <w:left w:val="nil"/>
              <w:bottom w:val="nil"/>
              <w:right w:val="nil"/>
            </w:tcBorders>
            <w:shd w:val="clear" w:color="auto" w:fill="auto"/>
            <w:noWrap/>
            <w:vAlign w:val="bottom"/>
            <w:hideMark/>
          </w:tcPr>
          <w:p w14:paraId="2C6C1FC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w:t>
            </w:r>
          </w:p>
        </w:tc>
        <w:tc>
          <w:tcPr>
            <w:tcW w:w="908" w:type="dxa"/>
            <w:gridSpan w:val="2"/>
            <w:tcBorders>
              <w:top w:val="nil"/>
              <w:left w:val="nil"/>
              <w:bottom w:val="nil"/>
              <w:right w:val="nil"/>
            </w:tcBorders>
            <w:shd w:val="clear" w:color="auto" w:fill="auto"/>
            <w:noWrap/>
            <w:vAlign w:val="bottom"/>
            <w:hideMark/>
          </w:tcPr>
          <w:p w14:paraId="4B0B75D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w:t>
            </w:r>
          </w:p>
        </w:tc>
        <w:tc>
          <w:tcPr>
            <w:tcW w:w="908" w:type="dxa"/>
            <w:gridSpan w:val="2"/>
            <w:tcBorders>
              <w:top w:val="nil"/>
              <w:left w:val="nil"/>
              <w:bottom w:val="nil"/>
              <w:right w:val="nil"/>
            </w:tcBorders>
            <w:shd w:val="clear" w:color="auto" w:fill="auto"/>
            <w:noWrap/>
            <w:vAlign w:val="bottom"/>
            <w:hideMark/>
          </w:tcPr>
          <w:p w14:paraId="11B3EE6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w:t>
            </w:r>
          </w:p>
        </w:tc>
        <w:tc>
          <w:tcPr>
            <w:tcW w:w="908" w:type="dxa"/>
            <w:gridSpan w:val="2"/>
            <w:tcBorders>
              <w:top w:val="nil"/>
              <w:left w:val="nil"/>
              <w:bottom w:val="nil"/>
              <w:right w:val="nil"/>
            </w:tcBorders>
            <w:shd w:val="clear" w:color="auto" w:fill="auto"/>
            <w:noWrap/>
            <w:vAlign w:val="bottom"/>
            <w:hideMark/>
          </w:tcPr>
          <w:p w14:paraId="3ECDBB9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w:t>
            </w:r>
          </w:p>
        </w:tc>
        <w:tc>
          <w:tcPr>
            <w:tcW w:w="908" w:type="dxa"/>
            <w:gridSpan w:val="2"/>
            <w:tcBorders>
              <w:top w:val="nil"/>
              <w:left w:val="nil"/>
              <w:bottom w:val="nil"/>
              <w:right w:val="nil"/>
            </w:tcBorders>
            <w:shd w:val="clear" w:color="auto" w:fill="auto"/>
            <w:noWrap/>
            <w:vAlign w:val="bottom"/>
            <w:hideMark/>
          </w:tcPr>
          <w:p w14:paraId="75A23EF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1.6</w:t>
            </w:r>
          </w:p>
        </w:tc>
        <w:tc>
          <w:tcPr>
            <w:tcW w:w="908" w:type="dxa"/>
            <w:gridSpan w:val="2"/>
            <w:tcBorders>
              <w:top w:val="nil"/>
              <w:left w:val="nil"/>
              <w:bottom w:val="nil"/>
              <w:right w:val="nil"/>
            </w:tcBorders>
            <w:shd w:val="clear" w:color="auto" w:fill="auto"/>
            <w:noWrap/>
            <w:vAlign w:val="bottom"/>
            <w:hideMark/>
          </w:tcPr>
          <w:p w14:paraId="6C572D0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w:t>
            </w:r>
          </w:p>
        </w:tc>
        <w:tc>
          <w:tcPr>
            <w:tcW w:w="908" w:type="dxa"/>
            <w:gridSpan w:val="2"/>
            <w:tcBorders>
              <w:top w:val="nil"/>
              <w:left w:val="nil"/>
              <w:bottom w:val="nil"/>
              <w:right w:val="nil"/>
            </w:tcBorders>
            <w:shd w:val="clear" w:color="auto" w:fill="auto"/>
            <w:noWrap/>
            <w:vAlign w:val="bottom"/>
            <w:hideMark/>
          </w:tcPr>
          <w:p w14:paraId="67682DF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c>
          <w:tcPr>
            <w:tcW w:w="913" w:type="dxa"/>
            <w:gridSpan w:val="2"/>
            <w:tcBorders>
              <w:top w:val="nil"/>
              <w:left w:val="nil"/>
              <w:bottom w:val="nil"/>
              <w:right w:val="nil"/>
            </w:tcBorders>
            <w:shd w:val="clear" w:color="auto" w:fill="auto"/>
            <w:noWrap/>
            <w:vAlign w:val="bottom"/>
            <w:hideMark/>
          </w:tcPr>
          <w:p w14:paraId="22B7C89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1.7</w:t>
            </w:r>
          </w:p>
        </w:tc>
      </w:tr>
      <w:tr w:rsidR="00E45705" w:rsidRPr="001B09E6" w14:paraId="359DF6D8" w14:textId="77777777" w:rsidTr="00E45705">
        <w:trPr>
          <w:trHeight w:val="567"/>
        </w:trPr>
        <w:tc>
          <w:tcPr>
            <w:tcW w:w="866" w:type="dxa"/>
            <w:tcBorders>
              <w:top w:val="nil"/>
              <w:left w:val="nil"/>
              <w:bottom w:val="nil"/>
              <w:right w:val="nil"/>
            </w:tcBorders>
            <w:shd w:val="clear" w:color="auto" w:fill="auto"/>
            <w:noWrap/>
            <w:vAlign w:val="bottom"/>
            <w:hideMark/>
          </w:tcPr>
          <w:p w14:paraId="4DE7F803"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14:paraId="572272DD"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education/  training at or above Certificate III level</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nil"/>
              <w:left w:val="nil"/>
              <w:bottom w:val="nil"/>
              <w:right w:val="nil"/>
            </w:tcBorders>
            <w:shd w:val="clear" w:color="auto" w:fill="auto"/>
            <w:noWrap/>
            <w:vAlign w:val="bottom"/>
            <w:hideMark/>
          </w:tcPr>
          <w:p w14:paraId="5F9D781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0.9</w:t>
            </w:r>
          </w:p>
        </w:tc>
        <w:tc>
          <w:tcPr>
            <w:tcW w:w="908" w:type="dxa"/>
            <w:tcBorders>
              <w:top w:val="nil"/>
              <w:left w:val="nil"/>
              <w:bottom w:val="nil"/>
              <w:right w:val="nil"/>
            </w:tcBorders>
            <w:shd w:val="clear" w:color="auto" w:fill="auto"/>
            <w:noWrap/>
            <w:vAlign w:val="bottom"/>
            <w:hideMark/>
          </w:tcPr>
          <w:p w14:paraId="3714716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1.6</w:t>
            </w:r>
          </w:p>
        </w:tc>
        <w:tc>
          <w:tcPr>
            <w:tcW w:w="908" w:type="dxa"/>
            <w:tcBorders>
              <w:top w:val="nil"/>
              <w:left w:val="nil"/>
              <w:bottom w:val="nil"/>
              <w:right w:val="nil"/>
            </w:tcBorders>
            <w:shd w:val="clear" w:color="auto" w:fill="auto"/>
            <w:noWrap/>
            <w:vAlign w:val="bottom"/>
            <w:hideMark/>
          </w:tcPr>
          <w:p w14:paraId="264F69F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1.6</w:t>
            </w:r>
          </w:p>
        </w:tc>
        <w:tc>
          <w:tcPr>
            <w:tcW w:w="908" w:type="dxa"/>
            <w:gridSpan w:val="2"/>
            <w:tcBorders>
              <w:top w:val="nil"/>
              <w:left w:val="nil"/>
              <w:bottom w:val="nil"/>
              <w:right w:val="nil"/>
            </w:tcBorders>
            <w:shd w:val="clear" w:color="auto" w:fill="auto"/>
            <w:noWrap/>
            <w:vAlign w:val="bottom"/>
            <w:hideMark/>
          </w:tcPr>
          <w:p w14:paraId="4FA0F1A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w:t>
            </w:r>
          </w:p>
        </w:tc>
        <w:tc>
          <w:tcPr>
            <w:tcW w:w="908" w:type="dxa"/>
            <w:gridSpan w:val="2"/>
            <w:tcBorders>
              <w:top w:val="nil"/>
              <w:left w:val="nil"/>
              <w:bottom w:val="nil"/>
              <w:right w:val="nil"/>
            </w:tcBorders>
            <w:shd w:val="clear" w:color="auto" w:fill="auto"/>
            <w:noWrap/>
            <w:vAlign w:val="bottom"/>
            <w:hideMark/>
          </w:tcPr>
          <w:p w14:paraId="6C62C9F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2.4</w:t>
            </w:r>
          </w:p>
        </w:tc>
        <w:tc>
          <w:tcPr>
            <w:tcW w:w="908" w:type="dxa"/>
            <w:gridSpan w:val="2"/>
            <w:tcBorders>
              <w:top w:val="nil"/>
              <w:left w:val="nil"/>
              <w:bottom w:val="nil"/>
              <w:right w:val="nil"/>
            </w:tcBorders>
            <w:shd w:val="clear" w:color="auto" w:fill="auto"/>
            <w:noWrap/>
            <w:vAlign w:val="bottom"/>
            <w:hideMark/>
          </w:tcPr>
          <w:p w14:paraId="24E9E03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w:t>
            </w:r>
          </w:p>
        </w:tc>
        <w:tc>
          <w:tcPr>
            <w:tcW w:w="908" w:type="dxa"/>
            <w:gridSpan w:val="2"/>
            <w:tcBorders>
              <w:top w:val="nil"/>
              <w:left w:val="nil"/>
              <w:bottom w:val="nil"/>
              <w:right w:val="nil"/>
            </w:tcBorders>
            <w:shd w:val="clear" w:color="auto" w:fill="auto"/>
            <w:noWrap/>
            <w:vAlign w:val="bottom"/>
            <w:hideMark/>
          </w:tcPr>
          <w:p w14:paraId="3B4B8AB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1.6</w:t>
            </w:r>
          </w:p>
        </w:tc>
        <w:tc>
          <w:tcPr>
            <w:tcW w:w="908" w:type="dxa"/>
            <w:gridSpan w:val="2"/>
            <w:tcBorders>
              <w:top w:val="nil"/>
              <w:left w:val="nil"/>
              <w:bottom w:val="nil"/>
              <w:right w:val="nil"/>
            </w:tcBorders>
            <w:shd w:val="clear" w:color="auto" w:fill="auto"/>
            <w:noWrap/>
            <w:vAlign w:val="bottom"/>
            <w:hideMark/>
          </w:tcPr>
          <w:p w14:paraId="5C14E45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w:t>
            </w:r>
          </w:p>
        </w:tc>
        <w:tc>
          <w:tcPr>
            <w:tcW w:w="908" w:type="dxa"/>
            <w:gridSpan w:val="2"/>
            <w:tcBorders>
              <w:top w:val="nil"/>
              <w:left w:val="nil"/>
              <w:bottom w:val="nil"/>
              <w:right w:val="nil"/>
            </w:tcBorders>
            <w:shd w:val="clear" w:color="auto" w:fill="auto"/>
            <w:noWrap/>
            <w:vAlign w:val="bottom"/>
            <w:hideMark/>
          </w:tcPr>
          <w:p w14:paraId="2889E73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w:t>
            </w:r>
          </w:p>
        </w:tc>
        <w:tc>
          <w:tcPr>
            <w:tcW w:w="908" w:type="dxa"/>
            <w:gridSpan w:val="2"/>
            <w:tcBorders>
              <w:top w:val="nil"/>
              <w:left w:val="nil"/>
              <w:bottom w:val="nil"/>
              <w:right w:val="nil"/>
            </w:tcBorders>
            <w:shd w:val="clear" w:color="auto" w:fill="auto"/>
            <w:noWrap/>
            <w:vAlign w:val="bottom"/>
            <w:hideMark/>
          </w:tcPr>
          <w:p w14:paraId="4D7795C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2.3</w:t>
            </w:r>
          </w:p>
        </w:tc>
        <w:tc>
          <w:tcPr>
            <w:tcW w:w="913" w:type="dxa"/>
            <w:gridSpan w:val="2"/>
            <w:tcBorders>
              <w:top w:val="nil"/>
              <w:left w:val="nil"/>
              <w:bottom w:val="nil"/>
              <w:right w:val="nil"/>
            </w:tcBorders>
            <w:shd w:val="clear" w:color="auto" w:fill="auto"/>
            <w:noWrap/>
            <w:vAlign w:val="bottom"/>
            <w:hideMark/>
          </w:tcPr>
          <w:p w14:paraId="7FBAA02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w:t>
            </w:r>
          </w:p>
        </w:tc>
      </w:tr>
      <w:tr w:rsidR="00E45705" w:rsidRPr="001B09E6" w14:paraId="51153E92" w14:textId="77777777" w:rsidTr="00E45705">
        <w:trPr>
          <w:trHeight w:val="709"/>
        </w:trPr>
        <w:tc>
          <w:tcPr>
            <w:tcW w:w="866" w:type="dxa"/>
            <w:tcBorders>
              <w:top w:val="nil"/>
              <w:left w:val="nil"/>
              <w:bottom w:val="nil"/>
              <w:right w:val="nil"/>
            </w:tcBorders>
            <w:shd w:val="clear" w:color="auto" w:fill="auto"/>
            <w:noWrap/>
            <w:vAlign w:val="bottom"/>
            <w:hideMark/>
          </w:tcPr>
          <w:p w14:paraId="081382D5"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nil"/>
              <w:left w:val="nil"/>
              <w:bottom w:val="nil"/>
              <w:right w:val="nil"/>
            </w:tcBorders>
            <w:shd w:val="clear" w:color="auto" w:fill="auto"/>
            <w:vAlign w:val="bottom"/>
            <w:hideMark/>
          </w:tcPr>
          <w:p w14:paraId="6F8EC7FE"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Mix of full-time or part-time employment or education/training at or above Certificate III level</w:t>
            </w:r>
            <w:r w:rsidRPr="001B09E6">
              <w:rPr>
                <w:rFonts w:asciiTheme="minorHAnsi" w:eastAsia="Times New Roman" w:hAnsiTheme="minorHAnsi" w:cs="Arial"/>
                <w:color w:val="000000"/>
                <w:sz w:val="18"/>
                <w:szCs w:val="18"/>
                <w:vertAlign w:val="superscript"/>
                <w:lang w:eastAsia="en-AU"/>
              </w:rPr>
              <w:t xml:space="preserve"> 2</w:t>
            </w:r>
          </w:p>
        </w:tc>
        <w:tc>
          <w:tcPr>
            <w:tcW w:w="908" w:type="dxa"/>
            <w:tcBorders>
              <w:top w:val="nil"/>
              <w:left w:val="nil"/>
              <w:bottom w:val="nil"/>
              <w:right w:val="nil"/>
            </w:tcBorders>
            <w:shd w:val="clear" w:color="auto" w:fill="auto"/>
            <w:noWrap/>
            <w:vAlign w:val="bottom"/>
            <w:hideMark/>
          </w:tcPr>
          <w:p w14:paraId="539B585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0.5</w:t>
            </w:r>
          </w:p>
        </w:tc>
        <w:tc>
          <w:tcPr>
            <w:tcW w:w="908" w:type="dxa"/>
            <w:tcBorders>
              <w:top w:val="nil"/>
              <w:left w:val="nil"/>
              <w:bottom w:val="nil"/>
              <w:right w:val="nil"/>
            </w:tcBorders>
            <w:shd w:val="clear" w:color="auto" w:fill="auto"/>
            <w:noWrap/>
            <w:vAlign w:val="bottom"/>
            <w:hideMark/>
          </w:tcPr>
          <w:p w14:paraId="09986E8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08" w:type="dxa"/>
            <w:tcBorders>
              <w:top w:val="nil"/>
              <w:left w:val="nil"/>
              <w:bottom w:val="nil"/>
              <w:right w:val="nil"/>
            </w:tcBorders>
            <w:shd w:val="clear" w:color="auto" w:fill="auto"/>
            <w:noWrap/>
            <w:vAlign w:val="bottom"/>
            <w:hideMark/>
          </w:tcPr>
          <w:p w14:paraId="37D3F22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14:paraId="58FC965B"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0.9</w:t>
            </w:r>
          </w:p>
        </w:tc>
        <w:tc>
          <w:tcPr>
            <w:tcW w:w="908" w:type="dxa"/>
            <w:gridSpan w:val="2"/>
            <w:tcBorders>
              <w:top w:val="nil"/>
              <w:left w:val="nil"/>
              <w:bottom w:val="nil"/>
              <w:right w:val="nil"/>
            </w:tcBorders>
            <w:shd w:val="clear" w:color="auto" w:fill="auto"/>
            <w:noWrap/>
            <w:vAlign w:val="bottom"/>
            <w:hideMark/>
          </w:tcPr>
          <w:p w14:paraId="6D210E0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0.8</w:t>
            </w:r>
          </w:p>
        </w:tc>
        <w:tc>
          <w:tcPr>
            <w:tcW w:w="908" w:type="dxa"/>
            <w:gridSpan w:val="2"/>
            <w:tcBorders>
              <w:top w:val="nil"/>
              <w:left w:val="nil"/>
              <w:bottom w:val="nil"/>
              <w:right w:val="nil"/>
            </w:tcBorders>
            <w:shd w:val="clear" w:color="auto" w:fill="auto"/>
            <w:noWrap/>
            <w:vAlign w:val="bottom"/>
            <w:hideMark/>
          </w:tcPr>
          <w:p w14:paraId="28231A40"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0.7</w:t>
            </w:r>
          </w:p>
        </w:tc>
        <w:tc>
          <w:tcPr>
            <w:tcW w:w="908" w:type="dxa"/>
            <w:gridSpan w:val="2"/>
            <w:tcBorders>
              <w:top w:val="nil"/>
              <w:left w:val="nil"/>
              <w:bottom w:val="nil"/>
              <w:right w:val="nil"/>
            </w:tcBorders>
            <w:shd w:val="clear" w:color="auto" w:fill="auto"/>
            <w:noWrap/>
            <w:vAlign w:val="bottom"/>
            <w:hideMark/>
          </w:tcPr>
          <w:p w14:paraId="65B2D3A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14:paraId="186E95A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0.6</w:t>
            </w:r>
          </w:p>
        </w:tc>
        <w:tc>
          <w:tcPr>
            <w:tcW w:w="908" w:type="dxa"/>
            <w:gridSpan w:val="2"/>
            <w:tcBorders>
              <w:top w:val="nil"/>
              <w:left w:val="nil"/>
              <w:bottom w:val="nil"/>
              <w:right w:val="nil"/>
            </w:tcBorders>
            <w:shd w:val="clear" w:color="auto" w:fill="auto"/>
            <w:noWrap/>
            <w:vAlign w:val="bottom"/>
            <w:hideMark/>
          </w:tcPr>
          <w:p w14:paraId="65709F7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0.8</w:t>
            </w:r>
          </w:p>
        </w:tc>
        <w:tc>
          <w:tcPr>
            <w:tcW w:w="908" w:type="dxa"/>
            <w:gridSpan w:val="2"/>
            <w:tcBorders>
              <w:top w:val="nil"/>
              <w:left w:val="nil"/>
              <w:bottom w:val="nil"/>
              <w:right w:val="nil"/>
            </w:tcBorders>
            <w:shd w:val="clear" w:color="auto" w:fill="auto"/>
            <w:noWrap/>
            <w:vAlign w:val="bottom"/>
            <w:hideMark/>
          </w:tcPr>
          <w:p w14:paraId="2CA2194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1.0</w:t>
            </w:r>
          </w:p>
        </w:tc>
        <w:tc>
          <w:tcPr>
            <w:tcW w:w="913" w:type="dxa"/>
            <w:gridSpan w:val="2"/>
            <w:tcBorders>
              <w:top w:val="nil"/>
              <w:left w:val="nil"/>
              <w:bottom w:val="nil"/>
              <w:right w:val="nil"/>
            </w:tcBorders>
            <w:shd w:val="clear" w:color="auto" w:fill="auto"/>
            <w:noWrap/>
            <w:vAlign w:val="bottom"/>
            <w:hideMark/>
          </w:tcPr>
          <w:p w14:paraId="61B0A776"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0.8</w:t>
            </w:r>
          </w:p>
        </w:tc>
      </w:tr>
      <w:tr w:rsidR="00E45705" w:rsidRPr="001B09E6" w14:paraId="1D70C410" w14:textId="77777777" w:rsidTr="00E45705">
        <w:trPr>
          <w:trHeight w:val="300"/>
        </w:trPr>
        <w:tc>
          <w:tcPr>
            <w:tcW w:w="866" w:type="dxa"/>
            <w:tcBorders>
              <w:top w:val="nil"/>
              <w:left w:val="nil"/>
              <w:bottom w:val="nil"/>
              <w:right w:val="nil"/>
            </w:tcBorders>
            <w:shd w:val="clear" w:color="auto" w:fill="auto"/>
            <w:noWrap/>
            <w:vAlign w:val="bottom"/>
            <w:hideMark/>
          </w:tcPr>
          <w:p w14:paraId="370E45AD"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14:paraId="3993C122"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Total fully engaged</w:t>
            </w:r>
            <w:r w:rsidRPr="001B09E6">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14:paraId="74651389"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0.8</w:t>
            </w:r>
          </w:p>
        </w:tc>
        <w:tc>
          <w:tcPr>
            <w:tcW w:w="908" w:type="dxa"/>
            <w:tcBorders>
              <w:top w:val="dotted" w:sz="4" w:space="0" w:color="auto"/>
              <w:left w:val="nil"/>
              <w:bottom w:val="dotted" w:sz="4" w:space="0" w:color="auto"/>
              <w:right w:val="nil"/>
            </w:tcBorders>
            <w:shd w:val="clear" w:color="auto" w:fill="auto"/>
            <w:noWrap/>
            <w:vAlign w:val="bottom"/>
            <w:hideMark/>
          </w:tcPr>
          <w:p w14:paraId="64AB54F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1.6</w:t>
            </w:r>
          </w:p>
        </w:tc>
        <w:tc>
          <w:tcPr>
            <w:tcW w:w="908" w:type="dxa"/>
            <w:tcBorders>
              <w:top w:val="dotted" w:sz="4" w:space="0" w:color="auto"/>
              <w:left w:val="nil"/>
              <w:bottom w:val="dotted" w:sz="4" w:space="0" w:color="auto"/>
              <w:right w:val="nil"/>
            </w:tcBorders>
            <w:shd w:val="clear" w:color="auto" w:fill="auto"/>
            <w:noWrap/>
            <w:vAlign w:val="bottom"/>
            <w:hideMark/>
          </w:tcPr>
          <w:p w14:paraId="1BE7A50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20B1FB5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6703381A"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018C29F2"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1.8</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7931DCF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08F7B8F8"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227FC60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2.7</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1ADDD74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w:t>
            </w:r>
          </w:p>
        </w:tc>
        <w:tc>
          <w:tcPr>
            <w:tcW w:w="913" w:type="dxa"/>
            <w:gridSpan w:val="2"/>
            <w:tcBorders>
              <w:top w:val="dotted" w:sz="4" w:space="0" w:color="auto"/>
              <w:left w:val="nil"/>
              <w:bottom w:val="dotted" w:sz="4" w:space="0" w:color="auto"/>
              <w:right w:val="nil"/>
            </w:tcBorders>
            <w:shd w:val="clear" w:color="auto" w:fill="auto"/>
            <w:noWrap/>
            <w:vAlign w:val="bottom"/>
            <w:hideMark/>
          </w:tcPr>
          <w:p w14:paraId="4B97E67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r>
      <w:tr w:rsidR="00E45705" w:rsidRPr="001B09E6" w14:paraId="7573F103" w14:textId="77777777" w:rsidTr="00E45705">
        <w:trPr>
          <w:trHeight w:val="300"/>
        </w:trPr>
        <w:tc>
          <w:tcPr>
            <w:tcW w:w="866" w:type="dxa"/>
            <w:tcBorders>
              <w:top w:val="nil"/>
              <w:left w:val="nil"/>
              <w:bottom w:val="single" w:sz="4" w:space="0" w:color="auto"/>
              <w:right w:val="nil"/>
            </w:tcBorders>
            <w:shd w:val="clear" w:color="auto" w:fill="auto"/>
            <w:noWrap/>
            <w:vAlign w:val="bottom"/>
            <w:hideMark/>
          </w:tcPr>
          <w:p w14:paraId="0A1E5E13"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 </w:t>
            </w:r>
          </w:p>
        </w:tc>
        <w:tc>
          <w:tcPr>
            <w:tcW w:w="3544" w:type="dxa"/>
            <w:tcBorders>
              <w:top w:val="nil"/>
              <w:left w:val="nil"/>
              <w:bottom w:val="single" w:sz="4" w:space="0" w:color="auto"/>
              <w:right w:val="nil"/>
            </w:tcBorders>
            <w:shd w:val="clear" w:color="auto" w:fill="auto"/>
            <w:vAlign w:val="bottom"/>
            <w:hideMark/>
          </w:tcPr>
          <w:p w14:paraId="4A0BC496"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Not fully engaged</w:t>
            </w:r>
          </w:p>
        </w:tc>
        <w:tc>
          <w:tcPr>
            <w:tcW w:w="908" w:type="dxa"/>
            <w:tcBorders>
              <w:top w:val="nil"/>
              <w:left w:val="nil"/>
              <w:bottom w:val="single" w:sz="4" w:space="0" w:color="auto"/>
              <w:right w:val="nil"/>
            </w:tcBorders>
            <w:shd w:val="clear" w:color="auto" w:fill="auto"/>
            <w:noWrap/>
            <w:vAlign w:val="bottom"/>
            <w:hideMark/>
          </w:tcPr>
          <w:p w14:paraId="4081857C"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1.0</w:t>
            </w:r>
          </w:p>
        </w:tc>
        <w:tc>
          <w:tcPr>
            <w:tcW w:w="908" w:type="dxa"/>
            <w:tcBorders>
              <w:top w:val="nil"/>
              <w:left w:val="nil"/>
              <w:bottom w:val="single" w:sz="4" w:space="0" w:color="auto"/>
              <w:right w:val="nil"/>
            </w:tcBorders>
            <w:shd w:val="clear" w:color="auto" w:fill="auto"/>
            <w:noWrap/>
            <w:vAlign w:val="bottom"/>
            <w:hideMark/>
          </w:tcPr>
          <w:p w14:paraId="43EABB77"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1.6</w:t>
            </w:r>
          </w:p>
        </w:tc>
        <w:tc>
          <w:tcPr>
            <w:tcW w:w="908" w:type="dxa"/>
            <w:tcBorders>
              <w:top w:val="nil"/>
              <w:left w:val="nil"/>
              <w:bottom w:val="single" w:sz="4" w:space="0" w:color="auto"/>
              <w:right w:val="nil"/>
            </w:tcBorders>
            <w:shd w:val="clear" w:color="auto" w:fill="auto"/>
            <w:noWrap/>
            <w:vAlign w:val="bottom"/>
            <w:hideMark/>
          </w:tcPr>
          <w:p w14:paraId="1F26A0C5"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1.6</w:t>
            </w:r>
          </w:p>
        </w:tc>
        <w:tc>
          <w:tcPr>
            <w:tcW w:w="908" w:type="dxa"/>
            <w:gridSpan w:val="2"/>
            <w:tcBorders>
              <w:top w:val="nil"/>
              <w:left w:val="nil"/>
              <w:bottom w:val="single" w:sz="4" w:space="0" w:color="auto"/>
              <w:right w:val="nil"/>
            </w:tcBorders>
            <w:shd w:val="clear" w:color="auto" w:fill="auto"/>
            <w:noWrap/>
            <w:vAlign w:val="bottom"/>
            <w:hideMark/>
          </w:tcPr>
          <w:p w14:paraId="27F2658F"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2.0</w:t>
            </w:r>
          </w:p>
        </w:tc>
        <w:tc>
          <w:tcPr>
            <w:tcW w:w="908" w:type="dxa"/>
            <w:gridSpan w:val="2"/>
            <w:tcBorders>
              <w:top w:val="nil"/>
              <w:left w:val="nil"/>
              <w:bottom w:val="single" w:sz="4" w:space="0" w:color="auto"/>
              <w:right w:val="nil"/>
            </w:tcBorders>
            <w:shd w:val="clear" w:color="auto" w:fill="auto"/>
            <w:noWrap/>
            <w:vAlign w:val="bottom"/>
            <w:hideMark/>
          </w:tcPr>
          <w:p w14:paraId="192ED713"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2.2</w:t>
            </w:r>
          </w:p>
        </w:tc>
        <w:tc>
          <w:tcPr>
            <w:tcW w:w="908" w:type="dxa"/>
            <w:gridSpan w:val="2"/>
            <w:tcBorders>
              <w:top w:val="nil"/>
              <w:left w:val="nil"/>
              <w:bottom w:val="single" w:sz="4" w:space="0" w:color="auto"/>
              <w:right w:val="nil"/>
            </w:tcBorders>
            <w:shd w:val="clear" w:color="auto" w:fill="auto"/>
            <w:noWrap/>
            <w:vAlign w:val="bottom"/>
            <w:hideMark/>
          </w:tcPr>
          <w:p w14:paraId="34FDA94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1.8</w:t>
            </w:r>
          </w:p>
        </w:tc>
        <w:tc>
          <w:tcPr>
            <w:tcW w:w="908" w:type="dxa"/>
            <w:gridSpan w:val="2"/>
            <w:tcBorders>
              <w:top w:val="nil"/>
              <w:left w:val="nil"/>
              <w:bottom w:val="single" w:sz="4" w:space="0" w:color="auto"/>
              <w:right w:val="nil"/>
            </w:tcBorders>
            <w:shd w:val="clear" w:color="auto" w:fill="auto"/>
            <w:noWrap/>
            <w:vAlign w:val="bottom"/>
            <w:hideMark/>
          </w:tcPr>
          <w:p w14:paraId="0252E2A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1.9</w:t>
            </w:r>
          </w:p>
        </w:tc>
        <w:tc>
          <w:tcPr>
            <w:tcW w:w="908" w:type="dxa"/>
            <w:gridSpan w:val="2"/>
            <w:tcBorders>
              <w:top w:val="nil"/>
              <w:left w:val="nil"/>
              <w:bottom w:val="single" w:sz="4" w:space="0" w:color="auto"/>
              <w:right w:val="nil"/>
            </w:tcBorders>
            <w:shd w:val="clear" w:color="auto" w:fill="auto"/>
            <w:noWrap/>
            <w:vAlign w:val="bottom"/>
            <w:hideMark/>
          </w:tcPr>
          <w:p w14:paraId="40CEEC4D"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c>
          <w:tcPr>
            <w:tcW w:w="908" w:type="dxa"/>
            <w:gridSpan w:val="2"/>
            <w:tcBorders>
              <w:top w:val="nil"/>
              <w:left w:val="nil"/>
              <w:bottom w:val="single" w:sz="4" w:space="0" w:color="auto"/>
              <w:right w:val="nil"/>
            </w:tcBorders>
            <w:shd w:val="clear" w:color="auto" w:fill="auto"/>
            <w:noWrap/>
            <w:vAlign w:val="bottom"/>
            <w:hideMark/>
          </w:tcPr>
          <w:p w14:paraId="5D4C1D91"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2.7</w:t>
            </w:r>
          </w:p>
        </w:tc>
        <w:tc>
          <w:tcPr>
            <w:tcW w:w="908" w:type="dxa"/>
            <w:gridSpan w:val="2"/>
            <w:tcBorders>
              <w:top w:val="nil"/>
              <w:left w:val="nil"/>
              <w:bottom w:val="single" w:sz="4" w:space="0" w:color="auto"/>
              <w:right w:val="nil"/>
            </w:tcBorders>
            <w:shd w:val="clear" w:color="auto" w:fill="auto"/>
            <w:noWrap/>
            <w:vAlign w:val="bottom"/>
            <w:hideMark/>
          </w:tcPr>
          <w:p w14:paraId="4C171B1E"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2.1</w:t>
            </w:r>
          </w:p>
        </w:tc>
        <w:tc>
          <w:tcPr>
            <w:tcW w:w="913" w:type="dxa"/>
            <w:gridSpan w:val="2"/>
            <w:tcBorders>
              <w:top w:val="nil"/>
              <w:left w:val="nil"/>
              <w:bottom w:val="single" w:sz="4" w:space="0" w:color="auto"/>
              <w:right w:val="nil"/>
            </w:tcBorders>
            <w:shd w:val="clear" w:color="auto" w:fill="auto"/>
            <w:noWrap/>
            <w:vAlign w:val="bottom"/>
            <w:hideMark/>
          </w:tcPr>
          <w:p w14:paraId="2D7826C4" w14:textId="77777777" w:rsidR="00E45705" w:rsidRPr="001B09E6" w:rsidRDefault="00E45705" w:rsidP="00E45705">
            <w:pPr>
              <w:jc w:val="right"/>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1.5</w:t>
            </w:r>
          </w:p>
        </w:tc>
      </w:tr>
      <w:tr w:rsidR="00E45705" w:rsidRPr="001B09E6" w14:paraId="76B7FC64" w14:textId="77777777" w:rsidTr="00E45705">
        <w:trPr>
          <w:trHeight w:val="300"/>
        </w:trPr>
        <w:tc>
          <w:tcPr>
            <w:tcW w:w="866" w:type="dxa"/>
            <w:tcBorders>
              <w:top w:val="single" w:sz="4" w:space="0" w:color="auto"/>
              <w:left w:val="nil"/>
              <w:right w:val="nil"/>
            </w:tcBorders>
            <w:shd w:val="clear" w:color="auto" w:fill="auto"/>
            <w:noWrap/>
            <w:vAlign w:val="bottom"/>
            <w:hideMark/>
          </w:tcPr>
          <w:p w14:paraId="7BF1E8B0"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Persons</w:t>
            </w:r>
          </w:p>
        </w:tc>
        <w:tc>
          <w:tcPr>
            <w:tcW w:w="3544" w:type="dxa"/>
            <w:tcBorders>
              <w:top w:val="single" w:sz="4" w:space="0" w:color="auto"/>
              <w:left w:val="nil"/>
              <w:right w:val="nil"/>
            </w:tcBorders>
            <w:shd w:val="clear" w:color="auto" w:fill="auto"/>
            <w:vAlign w:val="bottom"/>
            <w:hideMark/>
          </w:tcPr>
          <w:p w14:paraId="0A7897A9"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employment</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top w:val="single" w:sz="4" w:space="0" w:color="auto"/>
              <w:left w:val="nil"/>
              <w:right w:val="nil"/>
            </w:tcBorders>
            <w:shd w:val="clear" w:color="auto" w:fill="auto"/>
            <w:noWrap/>
            <w:vAlign w:val="bottom"/>
            <w:hideMark/>
          </w:tcPr>
          <w:p w14:paraId="4F5EDB47"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0.5</w:t>
            </w:r>
          </w:p>
        </w:tc>
        <w:tc>
          <w:tcPr>
            <w:tcW w:w="908" w:type="dxa"/>
            <w:tcBorders>
              <w:top w:val="single" w:sz="4" w:space="0" w:color="auto"/>
              <w:left w:val="nil"/>
              <w:right w:val="nil"/>
            </w:tcBorders>
            <w:shd w:val="clear" w:color="auto" w:fill="auto"/>
            <w:noWrap/>
            <w:vAlign w:val="bottom"/>
            <w:hideMark/>
          </w:tcPr>
          <w:p w14:paraId="050F0511"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1.1</w:t>
            </w:r>
          </w:p>
        </w:tc>
        <w:tc>
          <w:tcPr>
            <w:tcW w:w="908" w:type="dxa"/>
            <w:tcBorders>
              <w:top w:val="single" w:sz="4" w:space="0" w:color="auto"/>
              <w:left w:val="nil"/>
              <w:right w:val="nil"/>
            </w:tcBorders>
            <w:shd w:val="clear" w:color="auto" w:fill="auto"/>
            <w:noWrap/>
            <w:vAlign w:val="bottom"/>
            <w:hideMark/>
          </w:tcPr>
          <w:p w14:paraId="2C422196"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1.1</w:t>
            </w:r>
          </w:p>
        </w:tc>
        <w:tc>
          <w:tcPr>
            <w:tcW w:w="908" w:type="dxa"/>
            <w:gridSpan w:val="2"/>
            <w:tcBorders>
              <w:top w:val="single" w:sz="4" w:space="0" w:color="auto"/>
              <w:left w:val="nil"/>
              <w:right w:val="nil"/>
            </w:tcBorders>
            <w:shd w:val="clear" w:color="auto" w:fill="auto"/>
            <w:noWrap/>
            <w:vAlign w:val="bottom"/>
            <w:hideMark/>
          </w:tcPr>
          <w:p w14:paraId="000F4B1E"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1.6</w:t>
            </w:r>
          </w:p>
        </w:tc>
        <w:tc>
          <w:tcPr>
            <w:tcW w:w="908" w:type="dxa"/>
            <w:gridSpan w:val="2"/>
            <w:tcBorders>
              <w:top w:val="single" w:sz="4" w:space="0" w:color="auto"/>
              <w:left w:val="nil"/>
              <w:right w:val="nil"/>
            </w:tcBorders>
            <w:shd w:val="clear" w:color="auto" w:fill="auto"/>
            <w:noWrap/>
            <w:vAlign w:val="bottom"/>
            <w:hideMark/>
          </w:tcPr>
          <w:p w14:paraId="65C16648"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1.8</w:t>
            </w:r>
          </w:p>
        </w:tc>
        <w:tc>
          <w:tcPr>
            <w:tcW w:w="908" w:type="dxa"/>
            <w:gridSpan w:val="2"/>
            <w:tcBorders>
              <w:top w:val="single" w:sz="4" w:space="0" w:color="auto"/>
              <w:left w:val="nil"/>
              <w:right w:val="nil"/>
            </w:tcBorders>
            <w:shd w:val="clear" w:color="auto" w:fill="auto"/>
            <w:noWrap/>
            <w:vAlign w:val="bottom"/>
            <w:hideMark/>
          </w:tcPr>
          <w:p w14:paraId="477DD4B0"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1.4</w:t>
            </w:r>
          </w:p>
        </w:tc>
        <w:tc>
          <w:tcPr>
            <w:tcW w:w="908" w:type="dxa"/>
            <w:gridSpan w:val="2"/>
            <w:tcBorders>
              <w:top w:val="single" w:sz="4" w:space="0" w:color="auto"/>
              <w:left w:val="nil"/>
              <w:right w:val="nil"/>
            </w:tcBorders>
            <w:shd w:val="clear" w:color="auto" w:fill="auto"/>
            <w:noWrap/>
            <w:vAlign w:val="bottom"/>
            <w:hideMark/>
          </w:tcPr>
          <w:p w14:paraId="41554711"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1.4</w:t>
            </w:r>
          </w:p>
        </w:tc>
        <w:tc>
          <w:tcPr>
            <w:tcW w:w="908" w:type="dxa"/>
            <w:gridSpan w:val="2"/>
            <w:tcBorders>
              <w:top w:val="single" w:sz="4" w:space="0" w:color="auto"/>
              <w:left w:val="nil"/>
              <w:right w:val="nil"/>
            </w:tcBorders>
            <w:shd w:val="clear" w:color="auto" w:fill="auto"/>
            <w:noWrap/>
            <w:vAlign w:val="bottom"/>
            <w:hideMark/>
          </w:tcPr>
          <w:p w14:paraId="7F943CED"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1.2</w:t>
            </w:r>
          </w:p>
        </w:tc>
        <w:tc>
          <w:tcPr>
            <w:tcW w:w="908" w:type="dxa"/>
            <w:gridSpan w:val="2"/>
            <w:tcBorders>
              <w:top w:val="single" w:sz="4" w:space="0" w:color="auto"/>
              <w:left w:val="nil"/>
              <w:right w:val="nil"/>
            </w:tcBorders>
            <w:shd w:val="clear" w:color="auto" w:fill="auto"/>
            <w:noWrap/>
            <w:vAlign w:val="bottom"/>
            <w:hideMark/>
          </w:tcPr>
          <w:p w14:paraId="74F2438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1.7</w:t>
            </w:r>
          </w:p>
        </w:tc>
        <w:tc>
          <w:tcPr>
            <w:tcW w:w="908" w:type="dxa"/>
            <w:gridSpan w:val="2"/>
            <w:tcBorders>
              <w:top w:val="single" w:sz="4" w:space="0" w:color="auto"/>
              <w:left w:val="nil"/>
              <w:right w:val="nil"/>
            </w:tcBorders>
            <w:shd w:val="clear" w:color="auto" w:fill="auto"/>
            <w:noWrap/>
            <w:vAlign w:val="bottom"/>
            <w:hideMark/>
          </w:tcPr>
          <w:p w14:paraId="0D16C1B5"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1.3</w:t>
            </w:r>
          </w:p>
        </w:tc>
        <w:tc>
          <w:tcPr>
            <w:tcW w:w="913" w:type="dxa"/>
            <w:gridSpan w:val="2"/>
            <w:tcBorders>
              <w:top w:val="single" w:sz="4" w:space="0" w:color="auto"/>
              <w:left w:val="nil"/>
              <w:right w:val="nil"/>
            </w:tcBorders>
            <w:shd w:val="clear" w:color="auto" w:fill="auto"/>
            <w:noWrap/>
            <w:vAlign w:val="bottom"/>
            <w:hideMark/>
          </w:tcPr>
          <w:p w14:paraId="3D1200DD"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1.4</w:t>
            </w:r>
          </w:p>
        </w:tc>
      </w:tr>
      <w:tr w:rsidR="00E45705" w:rsidRPr="001B09E6" w14:paraId="30CED814" w14:textId="77777777" w:rsidTr="00E45705">
        <w:trPr>
          <w:trHeight w:val="567"/>
        </w:trPr>
        <w:tc>
          <w:tcPr>
            <w:tcW w:w="866" w:type="dxa"/>
            <w:tcBorders>
              <w:left w:val="nil"/>
              <w:right w:val="nil"/>
            </w:tcBorders>
            <w:shd w:val="clear" w:color="auto" w:fill="auto"/>
            <w:noWrap/>
            <w:vAlign w:val="bottom"/>
            <w:hideMark/>
          </w:tcPr>
          <w:p w14:paraId="0B5A8DEE"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left w:val="nil"/>
              <w:right w:val="nil"/>
            </w:tcBorders>
            <w:shd w:val="clear" w:color="auto" w:fill="auto"/>
            <w:vAlign w:val="bottom"/>
            <w:hideMark/>
          </w:tcPr>
          <w:p w14:paraId="2C0391D8"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Fully engaged through full-time education/  training at or above Certificate III level</w:t>
            </w:r>
            <w:r w:rsidRPr="001B09E6">
              <w:rPr>
                <w:rFonts w:asciiTheme="minorHAnsi" w:eastAsia="Times New Roman" w:hAnsiTheme="minorHAnsi" w:cs="Arial"/>
                <w:color w:val="000000"/>
                <w:sz w:val="18"/>
                <w:szCs w:val="18"/>
                <w:vertAlign w:val="superscript"/>
                <w:lang w:eastAsia="en-AU"/>
              </w:rPr>
              <w:t xml:space="preserve"> 1</w:t>
            </w:r>
          </w:p>
        </w:tc>
        <w:tc>
          <w:tcPr>
            <w:tcW w:w="908" w:type="dxa"/>
            <w:tcBorders>
              <w:left w:val="nil"/>
              <w:right w:val="nil"/>
            </w:tcBorders>
            <w:shd w:val="clear" w:color="auto" w:fill="auto"/>
            <w:noWrap/>
            <w:vAlign w:val="bottom"/>
            <w:hideMark/>
          </w:tcPr>
          <w:p w14:paraId="1FFECFA8"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0.5</w:t>
            </w:r>
          </w:p>
        </w:tc>
        <w:tc>
          <w:tcPr>
            <w:tcW w:w="908" w:type="dxa"/>
            <w:tcBorders>
              <w:left w:val="nil"/>
              <w:right w:val="nil"/>
            </w:tcBorders>
            <w:shd w:val="clear" w:color="auto" w:fill="auto"/>
            <w:noWrap/>
            <w:vAlign w:val="bottom"/>
            <w:hideMark/>
          </w:tcPr>
          <w:p w14:paraId="0D711EC0"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1.0</w:t>
            </w:r>
          </w:p>
        </w:tc>
        <w:tc>
          <w:tcPr>
            <w:tcW w:w="908" w:type="dxa"/>
            <w:tcBorders>
              <w:left w:val="nil"/>
              <w:right w:val="nil"/>
            </w:tcBorders>
            <w:shd w:val="clear" w:color="auto" w:fill="auto"/>
            <w:noWrap/>
            <w:vAlign w:val="bottom"/>
            <w:hideMark/>
          </w:tcPr>
          <w:p w14:paraId="47B56080"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1.0</w:t>
            </w:r>
          </w:p>
        </w:tc>
        <w:tc>
          <w:tcPr>
            <w:tcW w:w="908" w:type="dxa"/>
            <w:gridSpan w:val="2"/>
            <w:tcBorders>
              <w:left w:val="nil"/>
              <w:right w:val="nil"/>
            </w:tcBorders>
            <w:shd w:val="clear" w:color="auto" w:fill="auto"/>
            <w:noWrap/>
            <w:vAlign w:val="bottom"/>
            <w:hideMark/>
          </w:tcPr>
          <w:p w14:paraId="1443E38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1.6</w:t>
            </w:r>
          </w:p>
        </w:tc>
        <w:tc>
          <w:tcPr>
            <w:tcW w:w="908" w:type="dxa"/>
            <w:gridSpan w:val="2"/>
            <w:tcBorders>
              <w:left w:val="nil"/>
              <w:right w:val="nil"/>
            </w:tcBorders>
            <w:shd w:val="clear" w:color="auto" w:fill="auto"/>
            <w:noWrap/>
            <w:vAlign w:val="bottom"/>
            <w:hideMark/>
          </w:tcPr>
          <w:p w14:paraId="0B7D2B8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1.8</w:t>
            </w:r>
          </w:p>
        </w:tc>
        <w:tc>
          <w:tcPr>
            <w:tcW w:w="908" w:type="dxa"/>
            <w:gridSpan w:val="2"/>
            <w:tcBorders>
              <w:left w:val="nil"/>
              <w:right w:val="nil"/>
            </w:tcBorders>
            <w:shd w:val="clear" w:color="auto" w:fill="auto"/>
            <w:noWrap/>
            <w:vAlign w:val="bottom"/>
            <w:hideMark/>
          </w:tcPr>
          <w:p w14:paraId="5BFCBB2E"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1.4</w:t>
            </w:r>
          </w:p>
        </w:tc>
        <w:tc>
          <w:tcPr>
            <w:tcW w:w="908" w:type="dxa"/>
            <w:gridSpan w:val="2"/>
            <w:tcBorders>
              <w:left w:val="nil"/>
              <w:right w:val="nil"/>
            </w:tcBorders>
            <w:shd w:val="clear" w:color="auto" w:fill="auto"/>
            <w:noWrap/>
            <w:vAlign w:val="bottom"/>
            <w:hideMark/>
          </w:tcPr>
          <w:p w14:paraId="09A5B053"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1.5</w:t>
            </w:r>
          </w:p>
        </w:tc>
        <w:tc>
          <w:tcPr>
            <w:tcW w:w="908" w:type="dxa"/>
            <w:gridSpan w:val="2"/>
            <w:tcBorders>
              <w:left w:val="nil"/>
              <w:right w:val="nil"/>
            </w:tcBorders>
            <w:shd w:val="clear" w:color="auto" w:fill="auto"/>
            <w:noWrap/>
            <w:vAlign w:val="bottom"/>
            <w:hideMark/>
          </w:tcPr>
          <w:p w14:paraId="346A271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1.4</w:t>
            </w:r>
          </w:p>
        </w:tc>
        <w:tc>
          <w:tcPr>
            <w:tcW w:w="908" w:type="dxa"/>
            <w:gridSpan w:val="2"/>
            <w:tcBorders>
              <w:left w:val="nil"/>
              <w:right w:val="nil"/>
            </w:tcBorders>
            <w:shd w:val="clear" w:color="auto" w:fill="auto"/>
            <w:noWrap/>
            <w:vAlign w:val="bottom"/>
            <w:hideMark/>
          </w:tcPr>
          <w:p w14:paraId="676B3789"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1.8</w:t>
            </w:r>
          </w:p>
        </w:tc>
        <w:tc>
          <w:tcPr>
            <w:tcW w:w="908" w:type="dxa"/>
            <w:gridSpan w:val="2"/>
            <w:tcBorders>
              <w:left w:val="nil"/>
              <w:right w:val="nil"/>
            </w:tcBorders>
            <w:shd w:val="clear" w:color="auto" w:fill="auto"/>
            <w:noWrap/>
            <w:vAlign w:val="bottom"/>
            <w:hideMark/>
          </w:tcPr>
          <w:p w14:paraId="173E5ED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1.8</w:t>
            </w:r>
          </w:p>
        </w:tc>
        <w:tc>
          <w:tcPr>
            <w:tcW w:w="913" w:type="dxa"/>
            <w:gridSpan w:val="2"/>
            <w:tcBorders>
              <w:left w:val="nil"/>
              <w:right w:val="nil"/>
            </w:tcBorders>
            <w:shd w:val="clear" w:color="auto" w:fill="auto"/>
            <w:noWrap/>
            <w:vAlign w:val="bottom"/>
            <w:hideMark/>
          </w:tcPr>
          <w:p w14:paraId="4EC9DA77"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1.8</w:t>
            </w:r>
          </w:p>
        </w:tc>
      </w:tr>
      <w:tr w:rsidR="00E45705" w:rsidRPr="001B09E6" w14:paraId="76D50849" w14:textId="77777777" w:rsidTr="00E45705">
        <w:trPr>
          <w:trHeight w:val="709"/>
        </w:trPr>
        <w:tc>
          <w:tcPr>
            <w:tcW w:w="866" w:type="dxa"/>
            <w:tcBorders>
              <w:left w:val="nil"/>
              <w:right w:val="nil"/>
            </w:tcBorders>
            <w:shd w:val="clear" w:color="auto" w:fill="auto"/>
            <w:noWrap/>
            <w:vAlign w:val="bottom"/>
            <w:hideMark/>
          </w:tcPr>
          <w:p w14:paraId="0A4450BC"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left w:val="nil"/>
              <w:bottom w:val="dotted" w:sz="4" w:space="0" w:color="auto"/>
              <w:right w:val="nil"/>
            </w:tcBorders>
            <w:shd w:val="clear" w:color="auto" w:fill="auto"/>
            <w:vAlign w:val="bottom"/>
            <w:hideMark/>
          </w:tcPr>
          <w:p w14:paraId="79D9EB20"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Mix of full-time or part-time employment or education/training at or above Certificate III level</w:t>
            </w:r>
            <w:r w:rsidRPr="001B09E6">
              <w:rPr>
                <w:rFonts w:asciiTheme="minorHAnsi" w:eastAsia="Times New Roman" w:hAnsiTheme="minorHAnsi" w:cs="Arial"/>
                <w:color w:val="000000"/>
                <w:sz w:val="18"/>
                <w:szCs w:val="18"/>
                <w:vertAlign w:val="superscript"/>
                <w:lang w:eastAsia="en-AU"/>
              </w:rPr>
              <w:t xml:space="preserve"> 2</w:t>
            </w:r>
          </w:p>
        </w:tc>
        <w:tc>
          <w:tcPr>
            <w:tcW w:w="908" w:type="dxa"/>
            <w:tcBorders>
              <w:left w:val="nil"/>
              <w:bottom w:val="dotted" w:sz="4" w:space="0" w:color="auto"/>
              <w:right w:val="nil"/>
            </w:tcBorders>
            <w:shd w:val="clear" w:color="auto" w:fill="auto"/>
            <w:noWrap/>
            <w:vAlign w:val="bottom"/>
            <w:hideMark/>
          </w:tcPr>
          <w:p w14:paraId="381E189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0.3</w:t>
            </w:r>
          </w:p>
        </w:tc>
        <w:tc>
          <w:tcPr>
            <w:tcW w:w="908" w:type="dxa"/>
            <w:tcBorders>
              <w:left w:val="nil"/>
              <w:bottom w:val="dotted" w:sz="4" w:space="0" w:color="auto"/>
              <w:right w:val="nil"/>
            </w:tcBorders>
            <w:shd w:val="clear" w:color="auto" w:fill="auto"/>
            <w:noWrap/>
            <w:vAlign w:val="bottom"/>
            <w:hideMark/>
          </w:tcPr>
          <w:p w14:paraId="75A3581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0.4</w:t>
            </w:r>
          </w:p>
        </w:tc>
        <w:tc>
          <w:tcPr>
            <w:tcW w:w="908" w:type="dxa"/>
            <w:tcBorders>
              <w:left w:val="nil"/>
              <w:bottom w:val="dotted" w:sz="4" w:space="0" w:color="auto"/>
              <w:right w:val="nil"/>
            </w:tcBorders>
            <w:shd w:val="clear" w:color="auto" w:fill="auto"/>
            <w:noWrap/>
            <w:vAlign w:val="bottom"/>
            <w:hideMark/>
          </w:tcPr>
          <w:p w14:paraId="16782DE6"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0.4</w:t>
            </w:r>
          </w:p>
        </w:tc>
        <w:tc>
          <w:tcPr>
            <w:tcW w:w="908" w:type="dxa"/>
            <w:gridSpan w:val="2"/>
            <w:tcBorders>
              <w:left w:val="nil"/>
              <w:bottom w:val="dotted" w:sz="4" w:space="0" w:color="auto"/>
              <w:right w:val="nil"/>
            </w:tcBorders>
            <w:shd w:val="clear" w:color="auto" w:fill="auto"/>
            <w:noWrap/>
            <w:vAlign w:val="bottom"/>
            <w:hideMark/>
          </w:tcPr>
          <w:p w14:paraId="1B85909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0.6</w:t>
            </w:r>
          </w:p>
        </w:tc>
        <w:tc>
          <w:tcPr>
            <w:tcW w:w="908" w:type="dxa"/>
            <w:gridSpan w:val="2"/>
            <w:tcBorders>
              <w:left w:val="nil"/>
              <w:bottom w:val="dotted" w:sz="4" w:space="0" w:color="auto"/>
              <w:right w:val="nil"/>
            </w:tcBorders>
            <w:shd w:val="clear" w:color="auto" w:fill="auto"/>
            <w:noWrap/>
            <w:vAlign w:val="bottom"/>
            <w:hideMark/>
          </w:tcPr>
          <w:p w14:paraId="6E09E2D9"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0.5</w:t>
            </w:r>
          </w:p>
        </w:tc>
        <w:tc>
          <w:tcPr>
            <w:tcW w:w="908" w:type="dxa"/>
            <w:gridSpan w:val="2"/>
            <w:tcBorders>
              <w:left w:val="nil"/>
              <w:bottom w:val="dotted" w:sz="4" w:space="0" w:color="auto"/>
              <w:right w:val="nil"/>
            </w:tcBorders>
            <w:shd w:val="clear" w:color="auto" w:fill="auto"/>
            <w:noWrap/>
            <w:vAlign w:val="bottom"/>
            <w:hideMark/>
          </w:tcPr>
          <w:p w14:paraId="0C509CCA"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0.4</w:t>
            </w:r>
          </w:p>
        </w:tc>
        <w:tc>
          <w:tcPr>
            <w:tcW w:w="908" w:type="dxa"/>
            <w:gridSpan w:val="2"/>
            <w:tcBorders>
              <w:left w:val="nil"/>
              <w:bottom w:val="dotted" w:sz="4" w:space="0" w:color="auto"/>
              <w:right w:val="nil"/>
            </w:tcBorders>
            <w:shd w:val="clear" w:color="auto" w:fill="auto"/>
            <w:noWrap/>
            <w:vAlign w:val="bottom"/>
            <w:hideMark/>
          </w:tcPr>
          <w:p w14:paraId="0B9BB1E6"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0.5</w:t>
            </w:r>
          </w:p>
        </w:tc>
        <w:tc>
          <w:tcPr>
            <w:tcW w:w="908" w:type="dxa"/>
            <w:gridSpan w:val="2"/>
            <w:tcBorders>
              <w:left w:val="nil"/>
              <w:bottom w:val="dotted" w:sz="4" w:space="0" w:color="auto"/>
              <w:right w:val="nil"/>
            </w:tcBorders>
            <w:shd w:val="clear" w:color="auto" w:fill="auto"/>
            <w:noWrap/>
            <w:vAlign w:val="bottom"/>
            <w:hideMark/>
          </w:tcPr>
          <w:p w14:paraId="6F048717"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0.4</w:t>
            </w:r>
          </w:p>
        </w:tc>
        <w:tc>
          <w:tcPr>
            <w:tcW w:w="908" w:type="dxa"/>
            <w:gridSpan w:val="2"/>
            <w:tcBorders>
              <w:left w:val="nil"/>
              <w:bottom w:val="dotted" w:sz="4" w:space="0" w:color="auto"/>
              <w:right w:val="nil"/>
            </w:tcBorders>
            <w:shd w:val="clear" w:color="auto" w:fill="auto"/>
            <w:noWrap/>
            <w:vAlign w:val="bottom"/>
            <w:hideMark/>
          </w:tcPr>
          <w:p w14:paraId="1BBF6296"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0.6</w:t>
            </w:r>
          </w:p>
        </w:tc>
        <w:tc>
          <w:tcPr>
            <w:tcW w:w="908" w:type="dxa"/>
            <w:gridSpan w:val="2"/>
            <w:tcBorders>
              <w:left w:val="nil"/>
              <w:bottom w:val="dotted" w:sz="4" w:space="0" w:color="auto"/>
              <w:right w:val="nil"/>
            </w:tcBorders>
            <w:shd w:val="clear" w:color="auto" w:fill="auto"/>
            <w:noWrap/>
            <w:vAlign w:val="bottom"/>
            <w:hideMark/>
          </w:tcPr>
          <w:p w14:paraId="1835D742"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0.6</w:t>
            </w:r>
          </w:p>
        </w:tc>
        <w:tc>
          <w:tcPr>
            <w:tcW w:w="913" w:type="dxa"/>
            <w:gridSpan w:val="2"/>
            <w:tcBorders>
              <w:left w:val="nil"/>
              <w:bottom w:val="dotted" w:sz="4" w:space="0" w:color="auto"/>
              <w:right w:val="nil"/>
            </w:tcBorders>
            <w:shd w:val="clear" w:color="auto" w:fill="auto"/>
            <w:noWrap/>
            <w:vAlign w:val="bottom"/>
            <w:hideMark/>
          </w:tcPr>
          <w:p w14:paraId="648FAC62"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0.5</w:t>
            </w:r>
          </w:p>
        </w:tc>
      </w:tr>
      <w:tr w:rsidR="00E45705" w:rsidRPr="001B09E6" w14:paraId="30F1DA7D" w14:textId="77777777" w:rsidTr="00E45705">
        <w:trPr>
          <w:trHeight w:val="300"/>
        </w:trPr>
        <w:tc>
          <w:tcPr>
            <w:tcW w:w="866" w:type="dxa"/>
            <w:tcBorders>
              <w:left w:val="nil"/>
              <w:right w:val="nil"/>
            </w:tcBorders>
            <w:shd w:val="clear" w:color="auto" w:fill="auto"/>
            <w:noWrap/>
            <w:vAlign w:val="bottom"/>
            <w:hideMark/>
          </w:tcPr>
          <w:p w14:paraId="65ABCCCE" w14:textId="77777777" w:rsidR="00E45705" w:rsidRPr="001B09E6" w:rsidRDefault="00E45705" w:rsidP="00E45705">
            <w:pPr>
              <w:rPr>
                <w:rFonts w:asciiTheme="minorHAnsi" w:eastAsia="Times New Roman" w:hAnsiTheme="minorHAnsi"/>
                <w:color w:val="000000"/>
                <w:sz w:val="18"/>
                <w:szCs w:val="18"/>
                <w:lang w:eastAsia="en-AU"/>
              </w:rPr>
            </w:pPr>
          </w:p>
        </w:tc>
        <w:tc>
          <w:tcPr>
            <w:tcW w:w="3544" w:type="dxa"/>
            <w:tcBorders>
              <w:top w:val="dotted" w:sz="4" w:space="0" w:color="auto"/>
              <w:left w:val="nil"/>
              <w:bottom w:val="dotted" w:sz="4" w:space="0" w:color="auto"/>
              <w:right w:val="nil"/>
            </w:tcBorders>
            <w:shd w:val="clear" w:color="auto" w:fill="auto"/>
            <w:vAlign w:val="bottom"/>
            <w:hideMark/>
          </w:tcPr>
          <w:p w14:paraId="0ADCF772"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Total fully engaged</w:t>
            </w:r>
            <w:r w:rsidRPr="001B09E6">
              <w:rPr>
                <w:rFonts w:asciiTheme="minorHAnsi" w:eastAsia="Times New Roman" w:hAnsiTheme="minorHAnsi" w:cs="Arial"/>
                <w:color w:val="000000"/>
                <w:sz w:val="18"/>
                <w:szCs w:val="18"/>
                <w:vertAlign w:val="superscript"/>
                <w:lang w:eastAsia="en-AU"/>
              </w:rPr>
              <w:t xml:space="preserve"> 3</w:t>
            </w:r>
          </w:p>
        </w:tc>
        <w:tc>
          <w:tcPr>
            <w:tcW w:w="908" w:type="dxa"/>
            <w:tcBorders>
              <w:top w:val="dotted" w:sz="4" w:space="0" w:color="auto"/>
              <w:left w:val="nil"/>
              <w:bottom w:val="dotted" w:sz="4" w:space="0" w:color="auto"/>
              <w:right w:val="nil"/>
            </w:tcBorders>
            <w:shd w:val="clear" w:color="auto" w:fill="auto"/>
            <w:noWrap/>
            <w:vAlign w:val="bottom"/>
            <w:hideMark/>
          </w:tcPr>
          <w:p w14:paraId="5A0D8683"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0.5</w:t>
            </w:r>
          </w:p>
        </w:tc>
        <w:tc>
          <w:tcPr>
            <w:tcW w:w="908" w:type="dxa"/>
            <w:tcBorders>
              <w:top w:val="dotted" w:sz="4" w:space="0" w:color="auto"/>
              <w:left w:val="nil"/>
              <w:bottom w:val="dotted" w:sz="4" w:space="0" w:color="auto"/>
              <w:right w:val="nil"/>
            </w:tcBorders>
            <w:shd w:val="clear" w:color="auto" w:fill="auto"/>
            <w:noWrap/>
            <w:vAlign w:val="bottom"/>
            <w:hideMark/>
          </w:tcPr>
          <w:p w14:paraId="53EE2EF9"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1.0</w:t>
            </w:r>
          </w:p>
        </w:tc>
        <w:tc>
          <w:tcPr>
            <w:tcW w:w="908" w:type="dxa"/>
            <w:tcBorders>
              <w:top w:val="dotted" w:sz="4" w:space="0" w:color="auto"/>
              <w:left w:val="nil"/>
              <w:bottom w:val="dotted" w:sz="4" w:space="0" w:color="auto"/>
              <w:right w:val="nil"/>
            </w:tcBorders>
            <w:shd w:val="clear" w:color="auto" w:fill="auto"/>
            <w:noWrap/>
            <w:vAlign w:val="bottom"/>
            <w:hideMark/>
          </w:tcPr>
          <w:p w14:paraId="738CE90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1.0</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7FD5E626"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1.5</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4BEB29D4"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1.4</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17B084C2"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1.2</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69E1B8AD"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1.1</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1376B984"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1.2</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4CB7A94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1.8</w:t>
            </w:r>
          </w:p>
        </w:tc>
        <w:tc>
          <w:tcPr>
            <w:tcW w:w="908" w:type="dxa"/>
            <w:gridSpan w:val="2"/>
            <w:tcBorders>
              <w:top w:val="dotted" w:sz="4" w:space="0" w:color="auto"/>
              <w:left w:val="nil"/>
              <w:bottom w:val="dotted" w:sz="4" w:space="0" w:color="auto"/>
              <w:right w:val="nil"/>
            </w:tcBorders>
            <w:shd w:val="clear" w:color="auto" w:fill="auto"/>
            <w:noWrap/>
            <w:vAlign w:val="bottom"/>
            <w:hideMark/>
          </w:tcPr>
          <w:p w14:paraId="3CE729EB"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1.5</w:t>
            </w:r>
          </w:p>
        </w:tc>
        <w:tc>
          <w:tcPr>
            <w:tcW w:w="913" w:type="dxa"/>
            <w:gridSpan w:val="2"/>
            <w:tcBorders>
              <w:top w:val="dotted" w:sz="4" w:space="0" w:color="auto"/>
              <w:left w:val="nil"/>
              <w:bottom w:val="dotted" w:sz="4" w:space="0" w:color="auto"/>
              <w:right w:val="nil"/>
            </w:tcBorders>
            <w:shd w:val="clear" w:color="auto" w:fill="auto"/>
            <w:noWrap/>
            <w:vAlign w:val="bottom"/>
            <w:hideMark/>
          </w:tcPr>
          <w:p w14:paraId="0B3FFDA2"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1.4</w:t>
            </w:r>
          </w:p>
        </w:tc>
      </w:tr>
      <w:tr w:rsidR="00E45705" w:rsidRPr="001B09E6" w14:paraId="21F56BD4" w14:textId="77777777" w:rsidTr="00E45705">
        <w:trPr>
          <w:trHeight w:val="300"/>
        </w:trPr>
        <w:tc>
          <w:tcPr>
            <w:tcW w:w="866" w:type="dxa"/>
            <w:tcBorders>
              <w:left w:val="nil"/>
              <w:right w:val="nil"/>
            </w:tcBorders>
            <w:shd w:val="clear" w:color="auto" w:fill="auto"/>
            <w:noWrap/>
            <w:vAlign w:val="bottom"/>
            <w:hideMark/>
          </w:tcPr>
          <w:p w14:paraId="4957AE73"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 </w:t>
            </w:r>
          </w:p>
        </w:tc>
        <w:tc>
          <w:tcPr>
            <w:tcW w:w="3544" w:type="dxa"/>
            <w:tcBorders>
              <w:top w:val="dotted" w:sz="4" w:space="0" w:color="auto"/>
              <w:left w:val="nil"/>
              <w:right w:val="nil"/>
            </w:tcBorders>
            <w:shd w:val="clear" w:color="auto" w:fill="auto"/>
            <w:vAlign w:val="bottom"/>
            <w:hideMark/>
          </w:tcPr>
          <w:p w14:paraId="43CC3EBB" w14:textId="77777777" w:rsidR="00E45705" w:rsidRPr="001B09E6" w:rsidRDefault="00E45705" w:rsidP="00E45705">
            <w:pPr>
              <w:rPr>
                <w:rFonts w:asciiTheme="minorHAnsi" w:eastAsia="Times New Roman" w:hAnsiTheme="minorHAnsi"/>
                <w:color w:val="000000"/>
                <w:sz w:val="18"/>
                <w:szCs w:val="18"/>
                <w:lang w:eastAsia="en-AU"/>
              </w:rPr>
            </w:pPr>
            <w:r w:rsidRPr="001B09E6">
              <w:rPr>
                <w:rFonts w:asciiTheme="minorHAnsi" w:eastAsia="Times New Roman" w:hAnsiTheme="minorHAnsi"/>
                <w:color w:val="000000"/>
                <w:sz w:val="18"/>
                <w:szCs w:val="18"/>
                <w:lang w:eastAsia="en-AU"/>
              </w:rPr>
              <w:t>Not fully engaged</w:t>
            </w:r>
          </w:p>
        </w:tc>
        <w:tc>
          <w:tcPr>
            <w:tcW w:w="908" w:type="dxa"/>
            <w:tcBorders>
              <w:top w:val="dotted" w:sz="4" w:space="0" w:color="auto"/>
              <w:left w:val="nil"/>
              <w:right w:val="nil"/>
            </w:tcBorders>
            <w:shd w:val="clear" w:color="auto" w:fill="auto"/>
            <w:noWrap/>
            <w:vAlign w:val="bottom"/>
            <w:hideMark/>
          </w:tcPr>
          <w:p w14:paraId="0D8F5451"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0.5</w:t>
            </w:r>
          </w:p>
        </w:tc>
        <w:tc>
          <w:tcPr>
            <w:tcW w:w="908" w:type="dxa"/>
            <w:tcBorders>
              <w:top w:val="dotted" w:sz="4" w:space="0" w:color="auto"/>
              <w:left w:val="nil"/>
              <w:right w:val="nil"/>
            </w:tcBorders>
            <w:shd w:val="clear" w:color="auto" w:fill="auto"/>
            <w:noWrap/>
            <w:vAlign w:val="bottom"/>
            <w:hideMark/>
          </w:tcPr>
          <w:p w14:paraId="4EA26CB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1.1</w:t>
            </w:r>
          </w:p>
        </w:tc>
        <w:tc>
          <w:tcPr>
            <w:tcW w:w="908" w:type="dxa"/>
            <w:tcBorders>
              <w:top w:val="dotted" w:sz="4" w:space="0" w:color="auto"/>
              <w:left w:val="nil"/>
              <w:right w:val="nil"/>
            </w:tcBorders>
            <w:shd w:val="clear" w:color="auto" w:fill="auto"/>
            <w:noWrap/>
            <w:vAlign w:val="bottom"/>
            <w:hideMark/>
          </w:tcPr>
          <w:p w14:paraId="483242CF"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1.0</w:t>
            </w:r>
          </w:p>
        </w:tc>
        <w:tc>
          <w:tcPr>
            <w:tcW w:w="908" w:type="dxa"/>
            <w:gridSpan w:val="2"/>
            <w:tcBorders>
              <w:top w:val="dotted" w:sz="4" w:space="0" w:color="auto"/>
              <w:left w:val="nil"/>
              <w:right w:val="nil"/>
            </w:tcBorders>
            <w:shd w:val="clear" w:color="auto" w:fill="auto"/>
            <w:noWrap/>
            <w:vAlign w:val="bottom"/>
            <w:hideMark/>
          </w:tcPr>
          <w:p w14:paraId="4B39E939"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1.5</w:t>
            </w:r>
          </w:p>
        </w:tc>
        <w:tc>
          <w:tcPr>
            <w:tcW w:w="908" w:type="dxa"/>
            <w:gridSpan w:val="2"/>
            <w:tcBorders>
              <w:top w:val="dotted" w:sz="4" w:space="0" w:color="auto"/>
              <w:left w:val="nil"/>
              <w:right w:val="nil"/>
            </w:tcBorders>
            <w:shd w:val="clear" w:color="auto" w:fill="auto"/>
            <w:noWrap/>
            <w:vAlign w:val="bottom"/>
            <w:hideMark/>
          </w:tcPr>
          <w:p w14:paraId="07B50A60"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1.4</w:t>
            </w:r>
          </w:p>
        </w:tc>
        <w:tc>
          <w:tcPr>
            <w:tcW w:w="908" w:type="dxa"/>
            <w:gridSpan w:val="2"/>
            <w:tcBorders>
              <w:top w:val="dotted" w:sz="4" w:space="0" w:color="auto"/>
              <w:left w:val="nil"/>
              <w:right w:val="nil"/>
            </w:tcBorders>
            <w:shd w:val="clear" w:color="auto" w:fill="auto"/>
            <w:noWrap/>
            <w:vAlign w:val="bottom"/>
            <w:hideMark/>
          </w:tcPr>
          <w:p w14:paraId="475BB01C"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1.2</w:t>
            </w:r>
          </w:p>
        </w:tc>
        <w:tc>
          <w:tcPr>
            <w:tcW w:w="908" w:type="dxa"/>
            <w:gridSpan w:val="2"/>
            <w:tcBorders>
              <w:top w:val="dotted" w:sz="4" w:space="0" w:color="auto"/>
              <w:left w:val="nil"/>
              <w:right w:val="nil"/>
            </w:tcBorders>
            <w:shd w:val="clear" w:color="auto" w:fill="auto"/>
            <w:noWrap/>
            <w:vAlign w:val="bottom"/>
            <w:hideMark/>
          </w:tcPr>
          <w:p w14:paraId="237FF498"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1.1</w:t>
            </w:r>
          </w:p>
        </w:tc>
        <w:tc>
          <w:tcPr>
            <w:tcW w:w="908" w:type="dxa"/>
            <w:gridSpan w:val="2"/>
            <w:tcBorders>
              <w:top w:val="dotted" w:sz="4" w:space="0" w:color="auto"/>
              <w:left w:val="nil"/>
              <w:right w:val="nil"/>
            </w:tcBorders>
            <w:shd w:val="clear" w:color="auto" w:fill="auto"/>
            <w:noWrap/>
            <w:vAlign w:val="bottom"/>
            <w:hideMark/>
          </w:tcPr>
          <w:p w14:paraId="7ED73D90"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1.2</w:t>
            </w:r>
          </w:p>
        </w:tc>
        <w:tc>
          <w:tcPr>
            <w:tcW w:w="908" w:type="dxa"/>
            <w:gridSpan w:val="2"/>
            <w:tcBorders>
              <w:top w:val="dotted" w:sz="4" w:space="0" w:color="auto"/>
              <w:left w:val="nil"/>
              <w:right w:val="nil"/>
            </w:tcBorders>
            <w:shd w:val="clear" w:color="auto" w:fill="auto"/>
            <w:noWrap/>
            <w:vAlign w:val="bottom"/>
            <w:hideMark/>
          </w:tcPr>
          <w:p w14:paraId="2261AF0E"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1.8</w:t>
            </w:r>
          </w:p>
        </w:tc>
        <w:tc>
          <w:tcPr>
            <w:tcW w:w="908" w:type="dxa"/>
            <w:gridSpan w:val="2"/>
            <w:tcBorders>
              <w:top w:val="dotted" w:sz="4" w:space="0" w:color="auto"/>
              <w:left w:val="nil"/>
              <w:right w:val="nil"/>
            </w:tcBorders>
            <w:shd w:val="clear" w:color="auto" w:fill="auto"/>
            <w:noWrap/>
            <w:vAlign w:val="bottom"/>
            <w:hideMark/>
          </w:tcPr>
          <w:p w14:paraId="18857BBD"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1.5</w:t>
            </w:r>
          </w:p>
        </w:tc>
        <w:tc>
          <w:tcPr>
            <w:tcW w:w="913" w:type="dxa"/>
            <w:gridSpan w:val="2"/>
            <w:tcBorders>
              <w:top w:val="dotted" w:sz="4" w:space="0" w:color="auto"/>
              <w:left w:val="nil"/>
              <w:right w:val="nil"/>
            </w:tcBorders>
            <w:shd w:val="clear" w:color="auto" w:fill="auto"/>
            <w:noWrap/>
            <w:vAlign w:val="bottom"/>
            <w:hideMark/>
          </w:tcPr>
          <w:p w14:paraId="53E8B85B" w14:textId="77777777" w:rsidR="00E45705" w:rsidRPr="001B09E6" w:rsidRDefault="00E45705" w:rsidP="00E45705">
            <w:pPr>
              <w:jc w:val="right"/>
              <w:rPr>
                <w:rFonts w:asciiTheme="minorHAnsi" w:hAnsiTheme="minorHAnsi"/>
                <w:color w:val="000000"/>
                <w:sz w:val="18"/>
                <w:szCs w:val="18"/>
              </w:rPr>
            </w:pPr>
            <w:r w:rsidRPr="001B09E6">
              <w:rPr>
                <w:rFonts w:asciiTheme="minorHAnsi" w:hAnsiTheme="minorHAnsi"/>
                <w:color w:val="000000"/>
                <w:sz w:val="18"/>
                <w:szCs w:val="18"/>
              </w:rPr>
              <w:t>1.4</w:t>
            </w:r>
          </w:p>
        </w:tc>
      </w:tr>
      <w:tr w:rsidR="00E45705" w:rsidRPr="001B09E6" w14:paraId="44E69601" w14:textId="77777777" w:rsidTr="00E45705">
        <w:trPr>
          <w:trHeight w:val="300"/>
        </w:trPr>
        <w:tc>
          <w:tcPr>
            <w:tcW w:w="14403" w:type="dxa"/>
            <w:gridSpan w:val="21"/>
            <w:shd w:val="clear" w:color="auto" w:fill="auto"/>
            <w:noWrap/>
            <w:vAlign w:val="bottom"/>
            <w:hideMark/>
          </w:tcPr>
          <w:p w14:paraId="5F3665A7" w14:textId="77777777" w:rsidR="00E45705" w:rsidRPr="001B09E6" w:rsidRDefault="00E45705" w:rsidP="00E45705">
            <w:pPr>
              <w:pStyle w:val="Tablenote"/>
              <w:rPr>
                <w:lang w:eastAsia="en-AU"/>
              </w:rPr>
            </w:pPr>
            <w:r w:rsidRPr="001B09E6">
              <w:rPr>
                <w:lang w:eastAsia="en-AU"/>
              </w:rPr>
              <w:t>Source: ABS Survey of Education and Work 6227.0</w:t>
            </w:r>
          </w:p>
        </w:tc>
      </w:tr>
      <w:tr w:rsidR="00E45705" w:rsidRPr="001B09E6" w14:paraId="7E8C3B86" w14:textId="77777777" w:rsidTr="00E45705">
        <w:trPr>
          <w:trHeight w:val="300"/>
        </w:trPr>
        <w:tc>
          <w:tcPr>
            <w:tcW w:w="7594" w:type="dxa"/>
            <w:gridSpan w:val="6"/>
            <w:shd w:val="clear" w:color="auto" w:fill="auto"/>
            <w:noWrap/>
            <w:vAlign w:val="bottom"/>
            <w:hideMark/>
          </w:tcPr>
          <w:p w14:paraId="5D157223" w14:textId="77777777" w:rsidR="00E45705" w:rsidRPr="001B09E6" w:rsidRDefault="00E45705" w:rsidP="00E45705">
            <w:pPr>
              <w:pStyle w:val="Tablenote"/>
              <w:rPr>
                <w:lang w:eastAsia="en-AU"/>
              </w:rPr>
            </w:pPr>
            <w:r w:rsidRPr="001B09E6">
              <w:rPr>
                <w:lang w:eastAsia="en-AU"/>
              </w:rPr>
              <w:t>1 Excludes persons in both full-time employment and full-time education/training.</w:t>
            </w:r>
          </w:p>
        </w:tc>
        <w:tc>
          <w:tcPr>
            <w:tcW w:w="993" w:type="dxa"/>
            <w:gridSpan w:val="2"/>
            <w:shd w:val="clear" w:color="auto" w:fill="auto"/>
            <w:noWrap/>
            <w:vAlign w:val="bottom"/>
            <w:hideMark/>
          </w:tcPr>
          <w:p w14:paraId="1AC89763" w14:textId="77777777" w:rsidR="00E45705" w:rsidRPr="001B09E6" w:rsidRDefault="00E45705" w:rsidP="00E45705">
            <w:pPr>
              <w:pStyle w:val="Tablenote"/>
              <w:rPr>
                <w:b/>
                <w:bCs/>
                <w:lang w:eastAsia="en-AU"/>
              </w:rPr>
            </w:pPr>
          </w:p>
        </w:tc>
        <w:tc>
          <w:tcPr>
            <w:tcW w:w="850" w:type="dxa"/>
            <w:gridSpan w:val="2"/>
            <w:shd w:val="clear" w:color="auto" w:fill="auto"/>
            <w:noWrap/>
            <w:vAlign w:val="bottom"/>
            <w:hideMark/>
          </w:tcPr>
          <w:p w14:paraId="1C646F4F" w14:textId="77777777" w:rsidR="00E45705" w:rsidRPr="001B09E6" w:rsidRDefault="00E45705" w:rsidP="00E45705">
            <w:pPr>
              <w:pStyle w:val="Tablenote"/>
              <w:rPr>
                <w:b/>
                <w:bCs/>
                <w:lang w:eastAsia="en-AU"/>
              </w:rPr>
            </w:pPr>
          </w:p>
        </w:tc>
        <w:tc>
          <w:tcPr>
            <w:tcW w:w="992" w:type="dxa"/>
            <w:gridSpan w:val="2"/>
            <w:shd w:val="clear" w:color="auto" w:fill="auto"/>
            <w:noWrap/>
            <w:vAlign w:val="bottom"/>
            <w:hideMark/>
          </w:tcPr>
          <w:p w14:paraId="540EE1F8" w14:textId="77777777" w:rsidR="00E45705" w:rsidRPr="001B09E6" w:rsidRDefault="00E45705" w:rsidP="00E45705">
            <w:pPr>
              <w:pStyle w:val="Tablenote"/>
              <w:rPr>
                <w:b/>
                <w:bCs/>
                <w:lang w:eastAsia="en-AU"/>
              </w:rPr>
            </w:pPr>
          </w:p>
        </w:tc>
        <w:tc>
          <w:tcPr>
            <w:tcW w:w="1134" w:type="dxa"/>
            <w:gridSpan w:val="2"/>
            <w:shd w:val="clear" w:color="auto" w:fill="auto"/>
            <w:noWrap/>
            <w:vAlign w:val="bottom"/>
            <w:hideMark/>
          </w:tcPr>
          <w:p w14:paraId="59FFD0BE" w14:textId="77777777" w:rsidR="00E45705" w:rsidRPr="001B09E6" w:rsidRDefault="00E45705" w:rsidP="00E45705">
            <w:pPr>
              <w:pStyle w:val="Tablenote"/>
              <w:rPr>
                <w:b/>
                <w:bCs/>
                <w:lang w:eastAsia="en-AU"/>
              </w:rPr>
            </w:pPr>
          </w:p>
        </w:tc>
        <w:tc>
          <w:tcPr>
            <w:tcW w:w="709" w:type="dxa"/>
            <w:gridSpan w:val="2"/>
            <w:shd w:val="clear" w:color="auto" w:fill="auto"/>
            <w:noWrap/>
            <w:vAlign w:val="bottom"/>
            <w:hideMark/>
          </w:tcPr>
          <w:p w14:paraId="45F7E735" w14:textId="77777777" w:rsidR="00E45705" w:rsidRPr="001B09E6" w:rsidRDefault="00E45705" w:rsidP="00E45705">
            <w:pPr>
              <w:pStyle w:val="Tablenote"/>
              <w:rPr>
                <w:b/>
                <w:bCs/>
                <w:lang w:eastAsia="en-AU"/>
              </w:rPr>
            </w:pPr>
          </w:p>
        </w:tc>
        <w:tc>
          <w:tcPr>
            <w:tcW w:w="709" w:type="dxa"/>
            <w:gridSpan w:val="2"/>
            <w:shd w:val="clear" w:color="auto" w:fill="auto"/>
            <w:noWrap/>
            <w:vAlign w:val="bottom"/>
            <w:hideMark/>
          </w:tcPr>
          <w:p w14:paraId="526DC275" w14:textId="77777777" w:rsidR="00E45705" w:rsidRPr="001B09E6" w:rsidRDefault="00E45705" w:rsidP="00E45705">
            <w:pPr>
              <w:pStyle w:val="Tablenote"/>
              <w:rPr>
                <w:b/>
                <w:bCs/>
                <w:lang w:eastAsia="en-AU"/>
              </w:rPr>
            </w:pPr>
          </w:p>
        </w:tc>
        <w:tc>
          <w:tcPr>
            <w:tcW w:w="663" w:type="dxa"/>
            <w:gridSpan w:val="2"/>
            <w:shd w:val="clear" w:color="auto" w:fill="auto"/>
            <w:noWrap/>
            <w:vAlign w:val="bottom"/>
            <w:hideMark/>
          </w:tcPr>
          <w:p w14:paraId="57C9D30D" w14:textId="77777777" w:rsidR="00E45705" w:rsidRPr="001B09E6" w:rsidRDefault="00E45705" w:rsidP="00E45705">
            <w:pPr>
              <w:pStyle w:val="Tablenote"/>
              <w:rPr>
                <w:b/>
                <w:bCs/>
                <w:lang w:eastAsia="en-AU"/>
              </w:rPr>
            </w:pPr>
          </w:p>
        </w:tc>
        <w:tc>
          <w:tcPr>
            <w:tcW w:w="759" w:type="dxa"/>
            <w:shd w:val="clear" w:color="auto" w:fill="auto"/>
            <w:noWrap/>
            <w:vAlign w:val="bottom"/>
            <w:hideMark/>
          </w:tcPr>
          <w:p w14:paraId="74B27DAD" w14:textId="77777777" w:rsidR="00E45705" w:rsidRPr="001B09E6" w:rsidRDefault="00E45705" w:rsidP="00E45705">
            <w:pPr>
              <w:pStyle w:val="Tablenote"/>
              <w:rPr>
                <w:b/>
                <w:bCs/>
                <w:lang w:eastAsia="en-AU"/>
              </w:rPr>
            </w:pPr>
          </w:p>
        </w:tc>
      </w:tr>
      <w:tr w:rsidR="00E45705" w:rsidRPr="001B09E6" w14:paraId="44E328BB" w14:textId="77777777" w:rsidTr="00E45705">
        <w:trPr>
          <w:trHeight w:val="300"/>
        </w:trPr>
        <w:tc>
          <w:tcPr>
            <w:tcW w:w="14403" w:type="dxa"/>
            <w:gridSpan w:val="21"/>
            <w:shd w:val="clear" w:color="auto" w:fill="auto"/>
            <w:noWrap/>
            <w:vAlign w:val="bottom"/>
            <w:hideMark/>
          </w:tcPr>
          <w:p w14:paraId="64D47040" w14:textId="77777777" w:rsidR="00E45705" w:rsidRPr="001B09E6" w:rsidRDefault="00E45705" w:rsidP="00E45705">
            <w:pPr>
              <w:pStyle w:val="Tablenote"/>
              <w:rPr>
                <w:lang w:eastAsia="en-AU"/>
              </w:rPr>
            </w:pPr>
            <w:r w:rsidRPr="001B09E6">
              <w:rPr>
                <w:lang w:eastAsia="en-AU"/>
              </w:rPr>
              <w:t>2 Comprises persons in full-time employment and full-time education/training at Certificate III level or above; and part-time employment and part-time education/training.</w:t>
            </w:r>
          </w:p>
        </w:tc>
      </w:tr>
      <w:tr w:rsidR="00E45705" w:rsidRPr="001B09E6" w14:paraId="2ECEB3C8" w14:textId="77777777" w:rsidTr="00E45705">
        <w:trPr>
          <w:trHeight w:val="398"/>
        </w:trPr>
        <w:tc>
          <w:tcPr>
            <w:tcW w:w="14403" w:type="dxa"/>
            <w:gridSpan w:val="21"/>
            <w:shd w:val="clear" w:color="auto" w:fill="auto"/>
            <w:vAlign w:val="bottom"/>
            <w:hideMark/>
          </w:tcPr>
          <w:p w14:paraId="599E73D6" w14:textId="77777777" w:rsidR="00E45705" w:rsidRPr="001B09E6" w:rsidRDefault="00E45705" w:rsidP="00E45705">
            <w:pPr>
              <w:pStyle w:val="Tablenote"/>
              <w:rPr>
                <w:lang w:eastAsia="en-AU"/>
              </w:rPr>
            </w:pPr>
            <w:r w:rsidRPr="001B09E6">
              <w:rPr>
                <w:lang w:eastAsia="en-AU"/>
              </w:rPr>
              <w:t>3 Fully Engaged comprises persons in full-time employment; full-time education/training at Certificate III level or above; or both part-time employment and part-time education/training at Certificate III level or above.</w:t>
            </w:r>
          </w:p>
        </w:tc>
      </w:tr>
    </w:tbl>
    <w:p w14:paraId="4AD3CDBB" w14:textId="77777777" w:rsidR="00E45705" w:rsidRDefault="00E45705" w:rsidP="00E45705">
      <w:pPr>
        <w:pStyle w:val="Heading3NoNumbering"/>
      </w:pPr>
      <w:bookmarkStart w:id="209" w:name="_Toc192134425"/>
      <w:bookmarkStart w:id="210" w:name="_Toc333919014"/>
    </w:p>
    <w:p w14:paraId="3A88631D" w14:textId="77777777" w:rsidR="00E45705" w:rsidRPr="001B09E6" w:rsidRDefault="00E45705" w:rsidP="00E45705">
      <w:pPr>
        <w:pStyle w:val="Heading3NoNumbering"/>
      </w:pPr>
      <w:r w:rsidRPr="001B09E6">
        <w:t>Table A2.30: School leavers not fully engaged, by educational attainment [SEW]</w:t>
      </w:r>
      <w:bookmarkEnd w:id="209"/>
      <w:bookmarkEnd w:id="210"/>
    </w:p>
    <w:tbl>
      <w:tblPr>
        <w:tblW w:w="5000" w:type="pct"/>
        <w:tblCellMar>
          <w:left w:w="0" w:type="dxa"/>
          <w:right w:w="0" w:type="dxa"/>
        </w:tblCellMar>
        <w:tblLook w:val="04A0" w:firstRow="1" w:lastRow="0" w:firstColumn="1" w:lastColumn="0" w:noHBand="0" w:noVBand="1"/>
        <w:tblCaption w:val="Table A2.30: School leavers not fully engaged, by educational attainment [SEW] Proportion of school leavers aged 15 to 19 not engaged in post-school education, training and/or employment, by level of schooling (NEA Indicator 9) (%) "/>
        <w:tblDescription w:val="Table A2.30: School leavers not fully engaged, by educational attainment [SEW]&#10;Proportion of school leavers aged 15 to 19 not engaged in post-school education, training and/or employment, by level of schooling (NEA Indicator 9) (%)&#10;"/>
      </w:tblPr>
      <w:tblGrid>
        <w:gridCol w:w="3254"/>
        <w:gridCol w:w="1016"/>
        <w:gridCol w:w="1016"/>
        <w:gridCol w:w="1016"/>
        <w:gridCol w:w="1016"/>
        <w:gridCol w:w="1016"/>
        <w:gridCol w:w="1016"/>
        <w:gridCol w:w="1016"/>
        <w:gridCol w:w="1016"/>
        <w:gridCol w:w="1016"/>
        <w:gridCol w:w="1016"/>
        <w:gridCol w:w="1016"/>
      </w:tblGrid>
      <w:tr w:rsidR="00E45705" w:rsidRPr="001B09E6" w14:paraId="001B8340" w14:textId="77777777" w:rsidTr="00E45705">
        <w:trPr>
          <w:trHeight w:val="300"/>
        </w:trPr>
        <w:tc>
          <w:tcPr>
            <w:tcW w:w="5000" w:type="pct"/>
            <w:gridSpan w:val="12"/>
            <w:tcBorders>
              <w:top w:val="nil"/>
              <w:left w:val="nil"/>
              <w:bottom w:val="nil"/>
              <w:right w:val="nil"/>
            </w:tcBorders>
            <w:shd w:val="clear" w:color="auto" w:fill="auto"/>
            <w:noWrap/>
            <w:tcMar>
              <w:top w:w="15" w:type="dxa"/>
              <w:left w:w="15" w:type="dxa"/>
              <w:bottom w:w="0" w:type="dxa"/>
              <w:right w:w="15" w:type="dxa"/>
            </w:tcMar>
            <w:vAlign w:val="bottom"/>
            <w:hideMark/>
          </w:tcPr>
          <w:p w14:paraId="1D4F23C2" w14:textId="77777777" w:rsidR="00E45705" w:rsidRPr="001B09E6" w:rsidRDefault="00E45705" w:rsidP="00E45705">
            <w:pPr>
              <w:pStyle w:val="TableHeading"/>
              <w:spacing w:before="112"/>
            </w:pPr>
            <w:r w:rsidRPr="001B09E6">
              <w:t>Proportion of school leavers aged 15 to 19 not engaged in post-school education, training and/or employment, by level of schooling (NEA Indicator 9) (%)</w:t>
            </w:r>
          </w:p>
        </w:tc>
      </w:tr>
      <w:tr w:rsidR="00E45705" w:rsidRPr="001B09E6" w14:paraId="7212262C" w14:textId="77777777" w:rsidTr="00E45705">
        <w:trPr>
          <w:trHeight w:val="300"/>
        </w:trPr>
        <w:tc>
          <w:tcPr>
            <w:tcW w:w="1128"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A86E373" w14:textId="77777777" w:rsidR="00E45705" w:rsidRPr="001B09E6" w:rsidRDefault="00E45705" w:rsidP="00E45705">
            <w:pPr>
              <w:pStyle w:val="TableColumnHeading"/>
              <w:spacing w:before="0" w:after="0"/>
              <w:ind w:left="0" w:right="0"/>
            </w:pPr>
            <w:r w:rsidRPr="001B09E6">
              <w:t> </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3D08B44" w14:textId="77777777" w:rsidR="00E45705" w:rsidRPr="001B09E6" w:rsidRDefault="00E45705" w:rsidP="00E45705">
            <w:pPr>
              <w:pStyle w:val="TableColumnHeading"/>
              <w:spacing w:before="0" w:after="0"/>
              <w:ind w:left="0" w:right="0"/>
            </w:pPr>
            <w:r w:rsidRPr="001B09E6">
              <w:t>2001</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27BABC9" w14:textId="77777777" w:rsidR="00E45705" w:rsidRPr="001B09E6" w:rsidRDefault="00E45705" w:rsidP="00E45705">
            <w:pPr>
              <w:pStyle w:val="TableColumnHeading"/>
              <w:spacing w:before="0" w:after="0"/>
              <w:ind w:left="0" w:right="0"/>
            </w:pPr>
            <w:r w:rsidRPr="001B09E6">
              <w:t>2002</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D7A1010" w14:textId="77777777" w:rsidR="00E45705" w:rsidRPr="001B09E6" w:rsidRDefault="00E45705" w:rsidP="00E45705">
            <w:pPr>
              <w:pStyle w:val="TableColumnHeading"/>
              <w:spacing w:before="0" w:after="0"/>
              <w:ind w:left="0" w:right="0"/>
            </w:pPr>
            <w:r w:rsidRPr="001B09E6">
              <w:t>2003</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EC7320A" w14:textId="77777777" w:rsidR="00E45705" w:rsidRPr="001B09E6" w:rsidRDefault="00E45705" w:rsidP="00E45705">
            <w:pPr>
              <w:pStyle w:val="TableColumnHeading"/>
              <w:spacing w:before="0" w:after="0"/>
              <w:ind w:left="0" w:right="0"/>
            </w:pPr>
            <w:r w:rsidRPr="001B09E6">
              <w:t>2004</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AD7B021" w14:textId="77777777" w:rsidR="00E45705" w:rsidRPr="001B09E6" w:rsidRDefault="00E45705" w:rsidP="00E45705">
            <w:pPr>
              <w:pStyle w:val="TableColumnHeading"/>
              <w:spacing w:before="0" w:after="0"/>
              <w:ind w:left="0" w:right="0"/>
            </w:pPr>
            <w:r w:rsidRPr="001B09E6">
              <w:t>2005</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F8CBD9F" w14:textId="77777777" w:rsidR="00E45705" w:rsidRPr="001B09E6" w:rsidRDefault="00E45705" w:rsidP="00E45705">
            <w:pPr>
              <w:pStyle w:val="TableColumnHeading"/>
              <w:spacing w:before="0" w:after="0"/>
              <w:ind w:left="0" w:right="0"/>
            </w:pPr>
            <w:r w:rsidRPr="001B09E6">
              <w:t>2006</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5538295" w14:textId="77777777" w:rsidR="00E45705" w:rsidRPr="001B09E6" w:rsidRDefault="00E45705" w:rsidP="00E45705">
            <w:pPr>
              <w:pStyle w:val="TableColumnHeading"/>
              <w:spacing w:before="0" w:after="0"/>
              <w:ind w:left="0" w:right="0"/>
            </w:pPr>
            <w:r w:rsidRPr="001B09E6">
              <w:t>2007</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FC577D9" w14:textId="77777777" w:rsidR="00E45705" w:rsidRPr="001B09E6" w:rsidRDefault="00E45705" w:rsidP="00E45705">
            <w:pPr>
              <w:pStyle w:val="TableColumnHeading"/>
              <w:spacing w:before="0" w:after="0"/>
              <w:ind w:left="0" w:right="0"/>
            </w:pPr>
            <w:r w:rsidRPr="001B09E6">
              <w:t>2008</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593CB59" w14:textId="77777777" w:rsidR="00E45705" w:rsidRPr="001B09E6" w:rsidRDefault="00E45705" w:rsidP="00E45705">
            <w:pPr>
              <w:pStyle w:val="TableColumnHeading"/>
              <w:spacing w:before="0" w:after="0"/>
              <w:ind w:left="0" w:right="0"/>
            </w:pPr>
            <w:r w:rsidRPr="001B09E6">
              <w:t>2009</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1ECF791" w14:textId="77777777" w:rsidR="00E45705" w:rsidRPr="001B09E6" w:rsidRDefault="00E45705" w:rsidP="00E45705">
            <w:pPr>
              <w:pStyle w:val="TableColumnHeading"/>
              <w:spacing w:before="0" w:after="0"/>
              <w:ind w:left="0" w:right="0"/>
            </w:pPr>
            <w:r w:rsidRPr="001B09E6">
              <w:t>2010</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AE22E2D" w14:textId="77777777" w:rsidR="00E45705" w:rsidRPr="001B09E6" w:rsidRDefault="00E45705" w:rsidP="00E45705">
            <w:pPr>
              <w:pStyle w:val="TableColumnHeading"/>
              <w:spacing w:before="0" w:after="0"/>
              <w:ind w:left="0" w:right="0"/>
            </w:pPr>
            <w:r w:rsidRPr="001B09E6">
              <w:t>2011</w:t>
            </w:r>
          </w:p>
        </w:tc>
      </w:tr>
      <w:tr w:rsidR="00E45705" w:rsidRPr="001B09E6" w14:paraId="30878855" w14:textId="77777777" w:rsidTr="00E45705">
        <w:trPr>
          <w:trHeight w:val="300"/>
        </w:trPr>
        <w:tc>
          <w:tcPr>
            <w:tcW w:w="1128"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D4F5E2B" w14:textId="77777777" w:rsidR="00E45705" w:rsidRPr="001B09E6" w:rsidRDefault="00E45705" w:rsidP="00E45705">
            <w:pPr>
              <w:rPr>
                <w:rFonts w:asciiTheme="minorHAnsi" w:hAnsiTheme="minorHAnsi"/>
                <w:color w:val="000000"/>
                <w:sz w:val="18"/>
                <w:szCs w:val="18"/>
              </w:rPr>
            </w:pPr>
            <w:r w:rsidRPr="001B09E6">
              <w:rPr>
                <w:rFonts w:asciiTheme="minorHAnsi" w:hAnsiTheme="minorHAnsi"/>
                <w:color w:val="000000"/>
                <w:sz w:val="18"/>
                <w:szCs w:val="18"/>
              </w:rPr>
              <w:t>Completed year 12</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8DC7EF3" w14:textId="77777777" w:rsidR="00E45705" w:rsidRPr="001B09E6" w:rsidRDefault="00E45705" w:rsidP="00E45705">
            <w:pPr>
              <w:pStyle w:val="TableCellText"/>
              <w:spacing w:before="0" w:after="0"/>
              <w:ind w:left="0" w:right="0"/>
            </w:pPr>
            <w:r w:rsidRPr="001B09E6">
              <w:t>16.7</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DFEF643" w14:textId="77777777" w:rsidR="00E45705" w:rsidRPr="001B09E6" w:rsidRDefault="00E45705" w:rsidP="00E45705">
            <w:pPr>
              <w:pStyle w:val="TableCellText"/>
              <w:spacing w:before="0" w:after="0"/>
              <w:ind w:left="0" w:right="0"/>
            </w:pPr>
            <w:r w:rsidRPr="001B09E6">
              <w:t>17.0</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93A34D8" w14:textId="77777777" w:rsidR="00E45705" w:rsidRPr="001B09E6" w:rsidRDefault="00E45705" w:rsidP="00E45705">
            <w:pPr>
              <w:pStyle w:val="TableCellText"/>
              <w:spacing w:before="0" w:after="0"/>
              <w:ind w:left="0" w:right="0"/>
            </w:pPr>
            <w:r w:rsidRPr="001B09E6">
              <w:t>18.5</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90A0767" w14:textId="77777777" w:rsidR="00E45705" w:rsidRPr="001B09E6" w:rsidRDefault="00E45705" w:rsidP="00E45705">
            <w:pPr>
              <w:pStyle w:val="TableCellText"/>
              <w:spacing w:before="0" w:after="0"/>
              <w:ind w:left="0" w:right="0"/>
            </w:pPr>
            <w:r w:rsidRPr="001B09E6">
              <w:t>19.6</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0CAD874" w14:textId="77777777" w:rsidR="00E45705" w:rsidRPr="001B09E6" w:rsidRDefault="00E45705" w:rsidP="00E45705">
            <w:pPr>
              <w:pStyle w:val="TableCellText"/>
              <w:spacing w:before="0" w:after="0"/>
              <w:ind w:left="0" w:right="0"/>
            </w:pPr>
            <w:r w:rsidRPr="001B09E6">
              <w:t>17.0</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0DEB269" w14:textId="77777777" w:rsidR="00E45705" w:rsidRPr="001B09E6" w:rsidRDefault="00E45705" w:rsidP="00E45705">
            <w:pPr>
              <w:pStyle w:val="TableCellText"/>
              <w:spacing w:before="0" w:after="0"/>
              <w:ind w:left="0" w:right="0"/>
            </w:pPr>
            <w:r w:rsidRPr="001B09E6">
              <w:t>18.9</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A6F1892" w14:textId="77777777" w:rsidR="00E45705" w:rsidRPr="001B09E6" w:rsidRDefault="00E45705" w:rsidP="00E45705">
            <w:pPr>
              <w:pStyle w:val="TableCellText"/>
              <w:spacing w:before="0" w:after="0"/>
              <w:ind w:left="0" w:right="0"/>
            </w:pPr>
            <w:r w:rsidRPr="001B09E6">
              <w:t>18.7</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30E7C3F" w14:textId="77777777" w:rsidR="00E45705" w:rsidRPr="001B09E6" w:rsidRDefault="00E45705" w:rsidP="00E45705">
            <w:pPr>
              <w:pStyle w:val="TableCellText"/>
              <w:spacing w:before="0" w:after="0"/>
              <w:ind w:left="0" w:right="0"/>
            </w:pPr>
            <w:r w:rsidRPr="001B09E6">
              <w:t>17.5</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DC1433E" w14:textId="77777777" w:rsidR="00E45705" w:rsidRPr="001B09E6" w:rsidRDefault="00E45705" w:rsidP="00E45705">
            <w:pPr>
              <w:pStyle w:val="TableCellText"/>
              <w:spacing w:before="0" w:after="0"/>
              <w:ind w:left="0" w:right="0"/>
            </w:pPr>
            <w:r w:rsidRPr="001B09E6">
              <w:t>21.4</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A3D90DD" w14:textId="77777777" w:rsidR="00E45705" w:rsidRPr="001B09E6" w:rsidRDefault="00E45705" w:rsidP="00E45705">
            <w:pPr>
              <w:pStyle w:val="TableCellText"/>
              <w:spacing w:before="0" w:after="0"/>
              <w:ind w:left="0" w:right="0"/>
            </w:pPr>
            <w:r w:rsidRPr="001B09E6">
              <w:t>22.7</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6EB6B7E" w14:textId="77777777" w:rsidR="00E45705" w:rsidRPr="001B09E6" w:rsidRDefault="00E45705" w:rsidP="00E45705">
            <w:pPr>
              <w:pStyle w:val="TableCellText"/>
              <w:spacing w:before="0" w:after="0"/>
              <w:ind w:left="0" w:right="0"/>
            </w:pPr>
            <w:r w:rsidRPr="001B09E6">
              <w:t>21.2</w:t>
            </w:r>
          </w:p>
        </w:tc>
      </w:tr>
      <w:tr w:rsidR="00E45705" w:rsidRPr="001B09E6" w14:paraId="71EA885C" w14:textId="77777777" w:rsidTr="00E45705">
        <w:trPr>
          <w:trHeight w:val="300"/>
        </w:trPr>
        <w:tc>
          <w:tcPr>
            <w:tcW w:w="1128" w:type="pct"/>
            <w:tcBorders>
              <w:top w:val="nil"/>
              <w:left w:val="nil"/>
              <w:right w:val="nil"/>
            </w:tcBorders>
            <w:shd w:val="clear" w:color="auto" w:fill="auto"/>
            <w:noWrap/>
            <w:tcMar>
              <w:top w:w="15" w:type="dxa"/>
              <w:left w:w="15" w:type="dxa"/>
              <w:bottom w:w="0" w:type="dxa"/>
              <w:right w:w="15" w:type="dxa"/>
            </w:tcMar>
            <w:vAlign w:val="bottom"/>
            <w:hideMark/>
          </w:tcPr>
          <w:p w14:paraId="5A85EA43" w14:textId="77777777" w:rsidR="00E45705" w:rsidRPr="001B09E6" w:rsidRDefault="00E45705" w:rsidP="00E45705">
            <w:pPr>
              <w:rPr>
                <w:rFonts w:asciiTheme="minorHAnsi" w:hAnsiTheme="minorHAnsi"/>
                <w:color w:val="000000"/>
                <w:sz w:val="18"/>
                <w:szCs w:val="18"/>
              </w:rPr>
            </w:pPr>
            <w:r w:rsidRPr="001B09E6">
              <w:rPr>
                <w:rFonts w:asciiTheme="minorHAnsi" w:hAnsiTheme="minorHAnsi"/>
                <w:color w:val="000000"/>
                <w:sz w:val="18"/>
                <w:szCs w:val="18"/>
              </w:rPr>
              <w:t>Did not complete year 12</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5E78EDD2" w14:textId="77777777" w:rsidR="00E45705" w:rsidRPr="001B09E6" w:rsidRDefault="00E45705" w:rsidP="00E45705">
            <w:pPr>
              <w:pStyle w:val="TableCellText"/>
              <w:spacing w:before="0" w:after="0"/>
              <w:ind w:left="0" w:right="0"/>
            </w:pPr>
            <w:r w:rsidRPr="001B09E6">
              <w:t>43.1</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60487731" w14:textId="77777777" w:rsidR="00E45705" w:rsidRPr="001B09E6" w:rsidRDefault="00E45705" w:rsidP="00E45705">
            <w:pPr>
              <w:pStyle w:val="TableCellText"/>
              <w:spacing w:before="0" w:after="0"/>
              <w:ind w:left="0" w:right="0"/>
            </w:pPr>
            <w:r w:rsidRPr="001B09E6">
              <w:t>40.7</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57116DD6" w14:textId="77777777" w:rsidR="00E45705" w:rsidRPr="001B09E6" w:rsidRDefault="00E45705" w:rsidP="00E45705">
            <w:pPr>
              <w:pStyle w:val="TableCellText"/>
              <w:spacing w:before="0" w:after="0"/>
              <w:ind w:left="0" w:right="0"/>
            </w:pPr>
            <w:r w:rsidRPr="001B09E6">
              <w:t>40.2</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52AF9F2E" w14:textId="77777777" w:rsidR="00E45705" w:rsidRPr="001B09E6" w:rsidRDefault="00E45705" w:rsidP="00E45705">
            <w:pPr>
              <w:pStyle w:val="TableCellText"/>
              <w:spacing w:before="0" w:after="0"/>
              <w:ind w:left="0" w:right="0"/>
            </w:pPr>
            <w:r w:rsidRPr="001B09E6">
              <w:t>44.1</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367A8BE4" w14:textId="77777777" w:rsidR="00E45705" w:rsidRPr="001B09E6" w:rsidRDefault="00E45705" w:rsidP="00E45705">
            <w:pPr>
              <w:pStyle w:val="TableCellText"/>
              <w:spacing w:before="0" w:after="0"/>
              <w:ind w:left="0" w:right="0"/>
            </w:pPr>
            <w:r w:rsidRPr="001B09E6">
              <w:t>44.5</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16557E0D" w14:textId="77777777" w:rsidR="00E45705" w:rsidRPr="001B09E6" w:rsidRDefault="00E45705" w:rsidP="00E45705">
            <w:pPr>
              <w:pStyle w:val="TableCellText"/>
              <w:spacing w:before="0" w:after="0"/>
              <w:ind w:left="0" w:right="0"/>
            </w:pPr>
            <w:r w:rsidRPr="001B09E6">
              <w:t>41.2</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68D1727D" w14:textId="77777777" w:rsidR="00E45705" w:rsidRPr="001B09E6" w:rsidRDefault="00E45705" w:rsidP="00E45705">
            <w:pPr>
              <w:pStyle w:val="TableCellText"/>
              <w:spacing w:before="0" w:after="0"/>
              <w:ind w:left="0" w:right="0"/>
            </w:pPr>
            <w:r w:rsidRPr="001B09E6">
              <w:t>39.7</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46222756" w14:textId="77777777" w:rsidR="00E45705" w:rsidRPr="001B09E6" w:rsidRDefault="00E45705" w:rsidP="00E45705">
            <w:pPr>
              <w:pStyle w:val="TableCellText"/>
              <w:spacing w:before="0" w:after="0"/>
              <w:ind w:left="0" w:right="0"/>
            </w:pPr>
            <w:r w:rsidRPr="001B09E6">
              <w:t>39.6</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274BE6BC" w14:textId="77777777" w:rsidR="00E45705" w:rsidRPr="001B09E6" w:rsidRDefault="00E45705" w:rsidP="00E45705">
            <w:pPr>
              <w:pStyle w:val="TableCellText"/>
              <w:spacing w:before="0" w:after="0"/>
              <w:ind w:left="0" w:right="0"/>
            </w:pPr>
            <w:r w:rsidRPr="001B09E6">
              <w:t>47.5</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25DF81A1" w14:textId="77777777" w:rsidR="00E45705" w:rsidRPr="001B09E6" w:rsidRDefault="00E45705" w:rsidP="00E45705">
            <w:pPr>
              <w:pStyle w:val="TableCellText"/>
              <w:spacing w:before="0" w:after="0"/>
              <w:ind w:left="0" w:right="0"/>
            </w:pPr>
            <w:r w:rsidRPr="001B09E6">
              <w:t>44.1</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0A7CD455" w14:textId="77777777" w:rsidR="00E45705" w:rsidRPr="001B09E6" w:rsidRDefault="00E45705" w:rsidP="00E45705">
            <w:pPr>
              <w:pStyle w:val="TableCellText"/>
              <w:spacing w:before="0" w:after="0"/>
              <w:ind w:left="0" w:right="0"/>
            </w:pPr>
            <w:r w:rsidRPr="001B09E6">
              <w:t>43.9</w:t>
            </w:r>
          </w:p>
        </w:tc>
      </w:tr>
      <w:tr w:rsidR="00E45705" w:rsidRPr="001B09E6" w14:paraId="339B9711" w14:textId="77777777" w:rsidTr="00E45705">
        <w:trPr>
          <w:trHeight w:val="300"/>
        </w:trPr>
        <w:tc>
          <w:tcPr>
            <w:tcW w:w="1128"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4D7E1633" w14:textId="77777777" w:rsidR="00E45705" w:rsidRPr="001B09E6" w:rsidRDefault="00E45705" w:rsidP="00E45705">
            <w:pPr>
              <w:rPr>
                <w:rFonts w:asciiTheme="minorHAnsi" w:hAnsiTheme="minorHAnsi"/>
                <w:color w:val="000000"/>
                <w:sz w:val="18"/>
                <w:szCs w:val="18"/>
              </w:rPr>
            </w:pPr>
            <w:r w:rsidRPr="001B09E6">
              <w:rPr>
                <w:rFonts w:asciiTheme="minorHAnsi" w:hAnsiTheme="minorHAnsi"/>
                <w:color w:val="000000"/>
                <w:sz w:val="18"/>
                <w:szCs w:val="18"/>
              </w:rPr>
              <w:t>Total</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79268834" w14:textId="77777777" w:rsidR="00E45705" w:rsidRPr="001B09E6" w:rsidRDefault="00E45705" w:rsidP="00E45705">
            <w:pPr>
              <w:pStyle w:val="TableCellText"/>
              <w:spacing w:before="0" w:after="0"/>
              <w:ind w:left="0" w:right="0"/>
            </w:pPr>
            <w:r w:rsidRPr="001B09E6">
              <w:t>27.5</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56441F63" w14:textId="77777777" w:rsidR="00E45705" w:rsidRPr="001B09E6" w:rsidRDefault="00E45705" w:rsidP="00E45705">
            <w:pPr>
              <w:pStyle w:val="TableCellText"/>
              <w:spacing w:before="0" w:after="0"/>
              <w:ind w:left="0" w:right="0"/>
            </w:pPr>
            <w:r w:rsidRPr="001B09E6">
              <w:t>25.9</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0E74F368" w14:textId="77777777" w:rsidR="00E45705" w:rsidRPr="001B09E6" w:rsidRDefault="00E45705" w:rsidP="00E45705">
            <w:pPr>
              <w:pStyle w:val="TableCellText"/>
              <w:spacing w:before="0" w:after="0"/>
              <w:ind w:left="0" w:right="0"/>
            </w:pPr>
            <w:r w:rsidRPr="001B09E6">
              <w:t>26.9</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37AA9979" w14:textId="77777777" w:rsidR="00E45705" w:rsidRPr="001B09E6" w:rsidRDefault="00E45705" w:rsidP="00E45705">
            <w:pPr>
              <w:pStyle w:val="TableCellText"/>
              <w:spacing w:before="0" w:after="0"/>
              <w:ind w:left="0" w:right="0"/>
            </w:pPr>
            <w:r w:rsidRPr="001B09E6">
              <w:t>28.8</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26CE95BE" w14:textId="77777777" w:rsidR="00E45705" w:rsidRPr="001B09E6" w:rsidRDefault="00E45705" w:rsidP="00E45705">
            <w:pPr>
              <w:pStyle w:val="TableCellText"/>
              <w:spacing w:before="0" w:after="0"/>
              <w:ind w:left="0" w:right="0"/>
            </w:pPr>
            <w:r w:rsidRPr="001B09E6">
              <w:t>27.8</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5E536B3F" w14:textId="77777777" w:rsidR="00E45705" w:rsidRPr="001B09E6" w:rsidRDefault="00E45705" w:rsidP="00E45705">
            <w:pPr>
              <w:pStyle w:val="TableCellText"/>
              <w:spacing w:before="0" w:after="0"/>
              <w:ind w:left="0" w:right="0"/>
            </w:pPr>
            <w:r w:rsidRPr="001B09E6">
              <w:t>26.9</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414625D4" w14:textId="77777777" w:rsidR="00E45705" w:rsidRPr="001B09E6" w:rsidRDefault="00E45705" w:rsidP="00E45705">
            <w:pPr>
              <w:pStyle w:val="TableCellText"/>
              <w:spacing w:before="0" w:after="0"/>
              <w:ind w:left="0" w:right="0"/>
            </w:pPr>
            <w:r w:rsidRPr="001B09E6">
              <w:t>26.3</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3B261CF8" w14:textId="77777777" w:rsidR="00E45705" w:rsidRPr="001B09E6" w:rsidRDefault="00E45705" w:rsidP="00E45705">
            <w:pPr>
              <w:pStyle w:val="TableCellText"/>
              <w:spacing w:before="0" w:after="0"/>
              <w:ind w:left="0" w:right="0"/>
            </w:pPr>
            <w:r w:rsidRPr="001B09E6">
              <w:t>25.7</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40321F99" w14:textId="77777777" w:rsidR="00E45705" w:rsidRPr="001B09E6" w:rsidRDefault="00E45705" w:rsidP="00E45705">
            <w:pPr>
              <w:pStyle w:val="TableCellText"/>
              <w:spacing w:before="0" w:after="0"/>
              <w:ind w:left="0" w:right="0"/>
            </w:pPr>
            <w:r w:rsidRPr="001B09E6">
              <w:t>31.6</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5DF311B0" w14:textId="77777777" w:rsidR="00E45705" w:rsidRPr="001B09E6" w:rsidRDefault="00E45705" w:rsidP="00E45705">
            <w:pPr>
              <w:pStyle w:val="TableCellText"/>
              <w:spacing w:before="0" w:after="0"/>
              <w:ind w:left="0" w:right="0"/>
            </w:pPr>
            <w:r w:rsidRPr="001B09E6">
              <w:t>30.2</w:t>
            </w:r>
          </w:p>
        </w:tc>
        <w:tc>
          <w:tcPr>
            <w:tcW w:w="352" w:type="pct"/>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50FA765C" w14:textId="77777777" w:rsidR="00E45705" w:rsidRPr="001B09E6" w:rsidRDefault="00E45705" w:rsidP="00E45705">
            <w:pPr>
              <w:pStyle w:val="TableCellText"/>
              <w:spacing w:before="0" w:after="0"/>
              <w:ind w:left="0" w:right="0"/>
            </w:pPr>
            <w:r w:rsidRPr="001B09E6">
              <w:t>29.3</w:t>
            </w:r>
          </w:p>
        </w:tc>
      </w:tr>
      <w:tr w:rsidR="00E45705" w:rsidRPr="001B09E6" w14:paraId="0547CD38" w14:textId="77777777" w:rsidTr="00E45705">
        <w:trPr>
          <w:trHeight w:val="300"/>
        </w:trPr>
        <w:tc>
          <w:tcPr>
            <w:tcW w:w="1128" w:type="pct"/>
            <w:tcBorders>
              <w:top w:val="nil"/>
              <w:left w:val="nil"/>
              <w:bottom w:val="nil"/>
              <w:right w:val="nil"/>
            </w:tcBorders>
            <w:shd w:val="clear" w:color="auto" w:fill="auto"/>
            <w:noWrap/>
            <w:tcMar>
              <w:top w:w="15" w:type="dxa"/>
              <w:left w:w="15" w:type="dxa"/>
              <w:bottom w:w="0" w:type="dxa"/>
              <w:right w:w="15" w:type="dxa"/>
            </w:tcMar>
            <w:vAlign w:val="bottom"/>
            <w:hideMark/>
          </w:tcPr>
          <w:p w14:paraId="72FF3360" w14:textId="77777777" w:rsidR="00E45705" w:rsidRPr="001B09E6" w:rsidRDefault="00E45705" w:rsidP="00E45705">
            <w:pPr>
              <w:pStyle w:val="TableHeading"/>
              <w:spacing w:before="0"/>
            </w:pPr>
            <w:r w:rsidRPr="001B09E6">
              <w:t>95% confidence interval</w:t>
            </w: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4362DFAA"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432B44EA"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6DFF9BC6"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0207E1CF"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036E84D1"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41E9E566"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45124F9D"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6A851538"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0E8C07B9"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2D10F9C8" w14:textId="77777777" w:rsidR="00E45705" w:rsidRPr="001B09E6" w:rsidRDefault="00E45705" w:rsidP="00E45705">
            <w:pPr>
              <w:pStyle w:val="TableHeading"/>
              <w:spacing w:before="0"/>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7F4B429F" w14:textId="77777777" w:rsidR="00E45705" w:rsidRPr="001B09E6" w:rsidRDefault="00E45705" w:rsidP="00E45705">
            <w:pPr>
              <w:pStyle w:val="TableHeading"/>
              <w:spacing w:before="0"/>
            </w:pPr>
          </w:p>
        </w:tc>
      </w:tr>
      <w:tr w:rsidR="00E45705" w:rsidRPr="001B09E6" w14:paraId="5D63FFDA" w14:textId="77777777" w:rsidTr="00E45705">
        <w:trPr>
          <w:trHeight w:val="300"/>
        </w:trPr>
        <w:tc>
          <w:tcPr>
            <w:tcW w:w="1128"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E988FC6" w14:textId="77777777" w:rsidR="00E45705" w:rsidRPr="001B09E6" w:rsidRDefault="00E45705" w:rsidP="00E45705">
            <w:pPr>
              <w:pStyle w:val="TableColumnHeading"/>
              <w:spacing w:before="0" w:after="0"/>
              <w:ind w:left="0" w:right="0"/>
            </w:pPr>
            <w:r w:rsidRPr="001B09E6">
              <w:t> </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DD05BC6" w14:textId="77777777" w:rsidR="00E45705" w:rsidRPr="001B09E6" w:rsidRDefault="00E45705" w:rsidP="00E45705">
            <w:pPr>
              <w:pStyle w:val="TableColumnHeading"/>
              <w:spacing w:before="0" w:after="0"/>
              <w:ind w:left="0" w:right="0"/>
            </w:pPr>
            <w:r w:rsidRPr="001B09E6">
              <w:t>2001</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D5D814A" w14:textId="77777777" w:rsidR="00E45705" w:rsidRPr="001B09E6" w:rsidRDefault="00E45705" w:rsidP="00E45705">
            <w:pPr>
              <w:pStyle w:val="TableColumnHeading"/>
              <w:spacing w:before="0" w:after="0"/>
              <w:ind w:left="0" w:right="0"/>
            </w:pPr>
            <w:r w:rsidRPr="001B09E6">
              <w:t>2002</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735BCDC" w14:textId="77777777" w:rsidR="00E45705" w:rsidRPr="001B09E6" w:rsidRDefault="00E45705" w:rsidP="00E45705">
            <w:pPr>
              <w:pStyle w:val="TableColumnHeading"/>
              <w:spacing w:before="0" w:after="0"/>
              <w:ind w:left="0" w:right="0"/>
            </w:pPr>
            <w:r w:rsidRPr="001B09E6">
              <w:t>2003</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39B40FA" w14:textId="77777777" w:rsidR="00E45705" w:rsidRPr="001B09E6" w:rsidRDefault="00E45705" w:rsidP="00E45705">
            <w:pPr>
              <w:pStyle w:val="TableColumnHeading"/>
              <w:spacing w:before="0" w:after="0"/>
              <w:ind w:left="0" w:right="0"/>
            </w:pPr>
            <w:r w:rsidRPr="001B09E6">
              <w:t>2004</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61896CD" w14:textId="77777777" w:rsidR="00E45705" w:rsidRPr="001B09E6" w:rsidRDefault="00E45705" w:rsidP="00E45705">
            <w:pPr>
              <w:pStyle w:val="TableColumnHeading"/>
              <w:spacing w:before="0" w:after="0"/>
              <w:ind w:left="0" w:right="0"/>
            </w:pPr>
            <w:r w:rsidRPr="001B09E6">
              <w:t>2005</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85E2A77" w14:textId="77777777" w:rsidR="00E45705" w:rsidRPr="001B09E6" w:rsidRDefault="00E45705" w:rsidP="00E45705">
            <w:pPr>
              <w:pStyle w:val="TableColumnHeading"/>
              <w:spacing w:before="0" w:after="0"/>
              <w:ind w:left="0" w:right="0"/>
            </w:pPr>
            <w:r w:rsidRPr="001B09E6">
              <w:t>2006</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F8FD19A" w14:textId="77777777" w:rsidR="00E45705" w:rsidRPr="001B09E6" w:rsidRDefault="00E45705" w:rsidP="00E45705">
            <w:pPr>
              <w:pStyle w:val="TableColumnHeading"/>
              <w:spacing w:before="0" w:after="0"/>
              <w:ind w:left="0" w:right="0"/>
            </w:pPr>
            <w:r w:rsidRPr="001B09E6">
              <w:t>2007</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B68C787" w14:textId="77777777" w:rsidR="00E45705" w:rsidRPr="001B09E6" w:rsidRDefault="00E45705" w:rsidP="00E45705">
            <w:pPr>
              <w:pStyle w:val="TableColumnHeading"/>
              <w:spacing w:before="0" w:after="0"/>
              <w:ind w:left="0" w:right="0"/>
            </w:pPr>
            <w:r w:rsidRPr="001B09E6">
              <w:t>2008</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DBB63EE" w14:textId="77777777" w:rsidR="00E45705" w:rsidRPr="001B09E6" w:rsidRDefault="00E45705" w:rsidP="00E45705">
            <w:pPr>
              <w:pStyle w:val="TableColumnHeading"/>
              <w:spacing w:before="0" w:after="0"/>
              <w:ind w:left="0" w:right="0"/>
            </w:pPr>
            <w:r w:rsidRPr="001B09E6">
              <w:t>2009</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8F56BDE" w14:textId="77777777" w:rsidR="00E45705" w:rsidRPr="001B09E6" w:rsidRDefault="00E45705" w:rsidP="00E45705">
            <w:pPr>
              <w:pStyle w:val="TableColumnHeading"/>
              <w:spacing w:before="0" w:after="0"/>
              <w:ind w:left="0" w:right="0"/>
            </w:pPr>
            <w:r w:rsidRPr="001B09E6">
              <w:t>2010</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A37E549" w14:textId="77777777" w:rsidR="00E45705" w:rsidRPr="001B09E6" w:rsidRDefault="00E45705" w:rsidP="00E45705">
            <w:pPr>
              <w:pStyle w:val="TableColumnHeading"/>
              <w:spacing w:before="0" w:after="0"/>
              <w:ind w:left="0" w:right="0"/>
            </w:pPr>
            <w:r w:rsidRPr="001B09E6">
              <w:t>2011</w:t>
            </w:r>
          </w:p>
        </w:tc>
      </w:tr>
      <w:tr w:rsidR="00E45705" w:rsidRPr="001B09E6" w14:paraId="329E744D" w14:textId="77777777" w:rsidTr="00E45705">
        <w:trPr>
          <w:trHeight w:val="300"/>
        </w:trPr>
        <w:tc>
          <w:tcPr>
            <w:tcW w:w="1128"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05B4255" w14:textId="77777777" w:rsidR="00E45705" w:rsidRPr="001B09E6" w:rsidRDefault="00E45705" w:rsidP="00E45705">
            <w:pPr>
              <w:rPr>
                <w:rFonts w:asciiTheme="minorHAnsi" w:hAnsiTheme="minorHAnsi"/>
                <w:color w:val="000000"/>
                <w:sz w:val="18"/>
                <w:szCs w:val="18"/>
              </w:rPr>
            </w:pPr>
            <w:r w:rsidRPr="001B09E6">
              <w:rPr>
                <w:rFonts w:asciiTheme="minorHAnsi" w:hAnsiTheme="minorHAnsi"/>
                <w:color w:val="000000"/>
                <w:sz w:val="18"/>
                <w:szCs w:val="18"/>
              </w:rPr>
              <w:t>Completed year 12</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80CA58D" w14:textId="77777777" w:rsidR="00E45705" w:rsidRPr="001B09E6" w:rsidRDefault="00E45705" w:rsidP="00E45705">
            <w:pPr>
              <w:pStyle w:val="TableCellText"/>
              <w:spacing w:before="0" w:after="0"/>
              <w:ind w:left="0" w:right="0"/>
            </w:pPr>
            <w:r w:rsidRPr="001B09E6">
              <w:t>1.3</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837D091" w14:textId="77777777" w:rsidR="00E45705" w:rsidRPr="001B09E6" w:rsidRDefault="00E45705" w:rsidP="00E45705">
            <w:pPr>
              <w:pStyle w:val="TableCellText"/>
              <w:spacing w:before="0" w:after="0"/>
              <w:ind w:left="0" w:right="0"/>
            </w:pPr>
            <w:r w:rsidRPr="001B09E6">
              <w:t>2.0</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04902F2" w14:textId="77777777" w:rsidR="00E45705" w:rsidRPr="001B09E6" w:rsidRDefault="00E45705" w:rsidP="00E45705">
            <w:pPr>
              <w:pStyle w:val="TableCellText"/>
              <w:spacing w:before="0" w:after="0"/>
              <w:ind w:left="0" w:right="0"/>
            </w:pPr>
            <w:r w:rsidRPr="001B09E6">
              <w:t>2.1</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C02E790" w14:textId="77777777" w:rsidR="00E45705" w:rsidRPr="001B09E6" w:rsidRDefault="00E45705" w:rsidP="00E45705">
            <w:pPr>
              <w:pStyle w:val="TableCellText"/>
              <w:spacing w:before="0" w:after="0"/>
              <w:ind w:left="0" w:right="0"/>
            </w:pPr>
            <w:r w:rsidRPr="001B09E6">
              <w:t>2.4</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67A5D7F" w14:textId="77777777" w:rsidR="00E45705" w:rsidRPr="001B09E6" w:rsidRDefault="00E45705" w:rsidP="00E45705">
            <w:pPr>
              <w:pStyle w:val="TableCellText"/>
              <w:spacing w:before="0" w:after="0"/>
              <w:ind w:left="0" w:right="0"/>
            </w:pPr>
            <w:r w:rsidRPr="001B09E6">
              <w:t>2.7</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F61B76A" w14:textId="77777777" w:rsidR="00E45705" w:rsidRPr="001B09E6" w:rsidRDefault="00E45705" w:rsidP="00E45705">
            <w:pPr>
              <w:pStyle w:val="TableCellText"/>
              <w:spacing w:before="0" w:after="0"/>
              <w:ind w:left="0" w:right="0"/>
            </w:pPr>
            <w:r w:rsidRPr="001B09E6">
              <w:t>2.0</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2C63506" w14:textId="77777777" w:rsidR="00E45705" w:rsidRPr="001B09E6" w:rsidRDefault="00E45705" w:rsidP="00E45705">
            <w:pPr>
              <w:pStyle w:val="TableCellText"/>
              <w:spacing w:before="0" w:after="0"/>
              <w:ind w:left="0" w:right="0"/>
            </w:pPr>
            <w:r w:rsidRPr="001B09E6">
              <w:t>2.5</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8ED0703" w14:textId="77777777" w:rsidR="00E45705" w:rsidRPr="001B09E6" w:rsidRDefault="00E45705" w:rsidP="00E45705">
            <w:pPr>
              <w:pStyle w:val="TableCellText"/>
              <w:spacing w:before="0" w:after="0"/>
              <w:ind w:left="0" w:right="0"/>
            </w:pPr>
            <w:r w:rsidRPr="001B09E6">
              <w:t>1.9</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832E424" w14:textId="77777777" w:rsidR="00E45705" w:rsidRPr="001B09E6" w:rsidRDefault="00E45705" w:rsidP="00E45705">
            <w:pPr>
              <w:pStyle w:val="TableCellText"/>
              <w:spacing w:before="0" w:after="0"/>
              <w:ind w:left="0" w:right="0"/>
            </w:pPr>
            <w:r w:rsidRPr="001B09E6">
              <w:t>2.9</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367220D" w14:textId="77777777" w:rsidR="00E45705" w:rsidRPr="001B09E6" w:rsidRDefault="00E45705" w:rsidP="00E45705">
            <w:pPr>
              <w:pStyle w:val="TableCellText"/>
              <w:spacing w:before="0" w:after="0"/>
              <w:ind w:left="0" w:right="0"/>
            </w:pPr>
            <w:r w:rsidRPr="001B09E6">
              <w:t>3.2</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69238EC" w14:textId="77777777" w:rsidR="00E45705" w:rsidRPr="001B09E6" w:rsidRDefault="00E45705" w:rsidP="00E45705">
            <w:pPr>
              <w:pStyle w:val="TableCellText"/>
              <w:spacing w:before="0" w:after="0"/>
              <w:ind w:left="0" w:right="0"/>
            </w:pPr>
            <w:r w:rsidRPr="001B09E6">
              <w:t>3.0</w:t>
            </w:r>
          </w:p>
        </w:tc>
      </w:tr>
      <w:tr w:rsidR="00E45705" w:rsidRPr="001B09E6" w14:paraId="414258CB" w14:textId="77777777" w:rsidTr="00E45705">
        <w:trPr>
          <w:trHeight w:val="300"/>
        </w:trPr>
        <w:tc>
          <w:tcPr>
            <w:tcW w:w="1128" w:type="pct"/>
            <w:tcBorders>
              <w:top w:val="nil"/>
              <w:left w:val="nil"/>
              <w:right w:val="nil"/>
            </w:tcBorders>
            <w:shd w:val="clear" w:color="auto" w:fill="auto"/>
            <w:noWrap/>
            <w:tcMar>
              <w:top w:w="15" w:type="dxa"/>
              <w:left w:w="15" w:type="dxa"/>
              <w:bottom w:w="0" w:type="dxa"/>
              <w:right w:w="15" w:type="dxa"/>
            </w:tcMar>
            <w:vAlign w:val="bottom"/>
            <w:hideMark/>
          </w:tcPr>
          <w:p w14:paraId="03E07B27" w14:textId="77777777" w:rsidR="00E45705" w:rsidRPr="001B09E6" w:rsidRDefault="00E45705" w:rsidP="00E45705">
            <w:pPr>
              <w:rPr>
                <w:rFonts w:asciiTheme="minorHAnsi" w:hAnsiTheme="minorHAnsi"/>
                <w:color w:val="000000"/>
                <w:sz w:val="18"/>
                <w:szCs w:val="18"/>
              </w:rPr>
            </w:pPr>
            <w:r w:rsidRPr="001B09E6">
              <w:rPr>
                <w:rFonts w:asciiTheme="minorHAnsi" w:hAnsiTheme="minorHAnsi"/>
                <w:color w:val="000000"/>
                <w:sz w:val="18"/>
                <w:szCs w:val="18"/>
              </w:rPr>
              <w:t>Did not complete year 12</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55E13E17" w14:textId="77777777" w:rsidR="00E45705" w:rsidRPr="001B09E6" w:rsidRDefault="00E45705" w:rsidP="00E45705">
            <w:pPr>
              <w:pStyle w:val="TableCellText"/>
              <w:spacing w:before="0" w:after="0"/>
              <w:ind w:left="0" w:right="0"/>
            </w:pPr>
            <w:r w:rsidRPr="001B09E6">
              <w:t>2.3</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3D17D7AA" w14:textId="77777777" w:rsidR="00E45705" w:rsidRPr="001B09E6" w:rsidRDefault="00E45705" w:rsidP="00E45705">
            <w:pPr>
              <w:pStyle w:val="TableCellText"/>
              <w:spacing w:before="0" w:after="0"/>
              <w:ind w:left="0" w:right="0"/>
            </w:pPr>
            <w:r w:rsidRPr="001B09E6">
              <w:t>3.5</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56B97065" w14:textId="77777777" w:rsidR="00E45705" w:rsidRPr="001B09E6" w:rsidRDefault="00E45705" w:rsidP="00E45705">
            <w:pPr>
              <w:pStyle w:val="TableCellText"/>
              <w:spacing w:before="0" w:after="0"/>
              <w:ind w:left="0" w:right="0"/>
            </w:pPr>
            <w:r w:rsidRPr="001B09E6">
              <w:t>3.4</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2319B227" w14:textId="77777777" w:rsidR="00E45705" w:rsidRPr="001B09E6" w:rsidRDefault="00E45705" w:rsidP="00E45705">
            <w:pPr>
              <w:pStyle w:val="TableCellText"/>
              <w:spacing w:before="0" w:after="0"/>
              <w:ind w:left="0" w:right="0"/>
            </w:pPr>
            <w:r w:rsidRPr="001B09E6">
              <w:t>3.9</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2BD44561" w14:textId="77777777" w:rsidR="00E45705" w:rsidRPr="001B09E6" w:rsidRDefault="00E45705" w:rsidP="00E45705">
            <w:pPr>
              <w:pStyle w:val="TableCellText"/>
              <w:spacing w:before="0" w:after="0"/>
              <w:ind w:left="0" w:right="0"/>
            </w:pPr>
            <w:r w:rsidRPr="001B09E6">
              <w:t>3.5</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09767175" w14:textId="77777777" w:rsidR="00E45705" w:rsidRPr="001B09E6" w:rsidRDefault="00E45705" w:rsidP="00E45705">
            <w:pPr>
              <w:pStyle w:val="TableCellText"/>
              <w:spacing w:before="0" w:after="0"/>
              <w:ind w:left="0" w:right="0"/>
            </w:pPr>
            <w:r w:rsidRPr="001B09E6">
              <w:t>3.4</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1FEB5977" w14:textId="77777777" w:rsidR="00E45705" w:rsidRPr="001B09E6" w:rsidRDefault="00E45705" w:rsidP="00E45705">
            <w:pPr>
              <w:pStyle w:val="TableCellText"/>
              <w:spacing w:before="0" w:after="0"/>
              <w:ind w:left="0" w:right="0"/>
            </w:pPr>
            <w:r w:rsidRPr="001B09E6">
              <w:t>3.5</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22D3FA68" w14:textId="77777777" w:rsidR="00E45705" w:rsidRPr="001B09E6" w:rsidRDefault="00E45705" w:rsidP="00E45705">
            <w:pPr>
              <w:pStyle w:val="TableCellText"/>
              <w:spacing w:before="0" w:after="0"/>
              <w:ind w:left="0" w:right="0"/>
            </w:pPr>
            <w:r w:rsidRPr="001B09E6">
              <w:t>4.0</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393A28E5" w14:textId="77777777" w:rsidR="00E45705" w:rsidRPr="001B09E6" w:rsidRDefault="00E45705" w:rsidP="00E45705">
            <w:pPr>
              <w:pStyle w:val="TableCellText"/>
              <w:spacing w:before="0" w:after="0"/>
              <w:ind w:left="0" w:right="0"/>
            </w:pPr>
            <w:r w:rsidRPr="001B09E6">
              <w:t>4.4</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073FAD1D" w14:textId="77777777" w:rsidR="00E45705" w:rsidRPr="001B09E6" w:rsidRDefault="00E45705" w:rsidP="00E45705">
            <w:pPr>
              <w:pStyle w:val="TableCellText"/>
              <w:spacing w:before="0" w:after="0"/>
              <w:ind w:left="0" w:right="0"/>
            </w:pPr>
            <w:r w:rsidRPr="001B09E6">
              <w:t>4.6</w:t>
            </w:r>
          </w:p>
        </w:tc>
        <w:tc>
          <w:tcPr>
            <w:tcW w:w="352" w:type="pct"/>
            <w:tcBorders>
              <w:top w:val="nil"/>
              <w:left w:val="nil"/>
              <w:right w:val="nil"/>
            </w:tcBorders>
            <w:shd w:val="clear" w:color="auto" w:fill="auto"/>
            <w:noWrap/>
            <w:tcMar>
              <w:top w:w="15" w:type="dxa"/>
              <w:left w:w="15" w:type="dxa"/>
              <w:bottom w:w="0" w:type="dxa"/>
              <w:right w:w="15" w:type="dxa"/>
            </w:tcMar>
            <w:vAlign w:val="bottom"/>
            <w:hideMark/>
          </w:tcPr>
          <w:p w14:paraId="30E0F5CC" w14:textId="77777777" w:rsidR="00E45705" w:rsidRPr="001B09E6" w:rsidRDefault="00E45705" w:rsidP="00E45705">
            <w:pPr>
              <w:pStyle w:val="TableCellText"/>
              <w:spacing w:before="0" w:after="0"/>
              <w:ind w:left="0" w:right="0"/>
            </w:pPr>
            <w:r w:rsidRPr="001B09E6">
              <w:t>3.6</w:t>
            </w:r>
          </w:p>
        </w:tc>
      </w:tr>
      <w:tr w:rsidR="00E45705" w:rsidRPr="001B09E6" w14:paraId="1B9C210A" w14:textId="77777777" w:rsidTr="00E45705">
        <w:trPr>
          <w:trHeight w:val="300"/>
        </w:trPr>
        <w:tc>
          <w:tcPr>
            <w:tcW w:w="1128"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553ABD" w14:textId="77777777" w:rsidR="00E45705" w:rsidRPr="001B09E6" w:rsidRDefault="00E45705" w:rsidP="00E45705">
            <w:pPr>
              <w:rPr>
                <w:rFonts w:asciiTheme="minorHAnsi" w:hAnsiTheme="minorHAnsi"/>
                <w:color w:val="000000"/>
                <w:sz w:val="18"/>
                <w:szCs w:val="18"/>
              </w:rPr>
            </w:pPr>
            <w:r w:rsidRPr="001B09E6">
              <w:rPr>
                <w:rFonts w:asciiTheme="minorHAnsi" w:hAnsiTheme="minorHAnsi"/>
                <w:color w:val="000000"/>
                <w:sz w:val="18"/>
                <w:szCs w:val="18"/>
              </w:rPr>
              <w:t>Total</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5BB3A14" w14:textId="77777777" w:rsidR="00E45705" w:rsidRPr="001B09E6" w:rsidRDefault="00E45705" w:rsidP="00E45705">
            <w:pPr>
              <w:pStyle w:val="TableCellText"/>
              <w:spacing w:before="0" w:after="0"/>
              <w:ind w:left="0" w:right="0"/>
            </w:pPr>
            <w:r w:rsidRPr="001B09E6">
              <w:t>1.2</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AAFEDCD" w14:textId="77777777" w:rsidR="00E45705" w:rsidRPr="001B09E6" w:rsidRDefault="00E45705" w:rsidP="00E45705">
            <w:pPr>
              <w:pStyle w:val="TableCellText"/>
              <w:spacing w:before="0" w:after="0"/>
              <w:ind w:left="0" w:right="0"/>
            </w:pPr>
            <w:r w:rsidRPr="001B09E6">
              <w:t>1.9</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42B7D4" w14:textId="77777777" w:rsidR="00E45705" w:rsidRPr="001B09E6" w:rsidRDefault="00E45705" w:rsidP="00E45705">
            <w:pPr>
              <w:pStyle w:val="TableCellText"/>
              <w:spacing w:before="0" w:after="0"/>
              <w:ind w:left="0" w:right="0"/>
            </w:pPr>
            <w:r w:rsidRPr="001B09E6">
              <w:t>1.9</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C92F823" w14:textId="77777777" w:rsidR="00E45705" w:rsidRPr="001B09E6" w:rsidRDefault="00E45705" w:rsidP="00E45705">
            <w:pPr>
              <w:pStyle w:val="TableCellText"/>
              <w:spacing w:before="0" w:after="0"/>
              <w:ind w:left="0" w:right="0"/>
            </w:pPr>
            <w:r w:rsidRPr="001B09E6">
              <w:t>2.5</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D46326D" w14:textId="77777777" w:rsidR="00E45705" w:rsidRPr="001B09E6" w:rsidRDefault="00E45705" w:rsidP="00E45705">
            <w:pPr>
              <w:pStyle w:val="TableCellText"/>
              <w:spacing w:before="0" w:after="0"/>
              <w:ind w:left="0" w:right="0"/>
            </w:pPr>
            <w:r w:rsidRPr="001B09E6">
              <w:t>2.1</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096606" w14:textId="77777777" w:rsidR="00E45705" w:rsidRPr="001B09E6" w:rsidRDefault="00E45705" w:rsidP="00E45705">
            <w:pPr>
              <w:pStyle w:val="TableCellText"/>
              <w:spacing w:before="0" w:after="0"/>
              <w:ind w:left="0" w:right="0"/>
            </w:pPr>
            <w:r w:rsidRPr="001B09E6">
              <w:t>1.7</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9BD9B5" w14:textId="77777777" w:rsidR="00E45705" w:rsidRPr="001B09E6" w:rsidRDefault="00E45705" w:rsidP="00E45705">
            <w:pPr>
              <w:pStyle w:val="TableCellText"/>
              <w:spacing w:before="0" w:after="0"/>
              <w:ind w:left="0" w:right="0"/>
            </w:pPr>
            <w:r w:rsidRPr="001B09E6">
              <w:t>2.0</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DFBD350" w14:textId="77777777" w:rsidR="00E45705" w:rsidRPr="001B09E6" w:rsidRDefault="00E45705" w:rsidP="00E45705">
            <w:pPr>
              <w:pStyle w:val="TableCellText"/>
              <w:spacing w:before="0" w:after="0"/>
              <w:ind w:left="0" w:right="0"/>
            </w:pPr>
            <w:r w:rsidRPr="001B09E6">
              <w:t>2.0</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0E686BE" w14:textId="77777777" w:rsidR="00E45705" w:rsidRPr="001B09E6" w:rsidRDefault="00E45705" w:rsidP="00E45705">
            <w:pPr>
              <w:pStyle w:val="TableCellText"/>
              <w:spacing w:before="0" w:after="0"/>
              <w:ind w:left="0" w:right="0"/>
            </w:pPr>
            <w:r w:rsidRPr="001B09E6">
              <w:t>2.5</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6CC0955" w14:textId="77777777" w:rsidR="00E45705" w:rsidRPr="001B09E6" w:rsidRDefault="00E45705" w:rsidP="00E45705">
            <w:pPr>
              <w:pStyle w:val="TableCellText"/>
              <w:spacing w:before="0" w:after="0"/>
              <w:ind w:left="0" w:right="0"/>
            </w:pPr>
            <w:r w:rsidRPr="001B09E6">
              <w:t>2.9</w:t>
            </w:r>
          </w:p>
        </w:tc>
        <w:tc>
          <w:tcPr>
            <w:tcW w:w="35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C8EC158" w14:textId="77777777" w:rsidR="00E45705" w:rsidRPr="001B09E6" w:rsidRDefault="00E45705" w:rsidP="00E45705">
            <w:pPr>
              <w:pStyle w:val="TableCellText"/>
              <w:spacing w:before="0" w:after="0"/>
              <w:ind w:left="0" w:right="0"/>
            </w:pPr>
            <w:r w:rsidRPr="001B09E6">
              <w:t>2.5</w:t>
            </w:r>
          </w:p>
        </w:tc>
      </w:tr>
      <w:tr w:rsidR="00E45705" w:rsidRPr="001B09E6" w14:paraId="21FBED45" w14:textId="77777777" w:rsidTr="00E45705">
        <w:trPr>
          <w:trHeight w:val="300"/>
        </w:trPr>
        <w:tc>
          <w:tcPr>
            <w:tcW w:w="2184"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4FAC4ED4" w14:textId="77777777" w:rsidR="00E45705" w:rsidRPr="001B09E6" w:rsidRDefault="00E45705" w:rsidP="00E45705">
            <w:pPr>
              <w:pStyle w:val="Tablenote"/>
            </w:pPr>
            <w:r w:rsidRPr="001B09E6">
              <w:t>Source: ABS Survey of Education and Work 6227.0</w:t>
            </w: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2058FED3" w14:textId="77777777" w:rsidR="00E45705" w:rsidRPr="001B09E6" w:rsidRDefault="00E45705" w:rsidP="00E45705">
            <w:pPr>
              <w:pStyle w:val="Tablenote"/>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11349609" w14:textId="77777777" w:rsidR="00E45705" w:rsidRPr="001B09E6" w:rsidRDefault="00E45705" w:rsidP="00E45705">
            <w:pPr>
              <w:pStyle w:val="Tablenote"/>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296C7F48" w14:textId="77777777" w:rsidR="00E45705" w:rsidRPr="001B09E6" w:rsidRDefault="00E45705" w:rsidP="00E45705">
            <w:pPr>
              <w:pStyle w:val="Tablenote"/>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425BC6D8" w14:textId="77777777" w:rsidR="00E45705" w:rsidRPr="001B09E6" w:rsidRDefault="00E45705" w:rsidP="00E45705">
            <w:pPr>
              <w:pStyle w:val="Tablenote"/>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55E83691" w14:textId="77777777" w:rsidR="00E45705" w:rsidRPr="001B09E6" w:rsidRDefault="00E45705" w:rsidP="00E45705">
            <w:pPr>
              <w:pStyle w:val="Tablenote"/>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48823A4F" w14:textId="77777777" w:rsidR="00E45705" w:rsidRPr="001B09E6" w:rsidRDefault="00E45705" w:rsidP="00E45705">
            <w:pPr>
              <w:pStyle w:val="Tablenote"/>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4703B62D" w14:textId="77777777" w:rsidR="00E45705" w:rsidRPr="001B09E6" w:rsidRDefault="00E45705" w:rsidP="00E45705">
            <w:pPr>
              <w:pStyle w:val="Tablenote"/>
            </w:pP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7470AF24" w14:textId="77777777" w:rsidR="00E45705" w:rsidRPr="001B09E6" w:rsidRDefault="00E45705" w:rsidP="00E45705">
            <w:pPr>
              <w:pStyle w:val="Tablenote"/>
            </w:pPr>
          </w:p>
        </w:tc>
      </w:tr>
    </w:tbl>
    <w:p w14:paraId="58CA26D6" w14:textId="77777777" w:rsidR="00E45705" w:rsidRPr="001B09E6" w:rsidRDefault="00E45705" w:rsidP="00E45705"/>
    <w:p w14:paraId="5E40D77A" w14:textId="77777777" w:rsidR="00E45705" w:rsidRPr="001B09E6" w:rsidRDefault="00E45705" w:rsidP="00E45705">
      <w:pPr>
        <w:pStyle w:val="Heading3NoNumbering"/>
      </w:pPr>
      <w:bookmarkStart w:id="211" w:name="_Toc333919015"/>
      <w:r w:rsidRPr="001B09E6">
        <w:t>Table A2.31: Young people not in education and not fully employed</w:t>
      </w:r>
      <w:bookmarkEnd w:id="205"/>
      <w:bookmarkEnd w:id="211"/>
    </w:p>
    <w:tbl>
      <w:tblPr>
        <w:tblW w:w="5000" w:type="pct"/>
        <w:tblLook w:val="04A0" w:firstRow="1" w:lastRow="0" w:firstColumn="1" w:lastColumn="0" w:noHBand="0" w:noVBand="1"/>
        <w:tblCaption w:val="Table A2.31: Young people not in education and not fully employed Proportion of persons aged 15 to 24 not in education and not fully employed as at May, 2000-12 "/>
        <w:tblDescription w:val="Table A2.31: Young people not in education and not fully employed&#10;Proportion of persons aged 15 to 24 not in education and not fully employed as at May, 2000-12&#10;"/>
      </w:tblPr>
      <w:tblGrid>
        <w:gridCol w:w="16"/>
        <w:gridCol w:w="1948"/>
        <w:gridCol w:w="974"/>
        <w:gridCol w:w="974"/>
        <w:gridCol w:w="973"/>
        <w:gridCol w:w="973"/>
        <w:gridCol w:w="973"/>
        <w:gridCol w:w="973"/>
        <w:gridCol w:w="973"/>
        <w:gridCol w:w="973"/>
        <w:gridCol w:w="973"/>
        <w:gridCol w:w="973"/>
        <w:gridCol w:w="973"/>
        <w:gridCol w:w="918"/>
        <w:gridCol w:w="56"/>
        <w:gridCol w:w="973"/>
      </w:tblGrid>
      <w:tr w:rsidR="00E45705" w:rsidRPr="001B09E6" w14:paraId="5E934E3C" w14:textId="77777777" w:rsidTr="00E45705">
        <w:trPr>
          <w:gridAfter w:val="2"/>
          <w:wAfter w:w="352" w:type="pct"/>
          <w:trHeight w:val="300"/>
        </w:trPr>
        <w:tc>
          <w:tcPr>
            <w:tcW w:w="4648" w:type="pct"/>
            <w:gridSpan w:val="14"/>
            <w:tcBorders>
              <w:top w:val="nil"/>
              <w:left w:val="nil"/>
              <w:bottom w:val="nil"/>
              <w:right w:val="nil"/>
            </w:tcBorders>
            <w:shd w:val="clear" w:color="auto" w:fill="auto"/>
            <w:noWrap/>
            <w:hideMark/>
          </w:tcPr>
          <w:p w14:paraId="78974732" w14:textId="77777777" w:rsidR="00E45705" w:rsidRPr="001B09E6" w:rsidRDefault="00E45705" w:rsidP="00E45705">
            <w:pPr>
              <w:pStyle w:val="TableHeading"/>
              <w:spacing w:before="112"/>
              <w:rPr>
                <w:rFonts w:asciiTheme="minorHAnsi" w:hAnsiTheme="minorHAnsi"/>
                <w:sz w:val="18"/>
                <w:szCs w:val="18"/>
              </w:rPr>
            </w:pPr>
            <w:r w:rsidRPr="00BD5B61">
              <w:t>Proportion of persons aged 15 to 24 not in education and not fully employed as at May, 2000-12</w:t>
            </w:r>
          </w:p>
        </w:tc>
      </w:tr>
      <w:tr w:rsidR="00E45705" w:rsidRPr="001B09E6" w14:paraId="17495864" w14:textId="77777777" w:rsidTr="00E45705">
        <w:trPr>
          <w:gridBefore w:val="1"/>
          <w:wBefore w:w="5" w:type="pct"/>
          <w:trHeight w:val="300"/>
        </w:trPr>
        <w:tc>
          <w:tcPr>
            <w:tcW w:w="666" w:type="pct"/>
            <w:tcBorders>
              <w:top w:val="single" w:sz="4" w:space="0" w:color="auto"/>
              <w:bottom w:val="single" w:sz="6" w:space="0" w:color="auto"/>
            </w:tcBorders>
            <w:shd w:val="clear" w:color="auto" w:fill="auto"/>
            <w:noWrap/>
            <w:hideMark/>
          </w:tcPr>
          <w:p w14:paraId="542D446A" w14:textId="77777777" w:rsidR="00E45705" w:rsidRPr="001B09E6" w:rsidRDefault="00E45705" w:rsidP="00E45705">
            <w:pPr>
              <w:pStyle w:val="TableColumnHeading"/>
              <w:spacing w:before="0" w:after="0"/>
              <w:ind w:left="0" w:right="0"/>
            </w:pPr>
          </w:p>
        </w:tc>
        <w:tc>
          <w:tcPr>
            <w:tcW w:w="333" w:type="pct"/>
            <w:tcBorders>
              <w:top w:val="single" w:sz="4" w:space="0" w:color="auto"/>
              <w:bottom w:val="single" w:sz="6" w:space="0" w:color="auto"/>
            </w:tcBorders>
            <w:shd w:val="clear" w:color="auto" w:fill="auto"/>
            <w:noWrap/>
            <w:hideMark/>
          </w:tcPr>
          <w:p w14:paraId="67A67092" w14:textId="77777777" w:rsidR="00E45705" w:rsidRPr="001B09E6" w:rsidRDefault="00E45705" w:rsidP="00E45705">
            <w:pPr>
              <w:pStyle w:val="TableColumnHeading"/>
              <w:spacing w:before="0" w:after="0"/>
              <w:ind w:left="0" w:right="0"/>
            </w:pPr>
            <w:r w:rsidRPr="001B09E6">
              <w:t>2000</w:t>
            </w:r>
          </w:p>
        </w:tc>
        <w:tc>
          <w:tcPr>
            <w:tcW w:w="333" w:type="pct"/>
            <w:tcBorders>
              <w:top w:val="single" w:sz="4" w:space="0" w:color="auto"/>
              <w:bottom w:val="single" w:sz="6" w:space="0" w:color="auto"/>
            </w:tcBorders>
            <w:shd w:val="clear" w:color="auto" w:fill="auto"/>
            <w:noWrap/>
            <w:hideMark/>
          </w:tcPr>
          <w:p w14:paraId="7739779D" w14:textId="77777777" w:rsidR="00E45705" w:rsidRPr="001B09E6" w:rsidRDefault="00E45705" w:rsidP="00E45705">
            <w:pPr>
              <w:pStyle w:val="TableColumnHeading"/>
              <w:spacing w:before="0" w:after="0"/>
              <w:ind w:left="0" w:right="0"/>
            </w:pPr>
            <w:r w:rsidRPr="001B09E6">
              <w:t>2001</w:t>
            </w:r>
          </w:p>
        </w:tc>
        <w:tc>
          <w:tcPr>
            <w:tcW w:w="333" w:type="pct"/>
            <w:tcBorders>
              <w:top w:val="single" w:sz="4" w:space="0" w:color="auto"/>
              <w:bottom w:val="single" w:sz="6" w:space="0" w:color="auto"/>
            </w:tcBorders>
            <w:shd w:val="clear" w:color="auto" w:fill="auto"/>
            <w:noWrap/>
            <w:hideMark/>
          </w:tcPr>
          <w:p w14:paraId="72AEB56C" w14:textId="77777777" w:rsidR="00E45705" w:rsidRPr="001B09E6" w:rsidRDefault="00E45705" w:rsidP="00E45705">
            <w:pPr>
              <w:pStyle w:val="TableColumnHeading"/>
              <w:spacing w:before="0" w:after="0"/>
              <w:ind w:left="0" w:right="0"/>
            </w:pPr>
            <w:r w:rsidRPr="001B09E6">
              <w:t>2002</w:t>
            </w:r>
          </w:p>
        </w:tc>
        <w:tc>
          <w:tcPr>
            <w:tcW w:w="333" w:type="pct"/>
            <w:tcBorders>
              <w:top w:val="single" w:sz="4" w:space="0" w:color="auto"/>
              <w:bottom w:val="single" w:sz="6" w:space="0" w:color="auto"/>
            </w:tcBorders>
            <w:shd w:val="clear" w:color="auto" w:fill="auto"/>
            <w:noWrap/>
            <w:hideMark/>
          </w:tcPr>
          <w:p w14:paraId="3372E5F3" w14:textId="77777777" w:rsidR="00E45705" w:rsidRPr="001B09E6" w:rsidRDefault="00E45705" w:rsidP="00E45705">
            <w:pPr>
              <w:pStyle w:val="TableColumnHeading"/>
              <w:spacing w:before="0" w:after="0"/>
              <w:ind w:left="0" w:right="0"/>
            </w:pPr>
            <w:r w:rsidRPr="001B09E6">
              <w:t>2003</w:t>
            </w:r>
          </w:p>
        </w:tc>
        <w:tc>
          <w:tcPr>
            <w:tcW w:w="333" w:type="pct"/>
            <w:tcBorders>
              <w:top w:val="single" w:sz="4" w:space="0" w:color="auto"/>
              <w:bottom w:val="single" w:sz="6" w:space="0" w:color="auto"/>
            </w:tcBorders>
            <w:shd w:val="clear" w:color="auto" w:fill="auto"/>
            <w:noWrap/>
            <w:hideMark/>
          </w:tcPr>
          <w:p w14:paraId="59EC5C8A" w14:textId="77777777" w:rsidR="00E45705" w:rsidRPr="001B09E6" w:rsidRDefault="00E45705" w:rsidP="00E45705">
            <w:pPr>
              <w:pStyle w:val="TableColumnHeading"/>
              <w:spacing w:before="0" w:after="0"/>
              <w:ind w:left="0" w:right="0"/>
            </w:pPr>
            <w:r w:rsidRPr="001B09E6">
              <w:t>2004</w:t>
            </w:r>
          </w:p>
        </w:tc>
        <w:tc>
          <w:tcPr>
            <w:tcW w:w="333" w:type="pct"/>
            <w:tcBorders>
              <w:top w:val="single" w:sz="4" w:space="0" w:color="auto"/>
              <w:bottom w:val="single" w:sz="6" w:space="0" w:color="auto"/>
            </w:tcBorders>
            <w:shd w:val="clear" w:color="auto" w:fill="auto"/>
            <w:noWrap/>
            <w:hideMark/>
          </w:tcPr>
          <w:p w14:paraId="5BA6FBFD" w14:textId="77777777" w:rsidR="00E45705" w:rsidRPr="001B09E6" w:rsidRDefault="00E45705" w:rsidP="00E45705">
            <w:pPr>
              <w:pStyle w:val="TableColumnHeading"/>
              <w:spacing w:before="0" w:after="0"/>
              <w:ind w:left="0" w:right="0"/>
            </w:pPr>
            <w:r w:rsidRPr="001B09E6">
              <w:t>2005</w:t>
            </w:r>
          </w:p>
        </w:tc>
        <w:tc>
          <w:tcPr>
            <w:tcW w:w="333" w:type="pct"/>
            <w:tcBorders>
              <w:top w:val="single" w:sz="4" w:space="0" w:color="auto"/>
              <w:bottom w:val="single" w:sz="6" w:space="0" w:color="auto"/>
            </w:tcBorders>
            <w:shd w:val="clear" w:color="auto" w:fill="auto"/>
            <w:noWrap/>
            <w:hideMark/>
          </w:tcPr>
          <w:p w14:paraId="301DFB4B" w14:textId="77777777" w:rsidR="00E45705" w:rsidRPr="001B09E6" w:rsidRDefault="00E45705" w:rsidP="00E45705">
            <w:pPr>
              <w:pStyle w:val="TableColumnHeading"/>
              <w:spacing w:before="0" w:after="0"/>
              <w:ind w:left="0" w:right="0"/>
            </w:pPr>
            <w:r w:rsidRPr="001B09E6">
              <w:t>2006</w:t>
            </w:r>
          </w:p>
        </w:tc>
        <w:tc>
          <w:tcPr>
            <w:tcW w:w="333" w:type="pct"/>
            <w:tcBorders>
              <w:top w:val="single" w:sz="4" w:space="0" w:color="auto"/>
              <w:bottom w:val="single" w:sz="6" w:space="0" w:color="auto"/>
            </w:tcBorders>
            <w:shd w:val="clear" w:color="auto" w:fill="auto"/>
            <w:noWrap/>
            <w:hideMark/>
          </w:tcPr>
          <w:p w14:paraId="093E32AF" w14:textId="77777777" w:rsidR="00E45705" w:rsidRPr="001B09E6" w:rsidRDefault="00E45705" w:rsidP="00E45705">
            <w:pPr>
              <w:pStyle w:val="TableColumnHeading"/>
              <w:spacing w:before="0" w:after="0"/>
              <w:ind w:left="0" w:right="0"/>
            </w:pPr>
            <w:r w:rsidRPr="001B09E6">
              <w:t>2007</w:t>
            </w:r>
          </w:p>
        </w:tc>
        <w:tc>
          <w:tcPr>
            <w:tcW w:w="333" w:type="pct"/>
            <w:tcBorders>
              <w:top w:val="single" w:sz="4" w:space="0" w:color="auto"/>
              <w:bottom w:val="single" w:sz="6" w:space="0" w:color="auto"/>
            </w:tcBorders>
            <w:shd w:val="clear" w:color="auto" w:fill="auto"/>
            <w:noWrap/>
            <w:hideMark/>
          </w:tcPr>
          <w:p w14:paraId="322B0D29" w14:textId="77777777" w:rsidR="00E45705" w:rsidRPr="001B09E6" w:rsidRDefault="00E45705" w:rsidP="00E45705">
            <w:pPr>
              <w:pStyle w:val="TableColumnHeading"/>
              <w:spacing w:before="0" w:after="0"/>
              <w:ind w:left="0" w:right="0"/>
            </w:pPr>
            <w:r w:rsidRPr="001B09E6">
              <w:t>2008</w:t>
            </w:r>
          </w:p>
        </w:tc>
        <w:tc>
          <w:tcPr>
            <w:tcW w:w="333" w:type="pct"/>
            <w:tcBorders>
              <w:top w:val="single" w:sz="4" w:space="0" w:color="auto"/>
              <w:bottom w:val="single" w:sz="6" w:space="0" w:color="auto"/>
            </w:tcBorders>
            <w:shd w:val="clear" w:color="auto" w:fill="auto"/>
            <w:noWrap/>
            <w:hideMark/>
          </w:tcPr>
          <w:p w14:paraId="38A4B077" w14:textId="77777777" w:rsidR="00E45705" w:rsidRPr="001B09E6" w:rsidRDefault="00E45705" w:rsidP="00E45705">
            <w:pPr>
              <w:pStyle w:val="TableColumnHeading"/>
              <w:spacing w:before="0" w:after="0"/>
              <w:ind w:left="0" w:right="0"/>
            </w:pPr>
            <w:r w:rsidRPr="001B09E6">
              <w:t>2009</w:t>
            </w:r>
          </w:p>
        </w:tc>
        <w:tc>
          <w:tcPr>
            <w:tcW w:w="333" w:type="pct"/>
            <w:tcBorders>
              <w:top w:val="single" w:sz="4" w:space="0" w:color="auto"/>
              <w:bottom w:val="single" w:sz="6" w:space="0" w:color="auto"/>
            </w:tcBorders>
            <w:shd w:val="clear" w:color="auto" w:fill="auto"/>
            <w:noWrap/>
            <w:hideMark/>
          </w:tcPr>
          <w:p w14:paraId="2112A584" w14:textId="77777777" w:rsidR="00E45705" w:rsidRPr="001B09E6" w:rsidRDefault="00E45705" w:rsidP="00E45705">
            <w:pPr>
              <w:pStyle w:val="TableColumnHeading"/>
              <w:spacing w:before="0" w:after="0"/>
              <w:ind w:left="0" w:right="0"/>
            </w:pPr>
            <w:r w:rsidRPr="001B09E6">
              <w:t>2010</w:t>
            </w:r>
          </w:p>
        </w:tc>
        <w:tc>
          <w:tcPr>
            <w:tcW w:w="333" w:type="pct"/>
            <w:gridSpan w:val="2"/>
            <w:tcBorders>
              <w:top w:val="single" w:sz="4" w:space="0" w:color="auto"/>
              <w:bottom w:val="single" w:sz="6" w:space="0" w:color="auto"/>
            </w:tcBorders>
            <w:shd w:val="clear" w:color="auto" w:fill="auto"/>
            <w:noWrap/>
            <w:hideMark/>
          </w:tcPr>
          <w:p w14:paraId="63647C16" w14:textId="77777777" w:rsidR="00E45705" w:rsidRPr="001B09E6" w:rsidRDefault="00E45705" w:rsidP="00E45705">
            <w:pPr>
              <w:pStyle w:val="TableColumnHeading"/>
              <w:spacing w:before="0" w:after="0"/>
              <w:ind w:left="0" w:right="0"/>
            </w:pPr>
            <w:r w:rsidRPr="001B09E6">
              <w:t>2011</w:t>
            </w:r>
          </w:p>
        </w:tc>
        <w:tc>
          <w:tcPr>
            <w:tcW w:w="333" w:type="pct"/>
            <w:tcBorders>
              <w:top w:val="single" w:sz="4" w:space="0" w:color="auto"/>
              <w:bottom w:val="single" w:sz="6" w:space="0" w:color="auto"/>
            </w:tcBorders>
            <w:shd w:val="clear" w:color="auto" w:fill="auto"/>
            <w:noWrap/>
            <w:hideMark/>
          </w:tcPr>
          <w:p w14:paraId="20F94E9B" w14:textId="77777777" w:rsidR="00E45705" w:rsidRPr="001B09E6" w:rsidRDefault="00E45705" w:rsidP="00E45705">
            <w:pPr>
              <w:pStyle w:val="TableColumnHeading"/>
              <w:spacing w:before="0" w:after="0"/>
              <w:ind w:left="0" w:right="0"/>
            </w:pPr>
            <w:r w:rsidRPr="001B09E6">
              <w:t>2012</w:t>
            </w:r>
          </w:p>
        </w:tc>
      </w:tr>
      <w:tr w:rsidR="00E45705" w:rsidRPr="001B09E6" w14:paraId="32953127" w14:textId="77777777" w:rsidTr="00E45705">
        <w:trPr>
          <w:gridBefore w:val="1"/>
          <w:wBefore w:w="5" w:type="pct"/>
          <w:trHeight w:val="810"/>
        </w:trPr>
        <w:tc>
          <w:tcPr>
            <w:tcW w:w="666" w:type="pct"/>
            <w:tcBorders>
              <w:top w:val="single" w:sz="6" w:space="0" w:color="auto"/>
            </w:tcBorders>
            <w:shd w:val="clear" w:color="auto" w:fill="auto"/>
            <w:hideMark/>
          </w:tcPr>
          <w:p w14:paraId="73D0C420" w14:textId="77777777" w:rsidR="00E45705" w:rsidRPr="001B09E6" w:rsidRDefault="00E45705" w:rsidP="00E45705">
            <w:pPr>
              <w:pStyle w:val="TableCellText"/>
              <w:spacing w:before="0" w:after="0"/>
              <w:ind w:left="0" w:right="0"/>
            </w:pPr>
            <w:r w:rsidRPr="001B09E6">
              <w:t>Employed part-time and not in 'FULL TIME' education</w:t>
            </w:r>
          </w:p>
        </w:tc>
        <w:tc>
          <w:tcPr>
            <w:tcW w:w="333" w:type="pct"/>
            <w:tcBorders>
              <w:top w:val="single" w:sz="6" w:space="0" w:color="auto"/>
            </w:tcBorders>
            <w:shd w:val="clear" w:color="auto" w:fill="auto"/>
            <w:noWrap/>
            <w:hideMark/>
          </w:tcPr>
          <w:p w14:paraId="2B00EAA0" w14:textId="77777777" w:rsidR="00E45705" w:rsidRPr="001B09E6" w:rsidRDefault="00E45705" w:rsidP="00E45705">
            <w:pPr>
              <w:pStyle w:val="TableCellText"/>
              <w:spacing w:before="0" w:after="0"/>
              <w:ind w:left="0" w:right="0"/>
            </w:pPr>
            <w:r w:rsidRPr="001B09E6">
              <w:t>8.1</w:t>
            </w:r>
          </w:p>
        </w:tc>
        <w:tc>
          <w:tcPr>
            <w:tcW w:w="333" w:type="pct"/>
            <w:tcBorders>
              <w:top w:val="single" w:sz="6" w:space="0" w:color="auto"/>
            </w:tcBorders>
            <w:shd w:val="clear" w:color="auto" w:fill="auto"/>
            <w:noWrap/>
            <w:hideMark/>
          </w:tcPr>
          <w:p w14:paraId="5D35BE49" w14:textId="77777777" w:rsidR="00E45705" w:rsidRPr="001B09E6" w:rsidRDefault="00E45705" w:rsidP="00E45705">
            <w:pPr>
              <w:pStyle w:val="TableCellText"/>
              <w:spacing w:before="0" w:after="0"/>
              <w:ind w:left="0" w:right="0"/>
            </w:pPr>
            <w:r w:rsidRPr="001B09E6">
              <w:t>8.6</w:t>
            </w:r>
          </w:p>
        </w:tc>
        <w:tc>
          <w:tcPr>
            <w:tcW w:w="333" w:type="pct"/>
            <w:tcBorders>
              <w:top w:val="single" w:sz="6" w:space="0" w:color="auto"/>
            </w:tcBorders>
            <w:shd w:val="clear" w:color="auto" w:fill="auto"/>
            <w:noWrap/>
            <w:hideMark/>
          </w:tcPr>
          <w:p w14:paraId="71D1DF44" w14:textId="77777777" w:rsidR="00E45705" w:rsidRPr="001B09E6" w:rsidRDefault="00E45705" w:rsidP="00E45705">
            <w:pPr>
              <w:pStyle w:val="TableCellText"/>
              <w:spacing w:before="0" w:after="0"/>
              <w:ind w:left="0" w:right="0"/>
            </w:pPr>
            <w:r w:rsidRPr="001B09E6">
              <w:t>8.5</w:t>
            </w:r>
          </w:p>
        </w:tc>
        <w:tc>
          <w:tcPr>
            <w:tcW w:w="333" w:type="pct"/>
            <w:tcBorders>
              <w:top w:val="single" w:sz="6" w:space="0" w:color="auto"/>
            </w:tcBorders>
            <w:shd w:val="clear" w:color="auto" w:fill="auto"/>
            <w:noWrap/>
            <w:hideMark/>
          </w:tcPr>
          <w:p w14:paraId="1B6F315C" w14:textId="77777777" w:rsidR="00E45705" w:rsidRPr="001B09E6" w:rsidRDefault="00E45705" w:rsidP="00E45705">
            <w:pPr>
              <w:pStyle w:val="TableCellText"/>
              <w:spacing w:before="0" w:after="0"/>
              <w:ind w:left="0" w:right="0"/>
            </w:pPr>
            <w:r w:rsidRPr="001B09E6">
              <w:t>9.0</w:t>
            </w:r>
          </w:p>
        </w:tc>
        <w:tc>
          <w:tcPr>
            <w:tcW w:w="333" w:type="pct"/>
            <w:tcBorders>
              <w:top w:val="single" w:sz="6" w:space="0" w:color="auto"/>
            </w:tcBorders>
            <w:shd w:val="clear" w:color="auto" w:fill="auto"/>
            <w:noWrap/>
            <w:hideMark/>
          </w:tcPr>
          <w:p w14:paraId="13C5616E" w14:textId="77777777" w:rsidR="00E45705" w:rsidRPr="001B09E6" w:rsidRDefault="00E45705" w:rsidP="00E45705">
            <w:pPr>
              <w:pStyle w:val="TableCellText"/>
              <w:spacing w:before="0" w:after="0"/>
              <w:ind w:left="0" w:right="0"/>
            </w:pPr>
            <w:r w:rsidRPr="001B09E6">
              <w:t>9.5</w:t>
            </w:r>
          </w:p>
        </w:tc>
        <w:tc>
          <w:tcPr>
            <w:tcW w:w="333" w:type="pct"/>
            <w:tcBorders>
              <w:top w:val="single" w:sz="6" w:space="0" w:color="auto"/>
            </w:tcBorders>
            <w:shd w:val="clear" w:color="auto" w:fill="auto"/>
            <w:noWrap/>
            <w:hideMark/>
          </w:tcPr>
          <w:p w14:paraId="1637659F" w14:textId="77777777" w:rsidR="00E45705" w:rsidRPr="001B09E6" w:rsidRDefault="00E45705" w:rsidP="00E45705">
            <w:pPr>
              <w:pStyle w:val="TableCellText"/>
              <w:spacing w:before="0" w:after="0"/>
              <w:ind w:left="0" w:right="0"/>
            </w:pPr>
            <w:r w:rsidRPr="001B09E6">
              <w:t>9.2</w:t>
            </w:r>
          </w:p>
        </w:tc>
        <w:tc>
          <w:tcPr>
            <w:tcW w:w="333" w:type="pct"/>
            <w:tcBorders>
              <w:top w:val="single" w:sz="6" w:space="0" w:color="auto"/>
            </w:tcBorders>
            <w:shd w:val="clear" w:color="auto" w:fill="auto"/>
            <w:noWrap/>
            <w:hideMark/>
          </w:tcPr>
          <w:p w14:paraId="66424220" w14:textId="77777777" w:rsidR="00E45705" w:rsidRPr="001B09E6" w:rsidRDefault="00E45705" w:rsidP="00E45705">
            <w:pPr>
              <w:pStyle w:val="TableCellText"/>
              <w:spacing w:before="0" w:after="0"/>
              <w:ind w:left="0" w:right="0"/>
            </w:pPr>
            <w:r w:rsidRPr="001B09E6">
              <w:t>8.6</w:t>
            </w:r>
          </w:p>
        </w:tc>
        <w:tc>
          <w:tcPr>
            <w:tcW w:w="333" w:type="pct"/>
            <w:tcBorders>
              <w:top w:val="single" w:sz="6" w:space="0" w:color="auto"/>
            </w:tcBorders>
            <w:shd w:val="clear" w:color="auto" w:fill="auto"/>
            <w:noWrap/>
            <w:hideMark/>
          </w:tcPr>
          <w:p w14:paraId="16EFBCC4" w14:textId="77777777" w:rsidR="00E45705" w:rsidRPr="001B09E6" w:rsidRDefault="00E45705" w:rsidP="00E45705">
            <w:pPr>
              <w:pStyle w:val="TableCellText"/>
              <w:spacing w:before="0" w:after="0"/>
              <w:ind w:left="0" w:right="0"/>
            </w:pPr>
            <w:r w:rsidRPr="001B09E6">
              <w:t>8.6</w:t>
            </w:r>
          </w:p>
        </w:tc>
        <w:tc>
          <w:tcPr>
            <w:tcW w:w="333" w:type="pct"/>
            <w:tcBorders>
              <w:top w:val="single" w:sz="6" w:space="0" w:color="auto"/>
            </w:tcBorders>
            <w:shd w:val="clear" w:color="auto" w:fill="auto"/>
            <w:noWrap/>
            <w:hideMark/>
          </w:tcPr>
          <w:p w14:paraId="06295757" w14:textId="77777777" w:rsidR="00E45705" w:rsidRPr="001B09E6" w:rsidRDefault="00E45705" w:rsidP="00E45705">
            <w:pPr>
              <w:pStyle w:val="TableCellText"/>
              <w:spacing w:before="0" w:after="0"/>
              <w:ind w:left="0" w:right="0"/>
            </w:pPr>
            <w:r w:rsidRPr="001B09E6">
              <w:t>8.3</w:t>
            </w:r>
          </w:p>
        </w:tc>
        <w:tc>
          <w:tcPr>
            <w:tcW w:w="333" w:type="pct"/>
            <w:tcBorders>
              <w:top w:val="single" w:sz="6" w:space="0" w:color="auto"/>
            </w:tcBorders>
            <w:shd w:val="clear" w:color="auto" w:fill="auto"/>
            <w:noWrap/>
            <w:hideMark/>
          </w:tcPr>
          <w:p w14:paraId="7B08578E" w14:textId="77777777" w:rsidR="00E45705" w:rsidRPr="001B09E6" w:rsidRDefault="00E45705" w:rsidP="00E45705">
            <w:pPr>
              <w:pStyle w:val="TableCellText"/>
              <w:spacing w:before="0" w:after="0"/>
              <w:ind w:left="0" w:right="0"/>
            </w:pPr>
            <w:r w:rsidRPr="001B09E6">
              <w:t>9.6</w:t>
            </w:r>
          </w:p>
        </w:tc>
        <w:tc>
          <w:tcPr>
            <w:tcW w:w="333" w:type="pct"/>
            <w:tcBorders>
              <w:top w:val="single" w:sz="6" w:space="0" w:color="auto"/>
            </w:tcBorders>
            <w:shd w:val="clear" w:color="auto" w:fill="auto"/>
            <w:noWrap/>
            <w:hideMark/>
          </w:tcPr>
          <w:p w14:paraId="0A13D036" w14:textId="77777777" w:rsidR="00E45705" w:rsidRPr="001B09E6" w:rsidRDefault="00E45705" w:rsidP="00E45705">
            <w:pPr>
              <w:pStyle w:val="TableCellText"/>
              <w:spacing w:before="0" w:after="0"/>
              <w:ind w:left="0" w:right="0"/>
            </w:pPr>
            <w:r w:rsidRPr="001B09E6">
              <w:t>9.2</w:t>
            </w:r>
          </w:p>
        </w:tc>
        <w:tc>
          <w:tcPr>
            <w:tcW w:w="333" w:type="pct"/>
            <w:gridSpan w:val="2"/>
            <w:tcBorders>
              <w:top w:val="single" w:sz="6" w:space="0" w:color="auto"/>
            </w:tcBorders>
            <w:shd w:val="clear" w:color="auto" w:fill="auto"/>
            <w:noWrap/>
            <w:hideMark/>
          </w:tcPr>
          <w:p w14:paraId="35275134" w14:textId="77777777" w:rsidR="00E45705" w:rsidRPr="001B09E6" w:rsidRDefault="00E45705" w:rsidP="00E45705">
            <w:pPr>
              <w:pStyle w:val="TableCellText"/>
              <w:spacing w:before="0" w:after="0"/>
              <w:ind w:left="0" w:right="0"/>
            </w:pPr>
            <w:r w:rsidRPr="001B09E6">
              <w:t>9.5</w:t>
            </w:r>
          </w:p>
        </w:tc>
        <w:tc>
          <w:tcPr>
            <w:tcW w:w="333" w:type="pct"/>
            <w:tcBorders>
              <w:top w:val="single" w:sz="6" w:space="0" w:color="auto"/>
            </w:tcBorders>
            <w:shd w:val="clear" w:color="auto" w:fill="auto"/>
            <w:noWrap/>
            <w:hideMark/>
          </w:tcPr>
          <w:p w14:paraId="40630A76" w14:textId="77777777" w:rsidR="00E45705" w:rsidRPr="001B09E6" w:rsidRDefault="00E45705" w:rsidP="00E45705">
            <w:pPr>
              <w:pStyle w:val="TableCellText"/>
              <w:spacing w:before="0" w:after="0"/>
              <w:ind w:left="0" w:right="0"/>
            </w:pPr>
            <w:r w:rsidRPr="001B09E6">
              <w:t>9.2</w:t>
            </w:r>
          </w:p>
        </w:tc>
      </w:tr>
      <w:tr w:rsidR="00E45705" w:rsidRPr="001B09E6" w14:paraId="0273D4CD" w14:textId="77777777" w:rsidTr="00E45705">
        <w:trPr>
          <w:gridBefore w:val="1"/>
          <w:wBefore w:w="5" w:type="pct"/>
          <w:trHeight w:val="742"/>
        </w:trPr>
        <w:tc>
          <w:tcPr>
            <w:tcW w:w="666" w:type="pct"/>
            <w:shd w:val="clear" w:color="auto" w:fill="auto"/>
            <w:hideMark/>
          </w:tcPr>
          <w:p w14:paraId="208B684E" w14:textId="77777777" w:rsidR="00E45705" w:rsidRPr="001B09E6" w:rsidRDefault="00E45705" w:rsidP="00E45705">
            <w:pPr>
              <w:pStyle w:val="TableCellText"/>
              <w:spacing w:before="0" w:after="0"/>
              <w:ind w:left="0" w:right="0"/>
            </w:pPr>
            <w:r w:rsidRPr="001B09E6">
              <w:t>Unemployed -total and not in 'FULL TIME' education</w:t>
            </w:r>
          </w:p>
        </w:tc>
        <w:tc>
          <w:tcPr>
            <w:tcW w:w="333" w:type="pct"/>
            <w:shd w:val="clear" w:color="auto" w:fill="auto"/>
            <w:noWrap/>
            <w:hideMark/>
          </w:tcPr>
          <w:p w14:paraId="1F2D4896" w14:textId="77777777" w:rsidR="00E45705" w:rsidRPr="001B09E6" w:rsidRDefault="00E45705" w:rsidP="00E45705">
            <w:pPr>
              <w:pStyle w:val="TableCellText"/>
              <w:spacing w:before="0" w:after="0"/>
              <w:ind w:left="0" w:right="0"/>
            </w:pPr>
            <w:r w:rsidRPr="001B09E6">
              <w:t>5.4</w:t>
            </w:r>
          </w:p>
        </w:tc>
        <w:tc>
          <w:tcPr>
            <w:tcW w:w="333" w:type="pct"/>
            <w:shd w:val="clear" w:color="auto" w:fill="auto"/>
            <w:noWrap/>
            <w:hideMark/>
          </w:tcPr>
          <w:p w14:paraId="27466A93" w14:textId="77777777" w:rsidR="00E45705" w:rsidRPr="001B09E6" w:rsidRDefault="00E45705" w:rsidP="00E45705">
            <w:pPr>
              <w:pStyle w:val="TableCellText"/>
              <w:spacing w:before="0" w:after="0"/>
              <w:ind w:left="0" w:right="0"/>
            </w:pPr>
            <w:r w:rsidRPr="001B09E6">
              <w:t>6.0</w:t>
            </w:r>
          </w:p>
        </w:tc>
        <w:tc>
          <w:tcPr>
            <w:tcW w:w="333" w:type="pct"/>
            <w:shd w:val="clear" w:color="auto" w:fill="auto"/>
            <w:noWrap/>
            <w:hideMark/>
          </w:tcPr>
          <w:p w14:paraId="53735933" w14:textId="77777777" w:rsidR="00E45705" w:rsidRPr="001B09E6" w:rsidRDefault="00E45705" w:rsidP="00E45705">
            <w:pPr>
              <w:pStyle w:val="TableCellText"/>
              <w:spacing w:before="0" w:after="0"/>
              <w:ind w:left="0" w:right="0"/>
            </w:pPr>
            <w:r w:rsidRPr="001B09E6">
              <w:t>5.2</w:t>
            </w:r>
          </w:p>
        </w:tc>
        <w:tc>
          <w:tcPr>
            <w:tcW w:w="333" w:type="pct"/>
            <w:shd w:val="clear" w:color="auto" w:fill="auto"/>
            <w:noWrap/>
            <w:hideMark/>
          </w:tcPr>
          <w:p w14:paraId="0B31E487" w14:textId="77777777" w:rsidR="00E45705" w:rsidRPr="001B09E6" w:rsidRDefault="00E45705" w:rsidP="00E45705">
            <w:pPr>
              <w:pStyle w:val="TableCellText"/>
              <w:spacing w:before="0" w:after="0"/>
              <w:ind w:left="0" w:right="0"/>
            </w:pPr>
            <w:r w:rsidRPr="001B09E6">
              <w:t>5.2</w:t>
            </w:r>
          </w:p>
        </w:tc>
        <w:tc>
          <w:tcPr>
            <w:tcW w:w="333" w:type="pct"/>
            <w:shd w:val="clear" w:color="auto" w:fill="auto"/>
            <w:noWrap/>
            <w:hideMark/>
          </w:tcPr>
          <w:p w14:paraId="1418D135" w14:textId="77777777" w:rsidR="00E45705" w:rsidRPr="001B09E6" w:rsidRDefault="00E45705" w:rsidP="00E45705">
            <w:pPr>
              <w:pStyle w:val="TableCellText"/>
              <w:spacing w:before="0" w:after="0"/>
              <w:ind w:left="0" w:right="0"/>
            </w:pPr>
            <w:r w:rsidRPr="001B09E6">
              <w:t>4.5</w:t>
            </w:r>
          </w:p>
        </w:tc>
        <w:tc>
          <w:tcPr>
            <w:tcW w:w="333" w:type="pct"/>
            <w:shd w:val="clear" w:color="auto" w:fill="auto"/>
            <w:noWrap/>
            <w:hideMark/>
          </w:tcPr>
          <w:p w14:paraId="171EA0A5" w14:textId="77777777" w:rsidR="00E45705" w:rsidRPr="001B09E6" w:rsidRDefault="00E45705" w:rsidP="00E45705">
            <w:pPr>
              <w:pStyle w:val="TableCellText"/>
              <w:spacing w:before="0" w:after="0"/>
              <w:ind w:left="0" w:right="0"/>
            </w:pPr>
            <w:r w:rsidRPr="001B09E6">
              <w:t>4.3</w:t>
            </w:r>
          </w:p>
        </w:tc>
        <w:tc>
          <w:tcPr>
            <w:tcW w:w="333" w:type="pct"/>
            <w:shd w:val="clear" w:color="auto" w:fill="auto"/>
            <w:noWrap/>
            <w:hideMark/>
          </w:tcPr>
          <w:p w14:paraId="0D058ADF" w14:textId="77777777" w:rsidR="00E45705" w:rsidRPr="001B09E6" w:rsidRDefault="00E45705" w:rsidP="00E45705">
            <w:pPr>
              <w:pStyle w:val="TableCellText"/>
              <w:spacing w:before="0" w:after="0"/>
              <w:ind w:left="0" w:right="0"/>
            </w:pPr>
            <w:r w:rsidRPr="001B09E6">
              <w:t>4.1</w:t>
            </w:r>
          </w:p>
        </w:tc>
        <w:tc>
          <w:tcPr>
            <w:tcW w:w="333" w:type="pct"/>
            <w:shd w:val="clear" w:color="auto" w:fill="auto"/>
            <w:noWrap/>
            <w:hideMark/>
          </w:tcPr>
          <w:p w14:paraId="28AD57F1" w14:textId="77777777" w:rsidR="00E45705" w:rsidRPr="001B09E6" w:rsidRDefault="00E45705" w:rsidP="00E45705">
            <w:pPr>
              <w:pStyle w:val="TableCellText"/>
              <w:spacing w:before="0" w:after="0"/>
              <w:ind w:left="0" w:right="0"/>
            </w:pPr>
            <w:r w:rsidRPr="001B09E6">
              <w:t>3.5</w:t>
            </w:r>
          </w:p>
        </w:tc>
        <w:tc>
          <w:tcPr>
            <w:tcW w:w="333" w:type="pct"/>
            <w:shd w:val="clear" w:color="auto" w:fill="auto"/>
            <w:noWrap/>
            <w:hideMark/>
          </w:tcPr>
          <w:p w14:paraId="1D13849B" w14:textId="77777777" w:rsidR="00E45705" w:rsidRPr="001B09E6" w:rsidRDefault="00E45705" w:rsidP="00E45705">
            <w:pPr>
              <w:pStyle w:val="TableCellText"/>
              <w:spacing w:before="0" w:after="0"/>
              <w:ind w:left="0" w:right="0"/>
            </w:pPr>
            <w:r w:rsidRPr="001B09E6">
              <w:t>3.6</w:t>
            </w:r>
          </w:p>
        </w:tc>
        <w:tc>
          <w:tcPr>
            <w:tcW w:w="333" w:type="pct"/>
            <w:shd w:val="clear" w:color="auto" w:fill="auto"/>
            <w:noWrap/>
            <w:hideMark/>
          </w:tcPr>
          <w:p w14:paraId="10D2EFCD" w14:textId="77777777" w:rsidR="00E45705" w:rsidRPr="001B09E6" w:rsidRDefault="00E45705" w:rsidP="00E45705">
            <w:pPr>
              <w:pStyle w:val="TableCellText"/>
              <w:spacing w:before="0" w:after="0"/>
              <w:ind w:left="0" w:right="0"/>
            </w:pPr>
            <w:r w:rsidRPr="001B09E6">
              <w:t>5.0</w:t>
            </w:r>
          </w:p>
        </w:tc>
        <w:tc>
          <w:tcPr>
            <w:tcW w:w="333" w:type="pct"/>
            <w:shd w:val="clear" w:color="auto" w:fill="auto"/>
            <w:noWrap/>
            <w:hideMark/>
          </w:tcPr>
          <w:p w14:paraId="07463583" w14:textId="77777777" w:rsidR="00E45705" w:rsidRPr="001B09E6" w:rsidRDefault="00E45705" w:rsidP="00E45705">
            <w:pPr>
              <w:pStyle w:val="TableCellText"/>
              <w:spacing w:before="0" w:after="0"/>
              <w:ind w:left="0" w:right="0"/>
            </w:pPr>
            <w:r w:rsidRPr="001B09E6">
              <w:t>4.6</w:t>
            </w:r>
          </w:p>
        </w:tc>
        <w:tc>
          <w:tcPr>
            <w:tcW w:w="333" w:type="pct"/>
            <w:gridSpan w:val="2"/>
            <w:shd w:val="clear" w:color="auto" w:fill="auto"/>
            <w:noWrap/>
            <w:hideMark/>
          </w:tcPr>
          <w:p w14:paraId="2B7F923F" w14:textId="77777777" w:rsidR="00E45705" w:rsidRPr="001B09E6" w:rsidRDefault="00E45705" w:rsidP="00E45705">
            <w:pPr>
              <w:pStyle w:val="TableCellText"/>
              <w:spacing w:before="0" w:after="0"/>
              <w:ind w:left="0" w:right="0"/>
            </w:pPr>
            <w:r w:rsidRPr="001B09E6">
              <w:t>4.6</w:t>
            </w:r>
          </w:p>
        </w:tc>
        <w:tc>
          <w:tcPr>
            <w:tcW w:w="333" w:type="pct"/>
            <w:shd w:val="clear" w:color="auto" w:fill="auto"/>
            <w:noWrap/>
            <w:hideMark/>
          </w:tcPr>
          <w:p w14:paraId="581A4271" w14:textId="77777777" w:rsidR="00E45705" w:rsidRPr="001B09E6" w:rsidRDefault="00E45705" w:rsidP="00E45705">
            <w:pPr>
              <w:pStyle w:val="TableCellText"/>
              <w:spacing w:before="0" w:after="0"/>
              <w:ind w:left="0" w:right="0"/>
            </w:pPr>
            <w:r w:rsidRPr="001B09E6">
              <w:t>4.4</w:t>
            </w:r>
          </w:p>
        </w:tc>
      </w:tr>
      <w:tr w:rsidR="00E45705" w:rsidRPr="001B09E6" w14:paraId="5E6FA715" w14:textId="77777777" w:rsidTr="00E45705">
        <w:trPr>
          <w:gridBefore w:val="1"/>
          <w:wBefore w:w="5" w:type="pct"/>
          <w:trHeight w:val="816"/>
        </w:trPr>
        <w:tc>
          <w:tcPr>
            <w:tcW w:w="666" w:type="pct"/>
            <w:tcBorders>
              <w:bottom w:val="single" w:sz="4" w:space="0" w:color="auto"/>
            </w:tcBorders>
            <w:shd w:val="clear" w:color="auto" w:fill="auto"/>
            <w:hideMark/>
          </w:tcPr>
          <w:p w14:paraId="30B77798" w14:textId="77777777" w:rsidR="00E45705" w:rsidRPr="001B09E6" w:rsidRDefault="00E45705" w:rsidP="00E45705">
            <w:pPr>
              <w:pStyle w:val="TableCellText"/>
              <w:spacing w:before="0" w:after="0"/>
              <w:ind w:left="0" w:right="0"/>
            </w:pPr>
            <w:r w:rsidRPr="001B09E6">
              <w:t>Not in the labour force and not in 'FULL TIME' education</w:t>
            </w:r>
          </w:p>
        </w:tc>
        <w:tc>
          <w:tcPr>
            <w:tcW w:w="333" w:type="pct"/>
            <w:tcBorders>
              <w:bottom w:val="single" w:sz="4" w:space="0" w:color="auto"/>
            </w:tcBorders>
            <w:shd w:val="clear" w:color="auto" w:fill="auto"/>
            <w:noWrap/>
            <w:hideMark/>
          </w:tcPr>
          <w:p w14:paraId="0973C1C4" w14:textId="77777777" w:rsidR="00E45705" w:rsidRPr="001B09E6" w:rsidRDefault="00E45705" w:rsidP="00E45705">
            <w:pPr>
              <w:pStyle w:val="TableCellText"/>
              <w:spacing w:before="0" w:after="0"/>
              <w:ind w:left="0" w:right="0"/>
            </w:pPr>
            <w:r w:rsidRPr="001B09E6">
              <w:t>6.0</w:t>
            </w:r>
          </w:p>
        </w:tc>
        <w:tc>
          <w:tcPr>
            <w:tcW w:w="333" w:type="pct"/>
            <w:tcBorders>
              <w:bottom w:val="single" w:sz="4" w:space="0" w:color="auto"/>
            </w:tcBorders>
            <w:shd w:val="clear" w:color="auto" w:fill="auto"/>
            <w:noWrap/>
            <w:hideMark/>
          </w:tcPr>
          <w:p w14:paraId="38DD2185" w14:textId="77777777" w:rsidR="00E45705" w:rsidRPr="001B09E6" w:rsidRDefault="00E45705" w:rsidP="00E45705">
            <w:pPr>
              <w:pStyle w:val="TableCellText"/>
              <w:spacing w:before="0" w:after="0"/>
              <w:ind w:left="0" w:right="0"/>
            </w:pPr>
            <w:r w:rsidRPr="001B09E6">
              <w:t>6.0</w:t>
            </w:r>
          </w:p>
        </w:tc>
        <w:tc>
          <w:tcPr>
            <w:tcW w:w="333" w:type="pct"/>
            <w:tcBorders>
              <w:bottom w:val="single" w:sz="4" w:space="0" w:color="auto"/>
            </w:tcBorders>
            <w:shd w:val="clear" w:color="auto" w:fill="auto"/>
            <w:noWrap/>
            <w:hideMark/>
          </w:tcPr>
          <w:p w14:paraId="165BB054" w14:textId="77777777" w:rsidR="00E45705" w:rsidRPr="001B09E6" w:rsidRDefault="00E45705" w:rsidP="00E45705">
            <w:pPr>
              <w:pStyle w:val="TableCellText"/>
              <w:spacing w:before="0" w:after="0"/>
              <w:ind w:left="0" w:right="0"/>
            </w:pPr>
            <w:r w:rsidRPr="001B09E6">
              <w:t>6.4</w:t>
            </w:r>
          </w:p>
        </w:tc>
        <w:tc>
          <w:tcPr>
            <w:tcW w:w="333" w:type="pct"/>
            <w:tcBorders>
              <w:bottom w:val="single" w:sz="4" w:space="0" w:color="auto"/>
            </w:tcBorders>
            <w:shd w:val="clear" w:color="auto" w:fill="auto"/>
            <w:noWrap/>
            <w:hideMark/>
          </w:tcPr>
          <w:p w14:paraId="56884528" w14:textId="77777777" w:rsidR="00E45705" w:rsidRPr="001B09E6" w:rsidRDefault="00E45705" w:rsidP="00E45705">
            <w:pPr>
              <w:pStyle w:val="TableCellText"/>
              <w:spacing w:before="0" w:after="0"/>
              <w:ind w:left="0" w:right="0"/>
            </w:pPr>
            <w:r w:rsidRPr="001B09E6">
              <w:t>6.3</w:t>
            </w:r>
          </w:p>
        </w:tc>
        <w:tc>
          <w:tcPr>
            <w:tcW w:w="333" w:type="pct"/>
            <w:tcBorders>
              <w:bottom w:val="single" w:sz="4" w:space="0" w:color="auto"/>
            </w:tcBorders>
            <w:shd w:val="clear" w:color="auto" w:fill="auto"/>
            <w:noWrap/>
            <w:hideMark/>
          </w:tcPr>
          <w:p w14:paraId="44D1E3AD" w14:textId="77777777" w:rsidR="00E45705" w:rsidRPr="001B09E6" w:rsidRDefault="00E45705" w:rsidP="00E45705">
            <w:pPr>
              <w:pStyle w:val="TableCellText"/>
              <w:spacing w:before="0" w:after="0"/>
              <w:ind w:left="0" w:right="0"/>
            </w:pPr>
            <w:r w:rsidRPr="001B09E6">
              <w:t>6.9</w:t>
            </w:r>
          </w:p>
        </w:tc>
        <w:tc>
          <w:tcPr>
            <w:tcW w:w="333" w:type="pct"/>
            <w:tcBorders>
              <w:bottom w:val="single" w:sz="4" w:space="0" w:color="auto"/>
            </w:tcBorders>
            <w:shd w:val="clear" w:color="auto" w:fill="auto"/>
            <w:noWrap/>
            <w:hideMark/>
          </w:tcPr>
          <w:p w14:paraId="43183D03" w14:textId="77777777" w:rsidR="00E45705" w:rsidRPr="001B09E6" w:rsidRDefault="00E45705" w:rsidP="00E45705">
            <w:pPr>
              <w:pStyle w:val="TableCellText"/>
              <w:spacing w:before="0" w:after="0"/>
              <w:ind w:left="0" w:right="0"/>
            </w:pPr>
            <w:r w:rsidRPr="001B09E6">
              <w:t>6.2</w:t>
            </w:r>
          </w:p>
        </w:tc>
        <w:tc>
          <w:tcPr>
            <w:tcW w:w="333" w:type="pct"/>
            <w:tcBorders>
              <w:bottom w:val="single" w:sz="4" w:space="0" w:color="auto"/>
            </w:tcBorders>
            <w:shd w:val="clear" w:color="auto" w:fill="auto"/>
            <w:noWrap/>
            <w:hideMark/>
          </w:tcPr>
          <w:p w14:paraId="13E97BC7" w14:textId="77777777" w:rsidR="00E45705" w:rsidRPr="001B09E6" w:rsidRDefault="00E45705" w:rsidP="00E45705">
            <w:pPr>
              <w:pStyle w:val="TableCellText"/>
              <w:spacing w:before="0" w:after="0"/>
              <w:ind w:left="0" w:right="0"/>
            </w:pPr>
            <w:r w:rsidRPr="001B09E6">
              <w:t>6.3</w:t>
            </w:r>
          </w:p>
        </w:tc>
        <w:tc>
          <w:tcPr>
            <w:tcW w:w="333" w:type="pct"/>
            <w:tcBorders>
              <w:bottom w:val="single" w:sz="4" w:space="0" w:color="auto"/>
            </w:tcBorders>
            <w:shd w:val="clear" w:color="auto" w:fill="auto"/>
            <w:noWrap/>
            <w:hideMark/>
          </w:tcPr>
          <w:p w14:paraId="7F3E330B" w14:textId="77777777" w:rsidR="00E45705" w:rsidRPr="001B09E6" w:rsidRDefault="00E45705" w:rsidP="00E45705">
            <w:pPr>
              <w:pStyle w:val="TableCellText"/>
              <w:spacing w:before="0" w:after="0"/>
              <w:ind w:left="0" w:right="0"/>
            </w:pPr>
            <w:r w:rsidRPr="001B09E6">
              <w:t>6.1</w:t>
            </w:r>
          </w:p>
        </w:tc>
        <w:tc>
          <w:tcPr>
            <w:tcW w:w="333" w:type="pct"/>
            <w:tcBorders>
              <w:bottom w:val="single" w:sz="4" w:space="0" w:color="auto"/>
            </w:tcBorders>
            <w:shd w:val="clear" w:color="auto" w:fill="auto"/>
            <w:noWrap/>
            <w:hideMark/>
          </w:tcPr>
          <w:p w14:paraId="10391E37" w14:textId="77777777" w:rsidR="00E45705" w:rsidRPr="001B09E6" w:rsidRDefault="00E45705" w:rsidP="00E45705">
            <w:pPr>
              <w:pStyle w:val="TableCellText"/>
              <w:spacing w:before="0" w:after="0"/>
              <w:ind w:left="0" w:right="0"/>
            </w:pPr>
            <w:r w:rsidRPr="001B09E6">
              <w:t>5.6</w:t>
            </w:r>
          </w:p>
        </w:tc>
        <w:tc>
          <w:tcPr>
            <w:tcW w:w="333" w:type="pct"/>
            <w:tcBorders>
              <w:bottom w:val="single" w:sz="4" w:space="0" w:color="auto"/>
            </w:tcBorders>
            <w:shd w:val="clear" w:color="auto" w:fill="auto"/>
            <w:noWrap/>
            <w:hideMark/>
          </w:tcPr>
          <w:p w14:paraId="7A48E923" w14:textId="77777777" w:rsidR="00E45705" w:rsidRPr="001B09E6" w:rsidRDefault="00E45705" w:rsidP="00E45705">
            <w:pPr>
              <w:pStyle w:val="TableCellText"/>
              <w:spacing w:before="0" w:after="0"/>
              <w:ind w:left="0" w:right="0"/>
            </w:pPr>
            <w:r w:rsidRPr="001B09E6">
              <w:t>6.5</w:t>
            </w:r>
          </w:p>
        </w:tc>
        <w:tc>
          <w:tcPr>
            <w:tcW w:w="333" w:type="pct"/>
            <w:tcBorders>
              <w:bottom w:val="single" w:sz="4" w:space="0" w:color="auto"/>
            </w:tcBorders>
            <w:shd w:val="clear" w:color="auto" w:fill="auto"/>
            <w:noWrap/>
            <w:hideMark/>
          </w:tcPr>
          <w:p w14:paraId="5A24D6A7" w14:textId="77777777" w:rsidR="00E45705" w:rsidRPr="001B09E6" w:rsidRDefault="00E45705" w:rsidP="00E45705">
            <w:pPr>
              <w:pStyle w:val="TableCellText"/>
              <w:spacing w:before="0" w:after="0"/>
              <w:ind w:left="0" w:right="0"/>
            </w:pPr>
            <w:r w:rsidRPr="001B09E6">
              <w:t>6.7</w:t>
            </w:r>
          </w:p>
        </w:tc>
        <w:tc>
          <w:tcPr>
            <w:tcW w:w="333" w:type="pct"/>
            <w:gridSpan w:val="2"/>
            <w:tcBorders>
              <w:bottom w:val="single" w:sz="4" w:space="0" w:color="auto"/>
            </w:tcBorders>
            <w:shd w:val="clear" w:color="auto" w:fill="auto"/>
            <w:noWrap/>
            <w:hideMark/>
          </w:tcPr>
          <w:p w14:paraId="524BB715" w14:textId="77777777" w:rsidR="00E45705" w:rsidRPr="001B09E6" w:rsidRDefault="00E45705" w:rsidP="00E45705">
            <w:pPr>
              <w:pStyle w:val="TableCellText"/>
              <w:spacing w:before="0" w:after="0"/>
              <w:ind w:left="0" w:right="0"/>
            </w:pPr>
            <w:r w:rsidRPr="001B09E6">
              <w:t>6.9</w:t>
            </w:r>
          </w:p>
        </w:tc>
        <w:tc>
          <w:tcPr>
            <w:tcW w:w="333" w:type="pct"/>
            <w:tcBorders>
              <w:bottom w:val="single" w:sz="4" w:space="0" w:color="auto"/>
            </w:tcBorders>
            <w:shd w:val="clear" w:color="auto" w:fill="auto"/>
            <w:noWrap/>
            <w:hideMark/>
          </w:tcPr>
          <w:p w14:paraId="3DBB887B" w14:textId="77777777" w:rsidR="00E45705" w:rsidRPr="001B09E6" w:rsidRDefault="00E45705" w:rsidP="00E45705">
            <w:pPr>
              <w:pStyle w:val="TableCellText"/>
              <w:spacing w:before="0" w:after="0"/>
              <w:ind w:left="0" w:right="0"/>
            </w:pPr>
            <w:r w:rsidRPr="001B09E6">
              <w:t>6.5</w:t>
            </w:r>
          </w:p>
        </w:tc>
      </w:tr>
      <w:tr w:rsidR="00E45705" w:rsidRPr="001B09E6" w14:paraId="1D6D249D" w14:textId="77777777" w:rsidTr="00E45705">
        <w:trPr>
          <w:gridAfter w:val="2"/>
          <w:wAfter w:w="352" w:type="pct"/>
          <w:trHeight w:val="300"/>
        </w:trPr>
        <w:tc>
          <w:tcPr>
            <w:tcW w:w="4648" w:type="pct"/>
            <w:gridSpan w:val="14"/>
            <w:tcBorders>
              <w:top w:val="nil"/>
              <w:left w:val="nil"/>
              <w:bottom w:val="nil"/>
              <w:right w:val="nil"/>
            </w:tcBorders>
            <w:shd w:val="clear" w:color="auto" w:fill="auto"/>
            <w:noWrap/>
            <w:hideMark/>
          </w:tcPr>
          <w:p w14:paraId="7C69A6A5" w14:textId="77777777" w:rsidR="00E45705" w:rsidRPr="001B09E6" w:rsidRDefault="00E45705" w:rsidP="00E45705">
            <w:pPr>
              <w:pStyle w:val="Tablenote"/>
              <w:spacing w:before="60" w:after="60"/>
              <w:rPr>
                <w:rFonts w:asciiTheme="minorHAnsi" w:hAnsiTheme="minorHAnsi"/>
                <w:sz w:val="18"/>
                <w:szCs w:val="18"/>
                <w:lang w:eastAsia="en-AU"/>
              </w:rPr>
            </w:pPr>
            <w:r w:rsidRPr="001B09E6">
              <w:rPr>
                <w:rFonts w:asciiTheme="minorHAnsi" w:hAnsiTheme="minorHAnsi"/>
                <w:sz w:val="18"/>
                <w:szCs w:val="18"/>
                <w:lang w:eastAsia="en-AU"/>
              </w:rPr>
              <w:t>Source: 6291.0.55.001 Labour Force, Australia, Detailed - Electronic Delivery, Tables 03b &amp; 03c</w:t>
            </w:r>
          </w:p>
          <w:p w14:paraId="7C2AF5DC" w14:textId="77777777" w:rsidR="00E45705" w:rsidRPr="001B09E6" w:rsidRDefault="00E45705" w:rsidP="00E45705">
            <w:pPr>
              <w:pStyle w:val="Tablenote"/>
              <w:spacing w:before="60" w:after="60"/>
              <w:jc w:val="center"/>
              <w:rPr>
                <w:rFonts w:asciiTheme="minorHAnsi" w:hAnsiTheme="minorHAnsi"/>
                <w:sz w:val="18"/>
                <w:szCs w:val="18"/>
                <w:lang w:eastAsia="en-AU"/>
              </w:rPr>
            </w:pPr>
          </w:p>
          <w:p w14:paraId="1726E4BF" w14:textId="77777777" w:rsidR="00E45705" w:rsidRPr="001B09E6" w:rsidRDefault="00E45705" w:rsidP="00E45705">
            <w:pPr>
              <w:pStyle w:val="Tablenote"/>
              <w:spacing w:before="60" w:after="60"/>
              <w:jc w:val="center"/>
              <w:rPr>
                <w:rFonts w:asciiTheme="minorHAnsi" w:hAnsiTheme="minorHAnsi"/>
                <w:sz w:val="18"/>
                <w:szCs w:val="18"/>
                <w:lang w:eastAsia="en-AU"/>
              </w:rPr>
            </w:pPr>
          </w:p>
          <w:p w14:paraId="4A22358C" w14:textId="77777777" w:rsidR="00E45705" w:rsidRPr="001B09E6" w:rsidRDefault="00E45705" w:rsidP="00E45705">
            <w:pPr>
              <w:pStyle w:val="Tablenote"/>
              <w:spacing w:before="60" w:after="60"/>
              <w:jc w:val="center"/>
              <w:rPr>
                <w:rFonts w:asciiTheme="minorHAnsi" w:hAnsiTheme="minorHAnsi"/>
                <w:sz w:val="18"/>
                <w:szCs w:val="18"/>
                <w:lang w:eastAsia="en-AU"/>
              </w:rPr>
            </w:pPr>
          </w:p>
        </w:tc>
      </w:tr>
    </w:tbl>
    <w:p w14:paraId="7F224BF6" w14:textId="77777777" w:rsidR="00E45705" w:rsidRPr="001B09E6" w:rsidRDefault="00E45705" w:rsidP="00E45705">
      <w:pPr>
        <w:pStyle w:val="Heading3NoNumbering"/>
      </w:pPr>
      <w:bookmarkStart w:id="212" w:name="_Toc192134427"/>
      <w:bookmarkStart w:id="213" w:name="_Toc333919016"/>
      <w:r w:rsidRPr="001B09E6">
        <w:t>Table A2.32: Proportion of persons aged 15-24 employed full-time and not in education and attending full-time education, 2008-2012 (%)</w:t>
      </w:r>
      <w:bookmarkEnd w:id="212"/>
      <w:bookmarkEnd w:id="21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Caption w:val="Table A2.32: Proportion of persons aged 15-24 employed full-time and not in education and attending full-time education, 2008-2012 (%) "/>
        <w:tblDescription w:val="Table A2.32: Proportion of persons aged 15-24 employed full-time and not in education and attending full-time education, 2008-2012 (%)&#10;"/>
      </w:tblPr>
      <w:tblGrid>
        <w:gridCol w:w="2462"/>
        <w:gridCol w:w="3037"/>
        <w:gridCol w:w="3040"/>
        <w:gridCol w:w="3037"/>
        <w:gridCol w:w="3040"/>
      </w:tblGrid>
      <w:tr w:rsidR="00E45705" w:rsidRPr="001B09E6" w14:paraId="31708241" w14:textId="77777777" w:rsidTr="00E45705">
        <w:trPr>
          <w:trHeight w:val="300"/>
        </w:trPr>
        <w:tc>
          <w:tcPr>
            <w:tcW w:w="842" w:type="pct"/>
            <w:tcBorders>
              <w:top w:val="single" w:sz="4" w:space="0" w:color="auto"/>
              <w:left w:val="nil"/>
              <w:bottom w:val="nil"/>
              <w:right w:val="nil"/>
            </w:tcBorders>
            <w:shd w:val="clear" w:color="auto" w:fill="auto"/>
            <w:noWrap/>
            <w:hideMark/>
          </w:tcPr>
          <w:p w14:paraId="61C90DA8" w14:textId="77777777" w:rsidR="00E45705" w:rsidRPr="001B09E6" w:rsidRDefault="00E45705" w:rsidP="00E45705">
            <w:pPr>
              <w:pStyle w:val="TableColumnHeading"/>
              <w:spacing w:before="0" w:after="0"/>
              <w:ind w:left="0" w:right="0"/>
              <w:jc w:val="center"/>
            </w:pPr>
          </w:p>
        </w:tc>
        <w:tc>
          <w:tcPr>
            <w:tcW w:w="2079" w:type="pct"/>
            <w:gridSpan w:val="2"/>
            <w:tcBorders>
              <w:top w:val="single" w:sz="4" w:space="0" w:color="auto"/>
              <w:left w:val="nil"/>
              <w:bottom w:val="nil"/>
              <w:right w:val="nil"/>
            </w:tcBorders>
            <w:shd w:val="clear" w:color="auto" w:fill="auto"/>
            <w:noWrap/>
            <w:hideMark/>
          </w:tcPr>
          <w:p w14:paraId="791DD872" w14:textId="77777777" w:rsidR="00E45705" w:rsidRPr="001B09E6" w:rsidRDefault="00E45705" w:rsidP="00E45705">
            <w:pPr>
              <w:pStyle w:val="TableColumnHeading"/>
              <w:spacing w:before="0" w:after="0"/>
              <w:ind w:left="0" w:right="0"/>
              <w:jc w:val="center"/>
            </w:pPr>
            <w:r w:rsidRPr="001B09E6">
              <w:t>Age 15 - 19</w:t>
            </w:r>
          </w:p>
        </w:tc>
        <w:tc>
          <w:tcPr>
            <w:tcW w:w="2079" w:type="pct"/>
            <w:gridSpan w:val="2"/>
            <w:tcBorders>
              <w:top w:val="single" w:sz="4" w:space="0" w:color="auto"/>
              <w:left w:val="nil"/>
              <w:bottom w:val="nil"/>
              <w:right w:val="nil"/>
            </w:tcBorders>
            <w:shd w:val="clear" w:color="auto" w:fill="auto"/>
            <w:noWrap/>
            <w:hideMark/>
          </w:tcPr>
          <w:p w14:paraId="09057545" w14:textId="77777777" w:rsidR="00E45705" w:rsidRPr="001B09E6" w:rsidRDefault="00E45705" w:rsidP="00E45705">
            <w:pPr>
              <w:pStyle w:val="TableColumnHeading"/>
              <w:spacing w:before="0" w:after="0"/>
              <w:ind w:left="0" w:right="0"/>
              <w:jc w:val="center"/>
            </w:pPr>
            <w:r w:rsidRPr="001B09E6">
              <w:t>Age 20 - 24</w:t>
            </w:r>
          </w:p>
        </w:tc>
      </w:tr>
      <w:tr w:rsidR="00E45705" w:rsidRPr="001B09E6" w14:paraId="165B85AC" w14:textId="77777777" w:rsidTr="002B71D9">
        <w:trPr>
          <w:trHeight w:val="581"/>
        </w:trPr>
        <w:tc>
          <w:tcPr>
            <w:tcW w:w="842" w:type="pct"/>
            <w:tcBorders>
              <w:top w:val="nil"/>
              <w:left w:val="nil"/>
              <w:bottom w:val="single" w:sz="6" w:space="0" w:color="auto"/>
              <w:right w:val="nil"/>
            </w:tcBorders>
            <w:shd w:val="clear" w:color="auto" w:fill="auto"/>
            <w:noWrap/>
            <w:hideMark/>
          </w:tcPr>
          <w:p w14:paraId="4441B534" w14:textId="77777777" w:rsidR="00E45705" w:rsidRPr="001B09E6" w:rsidRDefault="00E45705" w:rsidP="00E45705">
            <w:pPr>
              <w:rPr>
                <w:rFonts w:ascii="Calibri" w:eastAsia="Times New Roman" w:hAnsi="Calibri"/>
                <w:color w:val="000000"/>
                <w:sz w:val="22"/>
                <w:szCs w:val="22"/>
                <w:lang w:eastAsia="en-AU"/>
              </w:rPr>
            </w:pPr>
          </w:p>
        </w:tc>
        <w:tc>
          <w:tcPr>
            <w:tcW w:w="1039" w:type="pct"/>
            <w:tcBorders>
              <w:top w:val="nil"/>
              <w:left w:val="nil"/>
              <w:bottom w:val="single" w:sz="6" w:space="0" w:color="auto"/>
              <w:right w:val="nil"/>
            </w:tcBorders>
            <w:shd w:val="clear" w:color="auto" w:fill="auto"/>
            <w:hideMark/>
          </w:tcPr>
          <w:p w14:paraId="27D17192" w14:textId="77777777" w:rsidR="00E45705" w:rsidRPr="001B09E6" w:rsidRDefault="00E45705" w:rsidP="00E45705">
            <w:pPr>
              <w:pStyle w:val="TableSub-Heading"/>
              <w:spacing w:before="0" w:after="0"/>
              <w:ind w:left="0" w:right="0"/>
              <w:jc w:val="center"/>
              <w:rPr>
                <w:lang w:eastAsia="en-AU"/>
              </w:rPr>
            </w:pPr>
            <w:r w:rsidRPr="001B09E6">
              <w:rPr>
                <w:lang w:eastAsia="en-AU"/>
              </w:rPr>
              <w:t>Employed Full Time Not attending full-time education</w:t>
            </w:r>
          </w:p>
        </w:tc>
        <w:tc>
          <w:tcPr>
            <w:tcW w:w="1040" w:type="pct"/>
            <w:tcBorders>
              <w:top w:val="nil"/>
              <w:left w:val="nil"/>
              <w:bottom w:val="single" w:sz="6" w:space="0" w:color="auto"/>
              <w:right w:val="nil"/>
            </w:tcBorders>
            <w:shd w:val="clear" w:color="auto" w:fill="auto"/>
            <w:hideMark/>
          </w:tcPr>
          <w:p w14:paraId="28FEB42C" w14:textId="77777777" w:rsidR="00E45705" w:rsidRPr="001B09E6" w:rsidRDefault="00E45705" w:rsidP="00E45705">
            <w:pPr>
              <w:pStyle w:val="TableSub-Heading"/>
              <w:spacing w:before="0" w:after="0"/>
              <w:ind w:left="0" w:right="0"/>
              <w:jc w:val="center"/>
              <w:rPr>
                <w:lang w:eastAsia="en-AU"/>
              </w:rPr>
            </w:pPr>
            <w:r w:rsidRPr="001B09E6">
              <w:rPr>
                <w:lang w:eastAsia="en-AU"/>
              </w:rPr>
              <w:t>Attending full-time education</w:t>
            </w:r>
          </w:p>
        </w:tc>
        <w:tc>
          <w:tcPr>
            <w:tcW w:w="1039" w:type="pct"/>
            <w:tcBorders>
              <w:top w:val="nil"/>
              <w:left w:val="nil"/>
              <w:bottom w:val="single" w:sz="6" w:space="0" w:color="auto"/>
              <w:right w:val="nil"/>
            </w:tcBorders>
            <w:shd w:val="clear" w:color="auto" w:fill="auto"/>
            <w:hideMark/>
          </w:tcPr>
          <w:p w14:paraId="4E52D66C" w14:textId="77777777" w:rsidR="00E45705" w:rsidRPr="001B09E6" w:rsidRDefault="00E45705" w:rsidP="00E45705">
            <w:pPr>
              <w:pStyle w:val="TableSub-Heading"/>
              <w:spacing w:before="0" w:after="0"/>
              <w:ind w:left="0" w:right="0"/>
              <w:jc w:val="center"/>
              <w:rPr>
                <w:lang w:eastAsia="en-AU"/>
              </w:rPr>
            </w:pPr>
            <w:r w:rsidRPr="001B09E6">
              <w:rPr>
                <w:lang w:eastAsia="en-AU"/>
              </w:rPr>
              <w:t>Employed Full Time Not attending full-time education</w:t>
            </w:r>
          </w:p>
        </w:tc>
        <w:tc>
          <w:tcPr>
            <w:tcW w:w="1040" w:type="pct"/>
            <w:tcBorders>
              <w:top w:val="nil"/>
              <w:left w:val="nil"/>
              <w:bottom w:val="single" w:sz="6" w:space="0" w:color="auto"/>
              <w:right w:val="nil"/>
            </w:tcBorders>
            <w:shd w:val="clear" w:color="auto" w:fill="auto"/>
            <w:hideMark/>
          </w:tcPr>
          <w:p w14:paraId="5AF8D04A" w14:textId="77777777" w:rsidR="00E45705" w:rsidRPr="001B09E6" w:rsidRDefault="00E45705" w:rsidP="00E45705">
            <w:pPr>
              <w:pStyle w:val="TableSub-Heading"/>
              <w:spacing w:before="0" w:after="0"/>
              <w:ind w:left="0" w:right="0"/>
              <w:jc w:val="center"/>
              <w:rPr>
                <w:lang w:eastAsia="en-AU"/>
              </w:rPr>
            </w:pPr>
            <w:r w:rsidRPr="001B09E6">
              <w:rPr>
                <w:lang w:eastAsia="en-AU"/>
              </w:rPr>
              <w:t>Attending full-time education</w:t>
            </w:r>
          </w:p>
        </w:tc>
      </w:tr>
      <w:tr w:rsidR="00E45705" w:rsidRPr="001B09E6" w14:paraId="3ACF7482" w14:textId="77777777" w:rsidTr="00E45705">
        <w:trPr>
          <w:trHeight w:val="300"/>
        </w:trPr>
        <w:tc>
          <w:tcPr>
            <w:tcW w:w="842" w:type="pct"/>
            <w:tcBorders>
              <w:top w:val="single" w:sz="6" w:space="0" w:color="auto"/>
              <w:left w:val="nil"/>
              <w:bottom w:val="nil"/>
              <w:right w:val="nil"/>
            </w:tcBorders>
            <w:shd w:val="clear" w:color="auto" w:fill="auto"/>
            <w:noWrap/>
            <w:hideMark/>
          </w:tcPr>
          <w:p w14:paraId="5023C258" w14:textId="77777777" w:rsidR="00E45705" w:rsidRPr="001B09E6" w:rsidRDefault="00E45705" w:rsidP="00E45705">
            <w:pPr>
              <w:pStyle w:val="TableCellText"/>
              <w:spacing w:before="0" w:after="0"/>
              <w:ind w:left="0" w:right="0"/>
              <w:jc w:val="center"/>
              <w:rPr>
                <w:lang w:eastAsia="en-AU"/>
              </w:rPr>
            </w:pPr>
            <w:r w:rsidRPr="001B09E6">
              <w:rPr>
                <w:lang w:eastAsia="en-AU"/>
              </w:rPr>
              <w:t>May-2008</w:t>
            </w:r>
          </w:p>
        </w:tc>
        <w:tc>
          <w:tcPr>
            <w:tcW w:w="1039" w:type="pct"/>
            <w:tcBorders>
              <w:top w:val="single" w:sz="6" w:space="0" w:color="auto"/>
              <w:left w:val="nil"/>
              <w:bottom w:val="nil"/>
              <w:right w:val="nil"/>
            </w:tcBorders>
            <w:shd w:val="clear" w:color="auto" w:fill="auto"/>
            <w:noWrap/>
            <w:hideMark/>
          </w:tcPr>
          <w:p w14:paraId="06E37FEA" w14:textId="77777777" w:rsidR="00E45705" w:rsidRPr="001B09E6" w:rsidRDefault="00E45705" w:rsidP="00E45705">
            <w:pPr>
              <w:pStyle w:val="TableCellText"/>
              <w:spacing w:before="0" w:after="0"/>
              <w:ind w:left="0" w:right="0"/>
              <w:jc w:val="center"/>
              <w:rPr>
                <w:lang w:eastAsia="en-AU"/>
              </w:rPr>
            </w:pPr>
            <w:r w:rsidRPr="001B09E6">
              <w:rPr>
                <w:lang w:eastAsia="en-AU"/>
              </w:rPr>
              <w:t>16.7</w:t>
            </w:r>
          </w:p>
        </w:tc>
        <w:tc>
          <w:tcPr>
            <w:tcW w:w="1040" w:type="pct"/>
            <w:tcBorders>
              <w:top w:val="single" w:sz="6" w:space="0" w:color="auto"/>
              <w:left w:val="nil"/>
              <w:bottom w:val="nil"/>
              <w:right w:val="nil"/>
            </w:tcBorders>
            <w:shd w:val="clear" w:color="auto" w:fill="auto"/>
            <w:noWrap/>
            <w:hideMark/>
          </w:tcPr>
          <w:p w14:paraId="60AEF498" w14:textId="77777777" w:rsidR="00E45705" w:rsidRPr="001B09E6" w:rsidRDefault="00E45705" w:rsidP="00E45705">
            <w:pPr>
              <w:pStyle w:val="TableCellText"/>
              <w:spacing w:before="0" w:after="0"/>
              <w:ind w:left="0" w:right="0"/>
              <w:jc w:val="center"/>
              <w:rPr>
                <w:lang w:eastAsia="en-AU"/>
              </w:rPr>
            </w:pPr>
            <w:r w:rsidRPr="001B09E6">
              <w:rPr>
                <w:lang w:eastAsia="en-AU"/>
              </w:rPr>
              <w:t>69.9</w:t>
            </w:r>
          </w:p>
        </w:tc>
        <w:tc>
          <w:tcPr>
            <w:tcW w:w="1039" w:type="pct"/>
            <w:tcBorders>
              <w:top w:val="single" w:sz="6" w:space="0" w:color="auto"/>
              <w:left w:val="nil"/>
              <w:bottom w:val="nil"/>
              <w:right w:val="nil"/>
            </w:tcBorders>
            <w:shd w:val="clear" w:color="auto" w:fill="auto"/>
            <w:noWrap/>
            <w:hideMark/>
          </w:tcPr>
          <w:p w14:paraId="32EA5B16" w14:textId="77777777" w:rsidR="00E45705" w:rsidRPr="001B09E6" w:rsidRDefault="00E45705" w:rsidP="00E45705">
            <w:pPr>
              <w:pStyle w:val="TableCellText"/>
              <w:spacing w:before="0" w:after="0"/>
              <w:ind w:left="0" w:right="0"/>
              <w:jc w:val="center"/>
              <w:rPr>
                <w:lang w:eastAsia="en-AU"/>
              </w:rPr>
            </w:pPr>
            <w:r w:rsidRPr="001B09E6">
              <w:rPr>
                <w:lang w:eastAsia="en-AU"/>
              </w:rPr>
              <w:t>50.2</w:t>
            </w:r>
          </w:p>
        </w:tc>
        <w:tc>
          <w:tcPr>
            <w:tcW w:w="1040" w:type="pct"/>
            <w:tcBorders>
              <w:top w:val="single" w:sz="6" w:space="0" w:color="auto"/>
              <w:left w:val="nil"/>
              <w:bottom w:val="nil"/>
              <w:right w:val="nil"/>
            </w:tcBorders>
            <w:shd w:val="clear" w:color="auto" w:fill="auto"/>
            <w:noWrap/>
            <w:hideMark/>
          </w:tcPr>
          <w:p w14:paraId="63B53C19" w14:textId="77777777" w:rsidR="00E45705" w:rsidRPr="001B09E6" w:rsidRDefault="00E45705" w:rsidP="00E45705">
            <w:pPr>
              <w:pStyle w:val="TableCellText"/>
              <w:spacing w:before="0" w:after="0"/>
              <w:ind w:left="0" w:right="0"/>
              <w:jc w:val="center"/>
              <w:rPr>
                <w:lang w:eastAsia="en-AU"/>
              </w:rPr>
            </w:pPr>
            <w:r w:rsidRPr="001B09E6">
              <w:rPr>
                <w:lang w:eastAsia="en-AU"/>
              </w:rPr>
              <w:t>28.4</w:t>
            </w:r>
          </w:p>
        </w:tc>
      </w:tr>
      <w:tr w:rsidR="00E45705" w:rsidRPr="001B09E6" w14:paraId="6B8EA34A" w14:textId="77777777" w:rsidTr="00E45705">
        <w:trPr>
          <w:trHeight w:val="300"/>
        </w:trPr>
        <w:tc>
          <w:tcPr>
            <w:tcW w:w="842" w:type="pct"/>
            <w:tcBorders>
              <w:top w:val="nil"/>
              <w:left w:val="nil"/>
              <w:bottom w:val="nil"/>
              <w:right w:val="nil"/>
            </w:tcBorders>
            <w:shd w:val="clear" w:color="auto" w:fill="auto"/>
            <w:noWrap/>
            <w:hideMark/>
          </w:tcPr>
          <w:p w14:paraId="43B56882" w14:textId="77777777" w:rsidR="00E45705" w:rsidRPr="001B09E6" w:rsidRDefault="00E45705" w:rsidP="00E45705">
            <w:pPr>
              <w:pStyle w:val="TableCellText"/>
              <w:spacing w:before="0" w:after="0"/>
              <w:ind w:left="0" w:right="0"/>
              <w:jc w:val="center"/>
              <w:rPr>
                <w:lang w:eastAsia="en-AU"/>
              </w:rPr>
            </w:pPr>
            <w:r w:rsidRPr="001B09E6">
              <w:rPr>
                <w:lang w:eastAsia="en-AU"/>
              </w:rPr>
              <w:t>May-2009</w:t>
            </w:r>
          </w:p>
        </w:tc>
        <w:tc>
          <w:tcPr>
            <w:tcW w:w="1039" w:type="pct"/>
            <w:tcBorders>
              <w:top w:val="nil"/>
              <w:left w:val="nil"/>
              <w:bottom w:val="nil"/>
              <w:right w:val="nil"/>
            </w:tcBorders>
            <w:shd w:val="clear" w:color="auto" w:fill="auto"/>
            <w:noWrap/>
            <w:hideMark/>
          </w:tcPr>
          <w:p w14:paraId="21770F6E" w14:textId="77777777" w:rsidR="00E45705" w:rsidRPr="001B09E6" w:rsidRDefault="00E45705" w:rsidP="00E45705">
            <w:pPr>
              <w:pStyle w:val="TableCellText"/>
              <w:spacing w:before="0" w:after="0"/>
              <w:ind w:left="0" w:right="0"/>
              <w:jc w:val="center"/>
              <w:rPr>
                <w:lang w:eastAsia="en-AU"/>
              </w:rPr>
            </w:pPr>
            <w:r w:rsidRPr="001B09E6">
              <w:rPr>
                <w:lang w:eastAsia="en-AU"/>
              </w:rPr>
              <w:t>14.0</w:t>
            </w:r>
          </w:p>
        </w:tc>
        <w:tc>
          <w:tcPr>
            <w:tcW w:w="1040" w:type="pct"/>
            <w:tcBorders>
              <w:top w:val="nil"/>
              <w:left w:val="nil"/>
              <w:bottom w:val="nil"/>
              <w:right w:val="nil"/>
            </w:tcBorders>
            <w:shd w:val="clear" w:color="auto" w:fill="auto"/>
            <w:noWrap/>
            <w:hideMark/>
          </w:tcPr>
          <w:p w14:paraId="6F97BE62" w14:textId="77777777" w:rsidR="00E45705" w:rsidRPr="001B09E6" w:rsidRDefault="00E45705" w:rsidP="00E45705">
            <w:pPr>
              <w:pStyle w:val="TableCellText"/>
              <w:spacing w:before="0" w:after="0"/>
              <w:ind w:left="0" w:right="0"/>
              <w:jc w:val="center"/>
              <w:rPr>
                <w:lang w:eastAsia="en-AU"/>
              </w:rPr>
            </w:pPr>
            <w:r w:rsidRPr="001B09E6">
              <w:rPr>
                <w:lang w:eastAsia="en-AU"/>
              </w:rPr>
              <w:t>69.5</w:t>
            </w:r>
          </w:p>
        </w:tc>
        <w:tc>
          <w:tcPr>
            <w:tcW w:w="1039" w:type="pct"/>
            <w:tcBorders>
              <w:top w:val="nil"/>
              <w:left w:val="nil"/>
              <w:bottom w:val="nil"/>
              <w:right w:val="nil"/>
            </w:tcBorders>
            <w:shd w:val="clear" w:color="auto" w:fill="auto"/>
            <w:noWrap/>
            <w:hideMark/>
          </w:tcPr>
          <w:p w14:paraId="2B6FA41F" w14:textId="77777777" w:rsidR="00E45705" w:rsidRPr="001B09E6" w:rsidRDefault="00E45705" w:rsidP="00E45705">
            <w:pPr>
              <w:pStyle w:val="TableCellText"/>
              <w:spacing w:before="0" w:after="0"/>
              <w:ind w:left="0" w:right="0"/>
              <w:jc w:val="center"/>
              <w:rPr>
                <w:lang w:eastAsia="en-AU"/>
              </w:rPr>
            </w:pPr>
            <w:r w:rsidRPr="001B09E6">
              <w:rPr>
                <w:lang w:eastAsia="en-AU"/>
              </w:rPr>
              <w:t>45.6</w:t>
            </w:r>
          </w:p>
        </w:tc>
        <w:tc>
          <w:tcPr>
            <w:tcW w:w="1040" w:type="pct"/>
            <w:tcBorders>
              <w:top w:val="nil"/>
              <w:left w:val="nil"/>
              <w:bottom w:val="nil"/>
              <w:right w:val="nil"/>
            </w:tcBorders>
            <w:shd w:val="clear" w:color="auto" w:fill="auto"/>
            <w:noWrap/>
            <w:hideMark/>
          </w:tcPr>
          <w:p w14:paraId="74F8101A" w14:textId="77777777" w:rsidR="00E45705" w:rsidRPr="001B09E6" w:rsidRDefault="00E45705" w:rsidP="00E45705">
            <w:pPr>
              <w:pStyle w:val="TableCellText"/>
              <w:spacing w:before="0" w:after="0"/>
              <w:ind w:left="0" w:right="0"/>
              <w:jc w:val="center"/>
              <w:rPr>
                <w:lang w:eastAsia="en-AU"/>
              </w:rPr>
            </w:pPr>
            <w:r w:rsidRPr="001B09E6">
              <w:rPr>
                <w:lang w:eastAsia="en-AU"/>
              </w:rPr>
              <w:t>29.1</w:t>
            </w:r>
          </w:p>
        </w:tc>
      </w:tr>
      <w:tr w:rsidR="00E45705" w:rsidRPr="001B09E6" w14:paraId="14291CCD" w14:textId="77777777" w:rsidTr="00E45705">
        <w:trPr>
          <w:trHeight w:val="300"/>
        </w:trPr>
        <w:tc>
          <w:tcPr>
            <w:tcW w:w="842" w:type="pct"/>
            <w:tcBorders>
              <w:top w:val="nil"/>
              <w:left w:val="nil"/>
              <w:bottom w:val="nil"/>
              <w:right w:val="nil"/>
            </w:tcBorders>
            <w:shd w:val="clear" w:color="auto" w:fill="auto"/>
            <w:noWrap/>
            <w:hideMark/>
          </w:tcPr>
          <w:p w14:paraId="5A1B32CF" w14:textId="77777777" w:rsidR="00E45705" w:rsidRPr="001B09E6" w:rsidRDefault="00E45705" w:rsidP="00E45705">
            <w:pPr>
              <w:pStyle w:val="TableCellText"/>
              <w:spacing w:before="0" w:after="0"/>
              <w:ind w:left="0" w:right="0"/>
              <w:jc w:val="center"/>
              <w:rPr>
                <w:lang w:eastAsia="en-AU"/>
              </w:rPr>
            </w:pPr>
            <w:r w:rsidRPr="001B09E6">
              <w:rPr>
                <w:lang w:eastAsia="en-AU"/>
              </w:rPr>
              <w:t>May-2010</w:t>
            </w:r>
          </w:p>
        </w:tc>
        <w:tc>
          <w:tcPr>
            <w:tcW w:w="1039" w:type="pct"/>
            <w:tcBorders>
              <w:top w:val="nil"/>
              <w:left w:val="nil"/>
              <w:bottom w:val="nil"/>
              <w:right w:val="nil"/>
            </w:tcBorders>
            <w:shd w:val="clear" w:color="auto" w:fill="auto"/>
            <w:noWrap/>
            <w:hideMark/>
          </w:tcPr>
          <w:p w14:paraId="607922D0" w14:textId="77777777" w:rsidR="00E45705" w:rsidRPr="001B09E6" w:rsidRDefault="00E45705" w:rsidP="00E45705">
            <w:pPr>
              <w:pStyle w:val="TableCellText"/>
              <w:spacing w:before="0" w:after="0"/>
              <w:ind w:left="0" w:right="0"/>
              <w:jc w:val="center"/>
              <w:rPr>
                <w:lang w:eastAsia="en-AU"/>
              </w:rPr>
            </w:pPr>
            <w:r w:rsidRPr="001B09E6">
              <w:rPr>
                <w:lang w:eastAsia="en-AU"/>
              </w:rPr>
              <w:t>13.4</w:t>
            </w:r>
          </w:p>
        </w:tc>
        <w:tc>
          <w:tcPr>
            <w:tcW w:w="1040" w:type="pct"/>
            <w:tcBorders>
              <w:top w:val="nil"/>
              <w:left w:val="nil"/>
              <w:bottom w:val="nil"/>
              <w:right w:val="nil"/>
            </w:tcBorders>
            <w:shd w:val="clear" w:color="auto" w:fill="auto"/>
            <w:noWrap/>
            <w:hideMark/>
          </w:tcPr>
          <w:p w14:paraId="223969D2" w14:textId="77777777" w:rsidR="00E45705" w:rsidRPr="001B09E6" w:rsidRDefault="00E45705" w:rsidP="00E45705">
            <w:pPr>
              <w:pStyle w:val="TableCellText"/>
              <w:spacing w:before="0" w:after="0"/>
              <w:ind w:left="0" w:right="0"/>
              <w:jc w:val="center"/>
              <w:rPr>
                <w:lang w:eastAsia="en-AU"/>
              </w:rPr>
            </w:pPr>
            <w:r w:rsidRPr="001B09E6">
              <w:rPr>
                <w:lang w:eastAsia="en-AU"/>
              </w:rPr>
              <w:t>70.2</w:t>
            </w:r>
          </w:p>
        </w:tc>
        <w:tc>
          <w:tcPr>
            <w:tcW w:w="1039" w:type="pct"/>
            <w:tcBorders>
              <w:top w:val="nil"/>
              <w:left w:val="nil"/>
              <w:bottom w:val="nil"/>
              <w:right w:val="nil"/>
            </w:tcBorders>
            <w:shd w:val="clear" w:color="auto" w:fill="auto"/>
            <w:noWrap/>
            <w:hideMark/>
          </w:tcPr>
          <w:p w14:paraId="0F9D521E" w14:textId="77777777" w:rsidR="00E45705" w:rsidRPr="001B09E6" w:rsidRDefault="00E45705" w:rsidP="00E45705">
            <w:pPr>
              <w:pStyle w:val="TableCellText"/>
              <w:spacing w:before="0" w:after="0"/>
              <w:ind w:left="0" w:right="0"/>
              <w:jc w:val="center"/>
              <w:rPr>
                <w:lang w:eastAsia="en-AU"/>
              </w:rPr>
            </w:pPr>
            <w:r w:rsidRPr="001B09E6">
              <w:rPr>
                <w:lang w:eastAsia="en-AU"/>
              </w:rPr>
              <w:t>46.3</w:t>
            </w:r>
          </w:p>
        </w:tc>
        <w:tc>
          <w:tcPr>
            <w:tcW w:w="1040" w:type="pct"/>
            <w:tcBorders>
              <w:top w:val="nil"/>
              <w:left w:val="nil"/>
              <w:bottom w:val="nil"/>
              <w:right w:val="nil"/>
            </w:tcBorders>
            <w:shd w:val="clear" w:color="auto" w:fill="auto"/>
            <w:noWrap/>
            <w:hideMark/>
          </w:tcPr>
          <w:p w14:paraId="2163FE8D" w14:textId="77777777" w:rsidR="00E45705" w:rsidRPr="001B09E6" w:rsidRDefault="00E45705" w:rsidP="00E45705">
            <w:pPr>
              <w:pStyle w:val="TableCellText"/>
              <w:spacing w:before="0" w:after="0"/>
              <w:ind w:left="0" w:right="0"/>
              <w:jc w:val="center"/>
              <w:rPr>
                <w:lang w:eastAsia="en-AU"/>
              </w:rPr>
            </w:pPr>
            <w:r w:rsidRPr="001B09E6">
              <w:rPr>
                <w:lang w:eastAsia="en-AU"/>
              </w:rPr>
              <w:t>29.5</w:t>
            </w:r>
          </w:p>
        </w:tc>
      </w:tr>
      <w:tr w:rsidR="00E45705" w:rsidRPr="001B09E6" w14:paraId="02CC180E" w14:textId="77777777" w:rsidTr="00E45705">
        <w:trPr>
          <w:trHeight w:val="300"/>
        </w:trPr>
        <w:tc>
          <w:tcPr>
            <w:tcW w:w="842" w:type="pct"/>
            <w:tcBorders>
              <w:top w:val="nil"/>
              <w:left w:val="nil"/>
              <w:bottom w:val="nil"/>
              <w:right w:val="nil"/>
            </w:tcBorders>
            <w:shd w:val="clear" w:color="auto" w:fill="auto"/>
            <w:noWrap/>
            <w:hideMark/>
          </w:tcPr>
          <w:p w14:paraId="08429315" w14:textId="77777777" w:rsidR="00E45705" w:rsidRPr="001B09E6" w:rsidRDefault="00E45705" w:rsidP="00E45705">
            <w:pPr>
              <w:pStyle w:val="TableCellText"/>
              <w:spacing w:before="0" w:after="0"/>
              <w:ind w:left="0" w:right="0"/>
              <w:jc w:val="center"/>
              <w:rPr>
                <w:lang w:eastAsia="en-AU"/>
              </w:rPr>
            </w:pPr>
            <w:r w:rsidRPr="001B09E6">
              <w:rPr>
                <w:lang w:eastAsia="en-AU"/>
              </w:rPr>
              <w:t>May-2011</w:t>
            </w:r>
          </w:p>
        </w:tc>
        <w:tc>
          <w:tcPr>
            <w:tcW w:w="1039" w:type="pct"/>
            <w:tcBorders>
              <w:top w:val="nil"/>
              <w:left w:val="nil"/>
              <w:bottom w:val="nil"/>
              <w:right w:val="nil"/>
            </w:tcBorders>
            <w:shd w:val="clear" w:color="auto" w:fill="auto"/>
            <w:noWrap/>
            <w:hideMark/>
          </w:tcPr>
          <w:p w14:paraId="7D113F5A" w14:textId="77777777" w:rsidR="00E45705" w:rsidRPr="001B09E6" w:rsidRDefault="00E45705" w:rsidP="00E45705">
            <w:pPr>
              <w:pStyle w:val="TableCellText"/>
              <w:spacing w:before="0" w:after="0"/>
              <w:ind w:left="0" w:right="0"/>
              <w:jc w:val="center"/>
              <w:rPr>
                <w:lang w:eastAsia="en-AU"/>
              </w:rPr>
            </w:pPr>
            <w:r w:rsidRPr="001B09E6">
              <w:rPr>
                <w:lang w:eastAsia="en-AU"/>
              </w:rPr>
              <w:t>12.8</w:t>
            </w:r>
          </w:p>
        </w:tc>
        <w:tc>
          <w:tcPr>
            <w:tcW w:w="1040" w:type="pct"/>
            <w:tcBorders>
              <w:top w:val="nil"/>
              <w:left w:val="nil"/>
              <w:bottom w:val="nil"/>
              <w:right w:val="nil"/>
            </w:tcBorders>
            <w:shd w:val="clear" w:color="auto" w:fill="auto"/>
            <w:noWrap/>
            <w:hideMark/>
          </w:tcPr>
          <w:p w14:paraId="19B85EC7" w14:textId="77777777" w:rsidR="00E45705" w:rsidRPr="001B09E6" w:rsidRDefault="00E45705" w:rsidP="00E45705">
            <w:pPr>
              <w:pStyle w:val="TableCellText"/>
              <w:spacing w:before="0" w:after="0"/>
              <w:ind w:left="0" w:right="0"/>
              <w:jc w:val="center"/>
              <w:rPr>
                <w:lang w:eastAsia="en-AU"/>
              </w:rPr>
            </w:pPr>
            <w:r w:rsidRPr="001B09E6">
              <w:rPr>
                <w:lang w:eastAsia="en-AU"/>
              </w:rPr>
              <w:t>71.7</w:t>
            </w:r>
          </w:p>
        </w:tc>
        <w:tc>
          <w:tcPr>
            <w:tcW w:w="1039" w:type="pct"/>
            <w:tcBorders>
              <w:top w:val="nil"/>
              <w:left w:val="nil"/>
              <w:bottom w:val="nil"/>
              <w:right w:val="nil"/>
            </w:tcBorders>
            <w:shd w:val="clear" w:color="auto" w:fill="auto"/>
            <w:noWrap/>
            <w:hideMark/>
          </w:tcPr>
          <w:p w14:paraId="5118AE2A" w14:textId="77777777" w:rsidR="00E45705" w:rsidRPr="001B09E6" w:rsidRDefault="00E45705" w:rsidP="00E45705">
            <w:pPr>
              <w:pStyle w:val="TableCellText"/>
              <w:spacing w:before="0" w:after="0"/>
              <w:ind w:left="0" w:right="0"/>
              <w:jc w:val="center"/>
              <w:rPr>
                <w:lang w:eastAsia="en-AU"/>
              </w:rPr>
            </w:pPr>
            <w:r w:rsidRPr="001B09E6">
              <w:rPr>
                <w:lang w:eastAsia="en-AU"/>
              </w:rPr>
              <w:t>44.9</w:t>
            </w:r>
          </w:p>
        </w:tc>
        <w:tc>
          <w:tcPr>
            <w:tcW w:w="1040" w:type="pct"/>
            <w:tcBorders>
              <w:top w:val="nil"/>
              <w:left w:val="nil"/>
              <w:bottom w:val="nil"/>
              <w:right w:val="nil"/>
            </w:tcBorders>
            <w:shd w:val="clear" w:color="auto" w:fill="auto"/>
            <w:noWrap/>
            <w:hideMark/>
          </w:tcPr>
          <w:p w14:paraId="3ADE721A" w14:textId="77777777" w:rsidR="00E45705" w:rsidRPr="001B09E6" w:rsidRDefault="00E45705" w:rsidP="00E45705">
            <w:pPr>
              <w:pStyle w:val="TableCellText"/>
              <w:spacing w:before="0" w:after="0"/>
              <w:ind w:left="0" w:right="0"/>
              <w:jc w:val="center"/>
              <w:rPr>
                <w:lang w:eastAsia="en-AU"/>
              </w:rPr>
            </w:pPr>
            <w:r w:rsidRPr="001B09E6">
              <w:rPr>
                <w:lang w:eastAsia="en-AU"/>
              </w:rPr>
              <w:t>29.2</w:t>
            </w:r>
          </w:p>
        </w:tc>
      </w:tr>
      <w:tr w:rsidR="00E45705" w:rsidRPr="001B09E6" w14:paraId="521AEB19" w14:textId="77777777" w:rsidTr="00E45705">
        <w:trPr>
          <w:trHeight w:val="300"/>
        </w:trPr>
        <w:tc>
          <w:tcPr>
            <w:tcW w:w="842" w:type="pct"/>
            <w:tcBorders>
              <w:top w:val="nil"/>
              <w:left w:val="nil"/>
              <w:bottom w:val="nil"/>
              <w:right w:val="nil"/>
            </w:tcBorders>
            <w:shd w:val="clear" w:color="auto" w:fill="auto"/>
            <w:noWrap/>
            <w:hideMark/>
          </w:tcPr>
          <w:p w14:paraId="6AC384EF" w14:textId="77777777" w:rsidR="00E45705" w:rsidRPr="001B09E6" w:rsidRDefault="00E45705" w:rsidP="00E45705">
            <w:pPr>
              <w:pStyle w:val="TableCellText"/>
              <w:spacing w:before="0" w:after="0"/>
              <w:ind w:left="0" w:right="0"/>
              <w:jc w:val="center"/>
              <w:rPr>
                <w:lang w:eastAsia="en-AU"/>
              </w:rPr>
            </w:pPr>
            <w:r w:rsidRPr="001B09E6">
              <w:rPr>
                <w:lang w:eastAsia="en-AU"/>
              </w:rPr>
              <w:t>May-2012</w:t>
            </w:r>
          </w:p>
        </w:tc>
        <w:tc>
          <w:tcPr>
            <w:tcW w:w="1039" w:type="pct"/>
            <w:tcBorders>
              <w:top w:val="nil"/>
              <w:left w:val="nil"/>
              <w:bottom w:val="nil"/>
              <w:right w:val="nil"/>
            </w:tcBorders>
            <w:shd w:val="clear" w:color="auto" w:fill="auto"/>
            <w:noWrap/>
            <w:hideMark/>
          </w:tcPr>
          <w:p w14:paraId="69CFB956" w14:textId="77777777" w:rsidR="00E45705" w:rsidRPr="001B09E6" w:rsidRDefault="00E45705" w:rsidP="00E45705">
            <w:pPr>
              <w:pStyle w:val="TableCellText"/>
              <w:spacing w:before="0" w:after="0"/>
              <w:ind w:left="0" w:right="0"/>
              <w:jc w:val="center"/>
              <w:rPr>
                <w:lang w:eastAsia="en-AU"/>
              </w:rPr>
            </w:pPr>
            <w:r w:rsidRPr="001B09E6">
              <w:rPr>
                <w:lang w:eastAsia="en-AU"/>
              </w:rPr>
              <w:t>12.2</w:t>
            </w:r>
          </w:p>
        </w:tc>
        <w:tc>
          <w:tcPr>
            <w:tcW w:w="1040" w:type="pct"/>
            <w:tcBorders>
              <w:top w:val="nil"/>
              <w:left w:val="nil"/>
              <w:bottom w:val="nil"/>
              <w:right w:val="nil"/>
            </w:tcBorders>
            <w:shd w:val="clear" w:color="auto" w:fill="auto"/>
            <w:noWrap/>
            <w:hideMark/>
          </w:tcPr>
          <w:p w14:paraId="61061A64" w14:textId="77777777" w:rsidR="00E45705" w:rsidRPr="001B09E6" w:rsidRDefault="00E45705" w:rsidP="00E45705">
            <w:pPr>
              <w:pStyle w:val="TableCellText"/>
              <w:spacing w:before="0" w:after="0"/>
              <w:ind w:left="0" w:right="0"/>
              <w:jc w:val="center"/>
              <w:rPr>
                <w:lang w:eastAsia="en-AU"/>
              </w:rPr>
            </w:pPr>
            <w:r w:rsidRPr="001B09E6">
              <w:rPr>
                <w:lang w:eastAsia="en-AU"/>
              </w:rPr>
              <w:t>73.4</w:t>
            </w:r>
          </w:p>
        </w:tc>
        <w:tc>
          <w:tcPr>
            <w:tcW w:w="1039" w:type="pct"/>
            <w:tcBorders>
              <w:top w:val="nil"/>
              <w:left w:val="nil"/>
              <w:bottom w:val="nil"/>
              <w:right w:val="nil"/>
            </w:tcBorders>
            <w:shd w:val="clear" w:color="auto" w:fill="auto"/>
            <w:noWrap/>
            <w:hideMark/>
          </w:tcPr>
          <w:p w14:paraId="422F5BB9" w14:textId="77777777" w:rsidR="00E45705" w:rsidRPr="001B09E6" w:rsidRDefault="00E45705" w:rsidP="00E45705">
            <w:pPr>
              <w:pStyle w:val="TableCellText"/>
              <w:spacing w:before="0" w:after="0"/>
              <w:ind w:left="0" w:right="0"/>
              <w:jc w:val="center"/>
              <w:rPr>
                <w:lang w:eastAsia="en-AU"/>
              </w:rPr>
            </w:pPr>
            <w:r w:rsidRPr="001B09E6">
              <w:rPr>
                <w:lang w:eastAsia="en-AU"/>
              </w:rPr>
              <w:t>43.6</w:t>
            </w:r>
          </w:p>
        </w:tc>
        <w:tc>
          <w:tcPr>
            <w:tcW w:w="1040" w:type="pct"/>
            <w:tcBorders>
              <w:top w:val="nil"/>
              <w:left w:val="nil"/>
              <w:bottom w:val="nil"/>
              <w:right w:val="nil"/>
            </w:tcBorders>
            <w:shd w:val="clear" w:color="auto" w:fill="auto"/>
            <w:noWrap/>
            <w:hideMark/>
          </w:tcPr>
          <w:p w14:paraId="2DDEA98A" w14:textId="77777777" w:rsidR="00E45705" w:rsidRPr="001B09E6" w:rsidRDefault="00E45705" w:rsidP="00E45705">
            <w:pPr>
              <w:pStyle w:val="TableCellText"/>
              <w:spacing w:before="0" w:after="0"/>
              <w:ind w:left="0" w:right="0"/>
              <w:jc w:val="center"/>
              <w:rPr>
                <w:lang w:eastAsia="en-AU"/>
              </w:rPr>
            </w:pPr>
            <w:r w:rsidRPr="001B09E6">
              <w:rPr>
                <w:lang w:eastAsia="en-AU"/>
              </w:rPr>
              <w:t>31.3</w:t>
            </w:r>
          </w:p>
        </w:tc>
      </w:tr>
      <w:tr w:rsidR="00E45705" w:rsidRPr="001B09E6" w14:paraId="1554B8B4" w14:textId="77777777" w:rsidTr="00E45705">
        <w:trPr>
          <w:trHeight w:val="285"/>
        </w:trPr>
        <w:tc>
          <w:tcPr>
            <w:tcW w:w="842" w:type="pct"/>
            <w:tcBorders>
              <w:top w:val="nil"/>
              <w:left w:val="nil"/>
              <w:bottom w:val="single" w:sz="4" w:space="0" w:color="auto"/>
              <w:right w:val="nil"/>
            </w:tcBorders>
            <w:shd w:val="clear" w:color="auto" w:fill="auto"/>
            <w:noWrap/>
            <w:hideMark/>
          </w:tcPr>
          <w:p w14:paraId="6DBA015C" w14:textId="77777777" w:rsidR="00E45705" w:rsidRPr="001B09E6" w:rsidRDefault="00E45705" w:rsidP="00E45705">
            <w:pPr>
              <w:pStyle w:val="TableCellText"/>
              <w:spacing w:before="0" w:after="0"/>
              <w:ind w:left="0" w:right="0"/>
              <w:jc w:val="center"/>
              <w:rPr>
                <w:lang w:eastAsia="en-AU"/>
              </w:rPr>
            </w:pPr>
            <w:r w:rsidRPr="001B09E6">
              <w:rPr>
                <w:lang w:eastAsia="en-AU"/>
              </w:rPr>
              <w:t>2008 - 2012 change (%)</w:t>
            </w:r>
          </w:p>
        </w:tc>
        <w:tc>
          <w:tcPr>
            <w:tcW w:w="1039" w:type="pct"/>
            <w:tcBorders>
              <w:top w:val="nil"/>
              <w:left w:val="nil"/>
              <w:bottom w:val="single" w:sz="4" w:space="0" w:color="auto"/>
              <w:right w:val="nil"/>
            </w:tcBorders>
            <w:shd w:val="clear" w:color="auto" w:fill="auto"/>
            <w:noWrap/>
            <w:hideMark/>
          </w:tcPr>
          <w:p w14:paraId="13D31A1D" w14:textId="77777777" w:rsidR="00E45705" w:rsidRPr="001B09E6" w:rsidRDefault="00E45705" w:rsidP="00E45705">
            <w:pPr>
              <w:pStyle w:val="TableCellText"/>
              <w:spacing w:before="0" w:after="0"/>
              <w:ind w:left="0" w:right="0"/>
              <w:jc w:val="center"/>
              <w:rPr>
                <w:lang w:eastAsia="en-AU"/>
              </w:rPr>
            </w:pPr>
            <w:r w:rsidRPr="001B09E6">
              <w:rPr>
                <w:lang w:eastAsia="en-AU"/>
              </w:rPr>
              <w:t>-4.5</w:t>
            </w:r>
          </w:p>
        </w:tc>
        <w:tc>
          <w:tcPr>
            <w:tcW w:w="1040" w:type="pct"/>
            <w:tcBorders>
              <w:top w:val="nil"/>
              <w:left w:val="nil"/>
              <w:bottom w:val="single" w:sz="4" w:space="0" w:color="auto"/>
              <w:right w:val="nil"/>
            </w:tcBorders>
            <w:shd w:val="clear" w:color="auto" w:fill="auto"/>
            <w:noWrap/>
            <w:hideMark/>
          </w:tcPr>
          <w:p w14:paraId="249D8F65" w14:textId="77777777" w:rsidR="00E45705" w:rsidRPr="001B09E6" w:rsidRDefault="00E45705" w:rsidP="00E45705">
            <w:pPr>
              <w:pStyle w:val="TableCellText"/>
              <w:spacing w:before="0" w:after="0"/>
              <w:ind w:left="0" w:right="0"/>
              <w:jc w:val="center"/>
              <w:rPr>
                <w:lang w:eastAsia="en-AU"/>
              </w:rPr>
            </w:pPr>
            <w:r w:rsidRPr="001B09E6">
              <w:rPr>
                <w:lang w:eastAsia="en-AU"/>
              </w:rPr>
              <w:t>3.4</w:t>
            </w:r>
          </w:p>
        </w:tc>
        <w:tc>
          <w:tcPr>
            <w:tcW w:w="1039" w:type="pct"/>
            <w:tcBorders>
              <w:top w:val="nil"/>
              <w:left w:val="nil"/>
              <w:bottom w:val="single" w:sz="4" w:space="0" w:color="auto"/>
              <w:right w:val="nil"/>
            </w:tcBorders>
            <w:shd w:val="clear" w:color="auto" w:fill="auto"/>
            <w:noWrap/>
            <w:hideMark/>
          </w:tcPr>
          <w:p w14:paraId="4B92ECC2" w14:textId="77777777" w:rsidR="00E45705" w:rsidRPr="001B09E6" w:rsidRDefault="00E45705" w:rsidP="00E45705">
            <w:pPr>
              <w:pStyle w:val="TableCellText"/>
              <w:spacing w:before="0" w:after="0"/>
              <w:ind w:left="0" w:right="0"/>
              <w:jc w:val="center"/>
              <w:rPr>
                <w:lang w:eastAsia="en-AU"/>
              </w:rPr>
            </w:pPr>
            <w:r w:rsidRPr="001B09E6">
              <w:rPr>
                <w:lang w:eastAsia="en-AU"/>
              </w:rPr>
              <w:t>-6.6</w:t>
            </w:r>
          </w:p>
        </w:tc>
        <w:tc>
          <w:tcPr>
            <w:tcW w:w="1040" w:type="pct"/>
            <w:tcBorders>
              <w:top w:val="nil"/>
              <w:left w:val="nil"/>
              <w:bottom w:val="single" w:sz="4" w:space="0" w:color="auto"/>
              <w:right w:val="nil"/>
            </w:tcBorders>
            <w:shd w:val="clear" w:color="auto" w:fill="auto"/>
            <w:noWrap/>
            <w:hideMark/>
          </w:tcPr>
          <w:p w14:paraId="5E91AADD" w14:textId="77777777" w:rsidR="00E45705" w:rsidRPr="001B09E6" w:rsidRDefault="00E45705" w:rsidP="00E45705">
            <w:pPr>
              <w:pStyle w:val="TableCellText"/>
              <w:spacing w:before="0" w:after="0"/>
              <w:ind w:left="0" w:right="0"/>
              <w:jc w:val="center"/>
              <w:rPr>
                <w:lang w:eastAsia="en-AU"/>
              </w:rPr>
            </w:pPr>
            <w:r w:rsidRPr="001B09E6">
              <w:rPr>
                <w:lang w:eastAsia="en-AU"/>
              </w:rPr>
              <w:t>2.9</w:t>
            </w:r>
          </w:p>
        </w:tc>
      </w:tr>
    </w:tbl>
    <w:p w14:paraId="6E3E91C0" w14:textId="77777777" w:rsidR="00E45705" w:rsidRPr="001B09E6" w:rsidRDefault="00E45705" w:rsidP="00E45705">
      <w:pPr>
        <w:jc w:val="center"/>
      </w:pPr>
    </w:p>
    <w:p w14:paraId="716A7413" w14:textId="77777777" w:rsidR="00E45705" w:rsidRPr="001B09E6" w:rsidRDefault="00E45705" w:rsidP="00E45705">
      <w:pPr>
        <w:pStyle w:val="Tablenote"/>
        <w:rPr>
          <w:lang w:eastAsia="en-AU"/>
        </w:rPr>
      </w:pPr>
      <w:r w:rsidRPr="001B09E6">
        <w:rPr>
          <w:lang w:eastAsia="en-AU"/>
        </w:rPr>
        <w:t>Source: 6291.0.55.001 Labour Force, Australia, Detailed - Electronic Delivery, Table 03a</w:t>
      </w:r>
    </w:p>
    <w:p w14:paraId="1BF3EA86" w14:textId="77777777" w:rsidR="00E45705" w:rsidRPr="001B09E6" w:rsidRDefault="00E45705" w:rsidP="00E45705">
      <w:pPr>
        <w:pStyle w:val="Heading3NoNumbering"/>
        <w:rPr>
          <w:rFonts w:eastAsia="Times New Roman"/>
          <w:lang w:eastAsia="en-AU"/>
        </w:rPr>
      </w:pPr>
      <w:bookmarkStart w:id="214" w:name="_Toc333919017"/>
      <w:r w:rsidRPr="001B09E6">
        <w:rPr>
          <w:lang w:eastAsia="en-AU"/>
        </w:rPr>
        <w:t xml:space="preserve">Table A2.33: </w:t>
      </w:r>
      <w:r w:rsidRPr="001B09E6">
        <w:rPr>
          <w:rFonts w:eastAsia="Times New Roman"/>
          <w:lang w:eastAsia="en-AU"/>
        </w:rPr>
        <w:t>Unemployed (not attending full-time education) looking for first job as a proportion of all unemployed (not attending full-time education)</w:t>
      </w:r>
      <w:bookmarkEnd w:id="214"/>
    </w:p>
    <w:tbl>
      <w:tblPr>
        <w:tblW w:w="13664" w:type="dxa"/>
        <w:tblInd w:w="108" w:type="dxa"/>
        <w:tblLook w:val="04A0" w:firstRow="1" w:lastRow="0" w:firstColumn="1" w:lastColumn="0" w:noHBand="0" w:noVBand="1"/>
        <w:tblCaption w:val="Table A2.33: Unemployed (not attending full-time education) looking for first job as a proportion of all unemployed (not attending full-time education) "/>
        <w:tblDescription w:val="Table A2.33: Unemployed (not attending full-time education) looking for first job as a proportion of all unemployed (not attending full-time education)&#10;"/>
      </w:tblPr>
      <w:tblGrid>
        <w:gridCol w:w="976"/>
        <w:gridCol w:w="976"/>
        <w:gridCol w:w="976"/>
        <w:gridCol w:w="976"/>
        <w:gridCol w:w="976"/>
        <w:gridCol w:w="976"/>
        <w:gridCol w:w="976"/>
        <w:gridCol w:w="976"/>
        <w:gridCol w:w="976"/>
        <w:gridCol w:w="976"/>
        <w:gridCol w:w="976"/>
        <w:gridCol w:w="976"/>
        <w:gridCol w:w="976"/>
        <w:gridCol w:w="976"/>
      </w:tblGrid>
      <w:tr w:rsidR="00E45705" w:rsidRPr="001B09E6" w14:paraId="0A853856" w14:textId="77777777" w:rsidTr="00E45705">
        <w:trPr>
          <w:trHeight w:val="225"/>
        </w:trPr>
        <w:tc>
          <w:tcPr>
            <w:tcW w:w="976" w:type="dxa"/>
            <w:tcBorders>
              <w:top w:val="single" w:sz="4" w:space="0" w:color="auto"/>
              <w:left w:val="nil"/>
              <w:bottom w:val="single" w:sz="4" w:space="0" w:color="auto"/>
              <w:right w:val="nil"/>
            </w:tcBorders>
            <w:shd w:val="clear" w:color="auto" w:fill="auto"/>
            <w:noWrap/>
            <w:vAlign w:val="bottom"/>
            <w:hideMark/>
          </w:tcPr>
          <w:p w14:paraId="7778E6A0" w14:textId="77777777" w:rsidR="00E45705" w:rsidRPr="001B09E6" w:rsidRDefault="00E45705" w:rsidP="00E45705">
            <w:pPr>
              <w:pStyle w:val="TableColumnHeading"/>
              <w:spacing w:before="0" w:after="0"/>
              <w:ind w:left="0" w:right="0"/>
              <w:rPr>
                <w:lang w:eastAsia="en-AU"/>
              </w:rPr>
            </w:pPr>
            <w:r w:rsidRPr="001B09E6">
              <w:rPr>
                <w:lang w:eastAsia="en-AU"/>
              </w:rPr>
              <w:t>Age</w:t>
            </w:r>
          </w:p>
        </w:tc>
        <w:tc>
          <w:tcPr>
            <w:tcW w:w="976" w:type="dxa"/>
            <w:tcBorders>
              <w:top w:val="single" w:sz="4" w:space="0" w:color="auto"/>
              <w:left w:val="nil"/>
              <w:bottom w:val="single" w:sz="4" w:space="0" w:color="auto"/>
              <w:right w:val="nil"/>
            </w:tcBorders>
            <w:shd w:val="clear" w:color="auto" w:fill="auto"/>
            <w:noWrap/>
            <w:vAlign w:val="bottom"/>
            <w:hideMark/>
          </w:tcPr>
          <w:p w14:paraId="7434810E" w14:textId="77777777" w:rsidR="00E45705" w:rsidRPr="001B09E6" w:rsidRDefault="00E45705" w:rsidP="00E45705">
            <w:pPr>
              <w:pStyle w:val="TableColumnHeading"/>
              <w:spacing w:before="0" w:after="0"/>
              <w:ind w:left="0" w:right="0"/>
              <w:rPr>
                <w:lang w:eastAsia="en-AU"/>
              </w:rPr>
            </w:pPr>
            <w:r w:rsidRPr="001B09E6">
              <w:rPr>
                <w:lang w:eastAsia="en-AU"/>
              </w:rPr>
              <w:t>2000</w:t>
            </w:r>
          </w:p>
        </w:tc>
        <w:tc>
          <w:tcPr>
            <w:tcW w:w="976" w:type="dxa"/>
            <w:tcBorders>
              <w:top w:val="single" w:sz="4" w:space="0" w:color="auto"/>
              <w:left w:val="nil"/>
              <w:bottom w:val="single" w:sz="4" w:space="0" w:color="auto"/>
              <w:right w:val="nil"/>
            </w:tcBorders>
            <w:shd w:val="clear" w:color="auto" w:fill="auto"/>
            <w:noWrap/>
            <w:vAlign w:val="bottom"/>
            <w:hideMark/>
          </w:tcPr>
          <w:p w14:paraId="1D47FCE2" w14:textId="77777777" w:rsidR="00E45705" w:rsidRPr="001B09E6" w:rsidRDefault="00E45705" w:rsidP="00E45705">
            <w:pPr>
              <w:pStyle w:val="TableColumnHeading"/>
              <w:spacing w:before="0" w:after="0"/>
              <w:ind w:left="0" w:right="0"/>
              <w:rPr>
                <w:lang w:eastAsia="en-AU"/>
              </w:rPr>
            </w:pPr>
            <w:r w:rsidRPr="001B09E6">
              <w:rPr>
                <w:lang w:eastAsia="en-AU"/>
              </w:rPr>
              <w:t>2001</w:t>
            </w:r>
          </w:p>
        </w:tc>
        <w:tc>
          <w:tcPr>
            <w:tcW w:w="976" w:type="dxa"/>
            <w:tcBorders>
              <w:top w:val="single" w:sz="4" w:space="0" w:color="auto"/>
              <w:left w:val="nil"/>
              <w:bottom w:val="single" w:sz="4" w:space="0" w:color="auto"/>
              <w:right w:val="nil"/>
            </w:tcBorders>
            <w:shd w:val="clear" w:color="auto" w:fill="auto"/>
            <w:noWrap/>
            <w:vAlign w:val="bottom"/>
            <w:hideMark/>
          </w:tcPr>
          <w:p w14:paraId="6DBD3B3F" w14:textId="77777777" w:rsidR="00E45705" w:rsidRPr="001B09E6" w:rsidRDefault="00E45705" w:rsidP="00E45705">
            <w:pPr>
              <w:pStyle w:val="TableColumnHeading"/>
              <w:spacing w:before="0" w:after="0"/>
              <w:ind w:left="0" w:right="0"/>
              <w:rPr>
                <w:lang w:eastAsia="en-AU"/>
              </w:rPr>
            </w:pPr>
            <w:r w:rsidRPr="001B09E6">
              <w:rPr>
                <w:lang w:eastAsia="en-AU"/>
              </w:rPr>
              <w:t>2002</w:t>
            </w:r>
          </w:p>
        </w:tc>
        <w:tc>
          <w:tcPr>
            <w:tcW w:w="976" w:type="dxa"/>
            <w:tcBorders>
              <w:top w:val="single" w:sz="4" w:space="0" w:color="auto"/>
              <w:left w:val="nil"/>
              <w:bottom w:val="single" w:sz="4" w:space="0" w:color="auto"/>
              <w:right w:val="nil"/>
            </w:tcBorders>
            <w:shd w:val="clear" w:color="auto" w:fill="auto"/>
            <w:noWrap/>
            <w:vAlign w:val="bottom"/>
            <w:hideMark/>
          </w:tcPr>
          <w:p w14:paraId="0F96D53A" w14:textId="77777777" w:rsidR="00E45705" w:rsidRPr="001B09E6" w:rsidRDefault="00E45705" w:rsidP="00E45705">
            <w:pPr>
              <w:pStyle w:val="TableColumnHeading"/>
              <w:spacing w:before="0" w:after="0"/>
              <w:ind w:left="0" w:right="0"/>
              <w:rPr>
                <w:lang w:eastAsia="en-AU"/>
              </w:rPr>
            </w:pPr>
            <w:r w:rsidRPr="001B09E6">
              <w:rPr>
                <w:lang w:eastAsia="en-AU"/>
              </w:rPr>
              <w:t>2003</w:t>
            </w:r>
          </w:p>
        </w:tc>
        <w:tc>
          <w:tcPr>
            <w:tcW w:w="976" w:type="dxa"/>
            <w:tcBorders>
              <w:top w:val="single" w:sz="4" w:space="0" w:color="auto"/>
              <w:left w:val="nil"/>
              <w:bottom w:val="single" w:sz="4" w:space="0" w:color="auto"/>
              <w:right w:val="nil"/>
            </w:tcBorders>
            <w:shd w:val="clear" w:color="auto" w:fill="auto"/>
            <w:noWrap/>
            <w:vAlign w:val="bottom"/>
            <w:hideMark/>
          </w:tcPr>
          <w:p w14:paraId="287ED6EE" w14:textId="77777777" w:rsidR="00E45705" w:rsidRPr="001B09E6" w:rsidRDefault="00E45705" w:rsidP="00E45705">
            <w:pPr>
              <w:pStyle w:val="TableColumnHeading"/>
              <w:spacing w:before="0" w:after="0"/>
              <w:ind w:left="0" w:right="0"/>
              <w:rPr>
                <w:lang w:eastAsia="en-AU"/>
              </w:rPr>
            </w:pPr>
            <w:r w:rsidRPr="001B09E6">
              <w:rPr>
                <w:lang w:eastAsia="en-AU"/>
              </w:rPr>
              <w:t>2004</w:t>
            </w:r>
          </w:p>
        </w:tc>
        <w:tc>
          <w:tcPr>
            <w:tcW w:w="976" w:type="dxa"/>
            <w:tcBorders>
              <w:top w:val="single" w:sz="4" w:space="0" w:color="auto"/>
              <w:left w:val="nil"/>
              <w:bottom w:val="single" w:sz="4" w:space="0" w:color="auto"/>
              <w:right w:val="nil"/>
            </w:tcBorders>
            <w:shd w:val="clear" w:color="auto" w:fill="auto"/>
            <w:noWrap/>
            <w:vAlign w:val="bottom"/>
            <w:hideMark/>
          </w:tcPr>
          <w:p w14:paraId="25083F88" w14:textId="77777777" w:rsidR="00E45705" w:rsidRPr="001B09E6" w:rsidRDefault="00E45705" w:rsidP="00E45705">
            <w:pPr>
              <w:pStyle w:val="TableColumnHeading"/>
              <w:spacing w:before="0" w:after="0"/>
              <w:ind w:left="0" w:right="0"/>
              <w:rPr>
                <w:lang w:eastAsia="en-AU"/>
              </w:rPr>
            </w:pPr>
            <w:r w:rsidRPr="001B09E6">
              <w:rPr>
                <w:lang w:eastAsia="en-AU"/>
              </w:rPr>
              <w:t>2005</w:t>
            </w:r>
          </w:p>
        </w:tc>
        <w:tc>
          <w:tcPr>
            <w:tcW w:w="976" w:type="dxa"/>
            <w:tcBorders>
              <w:top w:val="single" w:sz="4" w:space="0" w:color="auto"/>
              <w:left w:val="nil"/>
              <w:bottom w:val="single" w:sz="4" w:space="0" w:color="auto"/>
              <w:right w:val="nil"/>
            </w:tcBorders>
            <w:shd w:val="clear" w:color="auto" w:fill="auto"/>
            <w:noWrap/>
            <w:vAlign w:val="bottom"/>
            <w:hideMark/>
          </w:tcPr>
          <w:p w14:paraId="4879FA6E" w14:textId="77777777" w:rsidR="00E45705" w:rsidRPr="001B09E6" w:rsidRDefault="00E45705" w:rsidP="00E45705">
            <w:pPr>
              <w:pStyle w:val="TableColumnHeading"/>
              <w:spacing w:before="0" w:after="0"/>
              <w:ind w:left="0" w:right="0"/>
              <w:rPr>
                <w:lang w:eastAsia="en-AU"/>
              </w:rPr>
            </w:pPr>
            <w:r w:rsidRPr="001B09E6">
              <w:rPr>
                <w:lang w:eastAsia="en-AU"/>
              </w:rPr>
              <w:t>2006</w:t>
            </w:r>
          </w:p>
        </w:tc>
        <w:tc>
          <w:tcPr>
            <w:tcW w:w="976" w:type="dxa"/>
            <w:tcBorders>
              <w:top w:val="single" w:sz="4" w:space="0" w:color="auto"/>
              <w:left w:val="nil"/>
              <w:bottom w:val="single" w:sz="4" w:space="0" w:color="auto"/>
              <w:right w:val="nil"/>
            </w:tcBorders>
            <w:shd w:val="clear" w:color="auto" w:fill="auto"/>
            <w:noWrap/>
            <w:vAlign w:val="bottom"/>
            <w:hideMark/>
          </w:tcPr>
          <w:p w14:paraId="0A892661" w14:textId="77777777" w:rsidR="00E45705" w:rsidRPr="001B09E6" w:rsidRDefault="00E45705" w:rsidP="00E45705">
            <w:pPr>
              <w:pStyle w:val="TableColumnHeading"/>
              <w:spacing w:before="0" w:after="0"/>
              <w:ind w:left="0" w:right="0"/>
              <w:rPr>
                <w:lang w:eastAsia="en-AU"/>
              </w:rPr>
            </w:pPr>
            <w:r w:rsidRPr="001B09E6">
              <w:rPr>
                <w:lang w:eastAsia="en-AU"/>
              </w:rPr>
              <w:t>2007</w:t>
            </w:r>
          </w:p>
        </w:tc>
        <w:tc>
          <w:tcPr>
            <w:tcW w:w="976" w:type="dxa"/>
            <w:tcBorders>
              <w:top w:val="single" w:sz="4" w:space="0" w:color="auto"/>
              <w:left w:val="nil"/>
              <w:bottom w:val="single" w:sz="4" w:space="0" w:color="auto"/>
              <w:right w:val="nil"/>
            </w:tcBorders>
            <w:shd w:val="clear" w:color="auto" w:fill="auto"/>
            <w:noWrap/>
            <w:vAlign w:val="bottom"/>
            <w:hideMark/>
          </w:tcPr>
          <w:p w14:paraId="4A92179A" w14:textId="77777777" w:rsidR="00E45705" w:rsidRPr="001B09E6" w:rsidRDefault="00E45705" w:rsidP="00E45705">
            <w:pPr>
              <w:pStyle w:val="TableColumnHeading"/>
              <w:spacing w:before="0" w:after="0"/>
              <w:ind w:left="0" w:right="0"/>
              <w:rPr>
                <w:lang w:eastAsia="en-AU"/>
              </w:rPr>
            </w:pPr>
            <w:r w:rsidRPr="001B09E6">
              <w:rPr>
                <w:lang w:eastAsia="en-AU"/>
              </w:rPr>
              <w:t>2008</w:t>
            </w:r>
          </w:p>
        </w:tc>
        <w:tc>
          <w:tcPr>
            <w:tcW w:w="976" w:type="dxa"/>
            <w:tcBorders>
              <w:top w:val="single" w:sz="4" w:space="0" w:color="auto"/>
              <w:left w:val="nil"/>
              <w:bottom w:val="single" w:sz="4" w:space="0" w:color="auto"/>
              <w:right w:val="nil"/>
            </w:tcBorders>
            <w:shd w:val="clear" w:color="auto" w:fill="auto"/>
            <w:noWrap/>
            <w:vAlign w:val="bottom"/>
            <w:hideMark/>
          </w:tcPr>
          <w:p w14:paraId="61A049E8" w14:textId="77777777" w:rsidR="00E45705" w:rsidRPr="001B09E6" w:rsidRDefault="00E45705" w:rsidP="00E45705">
            <w:pPr>
              <w:pStyle w:val="TableColumnHeading"/>
              <w:spacing w:before="0" w:after="0"/>
              <w:ind w:left="0" w:right="0"/>
              <w:rPr>
                <w:lang w:eastAsia="en-AU"/>
              </w:rPr>
            </w:pPr>
            <w:r w:rsidRPr="001B09E6">
              <w:rPr>
                <w:lang w:eastAsia="en-AU"/>
              </w:rPr>
              <w:t>2009</w:t>
            </w:r>
          </w:p>
        </w:tc>
        <w:tc>
          <w:tcPr>
            <w:tcW w:w="976" w:type="dxa"/>
            <w:tcBorders>
              <w:top w:val="single" w:sz="4" w:space="0" w:color="auto"/>
              <w:left w:val="nil"/>
              <w:bottom w:val="single" w:sz="4" w:space="0" w:color="auto"/>
              <w:right w:val="nil"/>
            </w:tcBorders>
            <w:shd w:val="clear" w:color="auto" w:fill="auto"/>
            <w:noWrap/>
            <w:vAlign w:val="bottom"/>
            <w:hideMark/>
          </w:tcPr>
          <w:p w14:paraId="5D4036C0" w14:textId="77777777" w:rsidR="00E45705" w:rsidRPr="001B09E6" w:rsidRDefault="00E45705" w:rsidP="00E45705">
            <w:pPr>
              <w:pStyle w:val="TableColumnHeading"/>
              <w:spacing w:before="0" w:after="0"/>
              <w:ind w:left="0" w:right="0"/>
              <w:rPr>
                <w:lang w:eastAsia="en-AU"/>
              </w:rPr>
            </w:pPr>
            <w:r w:rsidRPr="001B09E6">
              <w:rPr>
                <w:lang w:eastAsia="en-AU"/>
              </w:rPr>
              <w:t>2010</w:t>
            </w:r>
          </w:p>
        </w:tc>
        <w:tc>
          <w:tcPr>
            <w:tcW w:w="976" w:type="dxa"/>
            <w:tcBorders>
              <w:top w:val="single" w:sz="4" w:space="0" w:color="auto"/>
              <w:left w:val="nil"/>
              <w:bottom w:val="single" w:sz="4" w:space="0" w:color="auto"/>
              <w:right w:val="nil"/>
            </w:tcBorders>
            <w:shd w:val="clear" w:color="auto" w:fill="auto"/>
            <w:noWrap/>
            <w:vAlign w:val="bottom"/>
            <w:hideMark/>
          </w:tcPr>
          <w:p w14:paraId="03814C0E" w14:textId="77777777" w:rsidR="00E45705" w:rsidRPr="001B09E6" w:rsidRDefault="00E45705" w:rsidP="00E45705">
            <w:pPr>
              <w:pStyle w:val="TableColumnHeading"/>
              <w:spacing w:before="0" w:after="0"/>
              <w:ind w:left="0" w:right="0"/>
              <w:rPr>
                <w:lang w:eastAsia="en-AU"/>
              </w:rPr>
            </w:pPr>
            <w:r w:rsidRPr="001B09E6">
              <w:rPr>
                <w:lang w:eastAsia="en-AU"/>
              </w:rPr>
              <w:t>2011</w:t>
            </w:r>
          </w:p>
        </w:tc>
        <w:tc>
          <w:tcPr>
            <w:tcW w:w="976" w:type="dxa"/>
            <w:tcBorders>
              <w:top w:val="single" w:sz="4" w:space="0" w:color="auto"/>
              <w:left w:val="nil"/>
              <w:bottom w:val="single" w:sz="4" w:space="0" w:color="auto"/>
              <w:right w:val="nil"/>
            </w:tcBorders>
            <w:shd w:val="clear" w:color="auto" w:fill="auto"/>
            <w:noWrap/>
            <w:vAlign w:val="bottom"/>
            <w:hideMark/>
          </w:tcPr>
          <w:p w14:paraId="124F6292" w14:textId="77777777" w:rsidR="00E45705" w:rsidRPr="001B09E6" w:rsidRDefault="00E45705" w:rsidP="00E45705">
            <w:pPr>
              <w:pStyle w:val="TableColumnHeading"/>
              <w:spacing w:before="0" w:after="0"/>
              <w:ind w:left="0" w:right="0"/>
              <w:rPr>
                <w:lang w:eastAsia="en-AU"/>
              </w:rPr>
            </w:pPr>
            <w:r w:rsidRPr="001B09E6">
              <w:rPr>
                <w:lang w:eastAsia="en-AU"/>
              </w:rPr>
              <w:t>2012</w:t>
            </w:r>
          </w:p>
        </w:tc>
      </w:tr>
      <w:tr w:rsidR="00E45705" w:rsidRPr="001B09E6" w14:paraId="6FA4B985" w14:textId="77777777" w:rsidTr="00E45705">
        <w:trPr>
          <w:trHeight w:val="225"/>
        </w:trPr>
        <w:tc>
          <w:tcPr>
            <w:tcW w:w="976" w:type="dxa"/>
            <w:tcBorders>
              <w:top w:val="single" w:sz="4" w:space="0" w:color="auto"/>
              <w:left w:val="nil"/>
              <w:right w:val="nil"/>
            </w:tcBorders>
            <w:shd w:val="clear" w:color="auto" w:fill="auto"/>
            <w:noWrap/>
            <w:vAlign w:val="bottom"/>
            <w:hideMark/>
          </w:tcPr>
          <w:p w14:paraId="33CEDEAF" w14:textId="77777777" w:rsidR="00E45705" w:rsidRPr="001B09E6" w:rsidRDefault="00E45705" w:rsidP="00E45705">
            <w:pPr>
              <w:pStyle w:val="TableCellText"/>
              <w:spacing w:before="0" w:after="0"/>
              <w:ind w:left="0" w:right="0"/>
              <w:rPr>
                <w:lang w:eastAsia="en-AU"/>
              </w:rPr>
            </w:pPr>
            <w:r w:rsidRPr="001B09E6">
              <w:rPr>
                <w:lang w:eastAsia="en-AU"/>
              </w:rPr>
              <w:t>15-19</w:t>
            </w:r>
          </w:p>
        </w:tc>
        <w:tc>
          <w:tcPr>
            <w:tcW w:w="976" w:type="dxa"/>
            <w:tcBorders>
              <w:top w:val="single" w:sz="4" w:space="0" w:color="auto"/>
              <w:left w:val="nil"/>
              <w:right w:val="nil"/>
            </w:tcBorders>
            <w:shd w:val="clear" w:color="auto" w:fill="auto"/>
            <w:noWrap/>
            <w:vAlign w:val="bottom"/>
            <w:hideMark/>
          </w:tcPr>
          <w:p w14:paraId="2241B632" w14:textId="77777777" w:rsidR="00E45705" w:rsidRPr="001B09E6" w:rsidRDefault="00E45705" w:rsidP="00E45705">
            <w:pPr>
              <w:pStyle w:val="TableCellText"/>
              <w:spacing w:before="0" w:after="0"/>
              <w:ind w:left="0" w:right="0"/>
              <w:rPr>
                <w:lang w:eastAsia="en-AU"/>
              </w:rPr>
            </w:pPr>
            <w:r w:rsidRPr="001B09E6">
              <w:rPr>
                <w:lang w:eastAsia="en-AU"/>
              </w:rPr>
              <w:t>46.8</w:t>
            </w:r>
          </w:p>
        </w:tc>
        <w:tc>
          <w:tcPr>
            <w:tcW w:w="976" w:type="dxa"/>
            <w:tcBorders>
              <w:top w:val="single" w:sz="4" w:space="0" w:color="auto"/>
              <w:left w:val="nil"/>
              <w:right w:val="nil"/>
            </w:tcBorders>
            <w:shd w:val="clear" w:color="auto" w:fill="auto"/>
            <w:noWrap/>
            <w:vAlign w:val="bottom"/>
            <w:hideMark/>
          </w:tcPr>
          <w:p w14:paraId="4DF74EBD" w14:textId="77777777" w:rsidR="00E45705" w:rsidRPr="001B09E6" w:rsidRDefault="00E45705" w:rsidP="00E45705">
            <w:pPr>
              <w:pStyle w:val="TableCellText"/>
              <w:spacing w:before="0" w:after="0"/>
              <w:ind w:left="0" w:right="0"/>
              <w:rPr>
                <w:lang w:eastAsia="en-AU"/>
              </w:rPr>
            </w:pPr>
            <w:r w:rsidRPr="001B09E6">
              <w:rPr>
                <w:lang w:eastAsia="en-AU"/>
              </w:rPr>
              <w:t>50.6</w:t>
            </w:r>
          </w:p>
        </w:tc>
        <w:tc>
          <w:tcPr>
            <w:tcW w:w="976" w:type="dxa"/>
            <w:tcBorders>
              <w:top w:val="single" w:sz="4" w:space="0" w:color="auto"/>
              <w:left w:val="nil"/>
              <w:right w:val="nil"/>
            </w:tcBorders>
            <w:shd w:val="clear" w:color="auto" w:fill="auto"/>
            <w:noWrap/>
            <w:vAlign w:val="bottom"/>
            <w:hideMark/>
          </w:tcPr>
          <w:p w14:paraId="239499CE" w14:textId="77777777" w:rsidR="00E45705" w:rsidRPr="001B09E6" w:rsidRDefault="00E45705" w:rsidP="00E45705">
            <w:pPr>
              <w:pStyle w:val="TableCellText"/>
              <w:spacing w:before="0" w:after="0"/>
              <w:ind w:left="0" w:right="0"/>
              <w:rPr>
                <w:lang w:eastAsia="en-AU"/>
              </w:rPr>
            </w:pPr>
            <w:r w:rsidRPr="001B09E6">
              <w:rPr>
                <w:lang w:eastAsia="en-AU"/>
              </w:rPr>
              <w:t>55.7</w:t>
            </w:r>
          </w:p>
        </w:tc>
        <w:tc>
          <w:tcPr>
            <w:tcW w:w="976" w:type="dxa"/>
            <w:tcBorders>
              <w:top w:val="single" w:sz="4" w:space="0" w:color="auto"/>
              <w:left w:val="nil"/>
              <w:right w:val="nil"/>
            </w:tcBorders>
            <w:shd w:val="clear" w:color="auto" w:fill="auto"/>
            <w:noWrap/>
            <w:vAlign w:val="bottom"/>
            <w:hideMark/>
          </w:tcPr>
          <w:p w14:paraId="16DD31F4" w14:textId="77777777" w:rsidR="00E45705" w:rsidRPr="001B09E6" w:rsidRDefault="00E45705" w:rsidP="00E45705">
            <w:pPr>
              <w:pStyle w:val="TableCellText"/>
              <w:spacing w:before="0" w:after="0"/>
              <w:ind w:left="0" w:right="0"/>
              <w:rPr>
                <w:lang w:eastAsia="en-AU"/>
              </w:rPr>
            </w:pPr>
            <w:r w:rsidRPr="001B09E6">
              <w:rPr>
                <w:lang w:eastAsia="en-AU"/>
              </w:rPr>
              <w:t>51.6</w:t>
            </w:r>
          </w:p>
        </w:tc>
        <w:tc>
          <w:tcPr>
            <w:tcW w:w="976" w:type="dxa"/>
            <w:tcBorders>
              <w:top w:val="single" w:sz="4" w:space="0" w:color="auto"/>
              <w:left w:val="nil"/>
              <w:right w:val="nil"/>
            </w:tcBorders>
            <w:shd w:val="clear" w:color="auto" w:fill="auto"/>
            <w:noWrap/>
            <w:vAlign w:val="bottom"/>
            <w:hideMark/>
          </w:tcPr>
          <w:p w14:paraId="3ED2275F" w14:textId="77777777" w:rsidR="00E45705" w:rsidRPr="001B09E6" w:rsidRDefault="00E45705" w:rsidP="00E45705">
            <w:pPr>
              <w:pStyle w:val="TableCellText"/>
              <w:spacing w:before="0" w:after="0"/>
              <w:ind w:left="0" w:right="0"/>
              <w:rPr>
                <w:lang w:eastAsia="en-AU"/>
              </w:rPr>
            </w:pPr>
            <w:r w:rsidRPr="001B09E6">
              <w:rPr>
                <w:lang w:eastAsia="en-AU"/>
              </w:rPr>
              <w:t>61.2</w:t>
            </w:r>
          </w:p>
        </w:tc>
        <w:tc>
          <w:tcPr>
            <w:tcW w:w="976" w:type="dxa"/>
            <w:tcBorders>
              <w:top w:val="single" w:sz="4" w:space="0" w:color="auto"/>
              <w:left w:val="nil"/>
              <w:right w:val="nil"/>
            </w:tcBorders>
            <w:shd w:val="clear" w:color="auto" w:fill="auto"/>
            <w:noWrap/>
            <w:vAlign w:val="bottom"/>
            <w:hideMark/>
          </w:tcPr>
          <w:p w14:paraId="1F3D372A" w14:textId="77777777" w:rsidR="00E45705" w:rsidRPr="001B09E6" w:rsidRDefault="00E45705" w:rsidP="00E45705">
            <w:pPr>
              <w:pStyle w:val="TableCellText"/>
              <w:spacing w:before="0" w:after="0"/>
              <w:ind w:left="0" w:right="0"/>
              <w:rPr>
                <w:lang w:eastAsia="en-AU"/>
              </w:rPr>
            </w:pPr>
            <w:r w:rsidRPr="001B09E6">
              <w:rPr>
                <w:lang w:eastAsia="en-AU"/>
              </w:rPr>
              <w:t>49.4</w:t>
            </w:r>
          </w:p>
        </w:tc>
        <w:tc>
          <w:tcPr>
            <w:tcW w:w="976" w:type="dxa"/>
            <w:tcBorders>
              <w:top w:val="single" w:sz="4" w:space="0" w:color="auto"/>
              <w:left w:val="nil"/>
              <w:right w:val="nil"/>
            </w:tcBorders>
            <w:shd w:val="clear" w:color="auto" w:fill="auto"/>
            <w:noWrap/>
            <w:vAlign w:val="bottom"/>
            <w:hideMark/>
          </w:tcPr>
          <w:p w14:paraId="0A79FCF6" w14:textId="77777777" w:rsidR="00E45705" w:rsidRPr="001B09E6" w:rsidRDefault="00E45705" w:rsidP="00E45705">
            <w:pPr>
              <w:pStyle w:val="TableCellText"/>
              <w:spacing w:before="0" w:after="0"/>
              <w:ind w:left="0" w:right="0"/>
              <w:rPr>
                <w:lang w:eastAsia="en-AU"/>
              </w:rPr>
            </w:pPr>
            <w:r w:rsidRPr="001B09E6">
              <w:rPr>
                <w:lang w:eastAsia="en-AU"/>
              </w:rPr>
              <w:t>56.3</w:t>
            </w:r>
          </w:p>
        </w:tc>
        <w:tc>
          <w:tcPr>
            <w:tcW w:w="976" w:type="dxa"/>
            <w:tcBorders>
              <w:top w:val="single" w:sz="4" w:space="0" w:color="auto"/>
              <w:left w:val="nil"/>
              <w:right w:val="nil"/>
            </w:tcBorders>
            <w:shd w:val="clear" w:color="auto" w:fill="auto"/>
            <w:noWrap/>
            <w:vAlign w:val="bottom"/>
            <w:hideMark/>
          </w:tcPr>
          <w:p w14:paraId="04EA0D69" w14:textId="77777777" w:rsidR="00E45705" w:rsidRPr="001B09E6" w:rsidRDefault="00E45705" w:rsidP="00E45705">
            <w:pPr>
              <w:pStyle w:val="TableCellText"/>
              <w:spacing w:before="0" w:after="0"/>
              <w:ind w:left="0" w:right="0"/>
              <w:rPr>
                <w:lang w:eastAsia="en-AU"/>
              </w:rPr>
            </w:pPr>
            <w:r w:rsidRPr="001B09E6">
              <w:rPr>
                <w:lang w:eastAsia="en-AU"/>
              </w:rPr>
              <w:t>55.9</w:t>
            </w:r>
          </w:p>
        </w:tc>
        <w:tc>
          <w:tcPr>
            <w:tcW w:w="976" w:type="dxa"/>
            <w:tcBorders>
              <w:top w:val="single" w:sz="4" w:space="0" w:color="auto"/>
              <w:left w:val="nil"/>
              <w:right w:val="nil"/>
            </w:tcBorders>
            <w:shd w:val="clear" w:color="auto" w:fill="auto"/>
            <w:noWrap/>
            <w:vAlign w:val="bottom"/>
            <w:hideMark/>
          </w:tcPr>
          <w:p w14:paraId="221136C9" w14:textId="77777777" w:rsidR="00E45705" w:rsidRPr="001B09E6" w:rsidRDefault="00E45705" w:rsidP="00E45705">
            <w:pPr>
              <w:pStyle w:val="TableCellText"/>
              <w:spacing w:before="0" w:after="0"/>
              <w:ind w:left="0" w:right="0"/>
              <w:rPr>
                <w:lang w:eastAsia="en-AU"/>
              </w:rPr>
            </w:pPr>
            <w:r w:rsidRPr="001B09E6">
              <w:rPr>
                <w:lang w:eastAsia="en-AU"/>
              </w:rPr>
              <w:t>52.6</w:t>
            </w:r>
          </w:p>
        </w:tc>
        <w:tc>
          <w:tcPr>
            <w:tcW w:w="976" w:type="dxa"/>
            <w:tcBorders>
              <w:top w:val="single" w:sz="4" w:space="0" w:color="auto"/>
              <w:left w:val="nil"/>
              <w:right w:val="nil"/>
            </w:tcBorders>
            <w:shd w:val="clear" w:color="auto" w:fill="auto"/>
            <w:noWrap/>
            <w:vAlign w:val="bottom"/>
            <w:hideMark/>
          </w:tcPr>
          <w:p w14:paraId="096F74FF" w14:textId="77777777" w:rsidR="00E45705" w:rsidRPr="001B09E6" w:rsidRDefault="00E45705" w:rsidP="00E45705">
            <w:pPr>
              <w:pStyle w:val="TableCellText"/>
              <w:spacing w:before="0" w:after="0"/>
              <w:ind w:left="0" w:right="0"/>
              <w:rPr>
                <w:lang w:eastAsia="en-AU"/>
              </w:rPr>
            </w:pPr>
            <w:r w:rsidRPr="001B09E6">
              <w:rPr>
                <w:lang w:eastAsia="en-AU"/>
              </w:rPr>
              <w:t>56.1</w:t>
            </w:r>
          </w:p>
        </w:tc>
        <w:tc>
          <w:tcPr>
            <w:tcW w:w="976" w:type="dxa"/>
            <w:tcBorders>
              <w:top w:val="single" w:sz="4" w:space="0" w:color="auto"/>
              <w:left w:val="nil"/>
              <w:right w:val="nil"/>
            </w:tcBorders>
            <w:shd w:val="clear" w:color="auto" w:fill="auto"/>
            <w:noWrap/>
            <w:vAlign w:val="bottom"/>
            <w:hideMark/>
          </w:tcPr>
          <w:p w14:paraId="13E8020D" w14:textId="77777777" w:rsidR="00E45705" w:rsidRPr="001B09E6" w:rsidRDefault="00E45705" w:rsidP="00E45705">
            <w:pPr>
              <w:pStyle w:val="TableCellText"/>
              <w:spacing w:before="0" w:after="0"/>
              <w:ind w:left="0" w:right="0"/>
              <w:rPr>
                <w:lang w:eastAsia="en-AU"/>
              </w:rPr>
            </w:pPr>
            <w:r w:rsidRPr="001B09E6">
              <w:rPr>
                <w:lang w:eastAsia="en-AU"/>
              </w:rPr>
              <w:t>60.0</w:t>
            </w:r>
          </w:p>
        </w:tc>
        <w:tc>
          <w:tcPr>
            <w:tcW w:w="976" w:type="dxa"/>
            <w:tcBorders>
              <w:top w:val="single" w:sz="4" w:space="0" w:color="auto"/>
              <w:left w:val="nil"/>
              <w:right w:val="nil"/>
            </w:tcBorders>
            <w:shd w:val="clear" w:color="auto" w:fill="auto"/>
            <w:noWrap/>
            <w:vAlign w:val="bottom"/>
            <w:hideMark/>
          </w:tcPr>
          <w:p w14:paraId="46A37507" w14:textId="77777777" w:rsidR="00E45705" w:rsidRPr="001B09E6" w:rsidRDefault="00E45705" w:rsidP="00E45705">
            <w:pPr>
              <w:pStyle w:val="TableCellText"/>
              <w:spacing w:before="0" w:after="0"/>
              <w:ind w:left="0" w:right="0"/>
              <w:rPr>
                <w:lang w:eastAsia="en-AU"/>
              </w:rPr>
            </w:pPr>
            <w:r w:rsidRPr="001B09E6">
              <w:rPr>
                <w:lang w:eastAsia="en-AU"/>
              </w:rPr>
              <w:t>60.3</w:t>
            </w:r>
          </w:p>
        </w:tc>
        <w:tc>
          <w:tcPr>
            <w:tcW w:w="976" w:type="dxa"/>
            <w:tcBorders>
              <w:top w:val="single" w:sz="4" w:space="0" w:color="auto"/>
              <w:left w:val="nil"/>
              <w:right w:val="nil"/>
            </w:tcBorders>
            <w:shd w:val="clear" w:color="auto" w:fill="auto"/>
            <w:noWrap/>
            <w:vAlign w:val="bottom"/>
            <w:hideMark/>
          </w:tcPr>
          <w:p w14:paraId="07CD7240" w14:textId="77777777" w:rsidR="00E45705" w:rsidRPr="001B09E6" w:rsidRDefault="00E45705" w:rsidP="00E45705">
            <w:pPr>
              <w:pStyle w:val="TableCellText"/>
              <w:spacing w:before="0" w:after="0"/>
              <w:ind w:left="0" w:right="0"/>
              <w:rPr>
                <w:lang w:eastAsia="en-AU"/>
              </w:rPr>
            </w:pPr>
            <w:r w:rsidRPr="001B09E6">
              <w:rPr>
                <w:lang w:eastAsia="en-AU"/>
              </w:rPr>
              <w:t>64.1</w:t>
            </w:r>
          </w:p>
        </w:tc>
      </w:tr>
      <w:tr w:rsidR="00E45705" w:rsidRPr="001B09E6" w14:paraId="010B42E4" w14:textId="77777777" w:rsidTr="00E45705">
        <w:trPr>
          <w:trHeight w:val="225"/>
        </w:trPr>
        <w:tc>
          <w:tcPr>
            <w:tcW w:w="976" w:type="dxa"/>
            <w:tcBorders>
              <w:top w:val="nil"/>
              <w:left w:val="nil"/>
              <w:bottom w:val="single" w:sz="4" w:space="0" w:color="auto"/>
              <w:right w:val="nil"/>
            </w:tcBorders>
            <w:shd w:val="clear" w:color="auto" w:fill="auto"/>
            <w:noWrap/>
            <w:vAlign w:val="bottom"/>
            <w:hideMark/>
          </w:tcPr>
          <w:p w14:paraId="1D6E0CF8" w14:textId="77777777" w:rsidR="00E45705" w:rsidRPr="001B09E6" w:rsidRDefault="00E45705" w:rsidP="00E45705">
            <w:pPr>
              <w:pStyle w:val="TableCellText"/>
              <w:spacing w:before="0" w:after="0"/>
              <w:ind w:left="0" w:right="0"/>
              <w:rPr>
                <w:lang w:eastAsia="en-AU"/>
              </w:rPr>
            </w:pPr>
            <w:r w:rsidRPr="001B09E6">
              <w:rPr>
                <w:lang w:eastAsia="en-AU"/>
              </w:rPr>
              <w:t>20-24</w:t>
            </w:r>
          </w:p>
        </w:tc>
        <w:tc>
          <w:tcPr>
            <w:tcW w:w="976" w:type="dxa"/>
            <w:tcBorders>
              <w:top w:val="nil"/>
              <w:left w:val="nil"/>
              <w:bottom w:val="single" w:sz="4" w:space="0" w:color="auto"/>
              <w:right w:val="nil"/>
            </w:tcBorders>
            <w:shd w:val="clear" w:color="auto" w:fill="auto"/>
            <w:noWrap/>
            <w:vAlign w:val="bottom"/>
            <w:hideMark/>
          </w:tcPr>
          <w:p w14:paraId="21F43E11" w14:textId="77777777" w:rsidR="00E45705" w:rsidRPr="001B09E6" w:rsidRDefault="00E45705" w:rsidP="00E45705">
            <w:pPr>
              <w:pStyle w:val="TableCellText"/>
              <w:spacing w:before="0" w:after="0"/>
              <w:ind w:left="0" w:right="0"/>
              <w:rPr>
                <w:lang w:eastAsia="en-AU"/>
              </w:rPr>
            </w:pPr>
            <w:r w:rsidRPr="001B09E6">
              <w:rPr>
                <w:lang w:eastAsia="en-AU"/>
              </w:rPr>
              <w:t>15.7</w:t>
            </w:r>
          </w:p>
        </w:tc>
        <w:tc>
          <w:tcPr>
            <w:tcW w:w="976" w:type="dxa"/>
            <w:tcBorders>
              <w:top w:val="nil"/>
              <w:left w:val="nil"/>
              <w:bottom w:val="single" w:sz="4" w:space="0" w:color="auto"/>
              <w:right w:val="nil"/>
            </w:tcBorders>
            <w:shd w:val="clear" w:color="auto" w:fill="auto"/>
            <w:noWrap/>
            <w:vAlign w:val="bottom"/>
            <w:hideMark/>
          </w:tcPr>
          <w:p w14:paraId="31FDDFF4" w14:textId="77777777" w:rsidR="00E45705" w:rsidRPr="001B09E6" w:rsidRDefault="00E45705" w:rsidP="00E45705">
            <w:pPr>
              <w:pStyle w:val="TableCellText"/>
              <w:spacing w:before="0" w:after="0"/>
              <w:ind w:left="0" w:right="0"/>
              <w:rPr>
                <w:lang w:eastAsia="en-AU"/>
              </w:rPr>
            </w:pPr>
            <w:r w:rsidRPr="001B09E6">
              <w:rPr>
                <w:lang w:eastAsia="en-AU"/>
              </w:rPr>
              <w:t>21.7</w:t>
            </w:r>
          </w:p>
        </w:tc>
        <w:tc>
          <w:tcPr>
            <w:tcW w:w="976" w:type="dxa"/>
            <w:tcBorders>
              <w:top w:val="nil"/>
              <w:left w:val="nil"/>
              <w:bottom w:val="single" w:sz="4" w:space="0" w:color="auto"/>
              <w:right w:val="nil"/>
            </w:tcBorders>
            <w:shd w:val="clear" w:color="auto" w:fill="auto"/>
            <w:noWrap/>
            <w:vAlign w:val="bottom"/>
            <w:hideMark/>
          </w:tcPr>
          <w:p w14:paraId="73855BF2" w14:textId="77777777" w:rsidR="00E45705" w:rsidRPr="001B09E6" w:rsidRDefault="00E45705" w:rsidP="00E45705">
            <w:pPr>
              <w:pStyle w:val="TableCellText"/>
              <w:spacing w:before="0" w:after="0"/>
              <w:ind w:left="0" w:right="0"/>
              <w:rPr>
                <w:lang w:eastAsia="en-AU"/>
              </w:rPr>
            </w:pPr>
            <w:r w:rsidRPr="001B09E6">
              <w:rPr>
                <w:lang w:eastAsia="en-AU"/>
              </w:rPr>
              <w:t>20.2</w:t>
            </w:r>
          </w:p>
        </w:tc>
        <w:tc>
          <w:tcPr>
            <w:tcW w:w="976" w:type="dxa"/>
            <w:tcBorders>
              <w:top w:val="nil"/>
              <w:left w:val="nil"/>
              <w:bottom w:val="single" w:sz="4" w:space="0" w:color="auto"/>
              <w:right w:val="nil"/>
            </w:tcBorders>
            <w:shd w:val="clear" w:color="auto" w:fill="auto"/>
            <w:noWrap/>
            <w:vAlign w:val="bottom"/>
            <w:hideMark/>
          </w:tcPr>
          <w:p w14:paraId="5E25379E" w14:textId="77777777" w:rsidR="00E45705" w:rsidRPr="001B09E6" w:rsidRDefault="00E45705" w:rsidP="00E45705">
            <w:pPr>
              <w:pStyle w:val="TableCellText"/>
              <w:spacing w:before="0" w:after="0"/>
              <w:ind w:left="0" w:right="0"/>
              <w:rPr>
                <w:lang w:eastAsia="en-AU"/>
              </w:rPr>
            </w:pPr>
            <w:r w:rsidRPr="001B09E6">
              <w:rPr>
                <w:lang w:eastAsia="en-AU"/>
              </w:rPr>
              <w:t>27.5</w:t>
            </w:r>
          </w:p>
        </w:tc>
        <w:tc>
          <w:tcPr>
            <w:tcW w:w="976" w:type="dxa"/>
            <w:tcBorders>
              <w:top w:val="nil"/>
              <w:left w:val="nil"/>
              <w:bottom w:val="single" w:sz="4" w:space="0" w:color="auto"/>
              <w:right w:val="nil"/>
            </w:tcBorders>
            <w:shd w:val="clear" w:color="auto" w:fill="auto"/>
            <w:noWrap/>
            <w:vAlign w:val="bottom"/>
            <w:hideMark/>
          </w:tcPr>
          <w:p w14:paraId="54D38708" w14:textId="77777777" w:rsidR="00E45705" w:rsidRPr="001B09E6" w:rsidRDefault="00E45705" w:rsidP="00E45705">
            <w:pPr>
              <w:pStyle w:val="TableCellText"/>
              <w:spacing w:before="0" w:after="0"/>
              <w:ind w:left="0" w:right="0"/>
              <w:rPr>
                <w:lang w:eastAsia="en-AU"/>
              </w:rPr>
            </w:pPr>
            <w:r w:rsidRPr="001B09E6">
              <w:rPr>
                <w:lang w:eastAsia="en-AU"/>
              </w:rPr>
              <w:t>25.7</w:t>
            </w:r>
          </w:p>
        </w:tc>
        <w:tc>
          <w:tcPr>
            <w:tcW w:w="976" w:type="dxa"/>
            <w:tcBorders>
              <w:top w:val="nil"/>
              <w:left w:val="nil"/>
              <w:bottom w:val="single" w:sz="4" w:space="0" w:color="auto"/>
              <w:right w:val="nil"/>
            </w:tcBorders>
            <w:shd w:val="clear" w:color="auto" w:fill="auto"/>
            <w:noWrap/>
            <w:vAlign w:val="bottom"/>
            <w:hideMark/>
          </w:tcPr>
          <w:p w14:paraId="51F0278E" w14:textId="77777777" w:rsidR="00E45705" w:rsidRPr="001B09E6" w:rsidRDefault="00E45705" w:rsidP="00E45705">
            <w:pPr>
              <w:pStyle w:val="TableCellText"/>
              <w:spacing w:before="0" w:after="0"/>
              <w:ind w:left="0" w:right="0"/>
              <w:rPr>
                <w:lang w:eastAsia="en-AU"/>
              </w:rPr>
            </w:pPr>
            <w:r w:rsidRPr="001B09E6">
              <w:rPr>
                <w:lang w:eastAsia="en-AU"/>
              </w:rPr>
              <w:t>28.0</w:t>
            </w:r>
          </w:p>
        </w:tc>
        <w:tc>
          <w:tcPr>
            <w:tcW w:w="976" w:type="dxa"/>
            <w:tcBorders>
              <w:top w:val="nil"/>
              <w:left w:val="nil"/>
              <w:bottom w:val="single" w:sz="4" w:space="0" w:color="auto"/>
              <w:right w:val="nil"/>
            </w:tcBorders>
            <w:shd w:val="clear" w:color="auto" w:fill="auto"/>
            <w:noWrap/>
            <w:vAlign w:val="bottom"/>
            <w:hideMark/>
          </w:tcPr>
          <w:p w14:paraId="052A50C6" w14:textId="77777777" w:rsidR="00E45705" w:rsidRPr="001B09E6" w:rsidRDefault="00E45705" w:rsidP="00E45705">
            <w:pPr>
              <w:pStyle w:val="TableCellText"/>
              <w:spacing w:before="0" w:after="0"/>
              <w:ind w:left="0" w:right="0"/>
              <w:rPr>
                <w:lang w:eastAsia="en-AU"/>
              </w:rPr>
            </w:pPr>
            <w:r w:rsidRPr="001B09E6">
              <w:rPr>
                <w:lang w:eastAsia="en-AU"/>
              </w:rPr>
              <w:t>23.6</w:t>
            </w:r>
          </w:p>
        </w:tc>
        <w:tc>
          <w:tcPr>
            <w:tcW w:w="976" w:type="dxa"/>
            <w:tcBorders>
              <w:top w:val="nil"/>
              <w:left w:val="nil"/>
              <w:bottom w:val="single" w:sz="4" w:space="0" w:color="auto"/>
              <w:right w:val="nil"/>
            </w:tcBorders>
            <w:shd w:val="clear" w:color="auto" w:fill="auto"/>
            <w:noWrap/>
            <w:vAlign w:val="bottom"/>
            <w:hideMark/>
          </w:tcPr>
          <w:p w14:paraId="43697BC5" w14:textId="77777777" w:rsidR="00E45705" w:rsidRPr="001B09E6" w:rsidRDefault="00E45705" w:rsidP="00E45705">
            <w:pPr>
              <w:pStyle w:val="TableCellText"/>
              <w:spacing w:before="0" w:after="0"/>
              <w:ind w:left="0" w:right="0"/>
              <w:rPr>
                <w:lang w:eastAsia="en-AU"/>
              </w:rPr>
            </w:pPr>
            <w:r w:rsidRPr="001B09E6">
              <w:rPr>
                <w:lang w:eastAsia="en-AU"/>
              </w:rPr>
              <w:t>27.9</w:t>
            </w:r>
          </w:p>
        </w:tc>
        <w:tc>
          <w:tcPr>
            <w:tcW w:w="976" w:type="dxa"/>
            <w:tcBorders>
              <w:top w:val="nil"/>
              <w:left w:val="nil"/>
              <w:bottom w:val="single" w:sz="4" w:space="0" w:color="auto"/>
              <w:right w:val="nil"/>
            </w:tcBorders>
            <w:shd w:val="clear" w:color="auto" w:fill="auto"/>
            <w:noWrap/>
            <w:vAlign w:val="bottom"/>
            <w:hideMark/>
          </w:tcPr>
          <w:p w14:paraId="40BE051D" w14:textId="77777777" w:rsidR="00E45705" w:rsidRPr="001B09E6" w:rsidRDefault="00E45705" w:rsidP="00E45705">
            <w:pPr>
              <w:pStyle w:val="TableCellText"/>
              <w:spacing w:before="0" w:after="0"/>
              <w:ind w:left="0" w:right="0"/>
              <w:rPr>
                <w:lang w:eastAsia="en-AU"/>
              </w:rPr>
            </w:pPr>
            <w:r w:rsidRPr="001B09E6">
              <w:rPr>
                <w:lang w:eastAsia="en-AU"/>
              </w:rPr>
              <w:t>28.4</w:t>
            </w:r>
          </w:p>
        </w:tc>
        <w:tc>
          <w:tcPr>
            <w:tcW w:w="976" w:type="dxa"/>
            <w:tcBorders>
              <w:top w:val="nil"/>
              <w:left w:val="nil"/>
              <w:bottom w:val="single" w:sz="4" w:space="0" w:color="auto"/>
              <w:right w:val="nil"/>
            </w:tcBorders>
            <w:shd w:val="clear" w:color="auto" w:fill="auto"/>
            <w:noWrap/>
            <w:vAlign w:val="bottom"/>
            <w:hideMark/>
          </w:tcPr>
          <w:p w14:paraId="54D70D7D" w14:textId="77777777" w:rsidR="00E45705" w:rsidRPr="001B09E6" w:rsidRDefault="00E45705" w:rsidP="00E45705">
            <w:pPr>
              <w:pStyle w:val="TableCellText"/>
              <w:spacing w:before="0" w:after="0"/>
              <w:ind w:left="0" w:right="0"/>
              <w:rPr>
                <w:lang w:eastAsia="en-AU"/>
              </w:rPr>
            </w:pPr>
            <w:r w:rsidRPr="001B09E6">
              <w:rPr>
                <w:lang w:eastAsia="en-AU"/>
              </w:rPr>
              <w:t>20.1</w:t>
            </w:r>
          </w:p>
        </w:tc>
        <w:tc>
          <w:tcPr>
            <w:tcW w:w="976" w:type="dxa"/>
            <w:tcBorders>
              <w:top w:val="nil"/>
              <w:left w:val="nil"/>
              <w:bottom w:val="single" w:sz="4" w:space="0" w:color="auto"/>
              <w:right w:val="nil"/>
            </w:tcBorders>
            <w:shd w:val="clear" w:color="auto" w:fill="auto"/>
            <w:noWrap/>
            <w:vAlign w:val="bottom"/>
            <w:hideMark/>
          </w:tcPr>
          <w:p w14:paraId="592D5A16" w14:textId="77777777" w:rsidR="00E45705" w:rsidRPr="001B09E6" w:rsidRDefault="00E45705" w:rsidP="00E45705">
            <w:pPr>
              <w:pStyle w:val="TableCellText"/>
              <w:spacing w:before="0" w:after="0"/>
              <w:ind w:left="0" w:right="0"/>
              <w:rPr>
                <w:lang w:eastAsia="en-AU"/>
              </w:rPr>
            </w:pPr>
            <w:r w:rsidRPr="001B09E6">
              <w:rPr>
                <w:lang w:eastAsia="en-AU"/>
              </w:rPr>
              <w:t>25.4</w:t>
            </w:r>
          </w:p>
        </w:tc>
        <w:tc>
          <w:tcPr>
            <w:tcW w:w="976" w:type="dxa"/>
            <w:tcBorders>
              <w:top w:val="nil"/>
              <w:left w:val="nil"/>
              <w:bottom w:val="single" w:sz="4" w:space="0" w:color="auto"/>
              <w:right w:val="nil"/>
            </w:tcBorders>
            <w:shd w:val="clear" w:color="auto" w:fill="auto"/>
            <w:noWrap/>
            <w:vAlign w:val="bottom"/>
            <w:hideMark/>
          </w:tcPr>
          <w:p w14:paraId="3BE5EA7D" w14:textId="77777777" w:rsidR="00E45705" w:rsidRPr="001B09E6" w:rsidRDefault="00E45705" w:rsidP="00E45705">
            <w:pPr>
              <w:pStyle w:val="TableCellText"/>
              <w:spacing w:before="0" w:after="0"/>
              <w:ind w:left="0" w:right="0"/>
              <w:rPr>
                <w:lang w:eastAsia="en-AU"/>
              </w:rPr>
            </w:pPr>
            <w:r w:rsidRPr="001B09E6">
              <w:rPr>
                <w:lang w:eastAsia="en-AU"/>
              </w:rPr>
              <w:t>24.7</w:t>
            </w:r>
          </w:p>
        </w:tc>
        <w:tc>
          <w:tcPr>
            <w:tcW w:w="976" w:type="dxa"/>
            <w:tcBorders>
              <w:top w:val="nil"/>
              <w:left w:val="nil"/>
              <w:bottom w:val="single" w:sz="4" w:space="0" w:color="auto"/>
              <w:right w:val="nil"/>
            </w:tcBorders>
            <w:shd w:val="clear" w:color="auto" w:fill="auto"/>
            <w:noWrap/>
            <w:vAlign w:val="bottom"/>
            <w:hideMark/>
          </w:tcPr>
          <w:p w14:paraId="7E6197D8" w14:textId="77777777" w:rsidR="00E45705" w:rsidRPr="001B09E6" w:rsidRDefault="00E45705" w:rsidP="00E45705">
            <w:pPr>
              <w:pStyle w:val="TableCellText"/>
              <w:spacing w:before="0" w:after="0"/>
              <w:ind w:left="0" w:right="0"/>
              <w:rPr>
                <w:lang w:eastAsia="en-AU"/>
              </w:rPr>
            </w:pPr>
            <w:r w:rsidRPr="001B09E6">
              <w:rPr>
                <w:lang w:eastAsia="en-AU"/>
              </w:rPr>
              <w:t>34.4</w:t>
            </w:r>
          </w:p>
        </w:tc>
      </w:tr>
    </w:tbl>
    <w:p w14:paraId="2811DD67" w14:textId="77777777" w:rsidR="00E45705" w:rsidRPr="001B09E6" w:rsidRDefault="00E45705" w:rsidP="00E45705">
      <w:pPr>
        <w:pStyle w:val="Tablenote"/>
        <w:rPr>
          <w:lang w:eastAsia="en-AU"/>
        </w:rPr>
      </w:pPr>
      <w:r w:rsidRPr="001B09E6">
        <w:rPr>
          <w:lang w:eastAsia="en-AU"/>
        </w:rPr>
        <w:t>Source: 6291.0.55.001 Labour Force, Australia, Detailed - Electronic Delivery, Table 03a</w:t>
      </w:r>
    </w:p>
    <w:p w14:paraId="50677137" w14:textId="77777777" w:rsidR="00E45705" w:rsidRDefault="00E45705" w:rsidP="00E45705">
      <w:pPr>
        <w:spacing w:line="380" w:lineRule="atLeast"/>
        <w:rPr>
          <w:rFonts w:eastAsiaTheme="majorEastAsia" w:cstheme="majorBidi"/>
          <w:b/>
          <w:bCs/>
          <w:color w:val="808080"/>
          <w:sz w:val="24"/>
          <w:lang w:eastAsia="en-AU"/>
        </w:rPr>
      </w:pPr>
      <w:bookmarkStart w:id="215" w:name="_Toc333919018"/>
      <w:bookmarkStart w:id="216" w:name="_Toc192134428"/>
      <w:r>
        <w:rPr>
          <w:lang w:eastAsia="en-AU"/>
        </w:rPr>
        <w:br w:type="page"/>
      </w:r>
    </w:p>
    <w:p w14:paraId="2B6F242F" w14:textId="77777777" w:rsidR="00E45705" w:rsidRPr="001B09E6" w:rsidRDefault="00E45705" w:rsidP="00E45705">
      <w:pPr>
        <w:pStyle w:val="Heading3NoNumbering"/>
        <w:rPr>
          <w:lang w:eastAsia="en-AU"/>
        </w:rPr>
      </w:pPr>
      <w:r w:rsidRPr="001B09E6">
        <w:rPr>
          <w:lang w:eastAsia="en-AU"/>
        </w:rPr>
        <w:t>Table A2.34: Full-time education participation and labour force status for 15-24 year olds not in full-time education</w:t>
      </w:r>
      <w:bookmarkEnd w:id="215"/>
      <w:r w:rsidRPr="001B09E6">
        <w:rPr>
          <w:lang w:eastAsia="en-AU"/>
        </w:rPr>
        <w:t xml:space="preserve">  </w:t>
      </w:r>
    </w:p>
    <w:p w14:paraId="61CBEF19" w14:textId="77777777" w:rsidR="00E45705" w:rsidRPr="001B09E6" w:rsidRDefault="00E45705" w:rsidP="00E45705">
      <w:pPr>
        <w:pStyle w:val="Heading4"/>
        <w:rPr>
          <w:lang w:eastAsia="en-AU"/>
        </w:rPr>
      </w:pPr>
      <w:r w:rsidRPr="001B09E6">
        <w:rPr>
          <w:lang w:eastAsia="en-AU"/>
        </w:rPr>
        <w:t>15-19 year olds</w:t>
      </w:r>
    </w:p>
    <w:tbl>
      <w:tblPr>
        <w:tblW w:w="5000" w:type="pct"/>
        <w:tblLook w:val="04A0" w:firstRow="1" w:lastRow="0" w:firstColumn="1" w:lastColumn="0" w:noHBand="0" w:noVBand="1"/>
        <w:tblCaption w:val="Table A2.34: Full-time education participation and labour force status for 15-24 year olds not in full-time education   15-19 year olds "/>
        <w:tblDescription w:val="Table A2.34: Full-time education participation and labour force status for 15-24 year olds not in full-time education  &#10;15-19 year olds&#10;"/>
      </w:tblPr>
      <w:tblGrid>
        <w:gridCol w:w="1611"/>
        <w:gridCol w:w="2166"/>
        <w:gridCol w:w="2169"/>
        <w:gridCol w:w="2166"/>
        <w:gridCol w:w="2169"/>
        <w:gridCol w:w="2166"/>
        <w:gridCol w:w="2169"/>
      </w:tblGrid>
      <w:tr w:rsidR="00E45705" w:rsidRPr="001B09E6" w14:paraId="71282812" w14:textId="77777777" w:rsidTr="00E45705">
        <w:trPr>
          <w:trHeight w:val="708"/>
        </w:trPr>
        <w:tc>
          <w:tcPr>
            <w:tcW w:w="551" w:type="pct"/>
            <w:tcBorders>
              <w:top w:val="single" w:sz="4" w:space="0" w:color="auto"/>
              <w:left w:val="nil"/>
              <w:bottom w:val="single" w:sz="4" w:space="0" w:color="auto"/>
              <w:right w:val="nil"/>
            </w:tcBorders>
            <w:shd w:val="clear" w:color="auto" w:fill="auto"/>
            <w:noWrap/>
            <w:vAlign w:val="bottom"/>
            <w:hideMark/>
          </w:tcPr>
          <w:p w14:paraId="67A06B9F" w14:textId="77777777" w:rsidR="00E45705" w:rsidRPr="001B09E6" w:rsidRDefault="00E45705" w:rsidP="00E45705">
            <w:pPr>
              <w:pStyle w:val="TableColumnHeading"/>
              <w:spacing w:before="0" w:after="0"/>
              <w:ind w:left="0" w:right="0"/>
              <w:rPr>
                <w:lang w:eastAsia="en-AU"/>
              </w:rPr>
            </w:pPr>
            <w:r w:rsidRPr="001B09E6">
              <w:rPr>
                <w:lang w:eastAsia="en-AU"/>
              </w:rPr>
              <w:t>Year</w:t>
            </w:r>
          </w:p>
        </w:tc>
        <w:tc>
          <w:tcPr>
            <w:tcW w:w="741" w:type="pct"/>
            <w:tcBorders>
              <w:top w:val="single" w:sz="4" w:space="0" w:color="auto"/>
              <w:left w:val="nil"/>
              <w:bottom w:val="single" w:sz="4" w:space="0" w:color="auto"/>
              <w:right w:val="nil"/>
            </w:tcBorders>
            <w:shd w:val="clear" w:color="auto" w:fill="auto"/>
            <w:vAlign w:val="bottom"/>
            <w:hideMark/>
          </w:tcPr>
          <w:p w14:paraId="104D8EED" w14:textId="77777777" w:rsidR="00E45705" w:rsidRPr="001B09E6" w:rsidRDefault="00E45705" w:rsidP="00E45705">
            <w:pPr>
              <w:pStyle w:val="TableColumnHeading"/>
              <w:spacing w:before="0" w:after="0"/>
              <w:ind w:left="0" w:right="0"/>
              <w:rPr>
                <w:lang w:eastAsia="en-AU"/>
              </w:rPr>
            </w:pPr>
            <w:r w:rsidRPr="001B09E6">
              <w:rPr>
                <w:lang w:eastAsia="en-AU"/>
              </w:rPr>
              <w:t xml:space="preserve">Attending full-time education </w:t>
            </w:r>
          </w:p>
        </w:tc>
        <w:tc>
          <w:tcPr>
            <w:tcW w:w="742" w:type="pct"/>
            <w:tcBorders>
              <w:top w:val="single" w:sz="4" w:space="0" w:color="auto"/>
              <w:left w:val="nil"/>
              <w:bottom w:val="single" w:sz="4" w:space="0" w:color="auto"/>
              <w:right w:val="nil"/>
            </w:tcBorders>
            <w:shd w:val="clear" w:color="auto" w:fill="auto"/>
            <w:vAlign w:val="bottom"/>
            <w:hideMark/>
          </w:tcPr>
          <w:p w14:paraId="0A70DD9D" w14:textId="77777777" w:rsidR="00E45705" w:rsidRPr="001B09E6" w:rsidRDefault="00E45705" w:rsidP="00E45705">
            <w:pPr>
              <w:pStyle w:val="TableColumnHeading"/>
              <w:spacing w:before="0" w:after="0"/>
              <w:ind w:left="0" w:right="0"/>
              <w:rPr>
                <w:lang w:eastAsia="en-AU"/>
              </w:rPr>
            </w:pPr>
            <w:r w:rsidRPr="001B09E6">
              <w:rPr>
                <w:lang w:eastAsia="en-AU"/>
              </w:rPr>
              <w:t xml:space="preserve">Employed Full Time ;  Not attending full-time education </w:t>
            </w:r>
          </w:p>
        </w:tc>
        <w:tc>
          <w:tcPr>
            <w:tcW w:w="741" w:type="pct"/>
            <w:tcBorders>
              <w:top w:val="single" w:sz="4" w:space="0" w:color="auto"/>
              <w:left w:val="nil"/>
              <w:bottom w:val="single" w:sz="4" w:space="0" w:color="auto"/>
              <w:right w:val="nil"/>
            </w:tcBorders>
            <w:shd w:val="clear" w:color="auto" w:fill="auto"/>
            <w:vAlign w:val="bottom"/>
            <w:hideMark/>
          </w:tcPr>
          <w:p w14:paraId="26F27666" w14:textId="77777777" w:rsidR="00E45705" w:rsidRPr="001B09E6" w:rsidRDefault="00E45705" w:rsidP="00E45705">
            <w:pPr>
              <w:pStyle w:val="TableColumnHeading"/>
              <w:spacing w:before="0" w:after="0"/>
              <w:ind w:left="0" w:right="0"/>
              <w:rPr>
                <w:lang w:eastAsia="en-AU"/>
              </w:rPr>
            </w:pPr>
            <w:r w:rsidRPr="001B09E6">
              <w:rPr>
                <w:lang w:eastAsia="en-AU"/>
              </w:rPr>
              <w:t xml:space="preserve">Employed Part Time ;  Not attending full-time education </w:t>
            </w:r>
          </w:p>
        </w:tc>
        <w:tc>
          <w:tcPr>
            <w:tcW w:w="742" w:type="pct"/>
            <w:tcBorders>
              <w:top w:val="single" w:sz="4" w:space="0" w:color="auto"/>
              <w:left w:val="nil"/>
              <w:bottom w:val="single" w:sz="4" w:space="0" w:color="auto"/>
              <w:right w:val="nil"/>
            </w:tcBorders>
            <w:shd w:val="clear" w:color="auto" w:fill="auto"/>
            <w:vAlign w:val="bottom"/>
            <w:hideMark/>
          </w:tcPr>
          <w:p w14:paraId="3EB500E5" w14:textId="77777777" w:rsidR="00E45705" w:rsidRPr="001B09E6" w:rsidRDefault="00E45705" w:rsidP="00E45705">
            <w:pPr>
              <w:pStyle w:val="TableColumnHeading"/>
              <w:spacing w:before="0" w:after="0"/>
              <w:ind w:left="0" w:right="0"/>
              <w:rPr>
                <w:lang w:eastAsia="en-AU"/>
              </w:rPr>
            </w:pPr>
            <w:r w:rsidRPr="001B09E6">
              <w:rPr>
                <w:lang w:eastAsia="en-AU"/>
              </w:rPr>
              <w:t xml:space="preserve">Unemployed - total ;  Not attending full-time education </w:t>
            </w:r>
          </w:p>
        </w:tc>
        <w:tc>
          <w:tcPr>
            <w:tcW w:w="741" w:type="pct"/>
            <w:tcBorders>
              <w:top w:val="single" w:sz="4" w:space="0" w:color="auto"/>
              <w:left w:val="nil"/>
              <w:bottom w:val="single" w:sz="4" w:space="0" w:color="auto"/>
              <w:right w:val="nil"/>
            </w:tcBorders>
            <w:shd w:val="clear" w:color="auto" w:fill="auto"/>
            <w:vAlign w:val="bottom"/>
            <w:hideMark/>
          </w:tcPr>
          <w:p w14:paraId="40F022DD" w14:textId="77777777" w:rsidR="00E45705" w:rsidRPr="001B09E6" w:rsidRDefault="00E45705" w:rsidP="00E45705">
            <w:pPr>
              <w:pStyle w:val="TableColumnHeading"/>
              <w:spacing w:before="0" w:after="0"/>
              <w:ind w:left="0" w:right="0"/>
              <w:rPr>
                <w:lang w:eastAsia="en-AU"/>
              </w:rPr>
            </w:pPr>
            <w:r w:rsidRPr="001B09E6">
              <w:rPr>
                <w:lang w:eastAsia="en-AU"/>
              </w:rPr>
              <w:t xml:space="preserve">Not in the Labour Force ;  Not attending full-time education </w:t>
            </w:r>
          </w:p>
        </w:tc>
        <w:tc>
          <w:tcPr>
            <w:tcW w:w="742" w:type="pct"/>
            <w:tcBorders>
              <w:top w:val="single" w:sz="4" w:space="0" w:color="auto"/>
              <w:left w:val="nil"/>
              <w:bottom w:val="single" w:sz="4" w:space="0" w:color="auto"/>
              <w:right w:val="nil"/>
            </w:tcBorders>
            <w:shd w:val="clear" w:color="auto" w:fill="auto"/>
            <w:vAlign w:val="bottom"/>
            <w:hideMark/>
          </w:tcPr>
          <w:p w14:paraId="577651AC" w14:textId="77777777" w:rsidR="00E45705" w:rsidRPr="001B09E6" w:rsidRDefault="00E45705" w:rsidP="00E45705">
            <w:pPr>
              <w:pStyle w:val="TableColumnHeading"/>
              <w:spacing w:before="0" w:after="0"/>
              <w:ind w:left="0" w:right="0"/>
              <w:rPr>
                <w:lang w:eastAsia="en-AU"/>
              </w:rPr>
            </w:pPr>
            <w:r w:rsidRPr="001B09E6">
              <w:rPr>
                <w:lang w:eastAsia="en-AU"/>
              </w:rPr>
              <w:t>Total</w:t>
            </w:r>
          </w:p>
        </w:tc>
      </w:tr>
      <w:tr w:rsidR="00E45705" w:rsidRPr="001B09E6" w14:paraId="06F563C2" w14:textId="77777777" w:rsidTr="00E45705">
        <w:trPr>
          <w:trHeight w:val="300"/>
        </w:trPr>
        <w:tc>
          <w:tcPr>
            <w:tcW w:w="551" w:type="pct"/>
            <w:tcBorders>
              <w:top w:val="single" w:sz="4" w:space="0" w:color="auto"/>
              <w:left w:val="nil"/>
              <w:bottom w:val="nil"/>
              <w:right w:val="nil"/>
            </w:tcBorders>
            <w:shd w:val="clear" w:color="auto" w:fill="auto"/>
            <w:noWrap/>
            <w:vAlign w:val="bottom"/>
            <w:hideMark/>
          </w:tcPr>
          <w:p w14:paraId="2C962CA8" w14:textId="77777777" w:rsidR="00E45705" w:rsidRPr="001B09E6" w:rsidRDefault="00E45705" w:rsidP="00E45705">
            <w:pPr>
              <w:pStyle w:val="TableCellText"/>
              <w:spacing w:before="0" w:after="0"/>
              <w:ind w:left="0" w:right="0"/>
              <w:rPr>
                <w:lang w:eastAsia="en-AU"/>
              </w:rPr>
            </w:pPr>
            <w:r w:rsidRPr="001B09E6">
              <w:rPr>
                <w:lang w:eastAsia="en-AU"/>
              </w:rPr>
              <w:t>2000</w:t>
            </w:r>
          </w:p>
        </w:tc>
        <w:tc>
          <w:tcPr>
            <w:tcW w:w="741" w:type="pct"/>
            <w:tcBorders>
              <w:top w:val="single" w:sz="4" w:space="0" w:color="auto"/>
              <w:left w:val="nil"/>
              <w:bottom w:val="nil"/>
              <w:right w:val="nil"/>
            </w:tcBorders>
            <w:shd w:val="clear" w:color="auto" w:fill="auto"/>
            <w:noWrap/>
            <w:vAlign w:val="bottom"/>
            <w:hideMark/>
          </w:tcPr>
          <w:p w14:paraId="183BF51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69.2</w:t>
            </w:r>
          </w:p>
        </w:tc>
        <w:tc>
          <w:tcPr>
            <w:tcW w:w="742" w:type="pct"/>
            <w:tcBorders>
              <w:top w:val="single" w:sz="4" w:space="0" w:color="auto"/>
              <w:left w:val="nil"/>
              <w:bottom w:val="nil"/>
              <w:right w:val="nil"/>
            </w:tcBorders>
            <w:shd w:val="clear" w:color="auto" w:fill="auto"/>
            <w:noWrap/>
            <w:vAlign w:val="bottom"/>
            <w:hideMark/>
          </w:tcPr>
          <w:p w14:paraId="4F360E7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16.5</w:t>
            </w:r>
          </w:p>
        </w:tc>
        <w:tc>
          <w:tcPr>
            <w:tcW w:w="741" w:type="pct"/>
            <w:tcBorders>
              <w:top w:val="single" w:sz="4" w:space="0" w:color="auto"/>
              <w:left w:val="nil"/>
              <w:bottom w:val="nil"/>
              <w:right w:val="nil"/>
            </w:tcBorders>
            <w:shd w:val="clear" w:color="auto" w:fill="auto"/>
            <w:noWrap/>
            <w:vAlign w:val="bottom"/>
            <w:hideMark/>
          </w:tcPr>
          <w:p w14:paraId="67D6551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6.3</w:t>
            </w:r>
          </w:p>
        </w:tc>
        <w:tc>
          <w:tcPr>
            <w:tcW w:w="742" w:type="pct"/>
            <w:tcBorders>
              <w:top w:val="single" w:sz="4" w:space="0" w:color="auto"/>
              <w:left w:val="nil"/>
              <w:bottom w:val="nil"/>
              <w:right w:val="nil"/>
            </w:tcBorders>
            <w:shd w:val="clear" w:color="auto" w:fill="auto"/>
            <w:noWrap/>
            <w:vAlign w:val="bottom"/>
            <w:hideMark/>
          </w:tcPr>
          <w:p w14:paraId="248ADCA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4.2</w:t>
            </w:r>
          </w:p>
        </w:tc>
        <w:tc>
          <w:tcPr>
            <w:tcW w:w="741" w:type="pct"/>
            <w:tcBorders>
              <w:top w:val="single" w:sz="4" w:space="0" w:color="auto"/>
              <w:left w:val="nil"/>
              <w:bottom w:val="nil"/>
              <w:right w:val="nil"/>
            </w:tcBorders>
            <w:shd w:val="clear" w:color="auto" w:fill="auto"/>
            <w:noWrap/>
            <w:vAlign w:val="bottom"/>
            <w:hideMark/>
          </w:tcPr>
          <w:p w14:paraId="7E3F93DC"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3.7</w:t>
            </w:r>
          </w:p>
        </w:tc>
        <w:tc>
          <w:tcPr>
            <w:tcW w:w="742" w:type="pct"/>
            <w:tcBorders>
              <w:top w:val="single" w:sz="4" w:space="0" w:color="auto"/>
              <w:left w:val="nil"/>
              <w:bottom w:val="nil"/>
              <w:right w:val="nil"/>
            </w:tcBorders>
            <w:shd w:val="clear" w:color="auto" w:fill="auto"/>
            <w:noWrap/>
            <w:vAlign w:val="bottom"/>
            <w:hideMark/>
          </w:tcPr>
          <w:p w14:paraId="68184AA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7C34851B" w14:textId="77777777" w:rsidTr="00E45705">
        <w:trPr>
          <w:trHeight w:val="300"/>
        </w:trPr>
        <w:tc>
          <w:tcPr>
            <w:tcW w:w="551" w:type="pct"/>
            <w:tcBorders>
              <w:top w:val="nil"/>
              <w:left w:val="nil"/>
              <w:bottom w:val="nil"/>
              <w:right w:val="nil"/>
            </w:tcBorders>
            <w:shd w:val="clear" w:color="auto" w:fill="auto"/>
            <w:noWrap/>
            <w:vAlign w:val="bottom"/>
            <w:hideMark/>
          </w:tcPr>
          <w:p w14:paraId="0F00B098" w14:textId="77777777" w:rsidR="00E45705" w:rsidRPr="001B09E6" w:rsidRDefault="00E45705" w:rsidP="00E45705">
            <w:pPr>
              <w:pStyle w:val="TableCellText"/>
              <w:spacing w:before="0" w:after="0"/>
              <w:ind w:left="0" w:right="0"/>
              <w:rPr>
                <w:lang w:eastAsia="en-AU"/>
              </w:rPr>
            </w:pPr>
            <w:r w:rsidRPr="001B09E6">
              <w:rPr>
                <w:lang w:eastAsia="en-AU"/>
              </w:rPr>
              <w:t>2001</w:t>
            </w:r>
          </w:p>
        </w:tc>
        <w:tc>
          <w:tcPr>
            <w:tcW w:w="741" w:type="pct"/>
            <w:tcBorders>
              <w:top w:val="nil"/>
              <w:left w:val="nil"/>
              <w:bottom w:val="nil"/>
              <w:right w:val="nil"/>
            </w:tcBorders>
            <w:shd w:val="clear" w:color="auto" w:fill="auto"/>
            <w:noWrap/>
            <w:vAlign w:val="bottom"/>
            <w:hideMark/>
          </w:tcPr>
          <w:p w14:paraId="288363A7"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69.7</w:t>
            </w:r>
          </w:p>
        </w:tc>
        <w:tc>
          <w:tcPr>
            <w:tcW w:w="742" w:type="pct"/>
            <w:tcBorders>
              <w:top w:val="nil"/>
              <w:left w:val="nil"/>
              <w:bottom w:val="nil"/>
              <w:right w:val="nil"/>
            </w:tcBorders>
            <w:shd w:val="clear" w:color="auto" w:fill="auto"/>
            <w:noWrap/>
            <w:vAlign w:val="bottom"/>
            <w:hideMark/>
          </w:tcPr>
          <w:p w14:paraId="5392CC7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15.3</w:t>
            </w:r>
          </w:p>
        </w:tc>
        <w:tc>
          <w:tcPr>
            <w:tcW w:w="741" w:type="pct"/>
            <w:tcBorders>
              <w:top w:val="nil"/>
              <w:left w:val="nil"/>
              <w:bottom w:val="nil"/>
              <w:right w:val="nil"/>
            </w:tcBorders>
            <w:shd w:val="clear" w:color="auto" w:fill="auto"/>
            <w:noWrap/>
            <w:vAlign w:val="bottom"/>
            <w:hideMark/>
          </w:tcPr>
          <w:p w14:paraId="41BBDAE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6.6</w:t>
            </w:r>
          </w:p>
        </w:tc>
        <w:tc>
          <w:tcPr>
            <w:tcW w:w="742" w:type="pct"/>
            <w:tcBorders>
              <w:top w:val="nil"/>
              <w:left w:val="nil"/>
              <w:bottom w:val="nil"/>
              <w:right w:val="nil"/>
            </w:tcBorders>
            <w:shd w:val="clear" w:color="auto" w:fill="auto"/>
            <w:noWrap/>
            <w:vAlign w:val="bottom"/>
            <w:hideMark/>
          </w:tcPr>
          <w:p w14:paraId="5EC9EE0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4.7</w:t>
            </w:r>
          </w:p>
        </w:tc>
        <w:tc>
          <w:tcPr>
            <w:tcW w:w="741" w:type="pct"/>
            <w:tcBorders>
              <w:top w:val="nil"/>
              <w:left w:val="nil"/>
              <w:bottom w:val="nil"/>
              <w:right w:val="nil"/>
            </w:tcBorders>
            <w:shd w:val="clear" w:color="auto" w:fill="auto"/>
            <w:noWrap/>
            <w:vAlign w:val="bottom"/>
            <w:hideMark/>
          </w:tcPr>
          <w:p w14:paraId="03BCF35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3.7</w:t>
            </w:r>
          </w:p>
        </w:tc>
        <w:tc>
          <w:tcPr>
            <w:tcW w:w="742" w:type="pct"/>
            <w:tcBorders>
              <w:top w:val="nil"/>
              <w:left w:val="nil"/>
              <w:bottom w:val="nil"/>
              <w:right w:val="nil"/>
            </w:tcBorders>
            <w:shd w:val="clear" w:color="auto" w:fill="auto"/>
            <w:noWrap/>
            <w:vAlign w:val="bottom"/>
            <w:hideMark/>
          </w:tcPr>
          <w:p w14:paraId="02CFE29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71F0F1FE" w14:textId="77777777" w:rsidTr="00E45705">
        <w:trPr>
          <w:trHeight w:val="300"/>
        </w:trPr>
        <w:tc>
          <w:tcPr>
            <w:tcW w:w="551" w:type="pct"/>
            <w:tcBorders>
              <w:top w:val="nil"/>
              <w:left w:val="nil"/>
              <w:bottom w:val="nil"/>
              <w:right w:val="nil"/>
            </w:tcBorders>
            <w:shd w:val="clear" w:color="auto" w:fill="auto"/>
            <w:noWrap/>
            <w:vAlign w:val="bottom"/>
            <w:hideMark/>
          </w:tcPr>
          <w:p w14:paraId="05E35D3E" w14:textId="77777777" w:rsidR="00E45705" w:rsidRPr="001B09E6" w:rsidRDefault="00E45705" w:rsidP="00E45705">
            <w:pPr>
              <w:pStyle w:val="TableCellText"/>
              <w:spacing w:before="0" w:after="0"/>
              <w:ind w:left="0" w:right="0"/>
              <w:rPr>
                <w:lang w:eastAsia="en-AU"/>
              </w:rPr>
            </w:pPr>
            <w:r w:rsidRPr="001B09E6">
              <w:rPr>
                <w:lang w:eastAsia="en-AU"/>
              </w:rPr>
              <w:t>2002</w:t>
            </w:r>
          </w:p>
        </w:tc>
        <w:tc>
          <w:tcPr>
            <w:tcW w:w="741" w:type="pct"/>
            <w:tcBorders>
              <w:top w:val="nil"/>
              <w:left w:val="nil"/>
              <w:bottom w:val="nil"/>
              <w:right w:val="nil"/>
            </w:tcBorders>
            <w:shd w:val="clear" w:color="auto" w:fill="auto"/>
            <w:noWrap/>
            <w:vAlign w:val="bottom"/>
            <w:hideMark/>
          </w:tcPr>
          <w:p w14:paraId="7E7CC47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69.6</w:t>
            </w:r>
          </w:p>
        </w:tc>
        <w:tc>
          <w:tcPr>
            <w:tcW w:w="742" w:type="pct"/>
            <w:tcBorders>
              <w:top w:val="nil"/>
              <w:left w:val="nil"/>
              <w:bottom w:val="nil"/>
              <w:right w:val="nil"/>
            </w:tcBorders>
            <w:shd w:val="clear" w:color="auto" w:fill="auto"/>
            <w:noWrap/>
            <w:vAlign w:val="bottom"/>
            <w:hideMark/>
          </w:tcPr>
          <w:p w14:paraId="1389611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15.4</w:t>
            </w:r>
          </w:p>
        </w:tc>
        <w:tc>
          <w:tcPr>
            <w:tcW w:w="741" w:type="pct"/>
            <w:tcBorders>
              <w:top w:val="nil"/>
              <w:left w:val="nil"/>
              <w:bottom w:val="nil"/>
              <w:right w:val="nil"/>
            </w:tcBorders>
            <w:shd w:val="clear" w:color="auto" w:fill="auto"/>
            <w:noWrap/>
            <w:vAlign w:val="bottom"/>
            <w:hideMark/>
          </w:tcPr>
          <w:p w14:paraId="185DBB9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6.9</w:t>
            </w:r>
          </w:p>
        </w:tc>
        <w:tc>
          <w:tcPr>
            <w:tcW w:w="742" w:type="pct"/>
            <w:tcBorders>
              <w:top w:val="nil"/>
              <w:left w:val="nil"/>
              <w:bottom w:val="nil"/>
              <w:right w:val="nil"/>
            </w:tcBorders>
            <w:shd w:val="clear" w:color="auto" w:fill="auto"/>
            <w:noWrap/>
            <w:vAlign w:val="bottom"/>
            <w:hideMark/>
          </w:tcPr>
          <w:p w14:paraId="5EF277B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4.4</w:t>
            </w:r>
          </w:p>
        </w:tc>
        <w:tc>
          <w:tcPr>
            <w:tcW w:w="741" w:type="pct"/>
            <w:tcBorders>
              <w:top w:val="nil"/>
              <w:left w:val="nil"/>
              <w:bottom w:val="nil"/>
              <w:right w:val="nil"/>
            </w:tcBorders>
            <w:shd w:val="clear" w:color="auto" w:fill="auto"/>
            <w:noWrap/>
            <w:vAlign w:val="bottom"/>
            <w:hideMark/>
          </w:tcPr>
          <w:p w14:paraId="16E72B2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3.8</w:t>
            </w:r>
          </w:p>
        </w:tc>
        <w:tc>
          <w:tcPr>
            <w:tcW w:w="742" w:type="pct"/>
            <w:tcBorders>
              <w:top w:val="nil"/>
              <w:left w:val="nil"/>
              <w:bottom w:val="nil"/>
              <w:right w:val="nil"/>
            </w:tcBorders>
            <w:shd w:val="clear" w:color="auto" w:fill="auto"/>
            <w:noWrap/>
            <w:vAlign w:val="bottom"/>
            <w:hideMark/>
          </w:tcPr>
          <w:p w14:paraId="3D6F4D30"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4587D6B7" w14:textId="77777777" w:rsidTr="00E45705">
        <w:trPr>
          <w:trHeight w:val="300"/>
        </w:trPr>
        <w:tc>
          <w:tcPr>
            <w:tcW w:w="551" w:type="pct"/>
            <w:tcBorders>
              <w:top w:val="nil"/>
              <w:left w:val="nil"/>
              <w:bottom w:val="nil"/>
              <w:right w:val="nil"/>
            </w:tcBorders>
            <w:shd w:val="clear" w:color="auto" w:fill="auto"/>
            <w:noWrap/>
            <w:vAlign w:val="bottom"/>
            <w:hideMark/>
          </w:tcPr>
          <w:p w14:paraId="43808905" w14:textId="77777777" w:rsidR="00E45705" w:rsidRPr="001B09E6" w:rsidRDefault="00E45705" w:rsidP="00E45705">
            <w:pPr>
              <w:pStyle w:val="TableCellText"/>
              <w:spacing w:before="0" w:after="0"/>
              <w:ind w:left="0" w:right="0"/>
              <w:rPr>
                <w:lang w:eastAsia="en-AU"/>
              </w:rPr>
            </w:pPr>
            <w:r w:rsidRPr="001B09E6">
              <w:rPr>
                <w:lang w:eastAsia="en-AU"/>
              </w:rPr>
              <w:t>2003</w:t>
            </w:r>
          </w:p>
        </w:tc>
        <w:tc>
          <w:tcPr>
            <w:tcW w:w="741" w:type="pct"/>
            <w:tcBorders>
              <w:top w:val="nil"/>
              <w:left w:val="nil"/>
              <w:bottom w:val="nil"/>
              <w:right w:val="nil"/>
            </w:tcBorders>
            <w:shd w:val="clear" w:color="auto" w:fill="auto"/>
            <w:noWrap/>
            <w:vAlign w:val="bottom"/>
            <w:hideMark/>
          </w:tcPr>
          <w:p w14:paraId="3515667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69.6</w:t>
            </w:r>
          </w:p>
        </w:tc>
        <w:tc>
          <w:tcPr>
            <w:tcW w:w="742" w:type="pct"/>
            <w:tcBorders>
              <w:top w:val="nil"/>
              <w:left w:val="nil"/>
              <w:bottom w:val="nil"/>
              <w:right w:val="nil"/>
            </w:tcBorders>
            <w:shd w:val="clear" w:color="auto" w:fill="auto"/>
            <w:noWrap/>
            <w:vAlign w:val="bottom"/>
            <w:hideMark/>
          </w:tcPr>
          <w:p w14:paraId="1108174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15.7</w:t>
            </w:r>
          </w:p>
        </w:tc>
        <w:tc>
          <w:tcPr>
            <w:tcW w:w="741" w:type="pct"/>
            <w:tcBorders>
              <w:top w:val="nil"/>
              <w:left w:val="nil"/>
              <w:bottom w:val="nil"/>
              <w:right w:val="nil"/>
            </w:tcBorders>
            <w:shd w:val="clear" w:color="auto" w:fill="auto"/>
            <w:noWrap/>
            <w:vAlign w:val="bottom"/>
            <w:hideMark/>
          </w:tcPr>
          <w:p w14:paraId="7E70EB6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6.9</w:t>
            </w:r>
          </w:p>
        </w:tc>
        <w:tc>
          <w:tcPr>
            <w:tcW w:w="742" w:type="pct"/>
            <w:tcBorders>
              <w:top w:val="nil"/>
              <w:left w:val="nil"/>
              <w:bottom w:val="nil"/>
              <w:right w:val="nil"/>
            </w:tcBorders>
            <w:shd w:val="clear" w:color="auto" w:fill="auto"/>
            <w:noWrap/>
            <w:vAlign w:val="bottom"/>
            <w:hideMark/>
          </w:tcPr>
          <w:p w14:paraId="4D03E9F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4.1</w:t>
            </w:r>
          </w:p>
        </w:tc>
        <w:tc>
          <w:tcPr>
            <w:tcW w:w="741" w:type="pct"/>
            <w:tcBorders>
              <w:top w:val="nil"/>
              <w:left w:val="nil"/>
              <w:bottom w:val="nil"/>
              <w:right w:val="nil"/>
            </w:tcBorders>
            <w:shd w:val="clear" w:color="auto" w:fill="auto"/>
            <w:noWrap/>
            <w:vAlign w:val="bottom"/>
            <w:hideMark/>
          </w:tcPr>
          <w:p w14:paraId="2A33AC3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3.7</w:t>
            </w:r>
          </w:p>
        </w:tc>
        <w:tc>
          <w:tcPr>
            <w:tcW w:w="742" w:type="pct"/>
            <w:tcBorders>
              <w:top w:val="nil"/>
              <w:left w:val="nil"/>
              <w:bottom w:val="nil"/>
              <w:right w:val="nil"/>
            </w:tcBorders>
            <w:shd w:val="clear" w:color="auto" w:fill="auto"/>
            <w:noWrap/>
            <w:vAlign w:val="bottom"/>
            <w:hideMark/>
          </w:tcPr>
          <w:p w14:paraId="1B6324C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262B6CE0" w14:textId="77777777" w:rsidTr="00E45705">
        <w:trPr>
          <w:trHeight w:val="300"/>
        </w:trPr>
        <w:tc>
          <w:tcPr>
            <w:tcW w:w="551" w:type="pct"/>
            <w:tcBorders>
              <w:top w:val="nil"/>
              <w:left w:val="nil"/>
              <w:bottom w:val="nil"/>
              <w:right w:val="nil"/>
            </w:tcBorders>
            <w:shd w:val="clear" w:color="auto" w:fill="auto"/>
            <w:noWrap/>
            <w:vAlign w:val="bottom"/>
            <w:hideMark/>
          </w:tcPr>
          <w:p w14:paraId="07450932" w14:textId="77777777" w:rsidR="00E45705" w:rsidRPr="001B09E6" w:rsidRDefault="00E45705" w:rsidP="00E45705">
            <w:pPr>
              <w:pStyle w:val="TableCellText"/>
              <w:spacing w:before="0" w:after="0"/>
              <w:ind w:left="0" w:right="0"/>
              <w:rPr>
                <w:lang w:eastAsia="en-AU"/>
              </w:rPr>
            </w:pPr>
            <w:r w:rsidRPr="001B09E6">
              <w:rPr>
                <w:lang w:eastAsia="en-AU"/>
              </w:rPr>
              <w:t>2004</w:t>
            </w:r>
          </w:p>
        </w:tc>
        <w:tc>
          <w:tcPr>
            <w:tcW w:w="741" w:type="pct"/>
            <w:tcBorders>
              <w:top w:val="nil"/>
              <w:left w:val="nil"/>
              <w:bottom w:val="nil"/>
              <w:right w:val="nil"/>
            </w:tcBorders>
            <w:shd w:val="clear" w:color="auto" w:fill="auto"/>
            <w:noWrap/>
            <w:vAlign w:val="bottom"/>
            <w:hideMark/>
          </w:tcPr>
          <w:p w14:paraId="7E7E670D"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69.0</w:t>
            </w:r>
          </w:p>
        </w:tc>
        <w:tc>
          <w:tcPr>
            <w:tcW w:w="742" w:type="pct"/>
            <w:tcBorders>
              <w:top w:val="nil"/>
              <w:left w:val="nil"/>
              <w:bottom w:val="nil"/>
              <w:right w:val="nil"/>
            </w:tcBorders>
            <w:shd w:val="clear" w:color="auto" w:fill="auto"/>
            <w:noWrap/>
            <w:vAlign w:val="bottom"/>
            <w:hideMark/>
          </w:tcPr>
          <w:p w14:paraId="52445E2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15.8</w:t>
            </w:r>
          </w:p>
        </w:tc>
        <w:tc>
          <w:tcPr>
            <w:tcW w:w="741" w:type="pct"/>
            <w:tcBorders>
              <w:top w:val="nil"/>
              <w:left w:val="nil"/>
              <w:bottom w:val="nil"/>
              <w:right w:val="nil"/>
            </w:tcBorders>
            <w:shd w:val="clear" w:color="auto" w:fill="auto"/>
            <w:noWrap/>
            <w:vAlign w:val="bottom"/>
            <w:hideMark/>
          </w:tcPr>
          <w:p w14:paraId="23DCBE8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7.2</w:t>
            </w:r>
          </w:p>
        </w:tc>
        <w:tc>
          <w:tcPr>
            <w:tcW w:w="742" w:type="pct"/>
            <w:tcBorders>
              <w:top w:val="nil"/>
              <w:left w:val="nil"/>
              <w:bottom w:val="nil"/>
              <w:right w:val="nil"/>
            </w:tcBorders>
            <w:shd w:val="clear" w:color="auto" w:fill="auto"/>
            <w:noWrap/>
            <w:vAlign w:val="bottom"/>
            <w:hideMark/>
          </w:tcPr>
          <w:p w14:paraId="6686425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4.1</w:t>
            </w:r>
          </w:p>
        </w:tc>
        <w:tc>
          <w:tcPr>
            <w:tcW w:w="741" w:type="pct"/>
            <w:tcBorders>
              <w:top w:val="nil"/>
              <w:left w:val="nil"/>
              <w:bottom w:val="nil"/>
              <w:right w:val="nil"/>
            </w:tcBorders>
            <w:shd w:val="clear" w:color="auto" w:fill="auto"/>
            <w:noWrap/>
            <w:vAlign w:val="bottom"/>
            <w:hideMark/>
          </w:tcPr>
          <w:p w14:paraId="47ACFD9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3.9</w:t>
            </w:r>
          </w:p>
        </w:tc>
        <w:tc>
          <w:tcPr>
            <w:tcW w:w="742" w:type="pct"/>
            <w:tcBorders>
              <w:top w:val="nil"/>
              <w:left w:val="nil"/>
              <w:bottom w:val="nil"/>
              <w:right w:val="nil"/>
            </w:tcBorders>
            <w:shd w:val="clear" w:color="auto" w:fill="auto"/>
            <w:noWrap/>
            <w:vAlign w:val="bottom"/>
            <w:hideMark/>
          </w:tcPr>
          <w:p w14:paraId="528A7EB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1B769C7E" w14:textId="77777777" w:rsidTr="00E45705">
        <w:trPr>
          <w:trHeight w:val="300"/>
        </w:trPr>
        <w:tc>
          <w:tcPr>
            <w:tcW w:w="551" w:type="pct"/>
            <w:tcBorders>
              <w:top w:val="nil"/>
              <w:left w:val="nil"/>
              <w:bottom w:val="nil"/>
              <w:right w:val="nil"/>
            </w:tcBorders>
            <w:shd w:val="clear" w:color="auto" w:fill="auto"/>
            <w:noWrap/>
            <w:vAlign w:val="bottom"/>
            <w:hideMark/>
          </w:tcPr>
          <w:p w14:paraId="6AFC8AAA" w14:textId="77777777" w:rsidR="00E45705" w:rsidRPr="001B09E6" w:rsidRDefault="00E45705" w:rsidP="00E45705">
            <w:pPr>
              <w:pStyle w:val="TableCellText"/>
              <w:spacing w:before="0" w:after="0"/>
              <w:ind w:left="0" w:right="0"/>
              <w:rPr>
                <w:lang w:eastAsia="en-AU"/>
              </w:rPr>
            </w:pPr>
            <w:r w:rsidRPr="001B09E6">
              <w:rPr>
                <w:lang w:eastAsia="en-AU"/>
              </w:rPr>
              <w:t>2005</w:t>
            </w:r>
          </w:p>
        </w:tc>
        <w:tc>
          <w:tcPr>
            <w:tcW w:w="741" w:type="pct"/>
            <w:tcBorders>
              <w:top w:val="nil"/>
              <w:left w:val="nil"/>
              <w:bottom w:val="nil"/>
              <w:right w:val="nil"/>
            </w:tcBorders>
            <w:shd w:val="clear" w:color="auto" w:fill="auto"/>
            <w:noWrap/>
            <w:vAlign w:val="bottom"/>
            <w:hideMark/>
          </w:tcPr>
          <w:p w14:paraId="75608BEC"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68.8</w:t>
            </w:r>
          </w:p>
        </w:tc>
        <w:tc>
          <w:tcPr>
            <w:tcW w:w="742" w:type="pct"/>
            <w:tcBorders>
              <w:top w:val="nil"/>
              <w:left w:val="nil"/>
              <w:bottom w:val="nil"/>
              <w:right w:val="nil"/>
            </w:tcBorders>
            <w:shd w:val="clear" w:color="auto" w:fill="auto"/>
            <w:noWrap/>
            <w:vAlign w:val="bottom"/>
            <w:hideMark/>
          </w:tcPr>
          <w:p w14:paraId="13E4D9C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16.2</w:t>
            </w:r>
          </w:p>
        </w:tc>
        <w:tc>
          <w:tcPr>
            <w:tcW w:w="741" w:type="pct"/>
            <w:tcBorders>
              <w:top w:val="nil"/>
              <w:left w:val="nil"/>
              <w:bottom w:val="nil"/>
              <w:right w:val="nil"/>
            </w:tcBorders>
            <w:shd w:val="clear" w:color="auto" w:fill="auto"/>
            <w:noWrap/>
            <w:vAlign w:val="bottom"/>
            <w:hideMark/>
          </w:tcPr>
          <w:p w14:paraId="4D83FA5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7.2</w:t>
            </w:r>
          </w:p>
        </w:tc>
        <w:tc>
          <w:tcPr>
            <w:tcW w:w="742" w:type="pct"/>
            <w:tcBorders>
              <w:top w:val="nil"/>
              <w:left w:val="nil"/>
              <w:bottom w:val="nil"/>
              <w:right w:val="nil"/>
            </w:tcBorders>
            <w:shd w:val="clear" w:color="auto" w:fill="auto"/>
            <w:noWrap/>
            <w:vAlign w:val="bottom"/>
            <w:hideMark/>
          </w:tcPr>
          <w:p w14:paraId="5B28B5C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3.8</w:t>
            </w:r>
          </w:p>
        </w:tc>
        <w:tc>
          <w:tcPr>
            <w:tcW w:w="741" w:type="pct"/>
            <w:tcBorders>
              <w:top w:val="nil"/>
              <w:left w:val="nil"/>
              <w:bottom w:val="nil"/>
              <w:right w:val="nil"/>
            </w:tcBorders>
            <w:shd w:val="clear" w:color="auto" w:fill="auto"/>
            <w:noWrap/>
            <w:vAlign w:val="bottom"/>
            <w:hideMark/>
          </w:tcPr>
          <w:p w14:paraId="43D24DAA"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4.0</w:t>
            </w:r>
          </w:p>
        </w:tc>
        <w:tc>
          <w:tcPr>
            <w:tcW w:w="742" w:type="pct"/>
            <w:tcBorders>
              <w:top w:val="nil"/>
              <w:left w:val="nil"/>
              <w:bottom w:val="nil"/>
              <w:right w:val="nil"/>
            </w:tcBorders>
            <w:shd w:val="clear" w:color="auto" w:fill="auto"/>
            <w:noWrap/>
            <w:vAlign w:val="bottom"/>
            <w:hideMark/>
          </w:tcPr>
          <w:p w14:paraId="75FA395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008AFA22" w14:textId="77777777" w:rsidTr="00E45705">
        <w:trPr>
          <w:trHeight w:val="300"/>
        </w:trPr>
        <w:tc>
          <w:tcPr>
            <w:tcW w:w="551" w:type="pct"/>
            <w:tcBorders>
              <w:top w:val="nil"/>
              <w:left w:val="nil"/>
              <w:bottom w:val="nil"/>
              <w:right w:val="nil"/>
            </w:tcBorders>
            <w:shd w:val="clear" w:color="auto" w:fill="auto"/>
            <w:noWrap/>
            <w:vAlign w:val="bottom"/>
            <w:hideMark/>
          </w:tcPr>
          <w:p w14:paraId="305E582E" w14:textId="77777777" w:rsidR="00E45705" w:rsidRPr="001B09E6" w:rsidRDefault="00E45705" w:rsidP="00E45705">
            <w:pPr>
              <w:pStyle w:val="TableCellText"/>
              <w:spacing w:before="0" w:after="0"/>
              <w:ind w:left="0" w:right="0"/>
              <w:rPr>
                <w:lang w:eastAsia="en-AU"/>
              </w:rPr>
            </w:pPr>
            <w:r w:rsidRPr="001B09E6">
              <w:rPr>
                <w:lang w:eastAsia="en-AU"/>
              </w:rPr>
              <w:t>2006</w:t>
            </w:r>
          </w:p>
        </w:tc>
        <w:tc>
          <w:tcPr>
            <w:tcW w:w="741" w:type="pct"/>
            <w:tcBorders>
              <w:top w:val="nil"/>
              <w:left w:val="nil"/>
              <w:bottom w:val="nil"/>
              <w:right w:val="nil"/>
            </w:tcBorders>
            <w:shd w:val="clear" w:color="auto" w:fill="auto"/>
            <w:noWrap/>
            <w:vAlign w:val="bottom"/>
            <w:hideMark/>
          </w:tcPr>
          <w:p w14:paraId="2E699E5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70.1</w:t>
            </w:r>
          </w:p>
        </w:tc>
        <w:tc>
          <w:tcPr>
            <w:tcW w:w="742" w:type="pct"/>
            <w:tcBorders>
              <w:top w:val="nil"/>
              <w:left w:val="nil"/>
              <w:bottom w:val="nil"/>
              <w:right w:val="nil"/>
            </w:tcBorders>
            <w:shd w:val="clear" w:color="auto" w:fill="auto"/>
            <w:noWrap/>
            <w:vAlign w:val="bottom"/>
            <w:hideMark/>
          </w:tcPr>
          <w:p w14:paraId="24EC9AA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15.4</w:t>
            </w:r>
          </w:p>
        </w:tc>
        <w:tc>
          <w:tcPr>
            <w:tcW w:w="741" w:type="pct"/>
            <w:tcBorders>
              <w:top w:val="nil"/>
              <w:left w:val="nil"/>
              <w:bottom w:val="nil"/>
              <w:right w:val="nil"/>
            </w:tcBorders>
            <w:shd w:val="clear" w:color="auto" w:fill="auto"/>
            <w:noWrap/>
            <w:vAlign w:val="bottom"/>
            <w:hideMark/>
          </w:tcPr>
          <w:p w14:paraId="23F65FE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6.6</w:t>
            </w:r>
          </w:p>
        </w:tc>
        <w:tc>
          <w:tcPr>
            <w:tcW w:w="742" w:type="pct"/>
            <w:tcBorders>
              <w:top w:val="nil"/>
              <w:left w:val="nil"/>
              <w:bottom w:val="nil"/>
              <w:right w:val="nil"/>
            </w:tcBorders>
            <w:shd w:val="clear" w:color="auto" w:fill="auto"/>
            <w:noWrap/>
            <w:vAlign w:val="bottom"/>
            <w:hideMark/>
          </w:tcPr>
          <w:p w14:paraId="3DC9C2DC"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4.0</w:t>
            </w:r>
          </w:p>
        </w:tc>
        <w:tc>
          <w:tcPr>
            <w:tcW w:w="741" w:type="pct"/>
            <w:tcBorders>
              <w:top w:val="nil"/>
              <w:left w:val="nil"/>
              <w:bottom w:val="nil"/>
              <w:right w:val="nil"/>
            </w:tcBorders>
            <w:shd w:val="clear" w:color="auto" w:fill="auto"/>
            <w:noWrap/>
            <w:vAlign w:val="bottom"/>
            <w:hideMark/>
          </w:tcPr>
          <w:p w14:paraId="004556A1"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3.9</w:t>
            </w:r>
          </w:p>
        </w:tc>
        <w:tc>
          <w:tcPr>
            <w:tcW w:w="742" w:type="pct"/>
            <w:tcBorders>
              <w:top w:val="nil"/>
              <w:left w:val="nil"/>
              <w:bottom w:val="nil"/>
              <w:right w:val="nil"/>
            </w:tcBorders>
            <w:shd w:val="clear" w:color="auto" w:fill="auto"/>
            <w:noWrap/>
            <w:vAlign w:val="bottom"/>
            <w:hideMark/>
          </w:tcPr>
          <w:p w14:paraId="7F1916C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1C633B6E" w14:textId="77777777" w:rsidTr="00E45705">
        <w:trPr>
          <w:trHeight w:val="300"/>
        </w:trPr>
        <w:tc>
          <w:tcPr>
            <w:tcW w:w="551" w:type="pct"/>
            <w:tcBorders>
              <w:top w:val="nil"/>
              <w:left w:val="nil"/>
              <w:bottom w:val="nil"/>
              <w:right w:val="nil"/>
            </w:tcBorders>
            <w:shd w:val="clear" w:color="auto" w:fill="auto"/>
            <w:noWrap/>
            <w:vAlign w:val="bottom"/>
            <w:hideMark/>
          </w:tcPr>
          <w:p w14:paraId="6EAA8A32" w14:textId="77777777" w:rsidR="00E45705" w:rsidRPr="001B09E6" w:rsidRDefault="00E45705" w:rsidP="00E45705">
            <w:pPr>
              <w:pStyle w:val="TableCellText"/>
              <w:spacing w:before="0" w:after="0"/>
              <w:ind w:left="0" w:right="0"/>
              <w:rPr>
                <w:lang w:eastAsia="en-AU"/>
              </w:rPr>
            </w:pPr>
            <w:r w:rsidRPr="001B09E6">
              <w:rPr>
                <w:lang w:eastAsia="en-AU"/>
              </w:rPr>
              <w:t>2007</w:t>
            </w:r>
          </w:p>
        </w:tc>
        <w:tc>
          <w:tcPr>
            <w:tcW w:w="741" w:type="pct"/>
            <w:tcBorders>
              <w:top w:val="nil"/>
              <w:left w:val="nil"/>
              <w:bottom w:val="nil"/>
              <w:right w:val="nil"/>
            </w:tcBorders>
            <w:shd w:val="clear" w:color="auto" w:fill="auto"/>
            <w:noWrap/>
            <w:vAlign w:val="bottom"/>
            <w:hideMark/>
          </w:tcPr>
          <w:p w14:paraId="1F84819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70.1</w:t>
            </w:r>
          </w:p>
        </w:tc>
        <w:tc>
          <w:tcPr>
            <w:tcW w:w="742" w:type="pct"/>
            <w:tcBorders>
              <w:top w:val="nil"/>
              <w:left w:val="nil"/>
              <w:bottom w:val="nil"/>
              <w:right w:val="nil"/>
            </w:tcBorders>
            <w:shd w:val="clear" w:color="auto" w:fill="auto"/>
            <w:noWrap/>
            <w:vAlign w:val="bottom"/>
            <w:hideMark/>
          </w:tcPr>
          <w:p w14:paraId="396BA88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16.1</w:t>
            </w:r>
          </w:p>
        </w:tc>
        <w:tc>
          <w:tcPr>
            <w:tcW w:w="741" w:type="pct"/>
            <w:tcBorders>
              <w:top w:val="nil"/>
              <w:left w:val="nil"/>
              <w:bottom w:val="nil"/>
              <w:right w:val="nil"/>
            </w:tcBorders>
            <w:shd w:val="clear" w:color="auto" w:fill="auto"/>
            <w:noWrap/>
            <w:vAlign w:val="bottom"/>
            <w:hideMark/>
          </w:tcPr>
          <w:p w14:paraId="722C87B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6.7</w:t>
            </w:r>
          </w:p>
        </w:tc>
        <w:tc>
          <w:tcPr>
            <w:tcW w:w="742" w:type="pct"/>
            <w:tcBorders>
              <w:top w:val="nil"/>
              <w:left w:val="nil"/>
              <w:bottom w:val="nil"/>
              <w:right w:val="nil"/>
            </w:tcBorders>
            <w:shd w:val="clear" w:color="auto" w:fill="auto"/>
            <w:noWrap/>
            <w:vAlign w:val="bottom"/>
            <w:hideMark/>
          </w:tcPr>
          <w:p w14:paraId="315EBD4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3.5</w:t>
            </w:r>
          </w:p>
        </w:tc>
        <w:tc>
          <w:tcPr>
            <w:tcW w:w="741" w:type="pct"/>
            <w:tcBorders>
              <w:top w:val="nil"/>
              <w:left w:val="nil"/>
              <w:bottom w:val="nil"/>
              <w:right w:val="nil"/>
            </w:tcBorders>
            <w:shd w:val="clear" w:color="auto" w:fill="auto"/>
            <w:noWrap/>
            <w:vAlign w:val="bottom"/>
            <w:hideMark/>
          </w:tcPr>
          <w:p w14:paraId="1A8F881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3.7</w:t>
            </w:r>
          </w:p>
        </w:tc>
        <w:tc>
          <w:tcPr>
            <w:tcW w:w="742" w:type="pct"/>
            <w:tcBorders>
              <w:top w:val="nil"/>
              <w:left w:val="nil"/>
              <w:bottom w:val="nil"/>
              <w:right w:val="nil"/>
            </w:tcBorders>
            <w:shd w:val="clear" w:color="auto" w:fill="auto"/>
            <w:noWrap/>
            <w:vAlign w:val="bottom"/>
            <w:hideMark/>
          </w:tcPr>
          <w:p w14:paraId="0F64782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5033386F" w14:textId="77777777" w:rsidTr="00E45705">
        <w:trPr>
          <w:trHeight w:val="300"/>
        </w:trPr>
        <w:tc>
          <w:tcPr>
            <w:tcW w:w="551" w:type="pct"/>
            <w:tcBorders>
              <w:top w:val="nil"/>
              <w:left w:val="nil"/>
              <w:bottom w:val="nil"/>
              <w:right w:val="nil"/>
            </w:tcBorders>
            <w:shd w:val="clear" w:color="auto" w:fill="auto"/>
            <w:noWrap/>
            <w:vAlign w:val="bottom"/>
            <w:hideMark/>
          </w:tcPr>
          <w:p w14:paraId="25EB9FB6" w14:textId="77777777" w:rsidR="00E45705" w:rsidRPr="001B09E6" w:rsidRDefault="00E45705" w:rsidP="00E45705">
            <w:pPr>
              <w:pStyle w:val="TableCellText"/>
              <w:spacing w:before="0" w:after="0"/>
              <w:ind w:left="0" w:right="0"/>
              <w:rPr>
                <w:lang w:eastAsia="en-AU"/>
              </w:rPr>
            </w:pPr>
            <w:r w:rsidRPr="001B09E6">
              <w:rPr>
                <w:lang w:eastAsia="en-AU"/>
              </w:rPr>
              <w:t>2008</w:t>
            </w:r>
          </w:p>
        </w:tc>
        <w:tc>
          <w:tcPr>
            <w:tcW w:w="741" w:type="pct"/>
            <w:tcBorders>
              <w:top w:val="nil"/>
              <w:left w:val="nil"/>
              <w:bottom w:val="nil"/>
              <w:right w:val="nil"/>
            </w:tcBorders>
            <w:shd w:val="clear" w:color="auto" w:fill="auto"/>
            <w:noWrap/>
            <w:vAlign w:val="bottom"/>
            <w:hideMark/>
          </w:tcPr>
          <w:p w14:paraId="5B5ADE2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69.9</w:t>
            </w:r>
          </w:p>
        </w:tc>
        <w:tc>
          <w:tcPr>
            <w:tcW w:w="742" w:type="pct"/>
            <w:tcBorders>
              <w:top w:val="nil"/>
              <w:left w:val="nil"/>
              <w:bottom w:val="nil"/>
              <w:right w:val="nil"/>
            </w:tcBorders>
            <w:shd w:val="clear" w:color="auto" w:fill="auto"/>
            <w:noWrap/>
            <w:vAlign w:val="bottom"/>
            <w:hideMark/>
          </w:tcPr>
          <w:p w14:paraId="4809AAF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16.7</w:t>
            </w:r>
          </w:p>
        </w:tc>
        <w:tc>
          <w:tcPr>
            <w:tcW w:w="741" w:type="pct"/>
            <w:tcBorders>
              <w:top w:val="nil"/>
              <w:left w:val="nil"/>
              <w:bottom w:val="nil"/>
              <w:right w:val="nil"/>
            </w:tcBorders>
            <w:shd w:val="clear" w:color="auto" w:fill="auto"/>
            <w:noWrap/>
            <w:vAlign w:val="bottom"/>
            <w:hideMark/>
          </w:tcPr>
          <w:p w14:paraId="35F0273C"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6.6</w:t>
            </w:r>
          </w:p>
        </w:tc>
        <w:tc>
          <w:tcPr>
            <w:tcW w:w="742" w:type="pct"/>
            <w:tcBorders>
              <w:top w:val="nil"/>
              <w:left w:val="nil"/>
              <w:bottom w:val="nil"/>
              <w:right w:val="nil"/>
            </w:tcBorders>
            <w:shd w:val="clear" w:color="auto" w:fill="auto"/>
            <w:noWrap/>
            <w:vAlign w:val="bottom"/>
            <w:hideMark/>
          </w:tcPr>
          <w:p w14:paraId="591E056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3.2</w:t>
            </w:r>
          </w:p>
        </w:tc>
        <w:tc>
          <w:tcPr>
            <w:tcW w:w="741" w:type="pct"/>
            <w:tcBorders>
              <w:top w:val="nil"/>
              <w:left w:val="nil"/>
              <w:bottom w:val="nil"/>
              <w:right w:val="nil"/>
            </w:tcBorders>
            <w:shd w:val="clear" w:color="auto" w:fill="auto"/>
            <w:noWrap/>
            <w:vAlign w:val="bottom"/>
            <w:hideMark/>
          </w:tcPr>
          <w:p w14:paraId="6FC2541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3.6</w:t>
            </w:r>
          </w:p>
        </w:tc>
        <w:tc>
          <w:tcPr>
            <w:tcW w:w="742" w:type="pct"/>
            <w:tcBorders>
              <w:top w:val="nil"/>
              <w:left w:val="nil"/>
              <w:bottom w:val="nil"/>
              <w:right w:val="nil"/>
            </w:tcBorders>
            <w:shd w:val="clear" w:color="auto" w:fill="auto"/>
            <w:noWrap/>
            <w:vAlign w:val="bottom"/>
            <w:hideMark/>
          </w:tcPr>
          <w:p w14:paraId="0D2143D0"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1EEEEA3F" w14:textId="77777777" w:rsidTr="00E45705">
        <w:trPr>
          <w:trHeight w:val="300"/>
        </w:trPr>
        <w:tc>
          <w:tcPr>
            <w:tcW w:w="551" w:type="pct"/>
            <w:tcBorders>
              <w:top w:val="nil"/>
              <w:left w:val="nil"/>
              <w:bottom w:val="nil"/>
              <w:right w:val="nil"/>
            </w:tcBorders>
            <w:shd w:val="clear" w:color="auto" w:fill="auto"/>
            <w:noWrap/>
            <w:vAlign w:val="bottom"/>
            <w:hideMark/>
          </w:tcPr>
          <w:p w14:paraId="5808EB2A" w14:textId="77777777" w:rsidR="00E45705" w:rsidRPr="001B09E6" w:rsidRDefault="00E45705" w:rsidP="00E45705">
            <w:pPr>
              <w:pStyle w:val="TableCellText"/>
              <w:spacing w:before="0" w:after="0"/>
              <w:ind w:left="0" w:right="0"/>
              <w:rPr>
                <w:lang w:eastAsia="en-AU"/>
              </w:rPr>
            </w:pPr>
            <w:r w:rsidRPr="001B09E6">
              <w:rPr>
                <w:lang w:eastAsia="en-AU"/>
              </w:rPr>
              <w:t>2009</w:t>
            </w:r>
          </w:p>
        </w:tc>
        <w:tc>
          <w:tcPr>
            <w:tcW w:w="741" w:type="pct"/>
            <w:tcBorders>
              <w:top w:val="nil"/>
              <w:left w:val="nil"/>
              <w:bottom w:val="nil"/>
              <w:right w:val="nil"/>
            </w:tcBorders>
            <w:shd w:val="clear" w:color="auto" w:fill="auto"/>
            <w:noWrap/>
            <w:vAlign w:val="bottom"/>
            <w:hideMark/>
          </w:tcPr>
          <w:p w14:paraId="6932993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69.5</w:t>
            </w:r>
          </w:p>
        </w:tc>
        <w:tc>
          <w:tcPr>
            <w:tcW w:w="742" w:type="pct"/>
            <w:tcBorders>
              <w:top w:val="nil"/>
              <w:left w:val="nil"/>
              <w:bottom w:val="nil"/>
              <w:right w:val="nil"/>
            </w:tcBorders>
            <w:shd w:val="clear" w:color="auto" w:fill="auto"/>
            <w:noWrap/>
            <w:vAlign w:val="bottom"/>
            <w:hideMark/>
          </w:tcPr>
          <w:p w14:paraId="552D204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14.0</w:t>
            </w:r>
          </w:p>
        </w:tc>
        <w:tc>
          <w:tcPr>
            <w:tcW w:w="741" w:type="pct"/>
            <w:tcBorders>
              <w:top w:val="nil"/>
              <w:left w:val="nil"/>
              <w:bottom w:val="nil"/>
              <w:right w:val="nil"/>
            </w:tcBorders>
            <w:shd w:val="clear" w:color="auto" w:fill="auto"/>
            <w:noWrap/>
            <w:vAlign w:val="bottom"/>
            <w:hideMark/>
          </w:tcPr>
          <w:p w14:paraId="3F3C5EAC"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7.3</w:t>
            </w:r>
          </w:p>
        </w:tc>
        <w:tc>
          <w:tcPr>
            <w:tcW w:w="742" w:type="pct"/>
            <w:tcBorders>
              <w:top w:val="nil"/>
              <w:left w:val="nil"/>
              <w:bottom w:val="nil"/>
              <w:right w:val="nil"/>
            </w:tcBorders>
            <w:shd w:val="clear" w:color="auto" w:fill="auto"/>
            <w:noWrap/>
            <w:vAlign w:val="bottom"/>
            <w:hideMark/>
          </w:tcPr>
          <w:p w14:paraId="0A08B14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4.8</w:t>
            </w:r>
          </w:p>
        </w:tc>
        <w:tc>
          <w:tcPr>
            <w:tcW w:w="741" w:type="pct"/>
            <w:tcBorders>
              <w:top w:val="nil"/>
              <w:left w:val="nil"/>
              <w:bottom w:val="nil"/>
              <w:right w:val="nil"/>
            </w:tcBorders>
            <w:shd w:val="clear" w:color="auto" w:fill="auto"/>
            <w:noWrap/>
            <w:vAlign w:val="bottom"/>
            <w:hideMark/>
          </w:tcPr>
          <w:p w14:paraId="0A85742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4.3</w:t>
            </w:r>
          </w:p>
        </w:tc>
        <w:tc>
          <w:tcPr>
            <w:tcW w:w="742" w:type="pct"/>
            <w:tcBorders>
              <w:top w:val="nil"/>
              <w:left w:val="nil"/>
              <w:bottom w:val="nil"/>
              <w:right w:val="nil"/>
            </w:tcBorders>
            <w:shd w:val="clear" w:color="auto" w:fill="auto"/>
            <w:noWrap/>
            <w:vAlign w:val="bottom"/>
            <w:hideMark/>
          </w:tcPr>
          <w:p w14:paraId="3CC64FC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6B5CEEE8" w14:textId="77777777" w:rsidTr="00E45705">
        <w:trPr>
          <w:trHeight w:val="300"/>
        </w:trPr>
        <w:tc>
          <w:tcPr>
            <w:tcW w:w="551" w:type="pct"/>
            <w:tcBorders>
              <w:top w:val="nil"/>
              <w:left w:val="nil"/>
              <w:bottom w:val="nil"/>
              <w:right w:val="nil"/>
            </w:tcBorders>
            <w:shd w:val="clear" w:color="auto" w:fill="auto"/>
            <w:noWrap/>
            <w:vAlign w:val="bottom"/>
            <w:hideMark/>
          </w:tcPr>
          <w:p w14:paraId="4E9D36C5" w14:textId="77777777" w:rsidR="00E45705" w:rsidRPr="001B09E6" w:rsidRDefault="00E45705" w:rsidP="00E45705">
            <w:pPr>
              <w:pStyle w:val="TableCellText"/>
              <w:spacing w:before="0" w:after="0"/>
              <w:ind w:left="0" w:right="0"/>
              <w:rPr>
                <w:lang w:eastAsia="en-AU"/>
              </w:rPr>
            </w:pPr>
            <w:r w:rsidRPr="001B09E6">
              <w:rPr>
                <w:lang w:eastAsia="en-AU"/>
              </w:rPr>
              <w:t>2010</w:t>
            </w:r>
          </w:p>
        </w:tc>
        <w:tc>
          <w:tcPr>
            <w:tcW w:w="741" w:type="pct"/>
            <w:tcBorders>
              <w:top w:val="nil"/>
              <w:left w:val="nil"/>
              <w:bottom w:val="nil"/>
              <w:right w:val="nil"/>
            </w:tcBorders>
            <w:shd w:val="clear" w:color="auto" w:fill="auto"/>
            <w:noWrap/>
            <w:vAlign w:val="bottom"/>
            <w:hideMark/>
          </w:tcPr>
          <w:p w14:paraId="004B132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70.2</w:t>
            </w:r>
          </w:p>
        </w:tc>
        <w:tc>
          <w:tcPr>
            <w:tcW w:w="742" w:type="pct"/>
            <w:tcBorders>
              <w:top w:val="nil"/>
              <w:left w:val="nil"/>
              <w:bottom w:val="nil"/>
              <w:right w:val="nil"/>
            </w:tcBorders>
            <w:shd w:val="clear" w:color="auto" w:fill="auto"/>
            <w:noWrap/>
            <w:vAlign w:val="bottom"/>
            <w:hideMark/>
          </w:tcPr>
          <w:p w14:paraId="5B29EAF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13.4</w:t>
            </w:r>
          </w:p>
        </w:tc>
        <w:tc>
          <w:tcPr>
            <w:tcW w:w="741" w:type="pct"/>
            <w:tcBorders>
              <w:top w:val="nil"/>
              <w:left w:val="nil"/>
              <w:bottom w:val="nil"/>
              <w:right w:val="nil"/>
            </w:tcBorders>
            <w:shd w:val="clear" w:color="auto" w:fill="auto"/>
            <w:noWrap/>
            <w:vAlign w:val="bottom"/>
            <w:hideMark/>
          </w:tcPr>
          <w:p w14:paraId="72273FD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7.3</w:t>
            </w:r>
          </w:p>
        </w:tc>
        <w:tc>
          <w:tcPr>
            <w:tcW w:w="742" w:type="pct"/>
            <w:tcBorders>
              <w:top w:val="nil"/>
              <w:left w:val="nil"/>
              <w:bottom w:val="nil"/>
              <w:right w:val="nil"/>
            </w:tcBorders>
            <w:shd w:val="clear" w:color="auto" w:fill="auto"/>
            <w:noWrap/>
            <w:vAlign w:val="bottom"/>
            <w:hideMark/>
          </w:tcPr>
          <w:p w14:paraId="66C857D1"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4.5</w:t>
            </w:r>
          </w:p>
        </w:tc>
        <w:tc>
          <w:tcPr>
            <w:tcW w:w="741" w:type="pct"/>
            <w:tcBorders>
              <w:top w:val="nil"/>
              <w:left w:val="nil"/>
              <w:bottom w:val="nil"/>
              <w:right w:val="nil"/>
            </w:tcBorders>
            <w:shd w:val="clear" w:color="auto" w:fill="auto"/>
            <w:noWrap/>
            <w:vAlign w:val="bottom"/>
            <w:hideMark/>
          </w:tcPr>
          <w:p w14:paraId="2EDDE8E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4.6</w:t>
            </w:r>
          </w:p>
        </w:tc>
        <w:tc>
          <w:tcPr>
            <w:tcW w:w="742" w:type="pct"/>
            <w:tcBorders>
              <w:top w:val="nil"/>
              <w:left w:val="nil"/>
              <w:bottom w:val="nil"/>
              <w:right w:val="nil"/>
            </w:tcBorders>
            <w:shd w:val="clear" w:color="auto" w:fill="auto"/>
            <w:noWrap/>
            <w:vAlign w:val="bottom"/>
            <w:hideMark/>
          </w:tcPr>
          <w:p w14:paraId="123DE3E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1068B83C" w14:textId="77777777" w:rsidTr="00E45705">
        <w:trPr>
          <w:trHeight w:val="300"/>
        </w:trPr>
        <w:tc>
          <w:tcPr>
            <w:tcW w:w="551" w:type="pct"/>
            <w:tcBorders>
              <w:top w:val="nil"/>
              <w:left w:val="nil"/>
              <w:right w:val="nil"/>
            </w:tcBorders>
            <w:shd w:val="clear" w:color="auto" w:fill="auto"/>
            <w:noWrap/>
            <w:vAlign w:val="bottom"/>
            <w:hideMark/>
          </w:tcPr>
          <w:p w14:paraId="674619E3" w14:textId="77777777" w:rsidR="00E45705" w:rsidRPr="001B09E6" w:rsidRDefault="00E45705" w:rsidP="00E45705">
            <w:pPr>
              <w:pStyle w:val="TableCellText"/>
              <w:spacing w:before="0" w:after="0"/>
              <w:ind w:left="0" w:right="0"/>
              <w:rPr>
                <w:lang w:eastAsia="en-AU"/>
              </w:rPr>
            </w:pPr>
            <w:r w:rsidRPr="001B09E6">
              <w:rPr>
                <w:lang w:eastAsia="en-AU"/>
              </w:rPr>
              <w:t>2011</w:t>
            </w:r>
          </w:p>
        </w:tc>
        <w:tc>
          <w:tcPr>
            <w:tcW w:w="741" w:type="pct"/>
            <w:tcBorders>
              <w:top w:val="nil"/>
              <w:left w:val="nil"/>
              <w:right w:val="nil"/>
            </w:tcBorders>
            <w:shd w:val="clear" w:color="auto" w:fill="auto"/>
            <w:noWrap/>
            <w:vAlign w:val="bottom"/>
            <w:hideMark/>
          </w:tcPr>
          <w:p w14:paraId="075C10F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71.7</w:t>
            </w:r>
          </w:p>
        </w:tc>
        <w:tc>
          <w:tcPr>
            <w:tcW w:w="742" w:type="pct"/>
            <w:tcBorders>
              <w:top w:val="nil"/>
              <w:left w:val="nil"/>
              <w:right w:val="nil"/>
            </w:tcBorders>
            <w:shd w:val="clear" w:color="auto" w:fill="auto"/>
            <w:noWrap/>
            <w:vAlign w:val="bottom"/>
            <w:hideMark/>
          </w:tcPr>
          <w:p w14:paraId="720415C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12.8</w:t>
            </w:r>
          </w:p>
        </w:tc>
        <w:tc>
          <w:tcPr>
            <w:tcW w:w="741" w:type="pct"/>
            <w:tcBorders>
              <w:top w:val="nil"/>
              <w:left w:val="nil"/>
              <w:right w:val="nil"/>
            </w:tcBorders>
            <w:shd w:val="clear" w:color="auto" w:fill="auto"/>
            <w:noWrap/>
            <w:vAlign w:val="bottom"/>
            <w:hideMark/>
          </w:tcPr>
          <w:p w14:paraId="21C4F7D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6.7</w:t>
            </w:r>
          </w:p>
        </w:tc>
        <w:tc>
          <w:tcPr>
            <w:tcW w:w="742" w:type="pct"/>
            <w:tcBorders>
              <w:top w:val="nil"/>
              <w:left w:val="nil"/>
              <w:right w:val="nil"/>
            </w:tcBorders>
            <w:shd w:val="clear" w:color="auto" w:fill="auto"/>
            <w:noWrap/>
            <w:vAlign w:val="bottom"/>
            <w:hideMark/>
          </w:tcPr>
          <w:p w14:paraId="1C63FC7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3.7</w:t>
            </w:r>
          </w:p>
        </w:tc>
        <w:tc>
          <w:tcPr>
            <w:tcW w:w="741" w:type="pct"/>
            <w:tcBorders>
              <w:top w:val="nil"/>
              <w:left w:val="nil"/>
              <w:right w:val="nil"/>
            </w:tcBorders>
            <w:shd w:val="clear" w:color="auto" w:fill="auto"/>
            <w:noWrap/>
            <w:vAlign w:val="bottom"/>
            <w:hideMark/>
          </w:tcPr>
          <w:p w14:paraId="42DA595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5.0</w:t>
            </w:r>
          </w:p>
        </w:tc>
        <w:tc>
          <w:tcPr>
            <w:tcW w:w="742" w:type="pct"/>
            <w:tcBorders>
              <w:top w:val="nil"/>
              <w:left w:val="nil"/>
              <w:right w:val="nil"/>
            </w:tcBorders>
            <w:shd w:val="clear" w:color="auto" w:fill="auto"/>
            <w:noWrap/>
            <w:vAlign w:val="bottom"/>
            <w:hideMark/>
          </w:tcPr>
          <w:p w14:paraId="4DA3650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04E617B1" w14:textId="77777777" w:rsidTr="00E45705">
        <w:trPr>
          <w:trHeight w:val="300"/>
        </w:trPr>
        <w:tc>
          <w:tcPr>
            <w:tcW w:w="551" w:type="pct"/>
            <w:tcBorders>
              <w:top w:val="nil"/>
              <w:left w:val="nil"/>
              <w:bottom w:val="single" w:sz="4" w:space="0" w:color="auto"/>
              <w:right w:val="nil"/>
            </w:tcBorders>
            <w:shd w:val="clear" w:color="auto" w:fill="auto"/>
            <w:noWrap/>
            <w:vAlign w:val="bottom"/>
            <w:hideMark/>
          </w:tcPr>
          <w:p w14:paraId="1C7089BA" w14:textId="77777777" w:rsidR="00E45705" w:rsidRPr="001B09E6" w:rsidRDefault="00E45705" w:rsidP="00E45705">
            <w:pPr>
              <w:pStyle w:val="TableCellText"/>
              <w:spacing w:before="0" w:after="0"/>
              <w:ind w:left="0" w:right="0"/>
              <w:rPr>
                <w:lang w:eastAsia="en-AU"/>
              </w:rPr>
            </w:pPr>
            <w:r w:rsidRPr="001B09E6">
              <w:rPr>
                <w:lang w:eastAsia="en-AU"/>
              </w:rPr>
              <w:t>2012</w:t>
            </w:r>
          </w:p>
        </w:tc>
        <w:tc>
          <w:tcPr>
            <w:tcW w:w="741" w:type="pct"/>
            <w:tcBorders>
              <w:top w:val="nil"/>
              <w:left w:val="nil"/>
              <w:bottom w:val="single" w:sz="4" w:space="0" w:color="auto"/>
              <w:right w:val="nil"/>
            </w:tcBorders>
            <w:shd w:val="clear" w:color="auto" w:fill="auto"/>
            <w:noWrap/>
            <w:vAlign w:val="bottom"/>
            <w:hideMark/>
          </w:tcPr>
          <w:p w14:paraId="2460535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73.4</w:t>
            </w:r>
          </w:p>
        </w:tc>
        <w:tc>
          <w:tcPr>
            <w:tcW w:w="742" w:type="pct"/>
            <w:tcBorders>
              <w:top w:val="nil"/>
              <w:left w:val="nil"/>
              <w:bottom w:val="single" w:sz="4" w:space="0" w:color="auto"/>
              <w:right w:val="nil"/>
            </w:tcBorders>
            <w:shd w:val="clear" w:color="auto" w:fill="auto"/>
            <w:noWrap/>
            <w:vAlign w:val="bottom"/>
            <w:hideMark/>
          </w:tcPr>
          <w:p w14:paraId="1E697E2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12.2</w:t>
            </w:r>
          </w:p>
        </w:tc>
        <w:tc>
          <w:tcPr>
            <w:tcW w:w="741" w:type="pct"/>
            <w:tcBorders>
              <w:top w:val="nil"/>
              <w:left w:val="nil"/>
              <w:bottom w:val="single" w:sz="4" w:space="0" w:color="auto"/>
              <w:right w:val="nil"/>
            </w:tcBorders>
            <w:shd w:val="clear" w:color="auto" w:fill="auto"/>
            <w:noWrap/>
            <w:vAlign w:val="bottom"/>
            <w:hideMark/>
          </w:tcPr>
          <w:p w14:paraId="501A7B2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6.7</w:t>
            </w:r>
          </w:p>
        </w:tc>
        <w:tc>
          <w:tcPr>
            <w:tcW w:w="742" w:type="pct"/>
            <w:tcBorders>
              <w:top w:val="nil"/>
              <w:left w:val="nil"/>
              <w:bottom w:val="single" w:sz="4" w:space="0" w:color="auto"/>
              <w:right w:val="nil"/>
            </w:tcBorders>
            <w:shd w:val="clear" w:color="auto" w:fill="auto"/>
            <w:noWrap/>
            <w:vAlign w:val="bottom"/>
            <w:hideMark/>
          </w:tcPr>
          <w:p w14:paraId="22F49710"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3.5</w:t>
            </w:r>
          </w:p>
        </w:tc>
        <w:tc>
          <w:tcPr>
            <w:tcW w:w="741" w:type="pct"/>
            <w:tcBorders>
              <w:top w:val="nil"/>
              <w:left w:val="nil"/>
              <w:bottom w:val="single" w:sz="4" w:space="0" w:color="auto"/>
              <w:right w:val="nil"/>
            </w:tcBorders>
            <w:shd w:val="clear" w:color="auto" w:fill="auto"/>
            <w:noWrap/>
            <w:vAlign w:val="bottom"/>
            <w:hideMark/>
          </w:tcPr>
          <w:p w14:paraId="1C540440"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4.3</w:t>
            </w:r>
          </w:p>
        </w:tc>
        <w:tc>
          <w:tcPr>
            <w:tcW w:w="742" w:type="pct"/>
            <w:tcBorders>
              <w:top w:val="nil"/>
              <w:left w:val="nil"/>
              <w:bottom w:val="single" w:sz="4" w:space="0" w:color="auto"/>
              <w:right w:val="nil"/>
            </w:tcBorders>
            <w:shd w:val="clear" w:color="auto" w:fill="auto"/>
            <w:noWrap/>
            <w:vAlign w:val="bottom"/>
            <w:hideMark/>
          </w:tcPr>
          <w:p w14:paraId="5E33D10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bl>
    <w:p w14:paraId="0A278C3D" w14:textId="77777777" w:rsidR="00E45705" w:rsidRPr="001B09E6" w:rsidRDefault="00E45705" w:rsidP="00E45705">
      <w:pPr>
        <w:pStyle w:val="Heading4"/>
      </w:pPr>
      <w:r w:rsidRPr="001B09E6">
        <w:t>20-24 year olds</w:t>
      </w:r>
    </w:p>
    <w:tbl>
      <w:tblPr>
        <w:tblW w:w="5000" w:type="pct"/>
        <w:tblLook w:val="04A0" w:firstRow="1" w:lastRow="0" w:firstColumn="1" w:lastColumn="0" w:noHBand="0" w:noVBand="1"/>
        <w:tblCaption w:val="Table A2.34: Full-time education participation and labour force status for 15-24 year olds not in full-time education   20-24 year olds "/>
        <w:tblDescription w:val="Table A2.34: Full-time education participation and labour force status for 15-24 year olds not in full-time education  &#10;20-24 year olds&#10;"/>
      </w:tblPr>
      <w:tblGrid>
        <w:gridCol w:w="1522"/>
        <w:gridCol w:w="2034"/>
        <w:gridCol w:w="2034"/>
        <w:gridCol w:w="2035"/>
        <w:gridCol w:w="2035"/>
        <w:gridCol w:w="2035"/>
        <w:gridCol w:w="2035"/>
        <w:gridCol w:w="886"/>
      </w:tblGrid>
      <w:tr w:rsidR="00E45705" w:rsidRPr="00544259" w14:paraId="329438D4" w14:textId="77777777" w:rsidTr="00E45705">
        <w:trPr>
          <w:gridAfter w:val="1"/>
          <w:wAfter w:w="303" w:type="pct"/>
          <w:trHeight w:val="737"/>
        </w:trPr>
        <w:tc>
          <w:tcPr>
            <w:tcW w:w="521" w:type="pct"/>
            <w:tcBorders>
              <w:top w:val="single" w:sz="4" w:space="0" w:color="auto"/>
              <w:left w:val="nil"/>
              <w:bottom w:val="single" w:sz="4" w:space="0" w:color="auto"/>
              <w:right w:val="nil"/>
            </w:tcBorders>
            <w:shd w:val="clear" w:color="auto" w:fill="auto"/>
            <w:noWrap/>
            <w:vAlign w:val="bottom"/>
            <w:hideMark/>
          </w:tcPr>
          <w:p w14:paraId="2A3BB6B6" w14:textId="77777777" w:rsidR="00E45705" w:rsidRPr="00544259" w:rsidRDefault="00E45705" w:rsidP="00E45705">
            <w:pPr>
              <w:pStyle w:val="TableColumnHeading"/>
              <w:spacing w:before="0" w:after="0"/>
              <w:ind w:left="0" w:right="0"/>
              <w:rPr>
                <w:rFonts w:asciiTheme="minorHAnsi" w:hAnsiTheme="minorHAnsi"/>
                <w:szCs w:val="18"/>
                <w:lang w:eastAsia="en-AU"/>
              </w:rPr>
            </w:pPr>
            <w:r w:rsidRPr="00544259">
              <w:rPr>
                <w:rFonts w:asciiTheme="minorHAnsi" w:hAnsiTheme="minorHAnsi"/>
                <w:szCs w:val="18"/>
                <w:lang w:eastAsia="en-AU"/>
              </w:rPr>
              <w:t>Year</w:t>
            </w:r>
          </w:p>
        </w:tc>
        <w:tc>
          <w:tcPr>
            <w:tcW w:w="696" w:type="pct"/>
            <w:tcBorders>
              <w:top w:val="single" w:sz="4" w:space="0" w:color="auto"/>
              <w:left w:val="nil"/>
              <w:bottom w:val="single" w:sz="4" w:space="0" w:color="auto"/>
              <w:right w:val="nil"/>
            </w:tcBorders>
            <w:shd w:val="clear" w:color="auto" w:fill="auto"/>
            <w:vAlign w:val="bottom"/>
            <w:hideMark/>
          </w:tcPr>
          <w:p w14:paraId="4FDD2095" w14:textId="77777777" w:rsidR="00E45705" w:rsidRPr="00544259" w:rsidRDefault="00E45705" w:rsidP="00E45705">
            <w:pPr>
              <w:pStyle w:val="TableColumnHeading"/>
              <w:spacing w:before="0" w:after="0"/>
              <w:ind w:left="0" w:right="0"/>
              <w:rPr>
                <w:rFonts w:asciiTheme="minorHAnsi" w:hAnsiTheme="minorHAnsi" w:cs="Arial"/>
                <w:szCs w:val="18"/>
                <w:lang w:eastAsia="en-AU"/>
              </w:rPr>
            </w:pPr>
            <w:r w:rsidRPr="00544259">
              <w:rPr>
                <w:rFonts w:asciiTheme="minorHAnsi" w:hAnsiTheme="minorHAnsi" w:cs="Arial"/>
                <w:szCs w:val="18"/>
                <w:lang w:eastAsia="en-AU"/>
              </w:rPr>
              <w:t xml:space="preserve"> Attending full-time education </w:t>
            </w:r>
          </w:p>
        </w:tc>
        <w:tc>
          <w:tcPr>
            <w:tcW w:w="696" w:type="pct"/>
            <w:tcBorders>
              <w:top w:val="single" w:sz="4" w:space="0" w:color="auto"/>
              <w:left w:val="nil"/>
              <w:bottom w:val="single" w:sz="4" w:space="0" w:color="auto"/>
              <w:right w:val="nil"/>
            </w:tcBorders>
            <w:shd w:val="clear" w:color="auto" w:fill="auto"/>
            <w:vAlign w:val="bottom"/>
            <w:hideMark/>
          </w:tcPr>
          <w:p w14:paraId="7137E45E" w14:textId="77777777" w:rsidR="00E45705" w:rsidRPr="00544259" w:rsidRDefault="00E45705" w:rsidP="00E45705">
            <w:pPr>
              <w:pStyle w:val="TableColumnHeading"/>
              <w:spacing w:before="0" w:after="0"/>
              <w:ind w:left="0" w:right="0"/>
              <w:rPr>
                <w:rFonts w:asciiTheme="minorHAnsi" w:hAnsiTheme="minorHAnsi" w:cs="Arial"/>
                <w:szCs w:val="18"/>
                <w:lang w:eastAsia="en-AU"/>
              </w:rPr>
            </w:pPr>
            <w:r w:rsidRPr="00544259">
              <w:rPr>
                <w:rFonts w:asciiTheme="minorHAnsi" w:hAnsiTheme="minorHAnsi" w:cs="Arial"/>
                <w:szCs w:val="18"/>
                <w:lang w:eastAsia="en-AU"/>
              </w:rPr>
              <w:t xml:space="preserve">Employed Full Time ;  Not attending full-time education </w:t>
            </w:r>
          </w:p>
        </w:tc>
        <w:tc>
          <w:tcPr>
            <w:tcW w:w="696" w:type="pct"/>
            <w:tcBorders>
              <w:top w:val="single" w:sz="4" w:space="0" w:color="auto"/>
              <w:left w:val="nil"/>
              <w:bottom w:val="single" w:sz="4" w:space="0" w:color="auto"/>
              <w:right w:val="nil"/>
            </w:tcBorders>
            <w:shd w:val="clear" w:color="auto" w:fill="auto"/>
            <w:vAlign w:val="bottom"/>
            <w:hideMark/>
          </w:tcPr>
          <w:p w14:paraId="0840EE1A" w14:textId="77777777" w:rsidR="00E45705" w:rsidRPr="00544259" w:rsidRDefault="00E45705" w:rsidP="00E45705">
            <w:pPr>
              <w:pStyle w:val="TableColumnHeading"/>
              <w:spacing w:before="0" w:after="0"/>
              <w:ind w:left="0" w:right="0"/>
              <w:rPr>
                <w:rFonts w:asciiTheme="minorHAnsi" w:hAnsiTheme="minorHAnsi" w:cs="Arial"/>
                <w:szCs w:val="18"/>
                <w:lang w:eastAsia="en-AU"/>
              </w:rPr>
            </w:pPr>
            <w:r w:rsidRPr="00544259">
              <w:rPr>
                <w:rFonts w:asciiTheme="minorHAnsi" w:hAnsiTheme="minorHAnsi" w:cs="Arial"/>
                <w:szCs w:val="18"/>
                <w:lang w:eastAsia="en-AU"/>
              </w:rPr>
              <w:t xml:space="preserve">Employed Part Time ;  Not attending full-time education </w:t>
            </w:r>
          </w:p>
        </w:tc>
        <w:tc>
          <w:tcPr>
            <w:tcW w:w="696" w:type="pct"/>
            <w:tcBorders>
              <w:top w:val="single" w:sz="4" w:space="0" w:color="auto"/>
              <w:left w:val="nil"/>
              <w:bottom w:val="single" w:sz="4" w:space="0" w:color="auto"/>
              <w:right w:val="nil"/>
            </w:tcBorders>
            <w:shd w:val="clear" w:color="auto" w:fill="auto"/>
            <w:vAlign w:val="bottom"/>
            <w:hideMark/>
          </w:tcPr>
          <w:p w14:paraId="3DFB09FA" w14:textId="77777777" w:rsidR="00E45705" w:rsidRPr="00544259" w:rsidRDefault="00E45705" w:rsidP="00E45705">
            <w:pPr>
              <w:pStyle w:val="TableColumnHeading"/>
              <w:spacing w:before="0" w:after="0"/>
              <w:ind w:left="0" w:right="0"/>
              <w:rPr>
                <w:rFonts w:asciiTheme="minorHAnsi" w:hAnsiTheme="minorHAnsi" w:cs="Arial"/>
                <w:szCs w:val="18"/>
                <w:lang w:eastAsia="en-AU"/>
              </w:rPr>
            </w:pPr>
            <w:r w:rsidRPr="00544259">
              <w:rPr>
                <w:rFonts w:asciiTheme="minorHAnsi" w:hAnsiTheme="minorHAnsi" w:cs="Arial"/>
                <w:szCs w:val="18"/>
                <w:lang w:eastAsia="en-AU"/>
              </w:rPr>
              <w:t>Unemployed - total ;  Not attending full-time education</w:t>
            </w:r>
          </w:p>
        </w:tc>
        <w:tc>
          <w:tcPr>
            <w:tcW w:w="696" w:type="pct"/>
            <w:tcBorders>
              <w:top w:val="single" w:sz="4" w:space="0" w:color="auto"/>
              <w:left w:val="nil"/>
              <w:bottom w:val="single" w:sz="4" w:space="0" w:color="auto"/>
              <w:right w:val="nil"/>
            </w:tcBorders>
            <w:shd w:val="clear" w:color="auto" w:fill="auto"/>
            <w:vAlign w:val="bottom"/>
            <w:hideMark/>
          </w:tcPr>
          <w:p w14:paraId="62BA8DF1" w14:textId="77777777" w:rsidR="00E45705" w:rsidRPr="00544259" w:rsidRDefault="00E45705" w:rsidP="00E45705">
            <w:pPr>
              <w:pStyle w:val="TableColumnHeading"/>
              <w:spacing w:before="0" w:after="0"/>
              <w:ind w:left="0" w:right="0"/>
              <w:rPr>
                <w:rFonts w:asciiTheme="minorHAnsi" w:hAnsiTheme="minorHAnsi" w:cs="Arial"/>
                <w:szCs w:val="18"/>
                <w:lang w:eastAsia="en-AU"/>
              </w:rPr>
            </w:pPr>
            <w:r w:rsidRPr="00544259">
              <w:rPr>
                <w:rFonts w:asciiTheme="minorHAnsi" w:hAnsiTheme="minorHAnsi" w:cs="Arial"/>
                <w:szCs w:val="18"/>
                <w:lang w:eastAsia="en-AU"/>
              </w:rPr>
              <w:t>Not in the Labour Force ;  Not attending full-time education</w:t>
            </w:r>
          </w:p>
        </w:tc>
        <w:tc>
          <w:tcPr>
            <w:tcW w:w="696" w:type="pct"/>
            <w:tcBorders>
              <w:top w:val="single" w:sz="4" w:space="0" w:color="auto"/>
              <w:left w:val="nil"/>
              <w:bottom w:val="single" w:sz="4" w:space="0" w:color="auto"/>
              <w:right w:val="nil"/>
            </w:tcBorders>
            <w:shd w:val="clear" w:color="auto" w:fill="auto"/>
            <w:vAlign w:val="bottom"/>
            <w:hideMark/>
          </w:tcPr>
          <w:p w14:paraId="29E43363" w14:textId="77777777" w:rsidR="00E45705" w:rsidRPr="00544259" w:rsidRDefault="00E45705" w:rsidP="00E45705">
            <w:pPr>
              <w:pStyle w:val="TableColumnHeading"/>
              <w:spacing w:before="0" w:after="0"/>
              <w:ind w:left="0" w:right="0"/>
              <w:rPr>
                <w:rFonts w:asciiTheme="minorHAnsi" w:hAnsiTheme="minorHAnsi" w:cs="Arial"/>
                <w:szCs w:val="18"/>
                <w:lang w:eastAsia="en-AU"/>
              </w:rPr>
            </w:pPr>
            <w:r w:rsidRPr="00544259">
              <w:rPr>
                <w:rFonts w:asciiTheme="minorHAnsi" w:hAnsiTheme="minorHAnsi" w:cs="Arial"/>
                <w:szCs w:val="18"/>
                <w:lang w:eastAsia="en-AU"/>
              </w:rPr>
              <w:t>Total</w:t>
            </w:r>
          </w:p>
        </w:tc>
      </w:tr>
      <w:tr w:rsidR="00E45705" w:rsidRPr="001B09E6" w14:paraId="5CE94885" w14:textId="77777777" w:rsidTr="00E45705">
        <w:trPr>
          <w:gridAfter w:val="1"/>
          <w:wAfter w:w="303" w:type="pct"/>
          <w:trHeight w:val="300"/>
        </w:trPr>
        <w:tc>
          <w:tcPr>
            <w:tcW w:w="521" w:type="pct"/>
            <w:tcBorders>
              <w:top w:val="single" w:sz="4" w:space="0" w:color="auto"/>
              <w:left w:val="nil"/>
              <w:bottom w:val="nil"/>
              <w:right w:val="nil"/>
            </w:tcBorders>
            <w:shd w:val="clear" w:color="auto" w:fill="auto"/>
            <w:noWrap/>
            <w:vAlign w:val="bottom"/>
            <w:hideMark/>
          </w:tcPr>
          <w:p w14:paraId="7B54EB03" w14:textId="77777777" w:rsidR="00E45705" w:rsidRPr="001B09E6" w:rsidRDefault="00E45705" w:rsidP="00E45705">
            <w:pPr>
              <w:pStyle w:val="TableCellText"/>
              <w:spacing w:before="0" w:after="0"/>
              <w:ind w:left="0" w:right="0"/>
              <w:rPr>
                <w:lang w:eastAsia="en-AU"/>
              </w:rPr>
            </w:pPr>
            <w:r w:rsidRPr="001B09E6">
              <w:rPr>
                <w:lang w:eastAsia="en-AU"/>
              </w:rPr>
              <w:t>2000</w:t>
            </w:r>
          </w:p>
        </w:tc>
        <w:tc>
          <w:tcPr>
            <w:tcW w:w="696" w:type="pct"/>
            <w:tcBorders>
              <w:top w:val="single" w:sz="4" w:space="0" w:color="auto"/>
              <w:left w:val="nil"/>
              <w:bottom w:val="nil"/>
              <w:right w:val="nil"/>
            </w:tcBorders>
            <w:shd w:val="clear" w:color="auto" w:fill="auto"/>
            <w:noWrap/>
            <w:vAlign w:val="bottom"/>
            <w:hideMark/>
          </w:tcPr>
          <w:p w14:paraId="03C8D5A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20.8</w:t>
            </w:r>
          </w:p>
        </w:tc>
        <w:tc>
          <w:tcPr>
            <w:tcW w:w="696" w:type="pct"/>
            <w:tcBorders>
              <w:top w:val="single" w:sz="4" w:space="0" w:color="auto"/>
              <w:left w:val="nil"/>
              <w:bottom w:val="nil"/>
              <w:right w:val="nil"/>
            </w:tcBorders>
            <w:shd w:val="clear" w:color="auto" w:fill="auto"/>
            <w:noWrap/>
            <w:vAlign w:val="bottom"/>
            <w:hideMark/>
          </w:tcPr>
          <w:p w14:paraId="4AB9B31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54.1</w:t>
            </w:r>
          </w:p>
        </w:tc>
        <w:tc>
          <w:tcPr>
            <w:tcW w:w="696" w:type="pct"/>
            <w:tcBorders>
              <w:top w:val="single" w:sz="4" w:space="0" w:color="auto"/>
              <w:left w:val="nil"/>
              <w:bottom w:val="nil"/>
              <w:right w:val="nil"/>
            </w:tcBorders>
            <w:shd w:val="clear" w:color="auto" w:fill="auto"/>
            <w:noWrap/>
            <w:vAlign w:val="bottom"/>
            <w:hideMark/>
          </w:tcPr>
          <w:p w14:paraId="5118A5D7"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w:t>
            </w:r>
          </w:p>
        </w:tc>
        <w:tc>
          <w:tcPr>
            <w:tcW w:w="696" w:type="pct"/>
            <w:tcBorders>
              <w:top w:val="single" w:sz="4" w:space="0" w:color="auto"/>
              <w:left w:val="nil"/>
              <w:bottom w:val="nil"/>
              <w:right w:val="nil"/>
            </w:tcBorders>
            <w:shd w:val="clear" w:color="auto" w:fill="auto"/>
            <w:noWrap/>
            <w:vAlign w:val="bottom"/>
            <w:hideMark/>
          </w:tcPr>
          <w:p w14:paraId="399F0831"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6.7</w:t>
            </w:r>
          </w:p>
        </w:tc>
        <w:tc>
          <w:tcPr>
            <w:tcW w:w="696" w:type="pct"/>
            <w:tcBorders>
              <w:top w:val="single" w:sz="4" w:space="0" w:color="auto"/>
              <w:left w:val="nil"/>
              <w:bottom w:val="nil"/>
              <w:right w:val="nil"/>
            </w:tcBorders>
            <w:shd w:val="clear" w:color="auto" w:fill="auto"/>
            <w:noWrap/>
            <w:vAlign w:val="bottom"/>
            <w:hideMark/>
          </w:tcPr>
          <w:p w14:paraId="250A068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8.4</w:t>
            </w:r>
          </w:p>
        </w:tc>
        <w:tc>
          <w:tcPr>
            <w:tcW w:w="696" w:type="pct"/>
            <w:tcBorders>
              <w:top w:val="single" w:sz="4" w:space="0" w:color="auto"/>
              <w:left w:val="nil"/>
              <w:bottom w:val="nil"/>
              <w:right w:val="nil"/>
            </w:tcBorders>
            <w:shd w:val="clear" w:color="auto" w:fill="auto"/>
            <w:noWrap/>
            <w:vAlign w:val="bottom"/>
            <w:hideMark/>
          </w:tcPr>
          <w:p w14:paraId="0CA97B3B"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0D58D28A"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7C8FF818" w14:textId="77777777" w:rsidR="00E45705" w:rsidRPr="001B09E6" w:rsidRDefault="00E45705" w:rsidP="00E45705">
            <w:pPr>
              <w:pStyle w:val="TableCellText"/>
              <w:spacing w:before="0" w:after="0"/>
              <w:ind w:left="0" w:right="0"/>
              <w:rPr>
                <w:lang w:eastAsia="en-AU"/>
              </w:rPr>
            </w:pPr>
            <w:r w:rsidRPr="001B09E6">
              <w:rPr>
                <w:lang w:eastAsia="en-AU"/>
              </w:rPr>
              <w:t>2001</w:t>
            </w:r>
          </w:p>
        </w:tc>
        <w:tc>
          <w:tcPr>
            <w:tcW w:w="696" w:type="pct"/>
            <w:tcBorders>
              <w:top w:val="nil"/>
              <w:left w:val="nil"/>
              <w:bottom w:val="nil"/>
              <w:right w:val="nil"/>
            </w:tcBorders>
            <w:shd w:val="clear" w:color="auto" w:fill="auto"/>
            <w:noWrap/>
            <w:vAlign w:val="bottom"/>
            <w:hideMark/>
          </w:tcPr>
          <w:p w14:paraId="3A2DB27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21.9</w:t>
            </w:r>
          </w:p>
        </w:tc>
        <w:tc>
          <w:tcPr>
            <w:tcW w:w="696" w:type="pct"/>
            <w:tcBorders>
              <w:top w:val="nil"/>
              <w:left w:val="nil"/>
              <w:bottom w:val="nil"/>
              <w:right w:val="nil"/>
            </w:tcBorders>
            <w:shd w:val="clear" w:color="auto" w:fill="auto"/>
            <w:noWrap/>
            <w:vAlign w:val="bottom"/>
            <w:hideMark/>
          </w:tcPr>
          <w:p w14:paraId="06257CB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51.5</w:t>
            </w:r>
          </w:p>
        </w:tc>
        <w:tc>
          <w:tcPr>
            <w:tcW w:w="696" w:type="pct"/>
            <w:tcBorders>
              <w:top w:val="nil"/>
              <w:left w:val="nil"/>
              <w:bottom w:val="nil"/>
              <w:right w:val="nil"/>
            </w:tcBorders>
            <w:shd w:val="clear" w:color="auto" w:fill="auto"/>
            <w:noWrap/>
            <w:vAlign w:val="bottom"/>
            <w:hideMark/>
          </w:tcPr>
          <w:p w14:paraId="672D61D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10.7</w:t>
            </w:r>
          </w:p>
        </w:tc>
        <w:tc>
          <w:tcPr>
            <w:tcW w:w="696" w:type="pct"/>
            <w:tcBorders>
              <w:top w:val="nil"/>
              <w:left w:val="nil"/>
              <w:bottom w:val="nil"/>
              <w:right w:val="nil"/>
            </w:tcBorders>
            <w:shd w:val="clear" w:color="auto" w:fill="auto"/>
            <w:noWrap/>
            <w:vAlign w:val="bottom"/>
            <w:hideMark/>
          </w:tcPr>
          <w:p w14:paraId="5310A477"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7.4</w:t>
            </w:r>
          </w:p>
        </w:tc>
        <w:tc>
          <w:tcPr>
            <w:tcW w:w="696" w:type="pct"/>
            <w:tcBorders>
              <w:top w:val="nil"/>
              <w:left w:val="nil"/>
              <w:bottom w:val="nil"/>
              <w:right w:val="nil"/>
            </w:tcBorders>
            <w:shd w:val="clear" w:color="auto" w:fill="auto"/>
            <w:noWrap/>
            <w:vAlign w:val="bottom"/>
            <w:hideMark/>
          </w:tcPr>
          <w:p w14:paraId="40825E1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8.5</w:t>
            </w:r>
          </w:p>
        </w:tc>
        <w:tc>
          <w:tcPr>
            <w:tcW w:w="696" w:type="pct"/>
            <w:tcBorders>
              <w:top w:val="nil"/>
              <w:left w:val="nil"/>
              <w:bottom w:val="nil"/>
              <w:right w:val="nil"/>
            </w:tcBorders>
            <w:shd w:val="clear" w:color="auto" w:fill="auto"/>
            <w:noWrap/>
            <w:vAlign w:val="bottom"/>
            <w:hideMark/>
          </w:tcPr>
          <w:p w14:paraId="64618C8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766C06D7"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2391B427" w14:textId="77777777" w:rsidR="00E45705" w:rsidRPr="001B09E6" w:rsidRDefault="00E45705" w:rsidP="00E45705">
            <w:pPr>
              <w:pStyle w:val="TableCellText"/>
              <w:spacing w:before="0" w:after="0"/>
              <w:ind w:left="0" w:right="0"/>
              <w:rPr>
                <w:lang w:eastAsia="en-AU"/>
              </w:rPr>
            </w:pPr>
            <w:r w:rsidRPr="001B09E6">
              <w:rPr>
                <w:lang w:eastAsia="en-AU"/>
              </w:rPr>
              <w:t>2002</w:t>
            </w:r>
          </w:p>
        </w:tc>
        <w:tc>
          <w:tcPr>
            <w:tcW w:w="696" w:type="pct"/>
            <w:tcBorders>
              <w:top w:val="nil"/>
              <w:left w:val="nil"/>
              <w:bottom w:val="nil"/>
              <w:right w:val="nil"/>
            </w:tcBorders>
            <w:shd w:val="clear" w:color="auto" w:fill="auto"/>
            <w:noWrap/>
            <w:vAlign w:val="bottom"/>
            <w:hideMark/>
          </w:tcPr>
          <w:p w14:paraId="27B9029A"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24.9</w:t>
            </w:r>
          </w:p>
        </w:tc>
        <w:tc>
          <w:tcPr>
            <w:tcW w:w="696" w:type="pct"/>
            <w:tcBorders>
              <w:top w:val="nil"/>
              <w:left w:val="nil"/>
              <w:bottom w:val="nil"/>
              <w:right w:val="nil"/>
            </w:tcBorders>
            <w:shd w:val="clear" w:color="auto" w:fill="auto"/>
            <w:noWrap/>
            <w:vAlign w:val="bottom"/>
            <w:hideMark/>
          </w:tcPr>
          <w:p w14:paraId="7FA59DE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49.9</w:t>
            </w:r>
          </w:p>
        </w:tc>
        <w:tc>
          <w:tcPr>
            <w:tcW w:w="696" w:type="pct"/>
            <w:tcBorders>
              <w:top w:val="nil"/>
              <w:left w:val="nil"/>
              <w:bottom w:val="nil"/>
              <w:right w:val="nil"/>
            </w:tcBorders>
            <w:shd w:val="clear" w:color="auto" w:fill="auto"/>
            <w:noWrap/>
            <w:vAlign w:val="bottom"/>
            <w:hideMark/>
          </w:tcPr>
          <w:p w14:paraId="0FA72CC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10.2</w:t>
            </w:r>
          </w:p>
        </w:tc>
        <w:tc>
          <w:tcPr>
            <w:tcW w:w="696" w:type="pct"/>
            <w:tcBorders>
              <w:top w:val="nil"/>
              <w:left w:val="nil"/>
              <w:bottom w:val="nil"/>
              <w:right w:val="nil"/>
            </w:tcBorders>
            <w:shd w:val="clear" w:color="auto" w:fill="auto"/>
            <w:noWrap/>
            <w:vAlign w:val="bottom"/>
            <w:hideMark/>
          </w:tcPr>
          <w:p w14:paraId="1B6D154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6.0</w:t>
            </w:r>
          </w:p>
        </w:tc>
        <w:tc>
          <w:tcPr>
            <w:tcW w:w="696" w:type="pct"/>
            <w:tcBorders>
              <w:top w:val="nil"/>
              <w:left w:val="nil"/>
              <w:bottom w:val="nil"/>
              <w:right w:val="nil"/>
            </w:tcBorders>
            <w:shd w:val="clear" w:color="auto" w:fill="auto"/>
            <w:noWrap/>
            <w:vAlign w:val="bottom"/>
            <w:hideMark/>
          </w:tcPr>
          <w:p w14:paraId="42D5EF81"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9.0</w:t>
            </w:r>
          </w:p>
        </w:tc>
        <w:tc>
          <w:tcPr>
            <w:tcW w:w="696" w:type="pct"/>
            <w:tcBorders>
              <w:top w:val="nil"/>
              <w:left w:val="nil"/>
              <w:bottom w:val="nil"/>
              <w:right w:val="nil"/>
            </w:tcBorders>
            <w:shd w:val="clear" w:color="auto" w:fill="auto"/>
            <w:noWrap/>
            <w:vAlign w:val="bottom"/>
            <w:hideMark/>
          </w:tcPr>
          <w:p w14:paraId="2451EFD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2DA4B093"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294F553A" w14:textId="77777777" w:rsidR="00E45705" w:rsidRPr="001B09E6" w:rsidRDefault="00E45705" w:rsidP="00E45705">
            <w:pPr>
              <w:pStyle w:val="TableCellText"/>
              <w:spacing w:before="0" w:after="0"/>
              <w:ind w:left="0" w:right="0"/>
              <w:rPr>
                <w:lang w:eastAsia="en-AU"/>
              </w:rPr>
            </w:pPr>
            <w:r w:rsidRPr="001B09E6">
              <w:rPr>
                <w:lang w:eastAsia="en-AU"/>
              </w:rPr>
              <w:t>2003</w:t>
            </w:r>
          </w:p>
        </w:tc>
        <w:tc>
          <w:tcPr>
            <w:tcW w:w="696" w:type="pct"/>
            <w:tcBorders>
              <w:top w:val="nil"/>
              <w:left w:val="nil"/>
              <w:bottom w:val="nil"/>
              <w:right w:val="nil"/>
            </w:tcBorders>
            <w:shd w:val="clear" w:color="auto" w:fill="auto"/>
            <w:noWrap/>
            <w:vAlign w:val="bottom"/>
            <w:hideMark/>
          </w:tcPr>
          <w:p w14:paraId="638553E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25.2</w:t>
            </w:r>
          </w:p>
        </w:tc>
        <w:tc>
          <w:tcPr>
            <w:tcW w:w="696" w:type="pct"/>
            <w:tcBorders>
              <w:top w:val="nil"/>
              <w:left w:val="nil"/>
              <w:bottom w:val="nil"/>
              <w:right w:val="nil"/>
            </w:tcBorders>
            <w:shd w:val="clear" w:color="auto" w:fill="auto"/>
            <w:noWrap/>
            <w:vAlign w:val="bottom"/>
            <w:hideMark/>
          </w:tcPr>
          <w:p w14:paraId="0CF1C4B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48.3</w:t>
            </w:r>
          </w:p>
        </w:tc>
        <w:tc>
          <w:tcPr>
            <w:tcW w:w="696" w:type="pct"/>
            <w:tcBorders>
              <w:top w:val="nil"/>
              <w:left w:val="nil"/>
              <w:bottom w:val="nil"/>
              <w:right w:val="nil"/>
            </w:tcBorders>
            <w:shd w:val="clear" w:color="auto" w:fill="auto"/>
            <w:noWrap/>
            <w:vAlign w:val="bottom"/>
            <w:hideMark/>
          </w:tcPr>
          <w:p w14:paraId="3213EEC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11.0</w:t>
            </w:r>
          </w:p>
        </w:tc>
        <w:tc>
          <w:tcPr>
            <w:tcW w:w="696" w:type="pct"/>
            <w:tcBorders>
              <w:top w:val="nil"/>
              <w:left w:val="nil"/>
              <w:bottom w:val="nil"/>
              <w:right w:val="nil"/>
            </w:tcBorders>
            <w:shd w:val="clear" w:color="auto" w:fill="auto"/>
            <w:noWrap/>
            <w:vAlign w:val="bottom"/>
            <w:hideMark/>
          </w:tcPr>
          <w:p w14:paraId="41BD1E4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6.3</w:t>
            </w:r>
          </w:p>
        </w:tc>
        <w:tc>
          <w:tcPr>
            <w:tcW w:w="696" w:type="pct"/>
            <w:tcBorders>
              <w:top w:val="nil"/>
              <w:left w:val="nil"/>
              <w:bottom w:val="nil"/>
              <w:right w:val="nil"/>
            </w:tcBorders>
            <w:shd w:val="clear" w:color="auto" w:fill="auto"/>
            <w:noWrap/>
            <w:vAlign w:val="bottom"/>
            <w:hideMark/>
          </w:tcPr>
          <w:p w14:paraId="0F3EF0D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9.1</w:t>
            </w:r>
          </w:p>
        </w:tc>
        <w:tc>
          <w:tcPr>
            <w:tcW w:w="696" w:type="pct"/>
            <w:tcBorders>
              <w:top w:val="nil"/>
              <w:left w:val="nil"/>
              <w:bottom w:val="nil"/>
              <w:right w:val="nil"/>
            </w:tcBorders>
            <w:shd w:val="clear" w:color="auto" w:fill="auto"/>
            <w:noWrap/>
            <w:vAlign w:val="bottom"/>
            <w:hideMark/>
          </w:tcPr>
          <w:p w14:paraId="7CAA55A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61735FAF"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2216C734" w14:textId="77777777" w:rsidR="00E45705" w:rsidRPr="001B09E6" w:rsidRDefault="00E45705" w:rsidP="00E45705">
            <w:pPr>
              <w:pStyle w:val="TableCellText"/>
              <w:spacing w:before="0" w:after="0"/>
              <w:ind w:left="0" w:right="0"/>
              <w:rPr>
                <w:lang w:eastAsia="en-AU"/>
              </w:rPr>
            </w:pPr>
            <w:r w:rsidRPr="001B09E6">
              <w:rPr>
                <w:lang w:eastAsia="en-AU"/>
              </w:rPr>
              <w:t>2004</w:t>
            </w:r>
          </w:p>
        </w:tc>
        <w:tc>
          <w:tcPr>
            <w:tcW w:w="696" w:type="pct"/>
            <w:tcBorders>
              <w:top w:val="nil"/>
              <w:left w:val="nil"/>
              <w:bottom w:val="nil"/>
              <w:right w:val="nil"/>
            </w:tcBorders>
            <w:shd w:val="clear" w:color="auto" w:fill="auto"/>
            <w:noWrap/>
            <w:vAlign w:val="bottom"/>
            <w:hideMark/>
          </w:tcPr>
          <w:p w14:paraId="5EE4DA8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25.2</w:t>
            </w:r>
          </w:p>
        </w:tc>
        <w:tc>
          <w:tcPr>
            <w:tcW w:w="696" w:type="pct"/>
            <w:tcBorders>
              <w:top w:val="nil"/>
              <w:left w:val="nil"/>
              <w:bottom w:val="nil"/>
              <w:right w:val="nil"/>
            </w:tcBorders>
            <w:shd w:val="clear" w:color="auto" w:fill="auto"/>
            <w:noWrap/>
            <w:vAlign w:val="bottom"/>
            <w:hideMark/>
          </w:tcPr>
          <w:p w14:paraId="0CA02F35"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48.2</w:t>
            </w:r>
          </w:p>
        </w:tc>
        <w:tc>
          <w:tcPr>
            <w:tcW w:w="696" w:type="pct"/>
            <w:tcBorders>
              <w:top w:val="nil"/>
              <w:left w:val="nil"/>
              <w:bottom w:val="nil"/>
              <w:right w:val="nil"/>
            </w:tcBorders>
            <w:shd w:val="clear" w:color="auto" w:fill="auto"/>
            <w:noWrap/>
            <w:vAlign w:val="bottom"/>
            <w:hideMark/>
          </w:tcPr>
          <w:p w14:paraId="783FC6A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11.9</w:t>
            </w:r>
          </w:p>
        </w:tc>
        <w:tc>
          <w:tcPr>
            <w:tcW w:w="696" w:type="pct"/>
            <w:tcBorders>
              <w:top w:val="nil"/>
              <w:left w:val="nil"/>
              <w:bottom w:val="nil"/>
              <w:right w:val="nil"/>
            </w:tcBorders>
            <w:shd w:val="clear" w:color="auto" w:fill="auto"/>
            <w:noWrap/>
            <w:vAlign w:val="bottom"/>
            <w:hideMark/>
          </w:tcPr>
          <w:p w14:paraId="41B458D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4.9</w:t>
            </w:r>
          </w:p>
        </w:tc>
        <w:tc>
          <w:tcPr>
            <w:tcW w:w="696" w:type="pct"/>
            <w:tcBorders>
              <w:top w:val="nil"/>
              <w:left w:val="nil"/>
              <w:bottom w:val="nil"/>
              <w:right w:val="nil"/>
            </w:tcBorders>
            <w:shd w:val="clear" w:color="auto" w:fill="auto"/>
            <w:noWrap/>
            <w:vAlign w:val="bottom"/>
            <w:hideMark/>
          </w:tcPr>
          <w:p w14:paraId="3EC22E0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9.8</w:t>
            </w:r>
          </w:p>
        </w:tc>
        <w:tc>
          <w:tcPr>
            <w:tcW w:w="696" w:type="pct"/>
            <w:tcBorders>
              <w:top w:val="nil"/>
              <w:left w:val="nil"/>
              <w:bottom w:val="nil"/>
              <w:right w:val="nil"/>
            </w:tcBorders>
            <w:shd w:val="clear" w:color="auto" w:fill="auto"/>
            <w:noWrap/>
            <w:vAlign w:val="bottom"/>
            <w:hideMark/>
          </w:tcPr>
          <w:p w14:paraId="3A6C227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1FCA5709"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222AB3B6" w14:textId="77777777" w:rsidR="00E45705" w:rsidRPr="001B09E6" w:rsidRDefault="00E45705" w:rsidP="00E45705">
            <w:pPr>
              <w:pStyle w:val="TableCellText"/>
              <w:spacing w:before="0" w:after="0"/>
              <w:ind w:left="0" w:right="0"/>
              <w:rPr>
                <w:lang w:eastAsia="en-AU"/>
              </w:rPr>
            </w:pPr>
            <w:r w:rsidRPr="001B09E6">
              <w:rPr>
                <w:lang w:eastAsia="en-AU"/>
              </w:rPr>
              <w:t>2005</w:t>
            </w:r>
          </w:p>
        </w:tc>
        <w:tc>
          <w:tcPr>
            <w:tcW w:w="696" w:type="pct"/>
            <w:tcBorders>
              <w:top w:val="nil"/>
              <w:left w:val="nil"/>
              <w:bottom w:val="nil"/>
              <w:right w:val="nil"/>
            </w:tcBorders>
            <w:shd w:val="clear" w:color="auto" w:fill="auto"/>
            <w:noWrap/>
            <w:vAlign w:val="bottom"/>
            <w:hideMark/>
          </w:tcPr>
          <w:p w14:paraId="5B3D1F9D"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26.1</w:t>
            </w:r>
          </w:p>
        </w:tc>
        <w:tc>
          <w:tcPr>
            <w:tcW w:w="696" w:type="pct"/>
            <w:tcBorders>
              <w:top w:val="nil"/>
              <w:left w:val="nil"/>
              <w:bottom w:val="nil"/>
              <w:right w:val="nil"/>
            </w:tcBorders>
            <w:shd w:val="clear" w:color="auto" w:fill="auto"/>
            <w:noWrap/>
            <w:vAlign w:val="bottom"/>
            <w:hideMark/>
          </w:tcPr>
          <w:p w14:paraId="52F2A35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49.5</w:t>
            </w:r>
          </w:p>
        </w:tc>
        <w:tc>
          <w:tcPr>
            <w:tcW w:w="696" w:type="pct"/>
            <w:tcBorders>
              <w:top w:val="nil"/>
              <w:left w:val="nil"/>
              <w:bottom w:val="nil"/>
              <w:right w:val="nil"/>
            </w:tcBorders>
            <w:shd w:val="clear" w:color="auto" w:fill="auto"/>
            <w:noWrap/>
            <w:vAlign w:val="bottom"/>
            <w:hideMark/>
          </w:tcPr>
          <w:p w14:paraId="41717AF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11.3</w:t>
            </w:r>
          </w:p>
        </w:tc>
        <w:tc>
          <w:tcPr>
            <w:tcW w:w="696" w:type="pct"/>
            <w:tcBorders>
              <w:top w:val="nil"/>
              <w:left w:val="nil"/>
              <w:bottom w:val="nil"/>
              <w:right w:val="nil"/>
            </w:tcBorders>
            <w:shd w:val="clear" w:color="auto" w:fill="auto"/>
            <w:noWrap/>
            <w:vAlign w:val="bottom"/>
            <w:hideMark/>
          </w:tcPr>
          <w:p w14:paraId="3986B28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4.8</w:t>
            </w:r>
          </w:p>
        </w:tc>
        <w:tc>
          <w:tcPr>
            <w:tcW w:w="696" w:type="pct"/>
            <w:tcBorders>
              <w:top w:val="nil"/>
              <w:left w:val="nil"/>
              <w:bottom w:val="nil"/>
              <w:right w:val="nil"/>
            </w:tcBorders>
            <w:shd w:val="clear" w:color="auto" w:fill="auto"/>
            <w:noWrap/>
            <w:vAlign w:val="bottom"/>
            <w:hideMark/>
          </w:tcPr>
          <w:p w14:paraId="7F7B3D8D"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8.3</w:t>
            </w:r>
          </w:p>
        </w:tc>
        <w:tc>
          <w:tcPr>
            <w:tcW w:w="696" w:type="pct"/>
            <w:tcBorders>
              <w:top w:val="nil"/>
              <w:left w:val="nil"/>
              <w:bottom w:val="nil"/>
              <w:right w:val="nil"/>
            </w:tcBorders>
            <w:shd w:val="clear" w:color="auto" w:fill="auto"/>
            <w:noWrap/>
            <w:vAlign w:val="bottom"/>
            <w:hideMark/>
          </w:tcPr>
          <w:p w14:paraId="35F554F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349302EF"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3079C80A" w14:textId="77777777" w:rsidR="00E45705" w:rsidRPr="001B09E6" w:rsidRDefault="00E45705" w:rsidP="00E45705">
            <w:pPr>
              <w:pStyle w:val="TableCellText"/>
              <w:spacing w:before="0" w:after="0"/>
              <w:ind w:left="0" w:right="0"/>
              <w:rPr>
                <w:lang w:eastAsia="en-AU"/>
              </w:rPr>
            </w:pPr>
            <w:r w:rsidRPr="001B09E6">
              <w:rPr>
                <w:lang w:eastAsia="en-AU"/>
              </w:rPr>
              <w:t>2006</w:t>
            </w:r>
          </w:p>
        </w:tc>
        <w:tc>
          <w:tcPr>
            <w:tcW w:w="696" w:type="pct"/>
            <w:tcBorders>
              <w:top w:val="nil"/>
              <w:left w:val="nil"/>
              <w:bottom w:val="nil"/>
              <w:right w:val="nil"/>
            </w:tcBorders>
            <w:shd w:val="clear" w:color="auto" w:fill="auto"/>
            <w:noWrap/>
            <w:vAlign w:val="bottom"/>
            <w:hideMark/>
          </w:tcPr>
          <w:p w14:paraId="4AFC045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26.1</w:t>
            </w:r>
          </w:p>
        </w:tc>
        <w:tc>
          <w:tcPr>
            <w:tcW w:w="696" w:type="pct"/>
            <w:tcBorders>
              <w:top w:val="nil"/>
              <w:left w:val="nil"/>
              <w:bottom w:val="nil"/>
              <w:right w:val="nil"/>
            </w:tcBorders>
            <w:shd w:val="clear" w:color="auto" w:fill="auto"/>
            <w:noWrap/>
            <w:vAlign w:val="bottom"/>
            <w:hideMark/>
          </w:tcPr>
          <w:p w14:paraId="413E8BB7"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50.5</w:t>
            </w:r>
          </w:p>
        </w:tc>
        <w:tc>
          <w:tcPr>
            <w:tcW w:w="696" w:type="pct"/>
            <w:tcBorders>
              <w:top w:val="nil"/>
              <w:left w:val="nil"/>
              <w:bottom w:val="nil"/>
              <w:right w:val="nil"/>
            </w:tcBorders>
            <w:shd w:val="clear" w:color="auto" w:fill="auto"/>
            <w:noWrap/>
            <w:vAlign w:val="bottom"/>
            <w:hideMark/>
          </w:tcPr>
          <w:p w14:paraId="1782C1BA"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10.5</w:t>
            </w:r>
          </w:p>
        </w:tc>
        <w:tc>
          <w:tcPr>
            <w:tcW w:w="696" w:type="pct"/>
            <w:tcBorders>
              <w:top w:val="nil"/>
              <w:left w:val="nil"/>
              <w:bottom w:val="nil"/>
              <w:right w:val="nil"/>
            </w:tcBorders>
            <w:shd w:val="clear" w:color="auto" w:fill="auto"/>
            <w:noWrap/>
            <w:vAlign w:val="bottom"/>
            <w:hideMark/>
          </w:tcPr>
          <w:p w14:paraId="0E4EB2AC"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4.3</w:t>
            </w:r>
          </w:p>
        </w:tc>
        <w:tc>
          <w:tcPr>
            <w:tcW w:w="696" w:type="pct"/>
            <w:tcBorders>
              <w:top w:val="nil"/>
              <w:left w:val="nil"/>
              <w:bottom w:val="nil"/>
              <w:right w:val="nil"/>
            </w:tcBorders>
            <w:shd w:val="clear" w:color="auto" w:fill="auto"/>
            <w:noWrap/>
            <w:vAlign w:val="bottom"/>
            <w:hideMark/>
          </w:tcPr>
          <w:p w14:paraId="7C292980"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8.5</w:t>
            </w:r>
          </w:p>
        </w:tc>
        <w:tc>
          <w:tcPr>
            <w:tcW w:w="696" w:type="pct"/>
            <w:tcBorders>
              <w:top w:val="nil"/>
              <w:left w:val="nil"/>
              <w:bottom w:val="nil"/>
              <w:right w:val="nil"/>
            </w:tcBorders>
            <w:shd w:val="clear" w:color="auto" w:fill="auto"/>
            <w:noWrap/>
            <w:vAlign w:val="bottom"/>
            <w:hideMark/>
          </w:tcPr>
          <w:p w14:paraId="522A1C78"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5F8D4730"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06E44E6A" w14:textId="77777777" w:rsidR="00E45705" w:rsidRPr="001B09E6" w:rsidRDefault="00E45705" w:rsidP="00E45705">
            <w:pPr>
              <w:pStyle w:val="TableCellText"/>
              <w:spacing w:before="0" w:after="0"/>
              <w:ind w:left="0" w:right="0"/>
              <w:rPr>
                <w:lang w:eastAsia="en-AU"/>
              </w:rPr>
            </w:pPr>
            <w:r w:rsidRPr="001B09E6">
              <w:rPr>
                <w:lang w:eastAsia="en-AU"/>
              </w:rPr>
              <w:t>2007</w:t>
            </w:r>
          </w:p>
        </w:tc>
        <w:tc>
          <w:tcPr>
            <w:tcW w:w="696" w:type="pct"/>
            <w:tcBorders>
              <w:top w:val="nil"/>
              <w:left w:val="nil"/>
              <w:bottom w:val="nil"/>
              <w:right w:val="nil"/>
            </w:tcBorders>
            <w:shd w:val="clear" w:color="auto" w:fill="auto"/>
            <w:noWrap/>
            <w:vAlign w:val="bottom"/>
            <w:hideMark/>
          </w:tcPr>
          <w:p w14:paraId="7FA0E5D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26.5</w:t>
            </w:r>
          </w:p>
        </w:tc>
        <w:tc>
          <w:tcPr>
            <w:tcW w:w="696" w:type="pct"/>
            <w:tcBorders>
              <w:top w:val="nil"/>
              <w:left w:val="nil"/>
              <w:bottom w:val="nil"/>
              <w:right w:val="nil"/>
            </w:tcBorders>
            <w:shd w:val="clear" w:color="auto" w:fill="auto"/>
            <w:noWrap/>
            <w:vAlign w:val="bottom"/>
            <w:hideMark/>
          </w:tcPr>
          <w:p w14:paraId="5A9E3ED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51.0</w:t>
            </w:r>
          </w:p>
        </w:tc>
        <w:tc>
          <w:tcPr>
            <w:tcW w:w="696" w:type="pct"/>
            <w:tcBorders>
              <w:top w:val="nil"/>
              <w:left w:val="nil"/>
              <w:bottom w:val="nil"/>
              <w:right w:val="nil"/>
            </w:tcBorders>
            <w:shd w:val="clear" w:color="auto" w:fill="auto"/>
            <w:noWrap/>
            <w:vAlign w:val="bottom"/>
            <w:hideMark/>
          </w:tcPr>
          <w:p w14:paraId="03DCF6B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10.4</w:t>
            </w:r>
          </w:p>
        </w:tc>
        <w:tc>
          <w:tcPr>
            <w:tcW w:w="696" w:type="pct"/>
            <w:tcBorders>
              <w:top w:val="nil"/>
              <w:left w:val="nil"/>
              <w:bottom w:val="nil"/>
              <w:right w:val="nil"/>
            </w:tcBorders>
            <w:shd w:val="clear" w:color="auto" w:fill="auto"/>
            <w:noWrap/>
            <w:vAlign w:val="bottom"/>
            <w:hideMark/>
          </w:tcPr>
          <w:p w14:paraId="4EF106E5"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3.5</w:t>
            </w:r>
          </w:p>
        </w:tc>
        <w:tc>
          <w:tcPr>
            <w:tcW w:w="696" w:type="pct"/>
            <w:tcBorders>
              <w:top w:val="nil"/>
              <w:left w:val="nil"/>
              <w:bottom w:val="nil"/>
              <w:right w:val="nil"/>
            </w:tcBorders>
            <w:shd w:val="clear" w:color="auto" w:fill="auto"/>
            <w:noWrap/>
            <w:vAlign w:val="bottom"/>
            <w:hideMark/>
          </w:tcPr>
          <w:p w14:paraId="0FA25F2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8.5</w:t>
            </w:r>
          </w:p>
        </w:tc>
        <w:tc>
          <w:tcPr>
            <w:tcW w:w="696" w:type="pct"/>
            <w:tcBorders>
              <w:top w:val="nil"/>
              <w:left w:val="nil"/>
              <w:bottom w:val="nil"/>
              <w:right w:val="nil"/>
            </w:tcBorders>
            <w:shd w:val="clear" w:color="auto" w:fill="auto"/>
            <w:noWrap/>
            <w:vAlign w:val="bottom"/>
            <w:hideMark/>
          </w:tcPr>
          <w:p w14:paraId="632A0EF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03EEE9A0"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49F0E962" w14:textId="77777777" w:rsidR="00E45705" w:rsidRPr="001B09E6" w:rsidRDefault="00E45705" w:rsidP="00E45705">
            <w:pPr>
              <w:pStyle w:val="TableCellText"/>
              <w:spacing w:before="0" w:after="0"/>
              <w:ind w:left="0" w:right="0"/>
              <w:rPr>
                <w:lang w:eastAsia="en-AU"/>
              </w:rPr>
            </w:pPr>
            <w:r w:rsidRPr="001B09E6">
              <w:rPr>
                <w:lang w:eastAsia="en-AU"/>
              </w:rPr>
              <w:t>2008</w:t>
            </w:r>
          </w:p>
        </w:tc>
        <w:tc>
          <w:tcPr>
            <w:tcW w:w="696" w:type="pct"/>
            <w:tcBorders>
              <w:top w:val="nil"/>
              <w:left w:val="nil"/>
              <w:bottom w:val="nil"/>
              <w:right w:val="nil"/>
            </w:tcBorders>
            <w:shd w:val="clear" w:color="auto" w:fill="auto"/>
            <w:noWrap/>
            <w:vAlign w:val="bottom"/>
            <w:hideMark/>
          </w:tcPr>
          <w:p w14:paraId="3A36327D"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28.4</w:t>
            </w:r>
          </w:p>
        </w:tc>
        <w:tc>
          <w:tcPr>
            <w:tcW w:w="696" w:type="pct"/>
            <w:tcBorders>
              <w:top w:val="nil"/>
              <w:left w:val="nil"/>
              <w:bottom w:val="nil"/>
              <w:right w:val="nil"/>
            </w:tcBorders>
            <w:shd w:val="clear" w:color="auto" w:fill="auto"/>
            <w:noWrap/>
            <w:vAlign w:val="bottom"/>
            <w:hideMark/>
          </w:tcPr>
          <w:p w14:paraId="4C3BAFBD"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50.2</w:t>
            </w:r>
          </w:p>
        </w:tc>
        <w:tc>
          <w:tcPr>
            <w:tcW w:w="696" w:type="pct"/>
            <w:tcBorders>
              <w:top w:val="nil"/>
              <w:left w:val="nil"/>
              <w:bottom w:val="nil"/>
              <w:right w:val="nil"/>
            </w:tcBorders>
            <w:shd w:val="clear" w:color="auto" w:fill="auto"/>
            <w:noWrap/>
            <w:vAlign w:val="bottom"/>
            <w:hideMark/>
          </w:tcPr>
          <w:p w14:paraId="28D1C6B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9.9</w:t>
            </w:r>
          </w:p>
        </w:tc>
        <w:tc>
          <w:tcPr>
            <w:tcW w:w="696" w:type="pct"/>
            <w:tcBorders>
              <w:top w:val="nil"/>
              <w:left w:val="nil"/>
              <w:bottom w:val="nil"/>
              <w:right w:val="nil"/>
            </w:tcBorders>
            <w:shd w:val="clear" w:color="auto" w:fill="auto"/>
            <w:noWrap/>
            <w:vAlign w:val="bottom"/>
            <w:hideMark/>
          </w:tcPr>
          <w:p w14:paraId="12C056C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3.9</w:t>
            </w:r>
          </w:p>
        </w:tc>
        <w:tc>
          <w:tcPr>
            <w:tcW w:w="696" w:type="pct"/>
            <w:tcBorders>
              <w:top w:val="nil"/>
              <w:left w:val="nil"/>
              <w:bottom w:val="nil"/>
              <w:right w:val="nil"/>
            </w:tcBorders>
            <w:shd w:val="clear" w:color="auto" w:fill="auto"/>
            <w:noWrap/>
            <w:vAlign w:val="bottom"/>
            <w:hideMark/>
          </w:tcPr>
          <w:p w14:paraId="77CD1DE0"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7.6</w:t>
            </w:r>
          </w:p>
        </w:tc>
        <w:tc>
          <w:tcPr>
            <w:tcW w:w="696" w:type="pct"/>
            <w:tcBorders>
              <w:top w:val="nil"/>
              <w:left w:val="nil"/>
              <w:bottom w:val="nil"/>
              <w:right w:val="nil"/>
            </w:tcBorders>
            <w:shd w:val="clear" w:color="auto" w:fill="auto"/>
            <w:noWrap/>
            <w:vAlign w:val="bottom"/>
            <w:hideMark/>
          </w:tcPr>
          <w:p w14:paraId="13000C9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232714F3"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7F855585" w14:textId="77777777" w:rsidR="00E45705" w:rsidRPr="001B09E6" w:rsidRDefault="00E45705" w:rsidP="00E45705">
            <w:pPr>
              <w:pStyle w:val="TableCellText"/>
              <w:spacing w:before="0" w:after="0"/>
              <w:ind w:left="0" w:right="0"/>
              <w:rPr>
                <w:lang w:eastAsia="en-AU"/>
              </w:rPr>
            </w:pPr>
            <w:r w:rsidRPr="001B09E6">
              <w:rPr>
                <w:lang w:eastAsia="en-AU"/>
              </w:rPr>
              <w:t>2009</w:t>
            </w:r>
          </w:p>
        </w:tc>
        <w:tc>
          <w:tcPr>
            <w:tcW w:w="696" w:type="pct"/>
            <w:tcBorders>
              <w:top w:val="nil"/>
              <w:left w:val="nil"/>
              <w:bottom w:val="nil"/>
              <w:right w:val="nil"/>
            </w:tcBorders>
            <w:shd w:val="clear" w:color="auto" w:fill="auto"/>
            <w:noWrap/>
            <w:vAlign w:val="bottom"/>
            <w:hideMark/>
          </w:tcPr>
          <w:p w14:paraId="392ECA9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29.1</w:t>
            </w:r>
          </w:p>
        </w:tc>
        <w:tc>
          <w:tcPr>
            <w:tcW w:w="696" w:type="pct"/>
            <w:tcBorders>
              <w:top w:val="nil"/>
              <w:left w:val="nil"/>
              <w:bottom w:val="nil"/>
              <w:right w:val="nil"/>
            </w:tcBorders>
            <w:shd w:val="clear" w:color="auto" w:fill="auto"/>
            <w:noWrap/>
            <w:vAlign w:val="bottom"/>
            <w:hideMark/>
          </w:tcPr>
          <w:p w14:paraId="531E3B9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45.6</w:t>
            </w:r>
          </w:p>
        </w:tc>
        <w:tc>
          <w:tcPr>
            <w:tcW w:w="696" w:type="pct"/>
            <w:tcBorders>
              <w:top w:val="nil"/>
              <w:left w:val="nil"/>
              <w:bottom w:val="nil"/>
              <w:right w:val="nil"/>
            </w:tcBorders>
            <w:shd w:val="clear" w:color="auto" w:fill="auto"/>
            <w:noWrap/>
            <w:vAlign w:val="bottom"/>
            <w:hideMark/>
          </w:tcPr>
          <w:p w14:paraId="49E1406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11.7</w:t>
            </w:r>
          </w:p>
        </w:tc>
        <w:tc>
          <w:tcPr>
            <w:tcW w:w="696" w:type="pct"/>
            <w:tcBorders>
              <w:top w:val="nil"/>
              <w:left w:val="nil"/>
              <w:bottom w:val="nil"/>
              <w:right w:val="nil"/>
            </w:tcBorders>
            <w:shd w:val="clear" w:color="auto" w:fill="auto"/>
            <w:noWrap/>
            <w:vAlign w:val="bottom"/>
            <w:hideMark/>
          </w:tcPr>
          <w:p w14:paraId="616FEDB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5.1</w:t>
            </w:r>
          </w:p>
        </w:tc>
        <w:tc>
          <w:tcPr>
            <w:tcW w:w="696" w:type="pct"/>
            <w:tcBorders>
              <w:top w:val="nil"/>
              <w:left w:val="nil"/>
              <w:bottom w:val="nil"/>
              <w:right w:val="nil"/>
            </w:tcBorders>
            <w:shd w:val="clear" w:color="auto" w:fill="auto"/>
            <w:noWrap/>
            <w:vAlign w:val="bottom"/>
            <w:hideMark/>
          </w:tcPr>
          <w:p w14:paraId="1DFF0722"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8.5</w:t>
            </w:r>
          </w:p>
        </w:tc>
        <w:tc>
          <w:tcPr>
            <w:tcW w:w="696" w:type="pct"/>
            <w:tcBorders>
              <w:top w:val="nil"/>
              <w:left w:val="nil"/>
              <w:bottom w:val="nil"/>
              <w:right w:val="nil"/>
            </w:tcBorders>
            <w:shd w:val="clear" w:color="auto" w:fill="auto"/>
            <w:noWrap/>
            <w:vAlign w:val="bottom"/>
            <w:hideMark/>
          </w:tcPr>
          <w:p w14:paraId="5BC156AD"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0D78013E" w14:textId="77777777" w:rsidTr="00E45705">
        <w:trPr>
          <w:gridAfter w:val="1"/>
          <w:wAfter w:w="303" w:type="pct"/>
          <w:trHeight w:val="300"/>
        </w:trPr>
        <w:tc>
          <w:tcPr>
            <w:tcW w:w="521" w:type="pct"/>
            <w:tcBorders>
              <w:top w:val="nil"/>
              <w:left w:val="nil"/>
              <w:bottom w:val="nil"/>
              <w:right w:val="nil"/>
            </w:tcBorders>
            <w:shd w:val="clear" w:color="auto" w:fill="auto"/>
            <w:noWrap/>
            <w:vAlign w:val="bottom"/>
            <w:hideMark/>
          </w:tcPr>
          <w:p w14:paraId="2D5B698C" w14:textId="77777777" w:rsidR="00E45705" w:rsidRPr="001B09E6" w:rsidRDefault="00E45705" w:rsidP="00E45705">
            <w:pPr>
              <w:pStyle w:val="TableCellText"/>
              <w:spacing w:before="0" w:after="0"/>
              <w:ind w:left="0" w:right="0"/>
              <w:rPr>
                <w:lang w:eastAsia="en-AU"/>
              </w:rPr>
            </w:pPr>
            <w:r w:rsidRPr="001B09E6">
              <w:rPr>
                <w:lang w:eastAsia="en-AU"/>
              </w:rPr>
              <w:t>2010</w:t>
            </w:r>
          </w:p>
        </w:tc>
        <w:tc>
          <w:tcPr>
            <w:tcW w:w="696" w:type="pct"/>
            <w:tcBorders>
              <w:top w:val="nil"/>
              <w:left w:val="nil"/>
              <w:bottom w:val="nil"/>
              <w:right w:val="nil"/>
            </w:tcBorders>
            <w:shd w:val="clear" w:color="auto" w:fill="auto"/>
            <w:noWrap/>
            <w:vAlign w:val="bottom"/>
            <w:hideMark/>
          </w:tcPr>
          <w:p w14:paraId="26ECED5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29.5</w:t>
            </w:r>
          </w:p>
        </w:tc>
        <w:tc>
          <w:tcPr>
            <w:tcW w:w="696" w:type="pct"/>
            <w:tcBorders>
              <w:top w:val="nil"/>
              <w:left w:val="nil"/>
              <w:bottom w:val="nil"/>
              <w:right w:val="nil"/>
            </w:tcBorders>
            <w:shd w:val="clear" w:color="auto" w:fill="auto"/>
            <w:noWrap/>
            <w:vAlign w:val="bottom"/>
            <w:hideMark/>
          </w:tcPr>
          <w:p w14:paraId="6A59CF0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46.3</w:t>
            </w:r>
          </w:p>
        </w:tc>
        <w:tc>
          <w:tcPr>
            <w:tcW w:w="696" w:type="pct"/>
            <w:tcBorders>
              <w:top w:val="nil"/>
              <w:left w:val="nil"/>
              <w:bottom w:val="nil"/>
              <w:right w:val="nil"/>
            </w:tcBorders>
            <w:shd w:val="clear" w:color="auto" w:fill="auto"/>
            <w:noWrap/>
            <w:vAlign w:val="bottom"/>
            <w:hideMark/>
          </w:tcPr>
          <w:p w14:paraId="12688176"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10.9</w:t>
            </w:r>
          </w:p>
        </w:tc>
        <w:tc>
          <w:tcPr>
            <w:tcW w:w="696" w:type="pct"/>
            <w:tcBorders>
              <w:top w:val="nil"/>
              <w:left w:val="nil"/>
              <w:bottom w:val="nil"/>
              <w:right w:val="nil"/>
            </w:tcBorders>
            <w:shd w:val="clear" w:color="auto" w:fill="auto"/>
            <w:noWrap/>
            <w:vAlign w:val="bottom"/>
            <w:hideMark/>
          </w:tcPr>
          <w:p w14:paraId="4E3B42A4"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4.7</w:t>
            </w:r>
          </w:p>
        </w:tc>
        <w:tc>
          <w:tcPr>
            <w:tcW w:w="696" w:type="pct"/>
            <w:tcBorders>
              <w:top w:val="nil"/>
              <w:left w:val="nil"/>
              <w:bottom w:val="nil"/>
              <w:right w:val="nil"/>
            </w:tcBorders>
            <w:shd w:val="clear" w:color="auto" w:fill="auto"/>
            <w:noWrap/>
            <w:vAlign w:val="bottom"/>
            <w:hideMark/>
          </w:tcPr>
          <w:p w14:paraId="52785EF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8.5</w:t>
            </w:r>
          </w:p>
        </w:tc>
        <w:tc>
          <w:tcPr>
            <w:tcW w:w="696" w:type="pct"/>
            <w:tcBorders>
              <w:top w:val="nil"/>
              <w:left w:val="nil"/>
              <w:bottom w:val="nil"/>
              <w:right w:val="nil"/>
            </w:tcBorders>
            <w:shd w:val="clear" w:color="auto" w:fill="auto"/>
            <w:noWrap/>
            <w:vAlign w:val="bottom"/>
            <w:hideMark/>
          </w:tcPr>
          <w:p w14:paraId="6EDF7427"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1113BCC6" w14:textId="77777777" w:rsidTr="00E45705">
        <w:trPr>
          <w:gridAfter w:val="1"/>
          <w:wAfter w:w="303" w:type="pct"/>
          <w:trHeight w:val="300"/>
        </w:trPr>
        <w:tc>
          <w:tcPr>
            <w:tcW w:w="521" w:type="pct"/>
            <w:tcBorders>
              <w:top w:val="nil"/>
              <w:left w:val="nil"/>
              <w:right w:val="nil"/>
            </w:tcBorders>
            <w:shd w:val="clear" w:color="auto" w:fill="auto"/>
            <w:noWrap/>
            <w:vAlign w:val="bottom"/>
            <w:hideMark/>
          </w:tcPr>
          <w:p w14:paraId="4FD471C7" w14:textId="77777777" w:rsidR="00E45705" w:rsidRPr="001B09E6" w:rsidRDefault="00E45705" w:rsidP="00E45705">
            <w:pPr>
              <w:pStyle w:val="TableCellText"/>
              <w:spacing w:before="0" w:after="0"/>
              <w:ind w:left="0" w:right="0"/>
              <w:rPr>
                <w:lang w:eastAsia="en-AU"/>
              </w:rPr>
            </w:pPr>
            <w:r w:rsidRPr="001B09E6">
              <w:rPr>
                <w:lang w:eastAsia="en-AU"/>
              </w:rPr>
              <w:t>2011</w:t>
            </w:r>
          </w:p>
        </w:tc>
        <w:tc>
          <w:tcPr>
            <w:tcW w:w="696" w:type="pct"/>
            <w:tcBorders>
              <w:top w:val="nil"/>
              <w:left w:val="nil"/>
              <w:right w:val="nil"/>
            </w:tcBorders>
            <w:shd w:val="clear" w:color="auto" w:fill="auto"/>
            <w:noWrap/>
            <w:vAlign w:val="bottom"/>
            <w:hideMark/>
          </w:tcPr>
          <w:p w14:paraId="241DB95C"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29.2</w:t>
            </w:r>
          </w:p>
        </w:tc>
        <w:tc>
          <w:tcPr>
            <w:tcW w:w="696" w:type="pct"/>
            <w:tcBorders>
              <w:top w:val="nil"/>
              <w:left w:val="nil"/>
              <w:right w:val="nil"/>
            </w:tcBorders>
            <w:shd w:val="clear" w:color="auto" w:fill="auto"/>
            <w:noWrap/>
            <w:vAlign w:val="bottom"/>
            <w:hideMark/>
          </w:tcPr>
          <w:p w14:paraId="235CBEA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44.9</w:t>
            </w:r>
          </w:p>
        </w:tc>
        <w:tc>
          <w:tcPr>
            <w:tcW w:w="696" w:type="pct"/>
            <w:tcBorders>
              <w:top w:val="nil"/>
              <w:left w:val="nil"/>
              <w:right w:val="nil"/>
            </w:tcBorders>
            <w:shd w:val="clear" w:color="auto" w:fill="auto"/>
            <w:noWrap/>
            <w:vAlign w:val="bottom"/>
            <w:hideMark/>
          </w:tcPr>
          <w:p w14:paraId="380A403E"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12.0</w:t>
            </w:r>
          </w:p>
        </w:tc>
        <w:tc>
          <w:tcPr>
            <w:tcW w:w="696" w:type="pct"/>
            <w:tcBorders>
              <w:top w:val="nil"/>
              <w:left w:val="nil"/>
              <w:right w:val="nil"/>
            </w:tcBorders>
            <w:shd w:val="clear" w:color="auto" w:fill="auto"/>
            <w:noWrap/>
            <w:vAlign w:val="bottom"/>
            <w:hideMark/>
          </w:tcPr>
          <w:p w14:paraId="7C4F59DF"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5.3</w:t>
            </w:r>
          </w:p>
        </w:tc>
        <w:tc>
          <w:tcPr>
            <w:tcW w:w="696" w:type="pct"/>
            <w:tcBorders>
              <w:top w:val="nil"/>
              <w:left w:val="nil"/>
              <w:right w:val="nil"/>
            </w:tcBorders>
            <w:shd w:val="clear" w:color="auto" w:fill="auto"/>
            <w:noWrap/>
            <w:vAlign w:val="bottom"/>
            <w:hideMark/>
          </w:tcPr>
          <w:p w14:paraId="0B37A791"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8.6</w:t>
            </w:r>
          </w:p>
        </w:tc>
        <w:tc>
          <w:tcPr>
            <w:tcW w:w="696" w:type="pct"/>
            <w:tcBorders>
              <w:top w:val="nil"/>
              <w:left w:val="nil"/>
              <w:right w:val="nil"/>
            </w:tcBorders>
            <w:shd w:val="clear" w:color="auto" w:fill="auto"/>
            <w:noWrap/>
            <w:vAlign w:val="bottom"/>
            <w:hideMark/>
          </w:tcPr>
          <w:p w14:paraId="71241A5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507CA5EA" w14:textId="77777777" w:rsidTr="00E45705">
        <w:trPr>
          <w:gridAfter w:val="1"/>
          <w:wAfter w:w="303" w:type="pct"/>
          <w:trHeight w:val="300"/>
        </w:trPr>
        <w:tc>
          <w:tcPr>
            <w:tcW w:w="521" w:type="pct"/>
            <w:tcBorders>
              <w:top w:val="nil"/>
              <w:left w:val="nil"/>
              <w:bottom w:val="single" w:sz="4" w:space="0" w:color="auto"/>
              <w:right w:val="nil"/>
            </w:tcBorders>
            <w:shd w:val="clear" w:color="auto" w:fill="auto"/>
            <w:noWrap/>
            <w:vAlign w:val="bottom"/>
            <w:hideMark/>
          </w:tcPr>
          <w:p w14:paraId="3D3DB5E5" w14:textId="77777777" w:rsidR="00E45705" w:rsidRPr="001B09E6" w:rsidRDefault="00E45705" w:rsidP="00E45705">
            <w:pPr>
              <w:pStyle w:val="TableCellText"/>
              <w:spacing w:before="0" w:after="0"/>
              <w:ind w:left="0" w:right="0"/>
              <w:rPr>
                <w:lang w:eastAsia="en-AU"/>
              </w:rPr>
            </w:pPr>
            <w:r w:rsidRPr="001B09E6">
              <w:rPr>
                <w:lang w:eastAsia="en-AU"/>
              </w:rPr>
              <w:t>2012</w:t>
            </w:r>
          </w:p>
        </w:tc>
        <w:tc>
          <w:tcPr>
            <w:tcW w:w="696" w:type="pct"/>
            <w:tcBorders>
              <w:top w:val="nil"/>
              <w:left w:val="nil"/>
              <w:bottom w:val="single" w:sz="4" w:space="0" w:color="auto"/>
              <w:right w:val="nil"/>
            </w:tcBorders>
            <w:shd w:val="clear" w:color="auto" w:fill="auto"/>
            <w:noWrap/>
            <w:vAlign w:val="bottom"/>
            <w:hideMark/>
          </w:tcPr>
          <w:p w14:paraId="0377F45A"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31.3</w:t>
            </w:r>
          </w:p>
        </w:tc>
        <w:tc>
          <w:tcPr>
            <w:tcW w:w="696" w:type="pct"/>
            <w:tcBorders>
              <w:top w:val="nil"/>
              <w:left w:val="nil"/>
              <w:bottom w:val="single" w:sz="4" w:space="0" w:color="auto"/>
              <w:right w:val="nil"/>
            </w:tcBorders>
            <w:shd w:val="clear" w:color="auto" w:fill="auto"/>
            <w:noWrap/>
            <w:vAlign w:val="bottom"/>
            <w:hideMark/>
          </w:tcPr>
          <w:p w14:paraId="2BE5D239"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43.6</w:t>
            </w:r>
          </w:p>
        </w:tc>
        <w:tc>
          <w:tcPr>
            <w:tcW w:w="696" w:type="pct"/>
            <w:tcBorders>
              <w:top w:val="nil"/>
              <w:left w:val="nil"/>
              <w:bottom w:val="single" w:sz="4" w:space="0" w:color="auto"/>
              <w:right w:val="nil"/>
            </w:tcBorders>
            <w:shd w:val="clear" w:color="auto" w:fill="auto"/>
            <w:noWrap/>
            <w:vAlign w:val="bottom"/>
            <w:hideMark/>
          </w:tcPr>
          <w:p w14:paraId="2ABEB105"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11.5</w:t>
            </w:r>
          </w:p>
        </w:tc>
        <w:tc>
          <w:tcPr>
            <w:tcW w:w="696" w:type="pct"/>
            <w:tcBorders>
              <w:top w:val="nil"/>
              <w:left w:val="nil"/>
              <w:bottom w:val="single" w:sz="4" w:space="0" w:color="auto"/>
              <w:right w:val="nil"/>
            </w:tcBorders>
            <w:shd w:val="clear" w:color="auto" w:fill="auto"/>
            <w:noWrap/>
            <w:vAlign w:val="bottom"/>
            <w:hideMark/>
          </w:tcPr>
          <w:p w14:paraId="7099DE43"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5.2</w:t>
            </w:r>
          </w:p>
        </w:tc>
        <w:tc>
          <w:tcPr>
            <w:tcW w:w="696" w:type="pct"/>
            <w:tcBorders>
              <w:top w:val="nil"/>
              <w:left w:val="nil"/>
              <w:bottom w:val="single" w:sz="4" w:space="0" w:color="auto"/>
              <w:right w:val="nil"/>
            </w:tcBorders>
            <w:shd w:val="clear" w:color="auto" w:fill="auto"/>
            <w:noWrap/>
            <w:vAlign w:val="bottom"/>
            <w:hideMark/>
          </w:tcPr>
          <w:p w14:paraId="59F09B30"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8.5</w:t>
            </w:r>
          </w:p>
        </w:tc>
        <w:tc>
          <w:tcPr>
            <w:tcW w:w="696" w:type="pct"/>
            <w:tcBorders>
              <w:top w:val="nil"/>
              <w:left w:val="nil"/>
              <w:bottom w:val="single" w:sz="4" w:space="0" w:color="auto"/>
              <w:right w:val="nil"/>
            </w:tcBorders>
            <w:shd w:val="clear" w:color="auto" w:fill="auto"/>
            <w:noWrap/>
            <w:vAlign w:val="bottom"/>
            <w:hideMark/>
          </w:tcPr>
          <w:p w14:paraId="7E7E5B2C" w14:textId="77777777" w:rsidR="00E45705" w:rsidRPr="001B09E6" w:rsidRDefault="00E45705" w:rsidP="00E45705">
            <w:pPr>
              <w:pStyle w:val="TableCellText"/>
              <w:spacing w:before="0" w:after="0"/>
              <w:ind w:left="0" w:right="0"/>
              <w:rPr>
                <w:color w:val="000000"/>
                <w:lang w:eastAsia="en-AU"/>
              </w:rPr>
            </w:pPr>
            <w:r w:rsidRPr="001B09E6">
              <w:rPr>
                <w:color w:val="000000"/>
                <w:lang w:eastAsia="en-AU"/>
              </w:rPr>
              <w:t>100.0</w:t>
            </w:r>
          </w:p>
        </w:tc>
      </w:tr>
      <w:tr w:rsidR="00E45705" w:rsidRPr="001B09E6" w14:paraId="694AF929" w14:textId="77777777" w:rsidTr="00E45705">
        <w:trPr>
          <w:trHeight w:val="300"/>
        </w:trPr>
        <w:tc>
          <w:tcPr>
            <w:tcW w:w="5000" w:type="pct"/>
            <w:gridSpan w:val="8"/>
            <w:tcBorders>
              <w:top w:val="nil"/>
              <w:left w:val="nil"/>
              <w:bottom w:val="nil"/>
              <w:right w:val="nil"/>
            </w:tcBorders>
            <w:shd w:val="clear" w:color="auto" w:fill="auto"/>
            <w:noWrap/>
            <w:vAlign w:val="bottom"/>
            <w:hideMark/>
          </w:tcPr>
          <w:p w14:paraId="58F5D075" w14:textId="77777777" w:rsidR="00E45705" w:rsidRPr="001B09E6" w:rsidRDefault="00E45705" w:rsidP="00E45705">
            <w:pPr>
              <w:pStyle w:val="Tablenote"/>
              <w:rPr>
                <w:lang w:eastAsia="en-AU"/>
              </w:rPr>
            </w:pPr>
            <w:r w:rsidRPr="001B09E6">
              <w:rPr>
                <w:lang w:eastAsia="en-AU"/>
              </w:rPr>
              <w:t>Source: ABS labour force statistics, cat. no. 6291.0.55.01, table 03a</w:t>
            </w:r>
          </w:p>
        </w:tc>
      </w:tr>
      <w:tr w:rsidR="00E45705" w:rsidRPr="001B09E6" w14:paraId="11477005" w14:textId="77777777" w:rsidTr="00E45705">
        <w:trPr>
          <w:trHeight w:val="300"/>
        </w:trPr>
        <w:tc>
          <w:tcPr>
            <w:tcW w:w="5000" w:type="pct"/>
            <w:gridSpan w:val="8"/>
            <w:tcBorders>
              <w:top w:val="nil"/>
              <w:left w:val="nil"/>
              <w:bottom w:val="nil"/>
              <w:right w:val="nil"/>
            </w:tcBorders>
            <w:shd w:val="clear" w:color="auto" w:fill="auto"/>
            <w:noWrap/>
            <w:vAlign w:val="bottom"/>
            <w:hideMark/>
          </w:tcPr>
          <w:p w14:paraId="7C457FDE" w14:textId="77777777" w:rsidR="00E45705" w:rsidRPr="001B09E6" w:rsidRDefault="00E45705" w:rsidP="00E45705">
            <w:pPr>
              <w:pStyle w:val="Tablenote"/>
              <w:rPr>
                <w:lang w:eastAsia="en-AU"/>
              </w:rPr>
            </w:pPr>
            <w:r w:rsidRPr="001B09E6">
              <w:rPr>
                <w:lang w:eastAsia="en-AU"/>
              </w:rPr>
              <w:t xml:space="preserve">Note: The base number for proportion in full-time education and for labour force status is the civilian population for the relevant age. </w:t>
            </w:r>
          </w:p>
        </w:tc>
      </w:tr>
    </w:tbl>
    <w:p w14:paraId="7CA139C4" w14:textId="77777777" w:rsidR="00E45705" w:rsidRPr="001B09E6" w:rsidRDefault="00E45705" w:rsidP="00E45705">
      <w:pPr>
        <w:pStyle w:val="Heading2NoNumbering"/>
      </w:pPr>
      <w:bookmarkStart w:id="217" w:name="_Toc333919019"/>
      <w:bookmarkStart w:id="218" w:name="_Toc219347275"/>
      <w:r w:rsidRPr="001B09E6">
        <w:t>Transition – other target groups</w:t>
      </w:r>
      <w:bookmarkEnd w:id="216"/>
      <w:bookmarkEnd w:id="217"/>
      <w:bookmarkEnd w:id="218"/>
    </w:p>
    <w:p w14:paraId="50321F1F" w14:textId="77777777" w:rsidR="00E45705" w:rsidRPr="001B09E6" w:rsidRDefault="00E45705" w:rsidP="00E45705">
      <w:pPr>
        <w:pStyle w:val="Heading3NoNumbering"/>
      </w:pPr>
      <w:bookmarkStart w:id="219" w:name="_Toc192134429"/>
      <w:bookmarkStart w:id="220" w:name="_Toc333919020"/>
      <w:r w:rsidRPr="001B09E6">
        <w:t>Table A2.35: Transition outcomes, SES disadvantage</w:t>
      </w:r>
      <w:bookmarkEnd w:id="219"/>
      <w:bookmarkEnd w:id="220"/>
    </w:p>
    <w:p w14:paraId="2DE0B91C" w14:textId="77777777" w:rsidR="00E45705" w:rsidRPr="001B09E6" w:rsidRDefault="00E45705" w:rsidP="00E45705">
      <w:pPr>
        <w:pStyle w:val="TableHeading"/>
        <w:spacing w:before="112"/>
        <w:ind w:left="0" w:firstLine="0"/>
      </w:pPr>
      <w:r w:rsidRPr="001B09E6">
        <w:t>Proportion of persons aged 18-24 years who are fully engaged in employment, education or training at or above Certificate III level (NEA Indicator 10), by SES based on SEIFA Index of Relative Socio-economic Disadvantage quintiles (%)</w:t>
      </w:r>
    </w:p>
    <w:tbl>
      <w:tblPr>
        <w:tblW w:w="5000" w:type="pct"/>
        <w:tblCellMar>
          <w:left w:w="0" w:type="dxa"/>
          <w:right w:w="0" w:type="dxa"/>
        </w:tblCellMar>
        <w:tblLook w:val="04A0" w:firstRow="1" w:lastRow="0" w:firstColumn="1" w:lastColumn="0" w:noHBand="0" w:noVBand="1"/>
        <w:tblCaption w:val="Table A2.35: Transition outcomes, SES disadvantage Proportion of persons aged 18-24 years who are fully engaged in employment, education or training at or above Certificate III level (NEA Indicator 10), by SES based on SEIFA Index of Relative Socio-economic Disadvantage quintiles (%) "/>
        <w:tblDescription w:val="Table A2.35: Transition outcomes, SES disadvantage&#10;Proportion of persons aged 18-24 years who are fully engaged in employment, education or training at or above Certificate III level (NEA Indicator 10), by SES based on SEIFA Index of Relative Socio-economic Disadvantage quintiles (%)&#10;"/>
      </w:tblPr>
      <w:tblGrid>
        <w:gridCol w:w="5781"/>
        <w:gridCol w:w="2871"/>
        <w:gridCol w:w="2871"/>
        <w:gridCol w:w="2868"/>
        <w:gridCol w:w="9"/>
      </w:tblGrid>
      <w:tr w:rsidR="00E45705" w:rsidRPr="001B09E6" w14:paraId="7CB76260" w14:textId="77777777" w:rsidTr="00E45705">
        <w:trPr>
          <w:trHeight w:val="300"/>
        </w:trPr>
        <w:tc>
          <w:tcPr>
            <w:tcW w:w="2007" w:type="pct"/>
            <w:tcBorders>
              <w:top w:val="single" w:sz="4" w:space="0" w:color="auto"/>
              <w:left w:val="nil"/>
              <w:bottom w:val="single" w:sz="4" w:space="0" w:color="auto"/>
              <w:right w:val="nil"/>
            </w:tcBorders>
            <w:shd w:val="clear" w:color="auto" w:fill="auto"/>
            <w:noWrap/>
            <w:vAlign w:val="bottom"/>
            <w:hideMark/>
          </w:tcPr>
          <w:p w14:paraId="212A40A3" w14:textId="77777777" w:rsidR="00E45705" w:rsidRPr="001B09E6" w:rsidRDefault="00E45705" w:rsidP="00E45705">
            <w:pPr>
              <w:pStyle w:val="TableColumnHeading"/>
              <w:spacing w:before="0" w:after="0"/>
              <w:ind w:left="0" w:right="0"/>
            </w:pPr>
            <w:r w:rsidRPr="001B09E6">
              <w:t> </w:t>
            </w:r>
          </w:p>
        </w:tc>
        <w:tc>
          <w:tcPr>
            <w:tcW w:w="997" w:type="pct"/>
            <w:tcBorders>
              <w:top w:val="single" w:sz="4" w:space="0" w:color="auto"/>
              <w:left w:val="nil"/>
              <w:bottom w:val="single" w:sz="4" w:space="0" w:color="auto"/>
              <w:right w:val="nil"/>
            </w:tcBorders>
            <w:shd w:val="clear" w:color="auto" w:fill="auto"/>
            <w:noWrap/>
            <w:vAlign w:val="bottom"/>
            <w:hideMark/>
          </w:tcPr>
          <w:p w14:paraId="6CFE8268" w14:textId="77777777" w:rsidR="00E45705" w:rsidRPr="001B09E6" w:rsidRDefault="00E45705" w:rsidP="00E45705">
            <w:pPr>
              <w:pStyle w:val="TableColumnHeading"/>
              <w:spacing w:before="0" w:after="0"/>
              <w:ind w:left="0" w:right="0"/>
              <w:rPr>
                <w:rFonts w:eastAsia="Times New Roman"/>
                <w:lang w:eastAsia="en-AU"/>
              </w:rPr>
            </w:pPr>
            <w:r w:rsidRPr="001B09E6">
              <w:rPr>
                <w:rFonts w:eastAsia="Times New Roman"/>
                <w:lang w:eastAsia="en-AU"/>
              </w:rPr>
              <w:t>2008</w:t>
            </w:r>
          </w:p>
        </w:tc>
        <w:tc>
          <w:tcPr>
            <w:tcW w:w="997" w:type="pct"/>
            <w:tcBorders>
              <w:top w:val="single" w:sz="4" w:space="0" w:color="auto"/>
              <w:left w:val="nil"/>
              <w:bottom w:val="single" w:sz="4" w:space="0" w:color="auto"/>
              <w:right w:val="nil"/>
            </w:tcBorders>
            <w:shd w:val="clear" w:color="auto" w:fill="auto"/>
            <w:noWrap/>
            <w:vAlign w:val="bottom"/>
            <w:hideMark/>
          </w:tcPr>
          <w:p w14:paraId="7ADDBDC6" w14:textId="77777777" w:rsidR="00E45705" w:rsidRPr="001B09E6" w:rsidRDefault="00E45705" w:rsidP="00E45705">
            <w:pPr>
              <w:pStyle w:val="TableColumnHeading"/>
              <w:spacing w:before="0" w:after="0"/>
              <w:ind w:left="0" w:right="0"/>
              <w:rPr>
                <w:rFonts w:eastAsia="Times New Roman"/>
                <w:lang w:eastAsia="en-AU"/>
              </w:rPr>
            </w:pPr>
            <w:r w:rsidRPr="001B09E6">
              <w:rPr>
                <w:rFonts w:eastAsia="Times New Roman"/>
                <w:lang w:eastAsia="en-AU"/>
              </w:rPr>
              <w:t>2009</w:t>
            </w:r>
          </w:p>
        </w:tc>
        <w:tc>
          <w:tcPr>
            <w:tcW w:w="999" w:type="pct"/>
            <w:gridSpan w:val="2"/>
            <w:tcBorders>
              <w:top w:val="single" w:sz="4" w:space="0" w:color="auto"/>
              <w:left w:val="nil"/>
              <w:bottom w:val="single" w:sz="4" w:space="0" w:color="auto"/>
              <w:right w:val="nil"/>
            </w:tcBorders>
            <w:shd w:val="clear" w:color="auto" w:fill="auto"/>
            <w:noWrap/>
            <w:vAlign w:val="bottom"/>
            <w:hideMark/>
          </w:tcPr>
          <w:p w14:paraId="27C647A6" w14:textId="77777777" w:rsidR="00E45705" w:rsidRPr="001B09E6" w:rsidRDefault="00E45705" w:rsidP="00E45705">
            <w:pPr>
              <w:pStyle w:val="TableColumnHeading"/>
              <w:spacing w:before="0" w:after="0"/>
              <w:ind w:left="0" w:right="0"/>
              <w:rPr>
                <w:rFonts w:eastAsia="Times New Roman"/>
                <w:lang w:eastAsia="en-AU"/>
              </w:rPr>
            </w:pPr>
            <w:r w:rsidRPr="001B09E6">
              <w:rPr>
                <w:rFonts w:eastAsia="Times New Roman"/>
                <w:lang w:eastAsia="en-AU"/>
              </w:rPr>
              <w:t>2010</w:t>
            </w:r>
          </w:p>
        </w:tc>
      </w:tr>
      <w:tr w:rsidR="00E45705" w:rsidRPr="001B09E6" w14:paraId="4A747FD1" w14:textId="77777777" w:rsidTr="00E45705">
        <w:trPr>
          <w:trHeight w:val="300"/>
        </w:trPr>
        <w:tc>
          <w:tcPr>
            <w:tcW w:w="2007" w:type="pct"/>
            <w:tcBorders>
              <w:top w:val="single" w:sz="4" w:space="0" w:color="auto"/>
              <w:left w:val="nil"/>
              <w:bottom w:val="nil"/>
              <w:right w:val="nil"/>
            </w:tcBorders>
            <w:shd w:val="clear" w:color="auto" w:fill="auto"/>
            <w:noWrap/>
            <w:vAlign w:val="bottom"/>
            <w:hideMark/>
          </w:tcPr>
          <w:p w14:paraId="2245EA1F" w14:textId="77777777" w:rsidR="00E45705" w:rsidRPr="001B09E6" w:rsidRDefault="00E45705" w:rsidP="00E45705">
            <w:pPr>
              <w:pStyle w:val="TableCellText"/>
              <w:spacing w:before="0" w:after="0"/>
              <w:ind w:left="0" w:right="0"/>
            </w:pPr>
            <w:r w:rsidRPr="001B09E6">
              <w:t>Quintile 1 - most disadvantaged</w:t>
            </w:r>
          </w:p>
        </w:tc>
        <w:tc>
          <w:tcPr>
            <w:tcW w:w="997" w:type="pct"/>
            <w:tcBorders>
              <w:top w:val="single" w:sz="4" w:space="0" w:color="auto"/>
              <w:left w:val="nil"/>
              <w:bottom w:val="nil"/>
              <w:right w:val="nil"/>
            </w:tcBorders>
            <w:shd w:val="clear" w:color="auto" w:fill="auto"/>
            <w:noWrap/>
            <w:vAlign w:val="bottom"/>
            <w:hideMark/>
          </w:tcPr>
          <w:p w14:paraId="6F337ACE"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71.0</w:t>
            </w:r>
          </w:p>
        </w:tc>
        <w:tc>
          <w:tcPr>
            <w:tcW w:w="997" w:type="pct"/>
            <w:tcBorders>
              <w:top w:val="single" w:sz="4" w:space="0" w:color="auto"/>
              <w:left w:val="nil"/>
              <w:bottom w:val="nil"/>
              <w:right w:val="nil"/>
            </w:tcBorders>
            <w:shd w:val="clear" w:color="auto" w:fill="auto"/>
            <w:noWrap/>
            <w:vAlign w:val="bottom"/>
            <w:hideMark/>
          </w:tcPr>
          <w:p w14:paraId="24FB1EFC"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62.3</w:t>
            </w:r>
          </w:p>
        </w:tc>
        <w:tc>
          <w:tcPr>
            <w:tcW w:w="999" w:type="pct"/>
            <w:gridSpan w:val="2"/>
            <w:tcBorders>
              <w:top w:val="single" w:sz="4" w:space="0" w:color="auto"/>
              <w:left w:val="nil"/>
              <w:bottom w:val="nil"/>
              <w:right w:val="nil"/>
            </w:tcBorders>
            <w:shd w:val="clear" w:color="auto" w:fill="auto"/>
            <w:noWrap/>
            <w:vAlign w:val="bottom"/>
            <w:hideMark/>
          </w:tcPr>
          <w:p w14:paraId="50E05D9F"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59.5</w:t>
            </w:r>
          </w:p>
        </w:tc>
      </w:tr>
      <w:tr w:rsidR="00E45705" w:rsidRPr="001B09E6" w14:paraId="5214FF11" w14:textId="77777777" w:rsidTr="00E45705">
        <w:trPr>
          <w:trHeight w:val="300"/>
        </w:trPr>
        <w:tc>
          <w:tcPr>
            <w:tcW w:w="2007" w:type="pct"/>
            <w:tcBorders>
              <w:top w:val="nil"/>
              <w:left w:val="nil"/>
              <w:bottom w:val="nil"/>
              <w:right w:val="nil"/>
            </w:tcBorders>
            <w:shd w:val="clear" w:color="auto" w:fill="auto"/>
            <w:noWrap/>
            <w:vAlign w:val="bottom"/>
            <w:hideMark/>
          </w:tcPr>
          <w:p w14:paraId="725853B5" w14:textId="77777777" w:rsidR="00E45705" w:rsidRPr="001B09E6" w:rsidRDefault="00E45705" w:rsidP="00E45705">
            <w:pPr>
              <w:pStyle w:val="TableCellText"/>
              <w:spacing w:before="0" w:after="0"/>
              <w:ind w:left="0" w:right="0"/>
            </w:pPr>
            <w:r w:rsidRPr="001B09E6">
              <w:t>Quintile 2</w:t>
            </w:r>
          </w:p>
        </w:tc>
        <w:tc>
          <w:tcPr>
            <w:tcW w:w="997" w:type="pct"/>
            <w:tcBorders>
              <w:top w:val="nil"/>
              <w:left w:val="nil"/>
              <w:bottom w:val="nil"/>
              <w:right w:val="nil"/>
            </w:tcBorders>
            <w:shd w:val="clear" w:color="auto" w:fill="auto"/>
            <w:noWrap/>
            <w:vAlign w:val="bottom"/>
            <w:hideMark/>
          </w:tcPr>
          <w:p w14:paraId="41903E57"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76.7</w:t>
            </w:r>
          </w:p>
        </w:tc>
        <w:tc>
          <w:tcPr>
            <w:tcW w:w="997" w:type="pct"/>
            <w:tcBorders>
              <w:top w:val="nil"/>
              <w:left w:val="nil"/>
              <w:bottom w:val="nil"/>
              <w:right w:val="nil"/>
            </w:tcBorders>
            <w:shd w:val="clear" w:color="auto" w:fill="auto"/>
            <w:noWrap/>
            <w:vAlign w:val="bottom"/>
            <w:hideMark/>
          </w:tcPr>
          <w:p w14:paraId="55B4658C"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71.1</w:t>
            </w:r>
          </w:p>
        </w:tc>
        <w:tc>
          <w:tcPr>
            <w:tcW w:w="999" w:type="pct"/>
            <w:gridSpan w:val="2"/>
            <w:tcBorders>
              <w:top w:val="nil"/>
              <w:left w:val="nil"/>
              <w:bottom w:val="nil"/>
              <w:right w:val="nil"/>
            </w:tcBorders>
            <w:shd w:val="clear" w:color="auto" w:fill="auto"/>
            <w:noWrap/>
            <w:vAlign w:val="bottom"/>
            <w:hideMark/>
          </w:tcPr>
          <w:p w14:paraId="04A892D1"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70.0</w:t>
            </w:r>
          </w:p>
        </w:tc>
      </w:tr>
      <w:tr w:rsidR="00E45705" w:rsidRPr="001B09E6" w14:paraId="4A1DA17F" w14:textId="77777777" w:rsidTr="00E45705">
        <w:trPr>
          <w:trHeight w:val="300"/>
        </w:trPr>
        <w:tc>
          <w:tcPr>
            <w:tcW w:w="2007" w:type="pct"/>
            <w:tcBorders>
              <w:top w:val="nil"/>
              <w:left w:val="nil"/>
              <w:bottom w:val="nil"/>
              <w:right w:val="nil"/>
            </w:tcBorders>
            <w:shd w:val="clear" w:color="auto" w:fill="auto"/>
            <w:noWrap/>
            <w:vAlign w:val="bottom"/>
            <w:hideMark/>
          </w:tcPr>
          <w:p w14:paraId="0A8A1049" w14:textId="77777777" w:rsidR="00E45705" w:rsidRPr="001B09E6" w:rsidRDefault="00E45705" w:rsidP="00E45705">
            <w:pPr>
              <w:pStyle w:val="TableCellText"/>
              <w:spacing w:before="0" w:after="0"/>
              <w:ind w:left="0" w:right="0"/>
            </w:pPr>
            <w:r w:rsidRPr="001B09E6">
              <w:t>Quintile 3</w:t>
            </w:r>
          </w:p>
        </w:tc>
        <w:tc>
          <w:tcPr>
            <w:tcW w:w="997" w:type="pct"/>
            <w:tcBorders>
              <w:top w:val="nil"/>
              <w:left w:val="nil"/>
              <w:bottom w:val="nil"/>
              <w:right w:val="nil"/>
            </w:tcBorders>
            <w:shd w:val="clear" w:color="auto" w:fill="auto"/>
            <w:noWrap/>
            <w:vAlign w:val="bottom"/>
            <w:hideMark/>
          </w:tcPr>
          <w:p w14:paraId="6D9F8394"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82.5</w:t>
            </w:r>
          </w:p>
        </w:tc>
        <w:tc>
          <w:tcPr>
            <w:tcW w:w="997" w:type="pct"/>
            <w:tcBorders>
              <w:top w:val="nil"/>
              <w:left w:val="nil"/>
              <w:bottom w:val="nil"/>
              <w:right w:val="nil"/>
            </w:tcBorders>
            <w:shd w:val="clear" w:color="auto" w:fill="auto"/>
            <w:noWrap/>
            <w:vAlign w:val="bottom"/>
            <w:hideMark/>
          </w:tcPr>
          <w:p w14:paraId="1B87B469"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73.4</w:t>
            </w:r>
          </w:p>
        </w:tc>
        <w:tc>
          <w:tcPr>
            <w:tcW w:w="999" w:type="pct"/>
            <w:gridSpan w:val="2"/>
            <w:tcBorders>
              <w:top w:val="nil"/>
              <w:left w:val="nil"/>
              <w:bottom w:val="nil"/>
              <w:right w:val="nil"/>
            </w:tcBorders>
            <w:shd w:val="clear" w:color="auto" w:fill="auto"/>
            <w:noWrap/>
            <w:vAlign w:val="bottom"/>
            <w:hideMark/>
          </w:tcPr>
          <w:p w14:paraId="4020EC7F"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74.4</w:t>
            </w:r>
          </w:p>
        </w:tc>
      </w:tr>
      <w:tr w:rsidR="00E45705" w:rsidRPr="001B09E6" w14:paraId="5F7D1633" w14:textId="77777777" w:rsidTr="00E45705">
        <w:trPr>
          <w:trHeight w:val="300"/>
        </w:trPr>
        <w:tc>
          <w:tcPr>
            <w:tcW w:w="2007" w:type="pct"/>
            <w:tcBorders>
              <w:top w:val="nil"/>
              <w:left w:val="nil"/>
              <w:bottom w:val="nil"/>
              <w:right w:val="nil"/>
            </w:tcBorders>
            <w:shd w:val="clear" w:color="auto" w:fill="auto"/>
            <w:noWrap/>
            <w:vAlign w:val="bottom"/>
            <w:hideMark/>
          </w:tcPr>
          <w:p w14:paraId="6DC96B69" w14:textId="77777777" w:rsidR="00E45705" w:rsidRPr="001B09E6" w:rsidRDefault="00E45705" w:rsidP="00E45705">
            <w:pPr>
              <w:pStyle w:val="TableCellText"/>
              <w:spacing w:before="0" w:after="0"/>
              <w:ind w:left="0" w:right="0"/>
            </w:pPr>
            <w:r w:rsidRPr="001B09E6">
              <w:t>Quintile 4</w:t>
            </w:r>
          </w:p>
        </w:tc>
        <w:tc>
          <w:tcPr>
            <w:tcW w:w="997" w:type="pct"/>
            <w:tcBorders>
              <w:top w:val="nil"/>
              <w:left w:val="nil"/>
              <w:bottom w:val="nil"/>
              <w:right w:val="nil"/>
            </w:tcBorders>
            <w:shd w:val="clear" w:color="auto" w:fill="auto"/>
            <w:noWrap/>
            <w:vAlign w:val="bottom"/>
            <w:hideMark/>
          </w:tcPr>
          <w:p w14:paraId="632A9906"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81.4</w:t>
            </w:r>
          </w:p>
        </w:tc>
        <w:tc>
          <w:tcPr>
            <w:tcW w:w="997" w:type="pct"/>
            <w:tcBorders>
              <w:top w:val="nil"/>
              <w:left w:val="nil"/>
              <w:bottom w:val="nil"/>
              <w:right w:val="nil"/>
            </w:tcBorders>
            <w:shd w:val="clear" w:color="auto" w:fill="auto"/>
            <w:noWrap/>
            <w:vAlign w:val="bottom"/>
            <w:hideMark/>
          </w:tcPr>
          <w:p w14:paraId="743D5B03"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75.7</w:t>
            </w:r>
          </w:p>
        </w:tc>
        <w:tc>
          <w:tcPr>
            <w:tcW w:w="999" w:type="pct"/>
            <w:gridSpan w:val="2"/>
            <w:tcBorders>
              <w:top w:val="nil"/>
              <w:left w:val="nil"/>
              <w:bottom w:val="nil"/>
              <w:right w:val="nil"/>
            </w:tcBorders>
            <w:shd w:val="clear" w:color="auto" w:fill="auto"/>
            <w:noWrap/>
            <w:vAlign w:val="bottom"/>
            <w:hideMark/>
          </w:tcPr>
          <w:p w14:paraId="70D96824"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76.8</w:t>
            </w:r>
          </w:p>
        </w:tc>
      </w:tr>
      <w:tr w:rsidR="00E45705" w:rsidRPr="001B09E6" w14:paraId="2C0818D9" w14:textId="77777777" w:rsidTr="00E45705">
        <w:trPr>
          <w:trHeight w:val="300"/>
        </w:trPr>
        <w:tc>
          <w:tcPr>
            <w:tcW w:w="2007" w:type="pct"/>
            <w:tcBorders>
              <w:top w:val="nil"/>
              <w:left w:val="nil"/>
              <w:bottom w:val="single" w:sz="4" w:space="0" w:color="auto"/>
              <w:right w:val="nil"/>
            </w:tcBorders>
            <w:shd w:val="clear" w:color="auto" w:fill="auto"/>
            <w:noWrap/>
            <w:vAlign w:val="bottom"/>
            <w:hideMark/>
          </w:tcPr>
          <w:p w14:paraId="5CC99CBC" w14:textId="77777777" w:rsidR="00E45705" w:rsidRPr="001B09E6" w:rsidRDefault="00E45705" w:rsidP="00E45705">
            <w:pPr>
              <w:pStyle w:val="TableCellText"/>
              <w:spacing w:before="0" w:after="0"/>
              <w:ind w:left="0" w:right="0"/>
            </w:pPr>
            <w:r w:rsidRPr="001B09E6">
              <w:t>Quintile 5 - least disadvantaged</w:t>
            </w:r>
          </w:p>
        </w:tc>
        <w:tc>
          <w:tcPr>
            <w:tcW w:w="997" w:type="pct"/>
            <w:tcBorders>
              <w:top w:val="nil"/>
              <w:left w:val="nil"/>
              <w:bottom w:val="single" w:sz="4" w:space="0" w:color="auto"/>
              <w:right w:val="nil"/>
            </w:tcBorders>
            <w:shd w:val="clear" w:color="auto" w:fill="auto"/>
            <w:noWrap/>
            <w:vAlign w:val="bottom"/>
            <w:hideMark/>
          </w:tcPr>
          <w:p w14:paraId="3D8EBBF4"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87.7</w:t>
            </w:r>
          </w:p>
        </w:tc>
        <w:tc>
          <w:tcPr>
            <w:tcW w:w="997" w:type="pct"/>
            <w:tcBorders>
              <w:top w:val="nil"/>
              <w:left w:val="nil"/>
              <w:bottom w:val="single" w:sz="4" w:space="0" w:color="auto"/>
              <w:right w:val="nil"/>
            </w:tcBorders>
            <w:shd w:val="clear" w:color="auto" w:fill="auto"/>
            <w:noWrap/>
            <w:vAlign w:val="bottom"/>
            <w:hideMark/>
          </w:tcPr>
          <w:p w14:paraId="27CD4972"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79.6</w:t>
            </w:r>
          </w:p>
        </w:tc>
        <w:tc>
          <w:tcPr>
            <w:tcW w:w="999" w:type="pct"/>
            <w:gridSpan w:val="2"/>
            <w:tcBorders>
              <w:top w:val="nil"/>
              <w:left w:val="nil"/>
              <w:bottom w:val="single" w:sz="4" w:space="0" w:color="auto"/>
              <w:right w:val="nil"/>
            </w:tcBorders>
            <w:shd w:val="clear" w:color="auto" w:fill="auto"/>
            <w:noWrap/>
            <w:vAlign w:val="bottom"/>
            <w:hideMark/>
          </w:tcPr>
          <w:p w14:paraId="09877109" w14:textId="77777777" w:rsidR="00E45705" w:rsidRPr="001B09E6" w:rsidRDefault="00E45705" w:rsidP="00E45705">
            <w:pPr>
              <w:pStyle w:val="TableCellText"/>
              <w:spacing w:before="0" w:after="0"/>
              <w:ind w:left="0" w:right="0"/>
              <w:rPr>
                <w:rFonts w:eastAsia="Times New Roman"/>
                <w:lang w:eastAsia="en-AU"/>
              </w:rPr>
            </w:pPr>
            <w:r w:rsidRPr="001B09E6">
              <w:rPr>
                <w:rFonts w:eastAsia="Times New Roman"/>
                <w:lang w:eastAsia="en-AU"/>
              </w:rPr>
              <w:t>79.3</w:t>
            </w:r>
          </w:p>
        </w:tc>
      </w:tr>
      <w:tr w:rsidR="00E45705" w:rsidRPr="001B09E6" w14:paraId="2866D027" w14:textId="77777777" w:rsidTr="00E45705">
        <w:trPr>
          <w:trHeight w:val="300"/>
        </w:trPr>
        <w:tc>
          <w:tcPr>
            <w:tcW w:w="5000" w:type="pct"/>
            <w:gridSpan w:val="5"/>
            <w:tcBorders>
              <w:top w:val="nil"/>
              <w:left w:val="nil"/>
              <w:bottom w:val="nil"/>
              <w:right w:val="nil"/>
            </w:tcBorders>
            <w:shd w:val="clear" w:color="auto" w:fill="auto"/>
            <w:noWrap/>
            <w:vAlign w:val="bottom"/>
            <w:hideMark/>
          </w:tcPr>
          <w:p w14:paraId="4DAE079C" w14:textId="77777777" w:rsidR="00E45705" w:rsidRPr="001B09E6" w:rsidRDefault="00E45705" w:rsidP="00E45705">
            <w:pPr>
              <w:rPr>
                <w:rFonts w:asciiTheme="minorHAnsi" w:hAnsiTheme="minorHAnsi"/>
                <w:color w:val="000000"/>
                <w:sz w:val="18"/>
                <w:szCs w:val="18"/>
              </w:rPr>
            </w:pPr>
            <w:r w:rsidRPr="001B09E6">
              <w:rPr>
                <w:rStyle w:val="Emphasis"/>
              </w:rPr>
              <w:t xml:space="preserve"> </w:t>
            </w:r>
          </w:p>
        </w:tc>
      </w:tr>
      <w:tr w:rsidR="00E45705" w:rsidRPr="001B09E6" w14:paraId="68501FFF" w14:textId="77777777" w:rsidTr="00E45705">
        <w:tblPrEx>
          <w:tblCellMar>
            <w:left w:w="108" w:type="dxa"/>
            <w:right w:w="108" w:type="dxa"/>
          </w:tblCellMar>
        </w:tblPrEx>
        <w:trPr>
          <w:gridAfter w:val="1"/>
          <w:wAfter w:w="3" w:type="pct"/>
          <w:trHeight w:val="300"/>
        </w:trPr>
        <w:tc>
          <w:tcPr>
            <w:tcW w:w="2007" w:type="pct"/>
            <w:tcBorders>
              <w:top w:val="single" w:sz="4" w:space="0" w:color="auto"/>
              <w:left w:val="nil"/>
              <w:bottom w:val="single" w:sz="4" w:space="0" w:color="auto"/>
              <w:right w:val="nil"/>
            </w:tcBorders>
            <w:shd w:val="clear" w:color="auto" w:fill="auto"/>
            <w:noWrap/>
            <w:vAlign w:val="bottom"/>
            <w:hideMark/>
          </w:tcPr>
          <w:p w14:paraId="0B4C31E7" w14:textId="77777777" w:rsidR="00E45705" w:rsidRPr="001B09E6" w:rsidRDefault="00E45705" w:rsidP="00E45705">
            <w:pPr>
              <w:pStyle w:val="TableColumnHeading"/>
              <w:spacing w:before="0" w:after="0"/>
              <w:ind w:left="0" w:right="0"/>
              <w:rPr>
                <w:lang w:eastAsia="en-AU"/>
              </w:rPr>
            </w:pPr>
            <w:r w:rsidRPr="001B09E6">
              <w:rPr>
                <w:lang w:eastAsia="en-AU"/>
              </w:rPr>
              <w:t>95% confidence interval</w:t>
            </w:r>
          </w:p>
        </w:tc>
        <w:tc>
          <w:tcPr>
            <w:tcW w:w="997" w:type="pct"/>
            <w:tcBorders>
              <w:top w:val="single" w:sz="4" w:space="0" w:color="auto"/>
              <w:left w:val="nil"/>
              <w:bottom w:val="single" w:sz="4" w:space="0" w:color="auto"/>
              <w:right w:val="nil"/>
            </w:tcBorders>
            <w:shd w:val="clear" w:color="auto" w:fill="auto"/>
            <w:noWrap/>
            <w:vAlign w:val="bottom"/>
            <w:hideMark/>
          </w:tcPr>
          <w:p w14:paraId="05231435" w14:textId="77777777" w:rsidR="00E45705" w:rsidRPr="001B09E6" w:rsidRDefault="00E45705" w:rsidP="00E45705">
            <w:pPr>
              <w:pStyle w:val="TableColumnHeading"/>
              <w:spacing w:before="0" w:after="0"/>
              <w:ind w:left="0" w:right="0"/>
              <w:rPr>
                <w:lang w:eastAsia="en-AU"/>
              </w:rPr>
            </w:pPr>
            <w:r w:rsidRPr="001B09E6">
              <w:rPr>
                <w:lang w:eastAsia="en-AU"/>
              </w:rPr>
              <w:t>2008</w:t>
            </w:r>
          </w:p>
        </w:tc>
        <w:tc>
          <w:tcPr>
            <w:tcW w:w="997" w:type="pct"/>
            <w:tcBorders>
              <w:top w:val="single" w:sz="4" w:space="0" w:color="auto"/>
              <w:left w:val="nil"/>
              <w:bottom w:val="single" w:sz="4" w:space="0" w:color="auto"/>
              <w:right w:val="nil"/>
            </w:tcBorders>
            <w:shd w:val="clear" w:color="auto" w:fill="auto"/>
            <w:noWrap/>
            <w:vAlign w:val="bottom"/>
            <w:hideMark/>
          </w:tcPr>
          <w:p w14:paraId="2DCAEBF4" w14:textId="77777777" w:rsidR="00E45705" w:rsidRPr="001B09E6" w:rsidRDefault="00E45705" w:rsidP="00E45705">
            <w:pPr>
              <w:pStyle w:val="TableColumnHeading"/>
              <w:spacing w:before="0" w:after="0"/>
              <w:ind w:left="0" w:right="0"/>
              <w:rPr>
                <w:lang w:eastAsia="en-AU"/>
              </w:rPr>
            </w:pPr>
            <w:r w:rsidRPr="001B09E6">
              <w:rPr>
                <w:lang w:eastAsia="en-AU"/>
              </w:rPr>
              <w:t>2009</w:t>
            </w:r>
          </w:p>
        </w:tc>
        <w:tc>
          <w:tcPr>
            <w:tcW w:w="996" w:type="pct"/>
            <w:tcBorders>
              <w:top w:val="single" w:sz="4" w:space="0" w:color="auto"/>
              <w:left w:val="nil"/>
              <w:bottom w:val="single" w:sz="4" w:space="0" w:color="auto"/>
              <w:right w:val="nil"/>
            </w:tcBorders>
            <w:shd w:val="clear" w:color="auto" w:fill="auto"/>
            <w:noWrap/>
            <w:vAlign w:val="bottom"/>
            <w:hideMark/>
          </w:tcPr>
          <w:p w14:paraId="5CCABA0B" w14:textId="77777777" w:rsidR="00E45705" w:rsidRPr="001B09E6" w:rsidRDefault="00E45705" w:rsidP="00E45705">
            <w:pPr>
              <w:pStyle w:val="TableColumnHeading"/>
              <w:spacing w:before="0" w:after="0"/>
              <w:ind w:left="0" w:right="0"/>
              <w:rPr>
                <w:lang w:eastAsia="en-AU"/>
              </w:rPr>
            </w:pPr>
            <w:r w:rsidRPr="001B09E6">
              <w:rPr>
                <w:lang w:eastAsia="en-AU"/>
              </w:rPr>
              <w:t>2010</w:t>
            </w:r>
          </w:p>
        </w:tc>
      </w:tr>
      <w:tr w:rsidR="00E45705" w:rsidRPr="001B09E6" w14:paraId="25890571" w14:textId="77777777" w:rsidTr="00E45705">
        <w:tblPrEx>
          <w:tblCellMar>
            <w:left w:w="108" w:type="dxa"/>
            <w:right w:w="108" w:type="dxa"/>
          </w:tblCellMar>
        </w:tblPrEx>
        <w:trPr>
          <w:gridAfter w:val="1"/>
          <w:wAfter w:w="3" w:type="pct"/>
          <w:trHeight w:val="300"/>
        </w:trPr>
        <w:tc>
          <w:tcPr>
            <w:tcW w:w="2007" w:type="pct"/>
            <w:tcBorders>
              <w:top w:val="nil"/>
              <w:left w:val="nil"/>
              <w:bottom w:val="nil"/>
              <w:right w:val="nil"/>
            </w:tcBorders>
            <w:shd w:val="clear" w:color="auto" w:fill="auto"/>
            <w:noWrap/>
            <w:vAlign w:val="bottom"/>
            <w:hideMark/>
          </w:tcPr>
          <w:p w14:paraId="64E857F8" w14:textId="77777777" w:rsidR="00E45705" w:rsidRPr="001B09E6" w:rsidRDefault="00E45705" w:rsidP="00E45705">
            <w:pPr>
              <w:pStyle w:val="TableCellText"/>
              <w:spacing w:before="0" w:after="0"/>
              <w:ind w:left="0" w:right="0"/>
              <w:rPr>
                <w:lang w:eastAsia="en-AU"/>
              </w:rPr>
            </w:pPr>
            <w:r w:rsidRPr="001B09E6">
              <w:rPr>
                <w:lang w:eastAsia="en-AU"/>
              </w:rPr>
              <w:t>Quintile 1 - most disadvantaged</w:t>
            </w:r>
          </w:p>
        </w:tc>
        <w:tc>
          <w:tcPr>
            <w:tcW w:w="997" w:type="pct"/>
            <w:tcBorders>
              <w:top w:val="nil"/>
              <w:left w:val="nil"/>
              <w:bottom w:val="nil"/>
              <w:right w:val="nil"/>
            </w:tcBorders>
            <w:shd w:val="clear" w:color="auto" w:fill="auto"/>
            <w:noWrap/>
            <w:vAlign w:val="bottom"/>
            <w:hideMark/>
          </w:tcPr>
          <w:p w14:paraId="4083B93C" w14:textId="77777777" w:rsidR="00E45705" w:rsidRPr="001B09E6" w:rsidRDefault="00E45705" w:rsidP="00E45705">
            <w:pPr>
              <w:pStyle w:val="TableCellText"/>
              <w:spacing w:before="0" w:after="0"/>
              <w:ind w:left="0" w:right="0"/>
              <w:rPr>
                <w:lang w:eastAsia="en-AU"/>
              </w:rPr>
            </w:pPr>
            <w:r w:rsidRPr="001B09E6">
              <w:rPr>
                <w:lang w:eastAsia="en-AU"/>
              </w:rPr>
              <w:t>4.2</w:t>
            </w:r>
          </w:p>
        </w:tc>
        <w:tc>
          <w:tcPr>
            <w:tcW w:w="997" w:type="pct"/>
            <w:tcBorders>
              <w:top w:val="nil"/>
              <w:left w:val="nil"/>
              <w:bottom w:val="nil"/>
              <w:right w:val="nil"/>
            </w:tcBorders>
            <w:shd w:val="clear" w:color="auto" w:fill="auto"/>
            <w:noWrap/>
            <w:vAlign w:val="bottom"/>
            <w:hideMark/>
          </w:tcPr>
          <w:p w14:paraId="1865FB1B" w14:textId="77777777" w:rsidR="00E45705" w:rsidRPr="001B09E6" w:rsidRDefault="00E45705" w:rsidP="00E45705">
            <w:pPr>
              <w:pStyle w:val="TableCellText"/>
              <w:spacing w:before="0" w:after="0"/>
              <w:ind w:left="0" w:right="0"/>
              <w:rPr>
                <w:lang w:eastAsia="en-AU"/>
              </w:rPr>
            </w:pPr>
            <w:r w:rsidRPr="001B09E6">
              <w:rPr>
                <w:lang w:eastAsia="en-AU"/>
              </w:rPr>
              <w:t>5.0</w:t>
            </w:r>
          </w:p>
        </w:tc>
        <w:tc>
          <w:tcPr>
            <w:tcW w:w="996" w:type="pct"/>
            <w:tcBorders>
              <w:top w:val="nil"/>
              <w:left w:val="nil"/>
              <w:bottom w:val="nil"/>
              <w:right w:val="nil"/>
            </w:tcBorders>
            <w:shd w:val="clear" w:color="auto" w:fill="auto"/>
            <w:noWrap/>
            <w:vAlign w:val="bottom"/>
            <w:hideMark/>
          </w:tcPr>
          <w:p w14:paraId="1B5EF927" w14:textId="77777777" w:rsidR="00E45705" w:rsidRPr="001B09E6" w:rsidRDefault="00E45705" w:rsidP="00E45705">
            <w:pPr>
              <w:pStyle w:val="TableCellText"/>
              <w:spacing w:before="0" w:after="0"/>
              <w:ind w:left="0" w:right="0"/>
              <w:rPr>
                <w:lang w:eastAsia="en-AU"/>
              </w:rPr>
            </w:pPr>
            <w:r w:rsidRPr="001B09E6">
              <w:rPr>
                <w:lang w:eastAsia="en-AU"/>
              </w:rPr>
              <w:t>3.0</w:t>
            </w:r>
          </w:p>
        </w:tc>
      </w:tr>
      <w:tr w:rsidR="00E45705" w:rsidRPr="001B09E6" w14:paraId="286173C6" w14:textId="77777777" w:rsidTr="00E45705">
        <w:tblPrEx>
          <w:tblCellMar>
            <w:left w:w="108" w:type="dxa"/>
            <w:right w:w="108" w:type="dxa"/>
          </w:tblCellMar>
        </w:tblPrEx>
        <w:trPr>
          <w:gridAfter w:val="1"/>
          <w:wAfter w:w="3" w:type="pct"/>
          <w:trHeight w:val="300"/>
        </w:trPr>
        <w:tc>
          <w:tcPr>
            <w:tcW w:w="2007" w:type="pct"/>
            <w:tcBorders>
              <w:top w:val="nil"/>
              <w:left w:val="nil"/>
              <w:bottom w:val="nil"/>
              <w:right w:val="nil"/>
            </w:tcBorders>
            <w:shd w:val="clear" w:color="auto" w:fill="auto"/>
            <w:noWrap/>
            <w:vAlign w:val="bottom"/>
            <w:hideMark/>
          </w:tcPr>
          <w:p w14:paraId="14A28357" w14:textId="77777777" w:rsidR="00E45705" w:rsidRPr="001B09E6" w:rsidRDefault="00E45705" w:rsidP="00E45705">
            <w:pPr>
              <w:pStyle w:val="TableCellText"/>
              <w:spacing w:before="0" w:after="0"/>
              <w:ind w:left="0" w:right="0"/>
              <w:rPr>
                <w:lang w:eastAsia="en-AU"/>
              </w:rPr>
            </w:pPr>
            <w:r w:rsidRPr="001B09E6">
              <w:rPr>
                <w:lang w:eastAsia="en-AU"/>
              </w:rPr>
              <w:t>Quintile 2</w:t>
            </w:r>
          </w:p>
        </w:tc>
        <w:tc>
          <w:tcPr>
            <w:tcW w:w="997" w:type="pct"/>
            <w:tcBorders>
              <w:top w:val="nil"/>
              <w:left w:val="nil"/>
              <w:bottom w:val="nil"/>
              <w:right w:val="nil"/>
            </w:tcBorders>
            <w:shd w:val="clear" w:color="auto" w:fill="auto"/>
            <w:noWrap/>
            <w:vAlign w:val="bottom"/>
            <w:hideMark/>
          </w:tcPr>
          <w:p w14:paraId="3995586E" w14:textId="77777777" w:rsidR="00E45705" w:rsidRPr="001B09E6" w:rsidRDefault="00E45705" w:rsidP="00E45705">
            <w:pPr>
              <w:pStyle w:val="TableCellText"/>
              <w:spacing w:before="0" w:after="0"/>
              <w:ind w:left="0" w:right="0"/>
              <w:rPr>
                <w:lang w:eastAsia="en-AU"/>
              </w:rPr>
            </w:pPr>
            <w:r w:rsidRPr="001B09E6">
              <w:rPr>
                <w:lang w:eastAsia="en-AU"/>
              </w:rPr>
              <w:t>3.2</w:t>
            </w:r>
          </w:p>
        </w:tc>
        <w:tc>
          <w:tcPr>
            <w:tcW w:w="997" w:type="pct"/>
            <w:tcBorders>
              <w:top w:val="nil"/>
              <w:left w:val="nil"/>
              <w:bottom w:val="nil"/>
              <w:right w:val="nil"/>
            </w:tcBorders>
            <w:shd w:val="clear" w:color="auto" w:fill="auto"/>
            <w:noWrap/>
            <w:vAlign w:val="bottom"/>
            <w:hideMark/>
          </w:tcPr>
          <w:p w14:paraId="316E33CD" w14:textId="77777777" w:rsidR="00E45705" w:rsidRPr="001B09E6" w:rsidRDefault="00E45705" w:rsidP="00E45705">
            <w:pPr>
              <w:pStyle w:val="TableCellText"/>
              <w:spacing w:before="0" w:after="0"/>
              <w:ind w:left="0" w:right="0"/>
              <w:rPr>
                <w:lang w:eastAsia="en-AU"/>
              </w:rPr>
            </w:pPr>
            <w:r w:rsidRPr="001B09E6">
              <w:rPr>
                <w:lang w:eastAsia="en-AU"/>
              </w:rPr>
              <w:t>5.6</w:t>
            </w:r>
          </w:p>
        </w:tc>
        <w:tc>
          <w:tcPr>
            <w:tcW w:w="996" w:type="pct"/>
            <w:tcBorders>
              <w:top w:val="nil"/>
              <w:left w:val="nil"/>
              <w:bottom w:val="nil"/>
              <w:right w:val="nil"/>
            </w:tcBorders>
            <w:shd w:val="clear" w:color="auto" w:fill="auto"/>
            <w:noWrap/>
            <w:vAlign w:val="bottom"/>
            <w:hideMark/>
          </w:tcPr>
          <w:p w14:paraId="6BC61005" w14:textId="77777777" w:rsidR="00E45705" w:rsidRPr="001B09E6" w:rsidRDefault="00E45705" w:rsidP="00E45705">
            <w:pPr>
              <w:pStyle w:val="TableCellText"/>
              <w:spacing w:before="0" w:after="0"/>
              <w:ind w:left="0" w:right="0"/>
              <w:rPr>
                <w:lang w:eastAsia="en-AU"/>
              </w:rPr>
            </w:pPr>
            <w:r w:rsidRPr="001B09E6">
              <w:rPr>
                <w:lang w:eastAsia="en-AU"/>
              </w:rPr>
              <w:t>3.5</w:t>
            </w:r>
          </w:p>
        </w:tc>
      </w:tr>
      <w:tr w:rsidR="00E45705" w:rsidRPr="001B09E6" w14:paraId="7C811CA4" w14:textId="77777777" w:rsidTr="00E45705">
        <w:tblPrEx>
          <w:tblCellMar>
            <w:left w:w="108" w:type="dxa"/>
            <w:right w:w="108" w:type="dxa"/>
          </w:tblCellMar>
        </w:tblPrEx>
        <w:trPr>
          <w:gridAfter w:val="1"/>
          <w:wAfter w:w="3" w:type="pct"/>
          <w:trHeight w:val="300"/>
        </w:trPr>
        <w:tc>
          <w:tcPr>
            <w:tcW w:w="2007" w:type="pct"/>
            <w:tcBorders>
              <w:top w:val="nil"/>
              <w:left w:val="nil"/>
              <w:bottom w:val="nil"/>
              <w:right w:val="nil"/>
            </w:tcBorders>
            <w:shd w:val="clear" w:color="auto" w:fill="auto"/>
            <w:noWrap/>
            <w:vAlign w:val="bottom"/>
            <w:hideMark/>
          </w:tcPr>
          <w:p w14:paraId="3DA33265" w14:textId="77777777" w:rsidR="00E45705" w:rsidRPr="001B09E6" w:rsidRDefault="00E45705" w:rsidP="00E45705">
            <w:pPr>
              <w:pStyle w:val="TableCellText"/>
              <w:spacing w:before="0" w:after="0"/>
              <w:ind w:left="0" w:right="0"/>
              <w:rPr>
                <w:lang w:eastAsia="en-AU"/>
              </w:rPr>
            </w:pPr>
            <w:r w:rsidRPr="001B09E6">
              <w:rPr>
                <w:lang w:eastAsia="en-AU"/>
              </w:rPr>
              <w:t>Quintile 3</w:t>
            </w:r>
          </w:p>
        </w:tc>
        <w:tc>
          <w:tcPr>
            <w:tcW w:w="997" w:type="pct"/>
            <w:tcBorders>
              <w:top w:val="nil"/>
              <w:left w:val="nil"/>
              <w:bottom w:val="nil"/>
              <w:right w:val="nil"/>
            </w:tcBorders>
            <w:shd w:val="clear" w:color="auto" w:fill="auto"/>
            <w:noWrap/>
            <w:vAlign w:val="bottom"/>
            <w:hideMark/>
          </w:tcPr>
          <w:p w14:paraId="38D120C3" w14:textId="77777777" w:rsidR="00E45705" w:rsidRPr="001B09E6" w:rsidRDefault="00E45705" w:rsidP="00E45705">
            <w:pPr>
              <w:pStyle w:val="TableCellText"/>
              <w:spacing w:before="0" w:after="0"/>
              <w:ind w:left="0" w:right="0"/>
              <w:rPr>
                <w:lang w:eastAsia="en-AU"/>
              </w:rPr>
            </w:pPr>
            <w:r w:rsidRPr="001B09E6">
              <w:rPr>
                <w:lang w:eastAsia="en-AU"/>
              </w:rPr>
              <w:t>2.4</w:t>
            </w:r>
          </w:p>
        </w:tc>
        <w:tc>
          <w:tcPr>
            <w:tcW w:w="997" w:type="pct"/>
            <w:tcBorders>
              <w:top w:val="nil"/>
              <w:left w:val="nil"/>
              <w:bottom w:val="nil"/>
              <w:right w:val="nil"/>
            </w:tcBorders>
            <w:shd w:val="clear" w:color="auto" w:fill="auto"/>
            <w:noWrap/>
            <w:vAlign w:val="bottom"/>
            <w:hideMark/>
          </w:tcPr>
          <w:p w14:paraId="49E2AB09" w14:textId="77777777" w:rsidR="00E45705" w:rsidRPr="001B09E6" w:rsidRDefault="00E45705" w:rsidP="00E45705">
            <w:pPr>
              <w:pStyle w:val="TableCellText"/>
              <w:spacing w:before="0" w:after="0"/>
              <w:ind w:left="0" w:right="0"/>
              <w:rPr>
                <w:lang w:eastAsia="en-AU"/>
              </w:rPr>
            </w:pPr>
            <w:r w:rsidRPr="001B09E6">
              <w:rPr>
                <w:lang w:eastAsia="en-AU"/>
              </w:rPr>
              <w:t>3.2</w:t>
            </w:r>
          </w:p>
        </w:tc>
        <w:tc>
          <w:tcPr>
            <w:tcW w:w="996" w:type="pct"/>
            <w:tcBorders>
              <w:top w:val="nil"/>
              <w:left w:val="nil"/>
              <w:bottom w:val="nil"/>
              <w:right w:val="nil"/>
            </w:tcBorders>
            <w:shd w:val="clear" w:color="auto" w:fill="auto"/>
            <w:noWrap/>
            <w:vAlign w:val="bottom"/>
            <w:hideMark/>
          </w:tcPr>
          <w:p w14:paraId="17C85C14" w14:textId="77777777" w:rsidR="00E45705" w:rsidRPr="001B09E6" w:rsidRDefault="00E45705" w:rsidP="00E45705">
            <w:pPr>
              <w:pStyle w:val="TableCellText"/>
              <w:spacing w:before="0" w:after="0"/>
              <w:ind w:left="0" w:right="0"/>
              <w:rPr>
                <w:lang w:eastAsia="en-AU"/>
              </w:rPr>
            </w:pPr>
            <w:r w:rsidRPr="001B09E6">
              <w:rPr>
                <w:lang w:eastAsia="en-AU"/>
              </w:rPr>
              <w:t>3.0</w:t>
            </w:r>
          </w:p>
        </w:tc>
      </w:tr>
      <w:tr w:rsidR="00E45705" w:rsidRPr="001B09E6" w14:paraId="342DAA9F" w14:textId="77777777" w:rsidTr="00E45705">
        <w:tblPrEx>
          <w:tblCellMar>
            <w:left w:w="108" w:type="dxa"/>
            <w:right w:w="108" w:type="dxa"/>
          </w:tblCellMar>
        </w:tblPrEx>
        <w:trPr>
          <w:gridAfter w:val="1"/>
          <w:wAfter w:w="3" w:type="pct"/>
          <w:trHeight w:val="300"/>
        </w:trPr>
        <w:tc>
          <w:tcPr>
            <w:tcW w:w="2007" w:type="pct"/>
            <w:tcBorders>
              <w:top w:val="nil"/>
              <w:left w:val="nil"/>
              <w:bottom w:val="nil"/>
              <w:right w:val="nil"/>
            </w:tcBorders>
            <w:shd w:val="clear" w:color="auto" w:fill="auto"/>
            <w:noWrap/>
            <w:vAlign w:val="bottom"/>
            <w:hideMark/>
          </w:tcPr>
          <w:p w14:paraId="0034B452" w14:textId="77777777" w:rsidR="00E45705" w:rsidRPr="001B09E6" w:rsidRDefault="00E45705" w:rsidP="00E45705">
            <w:pPr>
              <w:pStyle w:val="TableCellText"/>
              <w:spacing w:before="0" w:after="0"/>
              <w:ind w:left="0" w:right="0"/>
              <w:rPr>
                <w:lang w:eastAsia="en-AU"/>
              </w:rPr>
            </w:pPr>
            <w:r w:rsidRPr="001B09E6">
              <w:rPr>
                <w:lang w:eastAsia="en-AU"/>
              </w:rPr>
              <w:t>Quintile 4</w:t>
            </w:r>
          </w:p>
        </w:tc>
        <w:tc>
          <w:tcPr>
            <w:tcW w:w="997" w:type="pct"/>
            <w:tcBorders>
              <w:top w:val="nil"/>
              <w:left w:val="nil"/>
              <w:bottom w:val="nil"/>
              <w:right w:val="nil"/>
            </w:tcBorders>
            <w:shd w:val="clear" w:color="auto" w:fill="auto"/>
            <w:noWrap/>
            <w:vAlign w:val="bottom"/>
            <w:hideMark/>
          </w:tcPr>
          <w:p w14:paraId="00F66145" w14:textId="77777777" w:rsidR="00E45705" w:rsidRPr="001B09E6" w:rsidRDefault="00E45705" w:rsidP="00E45705">
            <w:pPr>
              <w:pStyle w:val="TableCellText"/>
              <w:spacing w:before="0" w:after="0"/>
              <w:ind w:left="0" w:right="0"/>
              <w:rPr>
                <w:lang w:eastAsia="en-AU"/>
              </w:rPr>
            </w:pPr>
            <w:r w:rsidRPr="001B09E6">
              <w:rPr>
                <w:lang w:eastAsia="en-AU"/>
              </w:rPr>
              <w:t>1.8</w:t>
            </w:r>
          </w:p>
        </w:tc>
        <w:tc>
          <w:tcPr>
            <w:tcW w:w="997" w:type="pct"/>
            <w:tcBorders>
              <w:top w:val="nil"/>
              <w:left w:val="nil"/>
              <w:bottom w:val="nil"/>
              <w:right w:val="nil"/>
            </w:tcBorders>
            <w:shd w:val="clear" w:color="auto" w:fill="auto"/>
            <w:noWrap/>
            <w:vAlign w:val="bottom"/>
            <w:hideMark/>
          </w:tcPr>
          <w:p w14:paraId="06FE3F61" w14:textId="77777777" w:rsidR="00E45705" w:rsidRPr="001B09E6" w:rsidRDefault="00E45705" w:rsidP="00E45705">
            <w:pPr>
              <w:pStyle w:val="TableCellText"/>
              <w:spacing w:before="0" w:after="0"/>
              <w:ind w:left="0" w:right="0"/>
              <w:rPr>
                <w:lang w:eastAsia="en-AU"/>
              </w:rPr>
            </w:pPr>
            <w:r w:rsidRPr="001B09E6">
              <w:rPr>
                <w:lang w:eastAsia="en-AU"/>
              </w:rPr>
              <w:t>3.5</w:t>
            </w:r>
          </w:p>
        </w:tc>
        <w:tc>
          <w:tcPr>
            <w:tcW w:w="996" w:type="pct"/>
            <w:tcBorders>
              <w:top w:val="nil"/>
              <w:left w:val="nil"/>
              <w:bottom w:val="nil"/>
              <w:right w:val="nil"/>
            </w:tcBorders>
            <w:shd w:val="clear" w:color="auto" w:fill="auto"/>
            <w:noWrap/>
            <w:vAlign w:val="bottom"/>
            <w:hideMark/>
          </w:tcPr>
          <w:p w14:paraId="62D22DA3" w14:textId="77777777" w:rsidR="00E45705" w:rsidRPr="001B09E6" w:rsidRDefault="00E45705" w:rsidP="00E45705">
            <w:pPr>
              <w:pStyle w:val="TableCellText"/>
              <w:spacing w:before="0" w:after="0"/>
              <w:ind w:left="0" w:right="0"/>
              <w:rPr>
                <w:lang w:eastAsia="en-AU"/>
              </w:rPr>
            </w:pPr>
            <w:r w:rsidRPr="001B09E6">
              <w:rPr>
                <w:lang w:eastAsia="en-AU"/>
              </w:rPr>
              <w:t>3.0</w:t>
            </w:r>
          </w:p>
        </w:tc>
      </w:tr>
      <w:tr w:rsidR="00E45705" w:rsidRPr="001B09E6" w14:paraId="64FA43C6" w14:textId="77777777" w:rsidTr="00E45705">
        <w:tblPrEx>
          <w:tblCellMar>
            <w:left w:w="108" w:type="dxa"/>
            <w:right w:w="108" w:type="dxa"/>
          </w:tblCellMar>
        </w:tblPrEx>
        <w:trPr>
          <w:gridAfter w:val="1"/>
          <w:wAfter w:w="3" w:type="pct"/>
          <w:trHeight w:val="300"/>
        </w:trPr>
        <w:tc>
          <w:tcPr>
            <w:tcW w:w="2007" w:type="pct"/>
            <w:tcBorders>
              <w:top w:val="nil"/>
              <w:left w:val="nil"/>
              <w:bottom w:val="single" w:sz="4" w:space="0" w:color="auto"/>
              <w:right w:val="nil"/>
            </w:tcBorders>
            <w:shd w:val="clear" w:color="auto" w:fill="auto"/>
            <w:noWrap/>
            <w:vAlign w:val="bottom"/>
            <w:hideMark/>
          </w:tcPr>
          <w:p w14:paraId="56F75886" w14:textId="77777777" w:rsidR="00E45705" w:rsidRPr="001B09E6" w:rsidRDefault="00E45705" w:rsidP="00E45705">
            <w:pPr>
              <w:pStyle w:val="TableCellText"/>
              <w:spacing w:before="0" w:after="0"/>
              <w:ind w:left="0" w:right="0"/>
              <w:rPr>
                <w:lang w:eastAsia="en-AU"/>
              </w:rPr>
            </w:pPr>
            <w:r w:rsidRPr="001B09E6">
              <w:rPr>
                <w:lang w:eastAsia="en-AU"/>
              </w:rPr>
              <w:t>Quintile 5 - least disadvantaged</w:t>
            </w:r>
          </w:p>
        </w:tc>
        <w:tc>
          <w:tcPr>
            <w:tcW w:w="997" w:type="pct"/>
            <w:tcBorders>
              <w:top w:val="nil"/>
              <w:left w:val="nil"/>
              <w:bottom w:val="single" w:sz="4" w:space="0" w:color="auto"/>
              <w:right w:val="nil"/>
            </w:tcBorders>
            <w:shd w:val="clear" w:color="auto" w:fill="auto"/>
            <w:noWrap/>
            <w:vAlign w:val="bottom"/>
            <w:hideMark/>
          </w:tcPr>
          <w:p w14:paraId="6A0BE073" w14:textId="77777777" w:rsidR="00E45705" w:rsidRPr="001B09E6" w:rsidRDefault="00E45705" w:rsidP="00E45705">
            <w:pPr>
              <w:pStyle w:val="TableCellText"/>
              <w:spacing w:before="0" w:after="0"/>
              <w:ind w:left="0" w:right="0"/>
              <w:rPr>
                <w:lang w:eastAsia="en-AU"/>
              </w:rPr>
            </w:pPr>
            <w:r w:rsidRPr="001B09E6">
              <w:rPr>
                <w:lang w:eastAsia="en-AU"/>
              </w:rPr>
              <w:t>2.8</w:t>
            </w:r>
          </w:p>
        </w:tc>
        <w:tc>
          <w:tcPr>
            <w:tcW w:w="997" w:type="pct"/>
            <w:tcBorders>
              <w:top w:val="nil"/>
              <w:left w:val="nil"/>
              <w:bottom w:val="single" w:sz="4" w:space="0" w:color="auto"/>
              <w:right w:val="nil"/>
            </w:tcBorders>
            <w:shd w:val="clear" w:color="auto" w:fill="auto"/>
            <w:noWrap/>
            <w:vAlign w:val="bottom"/>
            <w:hideMark/>
          </w:tcPr>
          <w:p w14:paraId="64AE7876" w14:textId="77777777" w:rsidR="00E45705" w:rsidRPr="001B09E6" w:rsidRDefault="00E45705" w:rsidP="00E45705">
            <w:pPr>
              <w:pStyle w:val="TableCellText"/>
              <w:spacing w:before="0" w:after="0"/>
              <w:ind w:left="0" w:right="0"/>
              <w:rPr>
                <w:lang w:eastAsia="en-AU"/>
              </w:rPr>
            </w:pPr>
            <w:r w:rsidRPr="001B09E6">
              <w:rPr>
                <w:lang w:eastAsia="en-AU"/>
              </w:rPr>
              <w:t>2.6</w:t>
            </w:r>
          </w:p>
        </w:tc>
        <w:tc>
          <w:tcPr>
            <w:tcW w:w="996" w:type="pct"/>
            <w:tcBorders>
              <w:top w:val="nil"/>
              <w:left w:val="nil"/>
              <w:bottom w:val="single" w:sz="4" w:space="0" w:color="auto"/>
              <w:right w:val="nil"/>
            </w:tcBorders>
            <w:shd w:val="clear" w:color="auto" w:fill="auto"/>
            <w:noWrap/>
            <w:vAlign w:val="bottom"/>
            <w:hideMark/>
          </w:tcPr>
          <w:p w14:paraId="14503B29" w14:textId="77777777" w:rsidR="00E45705" w:rsidRPr="001B09E6" w:rsidRDefault="00E45705" w:rsidP="00E45705">
            <w:pPr>
              <w:pStyle w:val="TableCellText"/>
              <w:spacing w:before="0" w:after="0"/>
              <w:ind w:left="0" w:right="0"/>
              <w:rPr>
                <w:lang w:eastAsia="en-AU"/>
              </w:rPr>
            </w:pPr>
            <w:r w:rsidRPr="001B09E6">
              <w:rPr>
                <w:lang w:eastAsia="en-AU"/>
              </w:rPr>
              <w:t>2.5</w:t>
            </w:r>
          </w:p>
        </w:tc>
      </w:tr>
    </w:tbl>
    <w:p w14:paraId="7006DF63" w14:textId="77777777" w:rsidR="00E45705" w:rsidRPr="001B09E6" w:rsidRDefault="00E45705" w:rsidP="00E45705">
      <w:pPr>
        <w:pStyle w:val="Tablenote"/>
        <w:rPr>
          <w:color w:val="7F7F7F" w:themeColor="text1" w:themeTint="80"/>
        </w:rPr>
      </w:pPr>
      <w:r w:rsidRPr="001B09E6">
        <w:rPr>
          <w:color w:val="7F7F7F" w:themeColor="text1" w:themeTint="80"/>
        </w:rPr>
        <w:t>Source:</w:t>
      </w:r>
    </w:p>
    <w:p w14:paraId="52B4DEB6" w14:textId="77777777" w:rsidR="00E45705" w:rsidRPr="00FC7F6A" w:rsidRDefault="00E45705" w:rsidP="00FC7F6A">
      <w:pPr>
        <w:pStyle w:val="Tablenote"/>
        <w:rPr>
          <w:i/>
          <w:iCs/>
          <w:color w:val="7F7F7F" w:themeColor="text1" w:themeTint="80"/>
        </w:rPr>
      </w:pPr>
      <w:r w:rsidRPr="001B09E6">
        <w:rPr>
          <w:rFonts w:asciiTheme="minorHAnsi" w:hAnsiTheme="minorHAnsi"/>
          <w:color w:val="7F7F7F" w:themeColor="text1" w:themeTint="80"/>
        </w:rPr>
        <w:t xml:space="preserve">AG Reform Council (2011) </w:t>
      </w:r>
      <w:r w:rsidRPr="001B09E6">
        <w:rPr>
          <w:rStyle w:val="Emphasis"/>
          <w:color w:val="7F7F7F" w:themeColor="text1" w:themeTint="80"/>
        </w:rPr>
        <w:t xml:space="preserve">Education 2010: Comparing performance across Australia – Statistical Supplement, available from </w:t>
      </w:r>
      <w:hyperlink r:id="rId88" w:history="1">
        <w:r w:rsidRPr="001B09E6">
          <w:rPr>
            <w:rStyle w:val="Hyperlink"/>
            <w:color w:val="7F7F7F" w:themeColor="text1" w:themeTint="80"/>
          </w:rPr>
          <w:t>http://www.coagreformcouncil.gov.au/reports/docs/education/2010compare/education_2010_statistical_supplement.pdf</w:t>
        </w:r>
      </w:hyperlink>
      <w:r w:rsidRPr="001B09E6">
        <w:rPr>
          <w:rStyle w:val="Emphasis"/>
          <w:color w:val="7F7F7F" w:themeColor="text1" w:themeTint="80"/>
        </w:rPr>
        <w:t xml:space="preserve">; COAG Reform Council (2010) National Education Agreement: Performance report for 2009 – Volume 2: Performance Data, available from </w:t>
      </w:r>
      <w:hyperlink r:id="rId89" w:history="1">
        <w:r w:rsidRPr="001B09E6">
          <w:rPr>
            <w:rStyle w:val="Hyperlink"/>
            <w:color w:val="7F7F7F" w:themeColor="text1" w:themeTint="80"/>
          </w:rPr>
          <w:t>http://www.coagreformcouncil.gov.au/reports/docs/NEA_report_2009_Vol2.pdf</w:t>
        </w:r>
      </w:hyperlink>
      <w:r w:rsidRPr="001B09E6">
        <w:rPr>
          <w:rStyle w:val="Emphasis"/>
          <w:color w:val="7F7F7F" w:themeColor="text1" w:themeTint="80"/>
        </w:rPr>
        <w:t xml:space="preserve"> </w:t>
      </w:r>
      <w:bookmarkStart w:id="221" w:name="_Toc333919021"/>
      <w:r>
        <w:br w:type="page"/>
      </w:r>
    </w:p>
    <w:p w14:paraId="7FD0CECB" w14:textId="77777777" w:rsidR="00E45705" w:rsidRPr="001B09E6" w:rsidRDefault="00E45705" w:rsidP="00E45705">
      <w:pPr>
        <w:pStyle w:val="Heading3NoNumbering"/>
      </w:pPr>
      <w:r w:rsidRPr="001B09E6">
        <w:t>Table A2.36 Average duration of the transition, 1986-2012</w:t>
      </w:r>
      <w:bookmarkEnd w:id="221"/>
      <w:r w:rsidRPr="001B09E6">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Caption w:val="Table A2.36 Average duration of the transition, 1986-2012  "/>
        <w:tblDescription w:val="Table A2.36 Average duration of the transition, 1986-2012 &#10;"/>
      </w:tblPr>
      <w:tblGrid>
        <w:gridCol w:w="545"/>
        <w:gridCol w:w="3432"/>
        <w:gridCol w:w="4000"/>
        <w:gridCol w:w="4346"/>
        <w:gridCol w:w="1003"/>
        <w:gridCol w:w="1290"/>
      </w:tblGrid>
      <w:tr w:rsidR="00E45705" w:rsidRPr="001B09E6" w14:paraId="17E6FF66" w14:textId="77777777" w:rsidTr="00E45705">
        <w:trPr>
          <w:trHeight w:val="20"/>
        </w:trPr>
        <w:tc>
          <w:tcPr>
            <w:tcW w:w="0" w:type="auto"/>
            <w:tcBorders>
              <w:top w:val="single" w:sz="4" w:space="0" w:color="auto"/>
              <w:left w:val="nil"/>
              <w:bottom w:val="nil"/>
              <w:right w:val="nil"/>
            </w:tcBorders>
            <w:shd w:val="clear" w:color="auto" w:fill="auto"/>
            <w:noWrap/>
            <w:vAlign w:val="bottom"/>
            <w:hideMark/>
          </w:tcPr>
          <w:p w14:paraId="089A4A6B" w14:textId="77777777" w:rsidR="00E45705" w:rsidRPr="001B09E6" w:rsidRDefault="00E45705" w:rsidP="00E45705">
            <w:pPr>
              <w:pStyle w:val="TableColumnHeading"/>
              <w:spacing w:before="0" w:after="0"/>
              <w:ind w:left="0" w:right="0"/>
            </w:pPr>
          </w:p>
        </w:tc>
        <w:tc>
          <w:tcPr>
            <w:tcW w:w="0" w:type="auto"/>
            <w:tcBorders>
              <w:top w:val="single" w:sz="4" w:space="0" w:color="auto"/>
              <w:left w:val="nil"/>
              <w:bottom w:val="nil"/>
              <w:right w:val="nil"/>
            </w:tcBorders>
            <w:shd w:val="clear" w:color="auto" w:fill="auto"/>
            <w:noWrap/>
            <w:vAlign w:val="bottom"/>
            <w:hideMark/>
          </w:tcPr>
          <w:p w14:paraId="2225AA56" w14:textId="77777777" w:rsidR="00E45705" w:rsidRPr="001B09E6" w:rsidRDefault="00E45705" w:rsidP="00E45705">
            <w:pPr>
              <w:pStyle w:val="TableColumnHeading"/>
              <w:spacing w:before="0" w:after="0"/>
              <w:ind w:left="0" w:right="0"/>
              <w:rPr>
                <w:szCs w:val="22"/>
              </w:rPr>
            </w:pPr>
          </w:p>
        </w:tc>
        <w:tc>
          <w:tcPr>
            <w:tcW w:w="0" w:type="auto"/>
            <w:tcBorders>
              <w:top w:val="single" w:sz="4" w:space="0" w:color="auto"/>
              <w:left w:val="nil"/>
              <w:bottom w:val="nil"/>
              <w:right w:val="nil"/>
            </w:tcBorders>
            <w:shd w:val="clear" w:color="auto" w:fill="auto"/>
            <w:noWrap/>
            <w:vAlign w:val="bottom"/>
            <w:hideMark/>
          </w:tcPr>
          <w:p w14:paraId="1A047950" w14:textId="77777777" w:rsidR="00E45705" w:rsidRPr="001B09E6" w:rsidRDefault="00E45705" w:rsidP="00E45705">
            <w:pPr>
              <w:pStyle w:val="TableColumnHeading"/>
              <w:spacing w:before="0" w:after="0"/>
              <w:ind w:left="0" w:right="0"/>
              <w:rPr>
                <w:szCs w:val="22"/>
              </w:rPr>
            </w:pPr>
          </w:p>
        </w:tc>
        <w:tc>
          <w:tcPr>
            <w:tcW w:w="0" w:type="auto"/>
            <w:tcBorders>
              <w:top w:val="single" w:sz="4" w:space="0" w:color="auto"/>
              <w:left w:val="nil"/>
              <w:bottom w:val="nil"/>
              <w:right w:val="nil"/>
            </w:tcBorders>
            <w:shd w:val="clear" w:color="auto" w:fill="auto"/>
            <w:noWrap/>
            <w:vAlign w:val="bottom"/>
            <w:hideMark/>
          </w:tcPr>
          <w:p w14:paraId="38AEC442" w14:textId="77777777" w:rsidR="00E45705" w:rsidRPr="001B09E6" w:rsidRDefault="00E45705" w:rsidP="00E45705">
            <w:pPr>
              <w:pStyle w:val="TableColumnHeading"/>
              <w:spacing w:before="0" w:after="0"/>
              <w:ind w:left="0" w:right="0"/>
              <w:rPr>
                <w:szCs w:val="22"/>
              </w:rPr>
            </w:pPr>
          </w:p>
        </w:tc>
        <w:tc>
          <w:tcPr>
            <w:tcW w:w="0" w:type="auto"/>
            <w:gridSpan w:val="2"/>
            <w:tcBorders>
              <w:top w:val="single" w:sz="4" w:space="0" w:color="auto"/>
              <w:left w:val="nil"/>
              <w:bottom w:val="single" w:sz="4" w:space="0" w:color="auto"/>
              <w:right w:val="nil"/>
            </w:tcBorders>
            <w:shd w:val="clear" w:color="auto" w:fill="auto"/>
            <w:hideMark/>
          </w:tcPr>
          <w:p w14:paraId="23ABFBC8" w14:textId="77777777" w:rsidR="00E45705" w:rsidRPr="001B09E6" w:rsidRDefault="00E45705" w:rsidP="00E45705">
            <w:pPr>
              <w:pStyle w:val="TableColumnHeading"/>
              <w:spacing w:before="0" w:after="0"/>
              <w:ind w:left="0" w:right="0"/>
            </w:pPr>
            <w:r w:rsidRPr="001B09E6">
              <w:t>Years after leaving education taken to find:</w:t>
            </w:r>
          </w:p>
        </w:tc>
      </w:tr>
      <w:tr w:rsidR="00E45705" w:rsidRPr="001B09E6" w14:paraId="7A22940C" w14:textId="77777777" w:rsidTr="00E45705">
        <w:trPr>
          <w:trHeight w:val="20"/>
        </w:trPr>
        <w:tc>
          <w:tcPr>
            <w:tcW w:w="0" w:type="auto"/>
            <w:tcBorders>
              <w:top w:val="nil"/>
              <w:left w:val="nil"/>
              <w:bottom w:val="nil"/>
              <w:right w:val="nil"/>
            </w:tcBorders>
            <w:shd w:val="clear" w:color="auto" w:fill="auto"/>
            <w:hideMark/>
          </w:tcPr>
          <w:p w14:paraId="13E0BA6F" w14:textId="77777777" w:rsidR="00E45705" w:rsidRPr="001B09E6" w:rsidRDefault="00E45705" w:rsidP="00E45705">
            <w:pPr>
              <w:pStyle w:val="TableColumnHeading"/>
              <w:spacing w:before="0" w:after="0"/>
              <w:ind w:left="0" w:right="0"/>
            </w:pPr>
          </w:p>
        </w:tc>
        <w:tc>
          <w:tcPr>
            <w:tcW w:w="0" w:type="auto"/>
            <w:tcBorders>
              <w:top w:val="nil"/>
              <w:left w:val="nil"/>
              <w:bottom w:val="nil"/>
              <w:right w:val="nil"/>
            </w:tcBorders>
            <w:shd w:val="clear" w:color="auto" w:fill="auto"/>
            <w:hideMark/>
          </w:tcPr>
          <w:p w14:paraId="2F5CE7A7" w14:textId="77777777" w:rsidR="00E45705" w:rsidRPr="001B09E6" w:rsidRDefault="00E45705" w:rsidP="00E45705">
            <w:pPr>
              <w:pStyle w:val="TableColumnHeading"/>
              <w:spacing w:before="0" w:after="0"/>
              <w:ind w:left="0" w:right="0"/>
            </w:pPr>
            <w:r w:rsidRPr="001B09E6">
              <w:t>First age at which half of the age group is not attending full-time education</w:t>
            </w:r>
          </w:p>
        </w:tc>
        <w:tc>
          <w:tcPr>
            <w:tcW w:w="0" w:type="auto"/>
            <w:tcBorders>
              <w:top w:val="nil"/>
              <w:left w:val="nil"/>
              <w:bottom w:val="nil"/>
              <w:right w:val="nil"/>
            </w:tcBorders>
            <w:shd w:val="clear" w:color="auto" w:fill="auto"/>
            <w:hideMark/>
          </w:tcPr>
          <w:p w14:paraId="1A2FB568" w14:textId="77777777" w:rsidR="00E45705" w:rsidRPr="001B09E6" w:rsidRDefault="00E45705" w:rsidP="00E45705">
            <w:pPr>
              <w:pStyle w:val="TableColumnHeading"/>
              <w:spacing w:before="0" w:after="0"/>
              <w:ind w:left="0" w:right="0"/>
            </w:pPr>
            <w:r w:rsidRPr="001B09E6">
              <w:t>First age at which half of the age group is employed and not attending full time education</w:t>
            </w:r>
          </w:p>
        </w:tc>
        <w:tc>
          <w:tcPr>
            <w:tcW w:w="0" w:type="auto"/>
            <w:tcBorders>
              <w:top w:val="nil"/>
              <w:left w:val="nil"/>
              <w:bottom w:val="nil"/>
              <w:right w:val="nil"/>
            </w:tcBorders>
            <w:shd w:val="clear" w:color="auto" w:fill="auto"/>
            <w:hideMark/>
          </w:tcPr>
          <w:p w14:paraId="334F120D" w14:textId="77777777" w:rsidR="00E45705" w:rsidRPr="001B09E6" w:rsidRDefault="00E45705" w:rsidP="00E45705">
            <w:pPr>
              <w:pStyle w:val="TableColumnHeading"/>
              <w:spacing w:before="0" w:after="0"/>
              <w:ind w:left="0" w:right="0"/>
            </w:pPr>
            <w:r w:rsidRPr="001B09E6">
              <w:t>First age at which half of the age group is employed full-time and not attending full-time education</w:t>
            </w:r>
          </w:p>
        </w:tc>
        <w:tc>
          <w:tcPr>
            <w:tcW w:w="0" w:type="auto"/>
            <w:tcBorders>
              <w:top w:val="single" w:sz="4" w:space="0" w:color="auto"/>
              <w:left w:val="nil"/>
              <w:bottom w:val="nil"/>
              <w:right w:val="nil"/>
            </w:tcBorders>
            <w:shd w:val="clear" w:color="auto" w:fill="auto"/>
            <w:hideMark/>
          </w:tcPr>
          <w:p w14:paraId="7B744A32" w14:textId="77777777" w:rsidR="00E45705" w:rsidRPr="001B09E6" w:rsidRDefault="00E45705" w:rsidP="00E45705">
            <w:pPr>
              <w:pStyle w:val="TableColumnHeading"/>
              <w:spacing w:before="0" w:after="0"/>
              <w:ind w:left="0" w:right="0"/>
            </w:pPr>
            <w:r w:rsidRPr="001B09E6">
              <w:t>Any work</w:t>
            </w:r>
          </w:p>
        </w:tc>
        <w:tc>
          <w:tcPr>
            <w:tcW w:w="0" w:type="auto"/>
            <w:tcBorders>
              <w:top w:val="single" w:sz="4" w:space="0" w:color="auto"/>
              <w:left w:val="nil"/>
              <w:bottom w:val="nil"/>
              <w:right w:val="nil"/>
            </w:tcBorders>
            <w:shd w:val="clear" w:color="auto" w:fill="auto"/>
            <w:hideMark/>
          </w:tcPr>
          <w:p w14:paraId="374F5953" w14:textId="77777777" w:rsidR="00E45705" w:rsidRPr="001B09E6" w:rsidRDefault="00E45705" w:rsidP="00E45705">
            <w:pPr>
              <w:pStyle w:val="TableColumnHeading"/>
              <w:spacing w:before="0" w:after="0"/>
              <w:ind w:left="0" w:right="0"/>
            </w:pPr>
            <w:r w:rsidRPr="001B09E6">
              <w:t>Full-time work</w:t>
            </w:r>
          </w:p>
        </w:tc>
      </w:tr>
      <w:tr w:rsidR="00E45705" w:rsidRPr="001B09E6" w14:paraId="727F9BDF" w14:textId="77777777" w:rsidTr="00E45705">
        <w:trPr>
          <w:trHeight w:val="20"/>
        </w:trPr>
        <w:tc>
          <w:tcPr>
            <w:tcW w:w="0" w:type="auto"/>
            <w:tcBorders>
              <w:top w:val="nil"/>
              <w:left w:val="nil"/>
              <w:bottom w:val="single" w:sz="6" w:space="0" w:color="auto"/>
              <w:right w:val="nil"/>
            </w:tcBorders>
            <w:shd w:val="clear" w:color="auto" w:fill="auto"/>
            <w:hideMark/>
          </w:tcPr>
          <w:p w14:paraId="1B969AD4" w14:textId="77777777" w:rsidR="00E45705" w:rsidRPr="001B09E6" w:rsidRDefault="00E45705" w:rsidP="00E45705">
            <w:pPr>
              <w:pStyle w:val="TableCellText"/>
              <w:spacing w:before="0" w:after="0"/>
              <w:ind w:left="0" w:right="0"/>
              <w:rPr>
                <w:lang w:eastAsia="en-AU"/>
              </w:rPr>
            </w:pPr>
          </w:p>
        </w:tc>
        <w:tc>
          <w:tcPr>
            <w:tcW w:w="0" w:type="auto"/>
            <w:tcBorders>
              <w:top w:val="nil"/>
              <w:left w:val="nil"/>
              <w:bottom w:val="single" w:sz="6" w:space="0" w:color="auto"/>
              <w:right w:val="nil"/>
            </w:tcBorders>
            <w:shd w:val="clear" w:color="auto" w:fill="auto"/>
            <w:hideMark/>
          </w:tcPr>
          <w:p w14:paraId="7BBE8443" w14:textId="77777777" w:rsidR="00E45705" w:rsidRPr="001B09E6" w:rsidRDefault="00E45705" w:rsidP="00E45705">
            <w:pPr>
              <w:pStyle w:val="TableCellText"/>
              <w:spacing w:before="0" w:after="0"/>
              <w:ind w:left="0" w:right="0"/>
              <w:jc w:val="center"/>
              <w:rPr>
                <w:lang w:eastAsia="en-AU"/>
              </w:rPr>
            </w:pPr>
            <w:r w:rsidRPr="001B09E6">
              <w:rPr>
                <w:lang w:eastAsia="en-AU"/>
              </w:rPr>
              <w:t>(1)</w:t>
            </w:r>
          </w:p>
        </w:tc>
        <w:tc>
          <w:tcPr>
            <w:tcW w:w="0" w:type="auto"/>
            <w:tcBorders>
              <w:top w:val="nil"/>
              <w:left w:val="nil"/>
              <w:bottom w:val="single" w:sz="6" w:space="0" w:color="auto"/>
              <w:right w:val="nil"/>
            </w:tcBorders>
            <w:shd w:val="clear" w:color="auto" w:fill="auto"/>
            <w:hideMark/>
          </w:tcPr>
          <w:p w14:paraId="56E508F5" w14:textId="77777777" w:rsidR="00E45705" w:rsidRPr="001B09E6" w:rsidRDefault="00E45705" w:rsidP="00E45705">
            <w:pPr>
              <w:pStyle w:val="TableCellText"/>
              <w:spacing w:before="0" w:after="0"/>
              <w:ind w:left="0" w:right="0"/>
              <w:jc w:val="center"/>
              <w:rPr>
                <w:lang w:eastAsia="en-AU"/>
              </w:rPr>
            </w:pPr>
            <w:r w:rsidRPr="001B09E6">
              <w:rPr>
                <w:lang w:eastAsia="en-AU"/>
              </w:rPr>
              <w:t>(2)</w:t>
            </w:r>
          </w:p>
        </w:tc>
        <w:tc>
          <w:tcPr>
            <w:tcW w:w="0" w:type="auto"/>
            <w:tcBorders>
              <w:top w:val="nil"/>
              <w:left w:val="nil"/>
              <w:bottom w:val="single" w:sz="6" w:space="0" w:color="auto"/>
              <w:right w:val="nil"/>
            </w:tcBorders>
            <w:shd w:val="clear" w:color="auto" w:fill="auto"/>
            <w:hideMark/>
          </w:tcPr>
          <w:p w14:paraId="2B957A58" w14:textId="77777777" w:rsidR="00E45705" w:rsidRPr="001B09E6" w:rsidRDefault="00E45705" w:rsidP="00E45705">
            <w:pPr>
              <w:pStyle w:val="TableCellText"/>
              <w:spacing w:before="0" w:after="0"/>
              <w:ind w:left="0" w:right="0"/>
              <w:jc w:val="center"/>
              <w:rPr>
                <w:lang w:eastAsia="en-AU"/>
              </w:rPr>
            </w:pPr>
            <w:r w:rsidRPr="001B09E6">
              <w:rPr>
                <w:lang w:eastAsia="en-AU"/>
              </w:rPr>
              <w:t>(3)</w:t>
            </w:r>
          </w:p>
        </w:tc>
        <w:tc>
          <w:tcPr>
            <w:tcW w:w="0" w:type="auto"/>
            <w:tcBorders>
              <w:top w:val="nil"/>
              <w:left w:val="nil"/>
              <w:bottom w:val="single" w:sz="6" w:space="0" w:color="auto"/>
              <w:right w:val="nil"/>
            </w:tcBorders>
            <w:shd w:val="clear" w:color="auto" w:fill="auto"/>
            <w:hideMark/>
          </w:tcPr>
          <w:p w14:paraId="2083458E" w14:textId="77777777" w:rsidR="00E45705" w:rsidRPr="001B09E6" w:rsidRDefault="00E45705" w:rsidP="00E45705">
            <w:pPr>
              <w:pStyle w:val="TableCellText"/>
              <w:spacing w:before="0" w:after="0"/>
              <w:ind w:left="0" w:right="0"/>
              <w:jc w:val="center"/>
              <w:rPr>
                <w:lang w:eastAsia="en-AU"/>
              </w:rPr>
            </w:pPr>
            <w:r w:rsidRPr="001B09E6">
              <w:rPr>
                <w:lang w:eastAsia="en-AU"/>
              </w:rPr>
              <w:t>(4)</w:t>
            </w:r>
          </w:p>
        </w:tc>
        <w:tc>
          <w:tcPr>
            <w:tcW w:w="0" w:type="auto"/>
            <w:tcBorders>
              <w:top w:val="nil"/>
              <w:left w:val="nil"/>
              <w:bottom w:val="single" w:sz="6" w:space="0" w:color="auto"/>
              <w:right w:val="nil"/>
            </w:tcBorders>
            <w:shd w:val="clear" w:color="auto" w:fill="auto"/>
            <w:hideMark/>
          </w:tcPr>
          <w:p w14:paraId="67102C47" w14:textId="77777777" w:rsidR="00E45705" w:rsidRPr="001B09E6" w:rsidRDefault="00E45705" w:rsidP="00E45705">
            <w:pPr>
              <w:pStyle w:val="TableCellText"/>
              <w:spacing w:before="0" w:after="0"/>
              <w:ind w:left="0" w:right="0"/>
              <w:jc w:val="center"/>
              <w:rPr>
                <w:lang w:eastAsia="en-AU"/>
              </w:rPr>
            </w:pPr>
            <w:r w:rsidRPr="001B09E6">
              <w:rPr>
                <w:lang w:eastAsia="en-AU"/>
              </w:rPr>
              <w:t>(5)</w:t>
            </w:r>
          </w:p>
        </w:tc>
      </w:tr>
      <w:tr w:rsidR="00E45705" w:rsidRPr="001B09E6" w14:paraId="1F501A76" w14:textId="77777777" w:rsidTr="00E45705">
        <w:trPr>
          <w:trHeight w:val="57"/>
        </w:trPr>
        <w:tc>
          <w:tcPr>
            <w:tcW w:w="0" w:type="auto"/>
            <w:tcBorders>
              <w:top w:val="single" w:sz="6" w:space="0" w:color="auto"/>
              <w:left w:val="nil"/>
              <w:bottom w:val="nil"/>
              <w:right w:val="nil"/>
            </w:tcBorders>
            <w:shd w:val="clear" w:color="auto" w:fill="auto"/>
            <w:noWrap/>
            <w:hideMark/>
          </w:tcPr>
          <w:p w14:paraId="248BB26C" w14:textId="77777777" w:rsidR="00E45705" w:rsidRPr="001B09E6" w:rsidRDefault="00E45705" w:rsidP="00E45705">
            <w:pPr>
              <w:pStyle w:val="TableCellText"/>
              <w:spacing w:before="0" w:after="0"/>
              <w:ind w:left="0" w:right="0"/>
              <w:rPr>
                <w:lang w:eastAsia="en-AU"/>
              </w:rPr>
            </w:pPr>
            <w:r w:rsidRPr="001B09E6">
              <w:rPr>
                <w:lang w:eastAsia="en-AU"/>
              </w:rPr>
              <w:t>1986</w:t>
            </w:r>
          </w:p>
        </w:tc>
        <w:tc>
          <w:tcPr>
            <w:tcW w:w="0" w:type="auto"/>
            <w:tcBorders>
              <w:top w:val="single" w:sz="6" w:space="0" w:color="auto"/>
              <w:left w:val="nil"/>
              <w:bottom w:val="nil"/>
              <w:right w:val="nil"/>
            </w:tcBorders>
            <w:shd w:val="clear" w:color="auto" w:fill="auto"/>
            <w:noWrap/>
            <w:hideMark/>
          </w:tcPr>
          <w:p w14:paraId="1E48AF2E" w14:textId="77777777" w:rsidR="00E45705" w:rsidRPr="001B09E6" w:rsidRDefault="00E45705" w:rsidP="00E45705">
            <w:pPr>
              <w:pStyle w:val="TableCellText"/>
              <w:spacing w:before="0" w:after="0"/>
              <w:ind w:left="0" w:right="0"/>
              <w:jc w:val="center"/>
              <w:rPr>
                <w:lang w:eastAsia="en-AU"/>
              </w:rPr>
            </w:pPr>
            <w:r w:rsidRPr="001B09E6">
              <w:rPr>
                <w:lang w:eastAsia="en-AU"/>
              </w:rPr>
              <w:t>16.8</w:t>
            </w:r>
          </w:p>
        </w:tc>
        <w:tc>
          <w:tcPr>
            <w:tcW w:w="0" w:type="auto"/>
            <w:tcBorders>
              <w:top w:val="single" w:sz="6" w:space="0" w:color="auto"/>
              <w:left w:val="nil"/>
              <w:bottom w:val="nil"/>
              <w:right w:val="nil"/>
            </w:tcBorders>
            <w:shd w:val="clear" w:color="auto" w:fill="auto"/>
            <w:noWrap/>
            <w:hideMark/>
          </w:tcPr>
          <w:p w14:paraId="6575384C" w14:textId="77777777" w:rsidR="00E45705" w:rsidRPr="001B09E6" w:rsidRDefault="00E45705" w:rsidP="00E45705">
            <w:pPr>
              <w:pStyle w:val="TableCellText"/>
              <w:spacing w:before="0" w:after="0"/>
              <w:ind w:left="0" w:right="0"/>
              <w:jc w:val="center"/>
              <w:rPr>
                <w:lang w:eastAsia="en-AU"/>
              </w:rPr>
            </w:pPr>
            <w:r w:rsidRPr="001B09E6">
              <w:rPr>
                <w:lang w:eastAsia="en-AU"/>
              </w:rPr>
              <w:t>17.6</w:t>
            </w:r>
          </w:p>
        </w:tc>
        <w:tc>
          <w:tcPr>
            <w:tcW w:w="0" w:type="auto"/>
            <w:tcBorders>
              <w:top w:val="single" w:sz="6" w:space="0" w:color="auto"/>
              <w:left w:val="nil"/>
              <w:bottom w:val="nil"/>
              <w:right w:val="nil"/>
            </w:tcBorders>
            <w:shd w:val="clear" w:color="auto" w:fill="auto"/>
            <w:noWrap/>
            <w:hideMark/>
          </w:tcPr>
          <w:p w14:paraId="5CFDAB7A" w14:textId="77777777" w:rsidR="00E45705" w:rsidRPr="001B09E6" w:rsidRDefault="00E45705" w:rsidP="00E45705">
            <w:pPr>
              <w:pStyle w:val="TableCellText"/>
              <w:spacing w:before="0" w:after="0"/>
              <w:ind w:left="0" w:right="0"/>
              <w:jc w:val="center"/>
              <w:rPr>
                <w:lang w:eastAsia="en-AU"/>
              </w:rPr>
            </w:pPr>
            <w:r w:rsidRPr="001B09E6">
              <w:rPr>
                <w:lang w:eastAsia="en-AU"/>
              </w:rPr>
              <w:t>18.1</w:t>
            </w:r>
          </w:p>
        </w:tc>
        <w:tc>
          <w:tcPr>
            <w:tcW w:w="0" w:type="auto"/>
            <w:tcBorders>
              <w:top w:val="single" w:sz="6" w:space="0" w:color="auto"/>
              <w:left w:val="nil"/>
              <w:bottom w:val="nil"/>
              <w:right w:val="nil"/>
            </w:tcBorders>
            <w:shd w:val="clear" w:color="auto" w:fill="auto"/>
            <w:noWrap/>
            <w:hideMark/>
          </w:tcPr>
          <w:p w14:paraId="0AA8486E" w14:textId="77777777" w:rsidR="00E45705" w:rsidRPr="001B09E6" w:rsidRDefault="00E45705" w:rsidP="00E45705">
            <w:pPr>
              <w:pStyle w:val="TableCellText"/>
              <w:spacing w:before="0" w:after="0"/>
              <w:ind w:left="0" w:right="0"/>
              <w:jc w:val="center"/>
              <w:rPr>
                <w:lang w:eastAsia="en-AU"/>
              </w:rPr>
            </w:pPr>
            <w:r w:rsidRPr="001B09E6">
              <w:rPr>
                <w:lang w:eastAsia="en-AU"/>
              </w:rPr>
              <w:t>0.8</w:t>
            </w:r>
          </w:p>
        </w:tc>
        <w:tc>
          <w:tcPr>
            <w:tcW w:w="0" w:type="auto"/>
            <w:tcBorders>
              <w:top w:val="single" w:sz="6" w:space="0" w:color="auto"/>
              <w:left w:val="nil"/>
              <w:bottom w:val="nil"/>
              <w:right w:val="nil"/>
            </w:tcBorders>
            <w:shd w:val="clear" w:color="auto" w:fill="auto"/>
            <w:noWrap/>
            <w:hideMark/>
          </w:tcPr>
          <w:p w14:paraId="74EF6705"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r>
      <w:tr w:rsidR="00E45705" w:rsidRPr="001B09E6" w14:paraId="21EB781F" w14:textId="77777777" w:rsidTr="00E45705">
        <w:trPr>
          <w:trHeight w:val="57"/>
        </w:trPr>
        <w:tc>
          <w:tcPr>
            <w:tcW w:w="0" w:type="auto"/>
            <w:tcBorders>
              <w:top w:val="nil"/>
              <w:left w:val="nil"/>
              <w:bottom w:val="nil"/>
              <w:right w:val="nil"/>
            </w:tcBorders>
            <w:shd w:val="clear" w:color="auto" w:fill="auto"/>
            <w:noWrap/>
            <w:hideMark/>
          </w:tcPr>
          <w:p w14:paraId="5F13ED38" w14:textId="77777777" w:rsidR="00E45705" w:rsidRPr="001B09E6" w:rsidRDefault="00E45705" w:rsidP="00E45705">
            <w:pPr>
              <w:pStyle w:val="TableCellText"/>
              <w:spacing w:before="0" w:after="0"/>
              <w:ind w:left="0" w:right="0"/>
              <w:rPr>
                <w:lang w:eastAsia="en-AU"/>
              </w:rPr>
            </w:pPr>
            <w:r w:rsidRPr="001B09E6">
              <w:rPr>
                <w:lang w:eastAsia="en-AU"/>
              </w:rPr>
              <w:t>1987</w:t>
            </w:r>
          </w:p>
        </w:tc>
        <w:tc>
          <w:tcPr>
            <w:tcW w:w="0" w:type="auto"/>
            <w:tcBorders>
              <w:top w:val="nil"/>
              <w:left w:val="nil"/>
              <w:bottom w:val="nil"/>
              <w:right w:val="nil"/>
            </w:tcBorders>
            <w:shd w:val="clear" w:color="auto" w:fill="auto"/>
            <w:noWrap/>
            <w:hideMark/>
          </w:tcPr>
          <w:p w14:paraId="1A805AB5" w14:textId="77777777" w:rsidR="00E45705" w:rsidRPr="001B09E6" w:rsidRDefault="00E45705" w:rsidP="00E45705">
            <w:pPr>
              <w:pStyle w:val="TableCellText"/>
              <w:spacing w:before="0" w:after="0"/>
              <w:ind w:left="0" w:right="0"/>
              <w:jc w:val="center"/>
              <w:rPr>
                <w:lang w:eastAsia="en-AU"/>
              </w:rPr>
            </w:pPr>
            <w:r w:rsidRPr="001B09E6">
              <w:rPr>
                <w:lang w:eastAsia="en-AU"/>
              </w:rPr>
              <w:t>17.1</w:t>
            </w:r>
          </w:p>
        </w:tc>
        <w:tc>
          <w:tcPr>
            <w:tcW w:w="0" w:type="auto"/>
            <w:tcBorders>
              <w:top w:val="nil"/>
              <w:left w:val="nil"/>
              <w:bottom w:val="nil"/>
              <w:right w:val="nil"/>
            </w:tcBorders>
            <w:shd w:val="clear" w:color="auto" w:fill="auto"/>
            <w:noWrap/>
            <w:hideMark/>
          </w:tcPr>
          <w:p w14:paraId="492491AB" w14:textId="77777777" w:rsidR="00E45705" w:rsidRPr="001B09E6" w:rsidRDefault="00E45705" w:rsidP="00E45705">
            <w:pPr>
              <w:pStyle w:val="TableCellText"/>
              <w:spacing w:before="0" w:after="0"/>
              <w:ind w:left="0" w:right="0"/>
              <w:jc w:val="center"/>
              <w:rPr>
                <w:lang w:eastAsia="en-AU"/>
              </w:rPr>
            </w:pPr>
            <w:r w:rsidRPr="001B09E6">
              <w:rPr>
                <w:lang w:eastAsia="en-AU"/>
              </w:rPr>
              <w:t>17.7</w:t>
            </w:r>
          </w:p>
        </w:tc>
        <w:tc>
          <w:tcPr>
            <w:tcW w:w="0" w:type="auto"/>
            <w:tcBorders>
              <w:top w:val="nil"/>
              <w:left w:val="nil"/>
              <w:bottom w:val="nil"/>
              <w:right w:val="nil"/>
            </w:tcBorders>
            <w:shd w:val="clear" w:color="auto" w:fill="auto"/>
            <w:noWrap/>
            <w:hideMark/>
          </w:tcPr>
          <w:p w14:paraId="1AF524A4" w14:textId="77777777" w:rsidR="00E45705" w:rsidRPr="001B09E6" w:rsidRDefault="00E45705" w:rsidP="00E45705">
            <w:pPr>
              <w:pStyle w:val="TableCellText"/>
              <w:spacing w:before="0" w:after="0"/>
              <w:ind w:left="0" w:right="0"/>
              <w:jc w:val="center"/>
              <w:rPr>
                <w:lang w:eastAsia="en-AU"/>
              </w:rPr>
            </w:pPr>
            <w:r w:rsidRPr="001B09E6">
              <w:rPr>
                <w:lang w:eastAsia="en-AU"/>
              </w:rPr>
              <w:t>18.3</w:t>
            </w:r>
          </w:p>
        </w:tc>
        <w:tc>
          <w:tcPr>
            <w:tcW w:w="0" w:type="auto"/>
            <w:tcBorders>
              <w:top w:val="nil"/>
              <w:left w:val="nil"/>
              <w:bottom w:val="nil"/>
              <w:right w:val="nil"/>
            </w:tcBorders>
            <w:shd w:val="clear" w:color="auto" w:fill="auto"/>
            <w:noWrap/>
            <w:hideMark/>
          </w:tcPr>
          <w:p w14:paraId="498B610C"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0" w:type="auto"/>
            <w:tcBorders>
              <w:top w:val="nil"/>
              <w:left w:val="nil"/>
              <w:bottom w:val="nil"/>
              <w:right w:val="nil"/>
            </w:tcBorders>
            <w:shd w:val="clear" w:color="auto" w:fill="auto"/>
            <w:noWrap/>
            <w:hideMark/>
          </w:tcPr>
          <w:p w14:paraId="0316EF6A" w14:textId="77777777" w:rsidR="00E45705" w:rsidRPr="001B09E6" w:rsidRDefault="00E45705" w:rsidP="00E45705">
            <w:pPr>
              <w:pStyle w:val="TableCellText"/>
              <w:spacing w:before="0" w:after="0"/>
              <w:ind w:left="0" w:right="0"/>
              <w:jc w:val="center"/>
              <w:rPr>
                <w:lang w:eastAsia="en-AU"/>
              </w:rPr>
            </w:pPr>
            <w:r w:rsidRPr="001B09E6">
              <w:rPr>
                <w:lang w:eastAsia="en-AU"/>
              </w:rPr>
              <w:t>1.2</w:t>
            </w:r>
          </w:p>
        </w:tc>
      </w:tr>
      <w:tr w:rsidR="00E45705" w:rsidRPr="001B09E6" w14:paraId="2EA63CD3" w14:textId="77777777" w:rsidTr="00E45705">
        <w:trPr>
          <w:trHeight w:val="57"/>
        </w:trPr>
        <w:tc>
          <w:tcPr>
            <w:tcW w:w="0" w:type="auto"/>
            <w:tcBorders>
              <w:top w:val="nil"/>
              <w:left w:val="nil"/>
              <w:bottom w:val="nil"/>
              <w:right w:val="nil"/>
            </w:tcBorders>
            <w:shd w:val="clear" w:color="auto" w:fill="auto"/>
            <w:noWrap/>
            <w:hideMark/>
          </w:tcPr>
          <w:p w14:paraId="616C0318" w14:textId="77777777" w:rsidR="00E45705" w:rsidRPr="001B09E6" w:rsidRDefault="00E45705" w:rsidP="00E45705">
            <w:pPr>
              <w:pStyle w:val="TableCellText"/>
              <w:spacing w:before="0" w:after="0"/>
              <w:ind w:left="0" w:right="0"/>
              <w:rPr>
                <w:lang w:eastAsia="en-AU"/>
              </w:rPr>
            </w:pPr>
            <w:r w:rsidRPr="001B09E6">
              <w:rPr>
                <w:lang w:eastAsia="en-AU"/>
              </w:rPr>
              <w:t>1988</w:t>
            </w:r>
          </w:p>
        </w:tc>
        <w:tc>
          <w:tcPr>
            <w:tcW w:w="0" w:type="auto"/>
            <w:tcBorders>
              <w:top w:val="nil"/>
              <w:left w:val="nil"/>
              <w:bottom w:val="nil"/>
              <w:right w:val="nil"/>
            </w:tcBorders>
            <w:shd w:val="clear" w:color="auto" w:fill="auto"/>
            <w:noWrap/>
            <w:hideMark/>
          </w:tcPr>
          <w:p w14:paraId="07BFABA7" w14:textId="77777777" w:rsidR="00E45705" w:rsidRPr="001B09E6" w:rsidRDefault="00E45705" w:rsidP="00E45705">
            <w:pPr>
              <w:pStyle w:val="TableCellText"/>
              <w:spacing w:before="0" w:after="0"/>
              <w:ind w:left="0" w:right="0"/>
              <w:jc w:val="center"/>
              <w:rPr>
                <w:lang w:eastAsia="en-AU"/>
              </w:rPr>
            </w:pPr>
            <w:r w:rsidRPr="001B09E6">
              <w:rPr>
                <w:lang w:eastAsia="en-AU"/>
              </w:rPr>
              <w:t>17.1</w:t>
            </w:r>
          </w:p>
        </w:tc>
        <w:tc>
          <w:tcPr>
            <w:tcW w:w="0" w:type="auto"/>
            <w:tcBorders>
              <w:top w:val="nil"/>
              <w:left w:val="nil"/>
              <w:bottom w:val="nil"/>
              <w:right w:val="nil"/>
            </w:tcBorders>
            <w:shd w:val="clear" w:color="auto" w:fill="auto"/>
            <w:noWrap/>
            <w:hideMark/>
          </w:tcPr>
          <w:p w14:paraId="5F28E9C7" w14:textId="77777777" w:rsidR="00E45705" w:rsidRPr="001B09E6" w:rsidRDefault="00E45705" w:rsidP="00E45705">
            <w:pPr>
              <w:pStyle w:val="TableCellText"/>
              <w:spacing w:before="0" w:after="0"/>
              <w:ind w:left="0" w:right="0"/>
              <w:jc w:val="center"/>
              <w:rPr>
                <w:lang w:eastAsia="en-AU"/>
              </w:rPr>
            </w:pPr>
            <w:r w:rsidRPr="001B09E6">
              <w:rPr>
                <w:lang w:eastAsia="en-AU"/>
              </w:rPr>
              <w:t>17.7</w:t>
            </w:r>
          </w:p>
        </w:tc>
        <w:tc>
          <w:tcPr>
            <w:tcW w:w="0" w:type="auto"/>
            <w:tcBorders>
              <w:top w:val="nil"/>
              <w:left w:val="nil"/>
              <w:bottom w:val="nil"/>
              <w:right w:val="nil"/>
            </w:tcBorders>
            <w:shd w:val="clear" w:color="auto" w:fill="auto"/>
            <w:noWrap/>
            <w:hideMark/>
          </w:tcPr>
          <w:p w14:paraId="3F9D5567" w14:textId="77777777" w:rsidR="00E45705" w:rsidRPr="001B09E6" w:rsidRDefault="00E45705" w:rsidP="00E45705">
            <w:pPr>
              <w:pStyle w:val="TableCellText"/>
              <w:spacing w:before="0" w:after="0"/>
              <w:ind w:left="0" w:right="0"/>
              <w:jc w:val="center"/>
              <w:rPr>
                <w:lang w:eastAsia="en-AU"/>
              </w:rPr>
            </w:pPr>
            <w:r w:rsidRPr="001B09E6">
              <w:rPr>
                <w:lang w:eastAsia="en-AU"/>
              </w:rPr>
              <w:t>18.0</w:t>
            </w:r>
          </w:p>
        </w:tc>
        <w:tc>
          <w:tcPr>
            <w:tcW w:w="0" w:type="auto"/>
            <w:tcBorders>
              <w:top w:val="nil"/>
              <w:left w:val="nil"/>
              <w:bottom w:val="nil"/>
              <w:right w:val="nil"/>
            </w:tcBorders>
            <w:shd w:val="clear" w:color="auto" w:fill="auto"/>
            <w:noWrap/>
            <w:hideMark/>
          </w:tcPr>
          <w:p w14:paraId="11E22FA8" w14:textId="77777777" w:rsidR="00E45705" w:rsidRPr="001B09E6" w:rsidRDefault="00E45705" w:rsidP="00E45705">
            <w:pPr>
              <w:pStyle w:val="TableCellText"/>
              <w:spacing w:before="0" w:after="0"/>
              <w:ind w:left="0" w:right="0"/>
              <w:jc w:val="center"/>
              <w:rPr>
                <w:lang w:eastAsia="en-AU"/>
              </w:rPr>
            </w:pPr>
            <w:r w:rsidRPr="001B09E6">
              <w:rPr>
                <w:lang w:eastAsia="en-AU"/>
              </w:rPr>
              <w:t>0.6</w:t>
            </w:r>
          </w:p>
        </w:tc>
        <w:tc>
          <w:tcPr>
            <w:tcW w:w="0" w:type="auto"/>
            <w:tcBorders>
              <w:top w:val="nil"/>
              <w:left w:val="nil"/>
              <w:bottom w:val="nil"/>
              <w:right w:val="nil"/>
            </w:tcBorders>
            <w:shd w:val="clear" w:color="auto" w:fill="auto"/>
            <w:noWrap/>
            <w:hideMark/>
          </w:tcPr>
          <w:p w14:paraId="2D4AEE57" w14:textId="77777777" w:rsidR="00E45705" w:rsidRPr="001B09E6" w:rsidRDefault="00E45705" w:rsidP="00E45705">
            <w:pPr>
              <w:pStyle w:val="TableCellText"/>
              <w:spacing w:before="0" w:after="0"/>
              <w:ind w:left="0" w:right="0"/>
              <w:jc w:val="center"/>
              <w:rPr>
                <w:lang w:eastAsia="en-AU"/>
              </w:rPr>
            </w:pPr>
            <w:r w:rsidRPr="001B09E6">
              <w:rPr>
                <w:lang w:eastAsia="en-AU"/>
              </w:rPr>
              <w:t>0.9</w:t>
            </w:r>
          </w:p>
        </w:tc>
      </w:tr>
      <w:tr w:rsidR="00E45705" w:rsidRPr="001B09E6" w14:paraId="7CCBA934" w14:textId="77777777" w:rsidTr="00E45705">
        <w:trPr>
          <w:trHeight w:val="57"/>
        </w:trPr>
        <w:tc>
          <w:tcPr>
            <w:tcW w:w="0" w:type="auto"/>
            <w:tcBorders>
              <w:top w:val="nil"/>
              <w:left w:val="nil"/>
              <w:bottom w:val="nil"/>
              <w:right w:val="nil"/>
            </w:tcBorders>
            <w:shd w:val="clear" w:color="auto" w:fill="auto"/>
            <w:noWrap/>
            <w:hideMark/>
          </w:tcPr>
          <w:p w14:paraId="3A782D7D" w14:textId="77777777" w:rsidR="00E45705" w:rsidRPr="001B09E6" w:rsidRDefault="00E45705" w:rsidP="00E45705">
            <w:pPr>
              <w:pStyle w:val="TableCellText"/>
              <w:spacing w:before="0" w:after="0"/>
              <w:ind w:left="0" w:right="0"/>
              <w:rPr>
                <w:lang w:eastAsia="en-AU"/>
              </w:rPr>
            </w:pPr>
            <w:r w:rsidRPr="001B09E6">
              <w:rPr>
                <w:lang w:eastAsia="en-AU"/>
              </w:rPr>
              <w:t>1989</w:t>
            </w:r>
          </w:p>
        </w:tc>
        <w:tc>
          <w:tcPr>
            <w:tcW w:w="0" w:type="auto"/>
            <w:tcBorders>
              <w:top w:val="nil"/>
              <w:left w:val="nil"/>
              <w:bottom w:val="nil"/>
              <w:right w:val="nil"/>
            </w:tcBorders>
            <w:shd w:val="clear" w:color="auto" w:fill="auto"/>
            <w:noWrap/>
            <w:hideMark/>
          </w:tcPr>
          <w:p w14:paraId="2F75EF26" w14:textId="77777777" w:rsidR="00E45705" w:rsidRPr="001B09E6" w:rsidRDefault="00E45705" w:rsidP="00E45705">
            <w:pPr>
              <w:pStyle w:val="TableCellText"/>
              <w:spacing w:before="0" w:after="0"/>
              <w:ind w:left="0" w:right="0"/>
              <w:jc w:val="center"/>
              <w:rPr>
                <w:lang w:eastAsia="en-AU"/>
              </w:rPr>
            </w:pPr>
            <w:r w:rsidRPr="001B09E6">
              <w:rPr>
                <w:lang w:eastAsia="en-AU"/>
              </w:rPr>
              <w:t>17.2</w:t>
            </w:r>
          </w:p>
        </w:tc>
        <w:tc>
          <w:tcPr>
            <w:tcW w:w="0" w:type="auto"/>
            <w:tcBorders>
              <w:top w:val="nil"/>
              <w:left w:val="nil"/>
              <w:bottom w:val="nil"/>
              <w:right w:val="nil"/>
            </w:tcBorders>
            <w:shd w:val="clear" w:color="auto" w:fill="auto"/>
            <w:noWrap/>
            <w:hideMark/>
          </w:tcPr>
          <w:p w14:paraId="5A645D5E" w14:textId="77777777" w:rsidR="00E45705" w:rsidRPr="001B09E6" w:rsidRDefault="00E45705" w:rsidP="00E45705">
            <w:pPr>
              <w:pStyle w:val="TableCellText"/>
              <w:spacing w:before="0" w:after="0"/>
              <w:ind w:left="0" w:right="0"/>
              <w:jc w:val="center"/>
              <w:rPr>
                <w:lang w:eastAsia="en-AU"/>
              </w:rPr>
            </w:pPr>
            <w:r w:rsidRPr="001B09E6">
              <w:rPr>
                <w:lang w:eastAsia="en-AU"/>
              </w:rPr>
              <w:t>17.7</w:t>
            </w:r>
          </w:p>
        </w:tc>
        <w:tc>
          <w:tcPr>
            <w:tcW w:w="0" w:type="auto"/>
            <w:tcBorders>
              <w:top w:val="nil"/>
              <w:left w:val="nil"/>
              <w:bottom w:val="nil"/>
              <w:right w:val="nil"/>
            </w:tcBorders>
            <w:shd w:val="clear" w:color="auto" w:fill="auto"/>
            <w:noWrap/>
            <w:hideMark/>
          </w:tcPr>
          <w:p w14:paraId="575ED3D0" w14:textId="77777777" w:rsidR="00E45705" w:rsidRPr="001B09E6" w:rsidRDefault="00E45705" w:rsidP="00E45705">
            <w:pPr>
              <w:pStyle w:val="TableCellText"/>
              <w:spacing w:before="0" w:after="0"/>
              <w:ind w:left="0" w:right="0"/>
              <w:jc w:val="center"/>
              <w:rPr>
                <w:lang w:eastAsia="en-AU"/>
              </w:rPr>
            </w:pPr>
            <w:r w:rsidRPr="001B09E6">
              <w:rPr>
                <w:lang w:eastAsia="en-AU"/>
              </w:rPr>
              <w:t>18.2</w:t>
            </w:r>
          </w:p>
        </w:tc>
        <w:tc>
          <w:tcPr>
            <w:tcW w:w="0" w:type="auto"/>
            <w:tcBorders>
              <w:top w:val="nil"/>
              <w:left w:val="nil"/>
              <w:bottom w:val="nil"/>
              <w:right w:val="nil"/>
            </w:tcBorders>
            <w:shd w:val="clear" w:color="auto" w:fill="auto"/>
            <w:noWrap/>
            <w:hideMark/>
          </w:tcPr>
          <w:p w14:paraId="6BF0A548" w14:textId="77777777" w:rsidR="00E45705" w:rsidRPr="001B09E6" w:rsidRDefault="00E45705" w:rsidP="00E45705">
            <w:pPr>
              <w:pStyle w:val="TableCellText"/>
              <w:spacing w:before="0" w:after="0"/>
              <w:ind w:left="0" w:right="0"/>
              <w:jc w:val="center"/>
              <w:rPr>
                <w:lang w:eastAsia="en-AU"/>
              </w:rPr>
            </w:pPr>
            <w:r w:rsidRPr="001B09E6">
              <w:rPr>
                <w:lang w:eastAsia="en-AU"/>
              </w:rPr>
              <w:t>0.5</w:t>
            </w:r>
          </w:p>
        </w:tc>
        <w:tc>
          <w:tcPr>
            <w:tcW w:w="0" w:type="auto"/>
            <w:tcBorders>
              <w:top w:val="nil"/>
              <w:left w:val="nil"/>
              <w:bottom w:val="nil"/>
              <w:right w:val="nil"/>
            </w:tcBorders>
            <w:shd w:val="clear" w:color="auto" w:fill="auto"/>
            <w:noWrap/>
            <w:hideMark/>
          </w:tcPr>
          <w:p w14:paraId="0A01A961" w14:textId="77777777" w:rsidR="00E45705" w:rsidRPr="001B09E6" w:rsidRDefault="00E45705" w:rsidP="00E45705">
            <w:pPr>
              <w:pStyle w:val="TableCellText"/>
              <w:spacing w:before="0" w:after="0"/>
              <w:ind w:left="0" w:right="0"/>
              <w:jc w:val="center"/>
              <w:rPr>
                <w:lang w:eastAsia="en-AU"/>
              </w:rPr>
            </w:pPr>
            <w:r w:rsidRPr="001B09E6">
              <w:rPr>
                <w:lang w:eastAsia="en-AU"/>
              </w:rPr>
              <w:t>1.0</w:t>
            </w:r>
          </w:p>
        </w:tc>
      </w:tr>
      <w:tr w:rsidR="00E45705" w:rsidRPr="001B09E6" w14:paraId="01909CF3" w14:textId="77777777" w:rsidTr="00E45705">
        <w:trPr>
          <w:trHeight w:val="57"/>
        </w:trPr>
        <w:tc>
          <w:tcPr>
            <w:tcW w:w="0" w:type="auto"/>
            <w:tcBorders>
              <w:top w:val="nil"/>
              <w:left w:val="nil"/>
              <w:bottom w:val="nil"/>
              <w:right w:val="nil"/>
            </w:tcBorders>
            <w:shd w:val="clear" w:color="auto" w:fill="auto"/>
            <w:noWrap/>
            <w:hideMark/>
          </w:tcPr>
          <w:p w14:paraId="2C272E39" w14:textId="77777777" w:rsidR="00E45705" w:rsidRPr="001B09E6" w:rsidRDefault="00E45705" w:rsidP="00E45705">
            <w:pPr>
              <w:pStyle w:val="TableCellText"/>
              <w:spacing w:before="0" w:after="0"/>
              <w:ind w:left="0" w:right="0"/>
              <w:rPr>
                <w:lang w:eastAsia="en-AU"/>
              </w:rPr>
            </w:pPr>
            <w:r w:rsidRPr="001B09E6">
              <w:rPr>
                <w:lang w:eastAsia="en-AU"/>
              </w:rPr>
              <w:t>1990</w:t>
            </w:r>
          </w:p>
        </w:tc>
        <w:tc>
          <w:tcPr>
            <w:tcW w:w="0" w:type="auto"/>
            <w:tcBorders>
              <w:top w:val="nil"/>
              <w:left w:val="nil"/>
              <w:bottom w:val="nil"/>
              <w:right w:val="nil"/>
            </w:tcBorders>
            <w:shd w:val="clear" w:color="auto" w:fill="auto"/>
            <w:noWrap/>
            <w:hideMark/>
          </w:tcPr>
          <w:p w14:paraId="7624FDC5" w14:textId="77777777" w:rsidR="00E45705" w:rsidRPr="001B09E6" w:rsidRDefault="00E45705" w:rsidP="00E45705">
            <w:pPr>
              <w:pStyle w:val="TableCellText"/>
              <w:spacing w:before="0" w:after="0"/>
              <w:ind w:left="0" w:right="0"/>
              <w:jc w:val="center"/>
              <w:rPr>
                <w:lang w:eastAsia="en-AU"/>
              </w:rPr>
            </w:pPr>
            <w:r w:rsidRPr="001B09E6">
              <w:rPr>
                <w:lang w:eastAsia="en-AU"/>
              </w:rPr>
              <w:t>17.4</w:t>
            </w:r>
          </w:p>
        </w:tc>
        <w:tc>
          <w:tcPr>
            <w:tcW w:w="0" w:type="auto"/>
            <w:tcBorders>
              <w:top w:val="nil"/>
              <w:left w:val="nil"/>
              <w:bottom w:val="nil"/>
              <w:right w:val="nil"/>
            </w:tcBorders>
            <w:shd w:val="clear" w:color="auto" w:fill="auto"/>
            <w:noWrap/>
            <w:hideMark/>
          </w:tcPr>
          <w:p w14:paraId="04287032"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1E64EAEF" w14:textId="77777777" w:rsidR="00E45705" w:rsidRPr="001B09E6" w:rsidRDefault="00E45705" w:rsidP="00E45705">
            <w:pPr>
              <w:pStyle w:val="TableCellText"/>
              <w:spacing w:before="0" w:after="0"/>
              <w:ind w:left="0" w:right="0"/>
              <w:jc w:val="center"/>
              <w:rPr>
                <w:lang w:eastAsia="en-AU"/>
              </w:rPr>
            </w:pPr>
            <w:r w:rsidRPr="001B09E6">
              <w:rPr>
                <w:lang w:eastAsia="en-AU"/>
              </w:rPr>
              <w:t>18.8</w:t>
            </w:r>
          </w:p>
        </w:tc>
        <w:tc>
          <w:tcPr>
            <w:tcW w:w="0" w:type="auto"/>
            <w:tcBorders>
              <w:top w:val="nil"/>
              <w:left w:val="nil"/>
              <w:bottom w:val="nil"/>
              <w:right w:val="nil"/>
            </w:tcBorders>
            <w:shd w:val="clear" w:color="auto" w:fill="auto"/>
            <w:noWrap/>
            <w:hideMark/>
          </w:tcPr>
          <w:p w14:paraId="20959237" w14:textId="77777777" w:rsidR="00E45705" w:rsidRPr="001B09E6" w:rsidRDefault="00E45705" w:rsidP="00E45705">
            <w:pPr>
              <w:pStyle w:val="TableCellText"/>
              <w:spacing w:before="0" w:after="0"/>
              <w:ind w:left="0" w:right="0"/>
              <w:jc w:val="center"/>
              <w:rPr>
                <w:lang w:eastAsia="en-AU"/>
              </w:rPr>
            </w:pPr>
            <w:r w:rsidRPr="001B09E6">
              <w:rPr>
                <w:lang w:eastAsia="en-AU"/>
              </w:rPr>
              <w:t>0.5</w:t>
            </w:r>
          </w:p>
        </w:tc>
        <w:tc>
          <w:tcPr>
            <w:tcW w:w="0" w:type="auto"/>
            <w:tcBorders>
              <w:top w:val="nil"/>
              <w:left w:val="nil"/>
              <w:bottom w:val="nil"/>
              <w:right w:val="nil"/>
            </w:tcBorders>
            <w:shd w:val="clear" w:color="auto" w:fill="auto"/>
            <w:noWrap/>
            <w:hideMark/>
          </w:tcPr>
          <w:p w14:paraId="25171515" w14:textId="77777777" w:rsidR="00E45705" w:rsidRPr="001B09E6" w:rsidRDefault="00E45705" w:rsidP="00E45705">
            <w:pPr>
              <w:pStyle w:val="TableCellText"/>
              <w:spacing w:before="0" w:after="0"/>
              <w:ind w:left="0" w:right="0"/>
              <w:jc w:val="center"/>
              <w:rPr>
                <w:lang w:eastAsia="en-AU"/>
              </w:rPr>
            </w:pPr>
            <w:r w:rsidRPr="001B09E6">
              <w:rPr>
                <w:lang w:eastAsia="en-AU"/>
              </w:rPr>
              <w:t>1.4</w:t>
            </w:r>
          </w:p>
        </w:tc>
      </w:tr>
      <w:tr w:rsidR="00E45705" w:rsidRPr="001B09E6" w14:paraId="41E712D0" w14:textId="77777777" w:rsidTr="00E45705">
        <w:trPr>
          <w:trHeight w:val="57"/>
        </w:trPr>
        <w:tc>
          <w:tcPr>
            <w:tcW w:w="0" w:type="auto"/>
            <w:tcBorders>
              <w:top w:val="nil"/>
              <w:left w:val="nil"/>
              <w:bottom w:val="nil"/>
              <w:right w:val="nil"/>
            </w:tcBorders>
            <w:shd w:val="clear" w:color="auto" w:fill="auto"/>
            <w:noWrap/>
            <w:hideMark/>
          </w:tcPr>
          <w:p w14:paraId="23E1D359" w14:textId="77777777" w:rsidR="00E45705" w:rsidRPr="001B09E6" w:rsidRDefault="00E45705" w:rsidP="00E45705">
            <w:pPr>
              <w:pStyle w:val="TableCellText"/>
              <w:spacing w:before="0" w:after="0"/>
              <w:ind w:left="0" w:right="0"/>
              <w:rPr>
                <w:lang w:eastAsia="en-AU"/>
              </w:rPr>
            </w:pPr>
            <w:r w:rsidRPr="001B09E6">
              <w:rPr>
                <w:lang w:eastAsia="en-AU"/>
              </w:rPr>
              <w:t>1991</w:t>
            </w:r>
          </w:p>
        </w:tc>
        <w:tc>
          <w:tcPr>
            <w:tcW w:w="0" w:type="auto"/>
            <w:tcBorders>
              <w:top w:val="nil"/>
              <w:left w:val="nil"/>
              <w:bottom w:val="nil"/>
              <w:right w:val="nil"/>
            </w:tcBorders>
            <w:shd w:val="clear" w:color="auto" w:fill="auto"/>
            <w:noWrap/>
            <w:hideMark/>
          </w:tcPr>
          <w:p w14:paraId="2975B23C" w14:textId="77777777" w:rsidR="00E45705" w:rsidRPr="001B09E6" w:rsidRDefault="00E45705" w:rsidP="00E45705">
            <w:pPr>
              <w:pStyle w:val="TableCellText"/>
              <w:spacing w:before="0" w:after="0"/>
              <w:ind w:left="0" w:right="0"/>
              <w:jc w:val="center"/>
              <w:rPr>
                <w:lang w:eastAsia="en-AU"/>
              </w:rPr>
            </w:pPr>
            <w:r w:rsidRPr="001B09E6">
              <w:rPr>
                <w:lang w:eastAsia="en-AU"/>
              </w:rPr>
              <w:t>17.6</w:t>
            </w:r>
          </w:p>
        </w:tc>
        <w:tc>
          <w:tcPr>
            <w:tcW w:w="0" w:type="auto"/>
            <w:tcBorders>
              <w:top w:val="nil"/>
              <w:left w:val="nil"/>
              <w:bottom w:val="nil"/>
              <w:right w:val="nil"/>
            </w:tcBorders>
            <w:shd w:val="clear" w:color="auto" w:fill="auto"/>
            <w:noWrap/>
            <w:hideMark/>
          </w:tcPr>
          <w:p w14:paraId="23436FEB" w14:textId="77777777" w:rsidR="00E45705" w:rsidRPr="001B09E6" w:rsidRDefault="00E45705" w:rsidP="00E45705">
            <w:pPr>
              <w:pStyle w:val="TableCellText"/>
              <w:spacing w:before="0" w:after="0"/>
              <w:ind w:left="0" w:right="0"/>
              <w:jc w:val="center"/>
              <w:rPr>
                <w:lang w:eastAsia="en-AU"/>
              </w:rPr>
            </w:pPr>
            <w:r w:rsidRPr="001B09E6">
              <w:rPr>
                <w:lang w:eastAsia="en-AU"/>
              </w:rPr>
              <w:t>18.9</w:t>
            </w:r>
          </w:p>
        </w:tc>
        <w:tc>
          <w:tcPr>
            <w:tcW w:w="0" w:type="auto"/>
            <w:tcBorders>
              <w:top w:val="nil"/>
              <w:left w:val="nil"/>
              <w:bottom w:val="nil"/>
              <w:right w:val="nil"/>
            </w:tcBorders>
            <w:shd w:val="clear" w:color="auto" w:fill="auto"/>
            <w:noWrap/>
            <w:hideMark/>
          </w:tcPr>
          <w:p w14:paraId="6D294A78" w14:textId="77777777" w:rsidR="00E45705" w:rsidRPr="001B09E6" w:rsidRDefault="00E45705" w:rsidP="00E45705">
            <w:pPr>
              <w:pStyle w:val="TableCellText"/>
              <w:spacing w:before="0" w:after="0"/>
              <w:ind w:left="0" w:right="0"/>
              <w:jc w:val="center"/>
              <w:rPr>
                <w:lang w:eastAsia="en-AU"/>
              </w:rPr>
            </w:pPr>
            <w:r w:rsidRPr="001B09E6">
              <w:rPr>
                <w:lang w:eastAsia="en-AU"/>
              </w:rPr>
              <w:t>20.2</w:t>
            </w:r>
          </w:p>
        </w:tc>
        <w:tc>
          <w:tcPr>
            <w:tcW w:w="0" w:type="auto"/>
            <w:tcBorders>
              <w:top w:val="nil"/>
              <w:left w:val="nil"/>
              <w:bottom w:val="nil"/>
              <w:right w:val="nil"/>
            </w:tcBorders>
            <w:shd w:val="clear" w:color="auto" w:fill="auto"/>
            <w:noWrap/>
            <w:hideMark/>
          </w:tcPr>
          <w:p w14:paraId="641AD9B6" w14:textId="77777777" w:rsidR="00E45705" w:rsidRPr="001B09E6" w:rsidRDefault="00E45705" w:rsidP="00E45705">
            <w:pPr>
              <w:pStyle w:val="TableCellText"/>
              <w:spacing w:before="0" w:after="0"/>
              <w:ind w:left="0" w:right="0"/>
              <w:jc w:val="center"/>
              <w:rPr>
                <w:lang w:eastAsia="en-AU"/>
              </w:rPr>
            </w:pPr>
            <w:r w:rsidRPr="001B09E6">
              <w:rPr>
                <w:lang w:eastAsia="en-AU"/>
              </w:rPr>
              <w:t>1.3</w:t>
            </w:r>
          </w:p>
        </w:tc>
        <w:tc>
          <w:tcPr>
            <w:tcW w:w="0" w:type="auto"/>
            <w:tcBorders>
              <w:top w:val="nil"/>
              <w:left w:val="nil"/>
              <w:bottom w:val="nil"/>
              <w:right w:val="nil"/>
            </w:tcBorders>
            <w:shd w:val="clear" w:color="auto" w:fill="auto"/>
            <w:noWrap/>
            <w:hideMark/>
          </w:tcPr>
          <w:p w14:paraId="751F03F0" w14:textId="77777777" w:rsidR="00E45705" w:rsidRPr="001B09E6" w:rsidRDefault="00E45705" w:rsidP="00E45705">
            <w:pPr>
              <w:pStyle w:val="TableCellText"/>
              <w:spacing w:before="0" w:after="0"/>
              <w:ind w:left="0" w:right="0"/>
              <w:jc w:val="center"/>
              <w:rPr>
                <w:lang w:eastAsia="en-AU"/>
              </w:rPr>
            </w:pPr>
            <w:r w:rsidRPr="001B09E6">
              <w:rPr>
                <w:lang w:eastAsia="en-AU"/>
              </w:rPr>
              <w:t>2.6</w:t>
            </w:r>
          </w:p>
        </w:tc>
      </w:tr>
      <w:tr w:rsidR="00E45705" w:rsidRPr="001B09E6" w14:paraId="081B9289" w14:textId="77777777" w:rsidTr="00E45705">
        <w:trPr>
          <w:trHeight w:val="57"/>
        </w:trPr>
        <w:tc>
          <w:tcPr>
            <w:tcW w:w="0" w:type="auto"/>
            <w:tcBorders>
              <w:top w:val="nil"/>
              <w:left w:val="nil"/>
              <w:bottom w:val="nil"/>
              <w:right w:val="nil"/>
            </w:tcBorders>
            <w:shd w:val="clear" w:color="auto" w:fill="auto"/>
            <w:noWrap/>
            <w:hideMark/>
          </w:tcPr>
          <w:p w14:paraId="58C97C85" w14:textId="77777777" w:rsidR="00E45705" w:rsidRPr="001B09E6" w:rsidRDefault="00E45705" w:rsidP="00E45705">
            <w:pPr>
              <w:pStyle w:val="TableCellText"/>
              <w:spacing w:before="0" w:after="0"/>
              <w:ind w:left="0" w:right="0"/>
              <w:rPr>
                <w:lang w:eastAsia="en-AU"/>
              </w:rPr>
            </w:pPr>
            <w:r w:rsidRPr="001B09E6">
              <w:rPr>
                <w:lang w:eastAsia="en-AU"/>
              </w:rPr>
              <w:t>1992</w:t>
            </w:r>
          </w:p>
        </w:tc>
        <w:tc>
          <w:tcPr>
            <w:tcW w:w="0" w:type="auto"/>
            <w:tcBorders>
              <w:top w:val="nil"/>
              <w:left w:val="nil"/>
              <w:bottom w:val="nil"/>
              <w:right w:val="nil"/>
            </w:tcBorders>
            <w:shd w:val="clear" w:color="auto" w:fill="auto"/>
            <w:noWrap/>
            <w:hideMark/>
          </w:tcPr>
          <w:p w14:paraId="44BAD4AE" w14:textId="77777777" w:rsidR="00E45705" w:rsidRPr="001B09E6" w:rsidRDefault="00E45705" w:rsidP="00E45705">
            <w:pPr>
              <w:pStyle w:val="TableCellText"/>
              <w:spacing w:before="0" w:after="0"/>
              <w:ind w:left="0" w:right="0"/>
              <w:jc w:val="center"/>
              <w:rPr>
                <w:lang w:eastAsia="en-AU"/>
              </w:rPr>
            </w:pPr>
            <w:r w:rsidRPr="001B09E6">
              <w:rPr>
                <w:lang w:eastAsia="en-AU"/>
              </w:rPr>
              <w:t>17.7</w:t>
            </w:r>
          </w:p>
        </w:tc>
        <w:tc>
          <w:tcPr>
            <w:tcW w:w="0" w:type="auto"/>
            <w:tcBorders>
              <w:top w:val="nil"/>
              <w:left w:val="nil"/>
              <w:bottom w:val="nil"/>
              <w:right w:val="nil"/>
            </w:tcBorders>
            <w:shd w:val="clear" w:color="auto" w:fill="auto"/>
            <w:noWrap/>
            <w:hideMark/>
          </w:tcPr>
          <w:p w14:paraId="4E7DF34C" w14:textId="77777777" w:rsidR="00E45705" w:rsidRPr="001B09E6" w:rsidRDefault="00E45705" w:rsidP="00E45705">
            <w:pPr>
              <w:pStyle w:val="TableCellText"/>
              <w:spacing w:before="0" w:after="0"/>
              <w:ind w:left="0" w:right="0"/>
              <w:jc w:val="center"/>
              <w:rPr>
                <w:lang w:eastAsia="en-AU"/>
              </w:rPr>
            </w:pPr>
            <w:r w:rsidRPr="001B09E6">
              <w:rPr>
                <w:lang w:eastAsia="en-AU"/>
              </w:rPr>
              <w:t>19.6</w:t>
            </w:r>
          </w:p>
        </w:tc>
        <w:tc>
          <w:tcPr>
            <w:tcW w:w="0" w:type="auto"/>
            <w:tcBorders>
              <w:top w:val="nil"/>
              <w:left w:val="nil"/>
              <w:bottom w:val="nil"/>
              <w:right w:val="nil"/>
            </w:tcBorders>
            <w:shd w:val="clear" w:color="auto" w:fill="auto"/>
            <w:noWrap/>
            <w:hideMark/>
          </w:tcPr>
          <w:p w14:paraId="50EB8D84" w14:textId="77777777" w:rsidR="00E45705" w:rsidRPr="001B09E6" w:rsidRDefault="00E45705" w:rsidP="00E45705">
            <w:pPr>
              <w:pStyle w:val="TableCellText"/>
              <w:spacing w:before="0" w:after="0"/>
              <w:ind w:left="0" w:right="0"/>
              <w:jc w:val="center"/>
              <w:rPr>
                <w:lang w:eastAsia="en-AU"/>
              </w:rPr>
            </w:pPr>
            <w:r w:rsidRPr="001B09E6">
              <w:rPr>
                <w:lang w:eastAsia="en-AU"/>
              </w:rPr>
              <w:t>21.1</w:t>
            </w:r>
          </w:p>
        </w:tc>
        <w:tc>
          <w:tcPr>
            <w:tcW w:w="0" w:type="auto"/>
            <w:tcBorders>
              <w:top w:val="nil"/>
              <w:left w:val="nil"/>
              <w:bottom w:val="nil"/>
              <w:right w:val="nil"/>
            </w:tcBorders>
            <w:shd w:val="clear" w:color="auto" w:fill="auto"/>
            <w:noWrap/>
            <w:hideMark/>
          </w:tcPr>
          <w:p w14:paraId="77A0D1CC" w14:textId="77777777" w:rsidR="00E45705" w:rsidRPr="001B09E6" w:rsidRDefault="00E45705" w:rsidP="00E45705">
            <w:pPr>
              <w:pStyle w:val="TableCellText"/>
              <w:spacing w:before="0" w:after="0"/>
              <w:ind w:left="0" w:right="0"/>
              <w:jc w:val="center"/>
              <w:rPr>
                <w:lang w:eastAsia="en-AU"/>
              </w:rPr>
            </w:pPr>
            <w:r w:rsidRPr="001B09E6">
              <w:rPr>
                <w:lang w:eastAsia="en-AU"/>
              </w:rPr>
              <w:t>1.9</w:t>
            </w:r>
          </w:p>
        </w:tc>
        <w:tc>
          <w:tcPr>
            <w:tcW w:w="0" w:type="auto"/>
            <w:tcBorders>
              <w:top w:val="nil"/>
              <w:left w:val="nil"/>
              <w:bottom w:val="nil"/>
              <w:right w:val="nil"/>
            </w:tcBorders>
            <w:shd w:val="clear" w:color="auto" w:fill="auto"/>
            <w:noWrap/>
            <w:hideMark/>
          </w:tcPr>
          <w:p w14:paraId="6F9D7EEF" w14:textId="77777777" w:rsidR="00E45705" w:rsidRPr="001B09E6" w:rsidRDefault="00E45705" w:rsidP="00E45705">
            <w:pPr>
              <w:pStyle w:val="TableCellText"/>
              <w:spacing w:before="0" w:after="0"/>
              <w:ind w:left="0" w:right="0"/>
              <w:jc w:val="center"/>
              <w:rPr>
                <w:lang w:eastAsia="en-AU"/>
              </w:rPr>
            </w:pPr>
            <w:r w:rsidRPr="001B09E6">
              <w:rPr>
                <w:lang w:eastAsia="en-AU"/>
              </w:rPr>
              <w:t>3.4</w:t>
            </w:r>
          </w:p>
        </w:tc>
      </w:tr>
      <w:tr w:rsidR="00E45705" w:rsidRPr="001B09E6" w14:paraId="0DB6F2C0" w14:textId="77777777" w:rsidTr="00E45705">
        <w:trPr>
          <w:trHeight w:val="57"/>
        </w:trPr>
        <w:tc>
          <w:tcPr>
            <w:tcW w:w="0" w:type="auto"/>
            <w:tcBorders>
              <w:top w:val="nil"/>
              <w:left w:val="nil"/>
              <w:bottom w:val="nil"/>
              <w:right w:val="nil"/>
            </w:tcBorders>
            <w:shd w:val="clear" w:color="auto" w:fill="auto"/>
            <w:noWrap/>
            <w:hideMark/>
          </w:tcPr>
          <w:p w14:paraId="24D1410D" w14:textId="77777777" w:rsidR="00E45705" w:rsidRPr="001B09E6" w:rsidRDefault="00E45705" w:rsidP="00E45705">
            <w:pPr>
              <w:pStyle w:val="TableCellText"/>
              <w:spacing w:before="0" w:after="0"/>
              <w:ind w:left="0" w:right="0"/>
              <w:rPr>
                <w:lang w:eastAsia="en-AU"/>
              </w:rPr>
            </w:pPr>
            <w:r w:rsidRPr="001B09E6">
              <w:rPr>
                <w:lang w:eastAsia="en-AU"/>
              </w:rPr>
              <w:t>1993</w:t>
            </w:r>
          </w:p>
        </w:tc>
        <w:tc>
          <w:tcPr>
            <w:tcW w:w="0" w:type="auto"/>
            <w:tcBorders>
              <w:top w:val="nil"/>
              <w:left w:val="nil"/>
              <w:bottom w:val="nil"/>
              <w:right w:val="nil"/>
            </w:tcBorders>
            <w:shd w:val="clear" w:color="auto" w:fill="auto"/>
            <w:noWrap/>
            <w:hideMark/>
          </w:tcPr>
          <w:p w14:paraId="0AB95ACE" w14:textId="77777777" w:rsidR="00E45705" w:rsidRPr="001B09E6" w:rsidRDefault="00E45705" w:rsidP="00E45705">
            <w:pPr>
              <w:pStyle w:val="TableCellText"/>
              <w:spacing w:before="0" w:after="0"/>
              <w:ind w:left="0" w:right="0"/>
              <w:jc w:val="center"/>
              <w:rPr>
                <w:lang w:eastAsia="en-AU"/>
              </w:rPr>
            </w:pPr>
            <w:r w:rsidRPr="001B09E6">
              <w:rPr>
                <w:lang w:eastAsia="en-AU"/>
              </w:rPr>
              <w:t>17.8</w:t>
            </w:r>
          </w:p>
        </w:tc>
        <w:tc>
          <w:tcPr>
            <w:tcW w:w="0" w:type="auto"/>
            <w:tcBorders>
              <w:top w:val="nil"/>
              <w:left w:val="nil"/>
              <w:bottom w:val="nil"/>
              <w:right w:val="nil"/>
            </w:tcBorders>
            <w:shd w:val="clear" w:color="auto" w:fill="auto"/>
            <w:noWrap/>
            <w:hideMark/>
          </w:tcPr>
          <w:p w14:paraId="03DD4477" w14:textId="77777777" w:rsidR="00E45705" w:rsidRPr="001B09E6" w:rsidRDefault="00E45705" w:rsidP="00E45705">
            <w:pPr>
              <w:pStyle w:val="TableCellText"/>
              <w:spacing w:before="0" w:after="0"/>
              <w:ind w:left="0" w:right="0"/>
              <w:jc w:val="center"/>
              <w:rPr>
                <w:lang w:eastAsia="en-AU"/>
              </w:rPr>
            </w:pPr>
            <w:r w:rsidRPr="001B09E6">
              <w:rPr>
                <w:lang w:eastAsia="en-AU"/>
              </w:rPr>
              <w:t>19.7</w:t>
            </w:r>
          </w:p>
        </w:tc>
        <w:tc>
          <w:tcPr>
            <w:tcW w:w="0" w:type="auto"/>
            <w:tcBorders>
              <w:top w:val="nil"/>
              <w:left w:val="nil"/>
              <w:bottom w:val="nil"/>
              <w:right w:val="nil"/>
            </w:tcBorders>
            <w:shd w:val="clear" w:color="auto" w:fill="auto"/>
            <w:noWrap/>
            <w:hideMark/>
          </w:tcPr>
          <w:p w14:paraId="5A984279" w14:textId="77777777" w:rsidR="00E45705" w:rsidRPr="001B09E6" w:rsidRDefault="00E45705" w:rsidP="00E45705">
            <w:pPr>
              <w:pStyle w:val="TableCellText"/>
              <w:spacing w:before="0" w:after="0"/>
              <w:ind w:left="0" w:right="0"/>
              <w:jc w:val="center"/>
              <w:rPr>
                <w:lang w:eastAsia="en-AU"/>
              </w:rPr>
            </w:pPr>
            <w:r w:rsidRPr="001B09E6">
              <w:rPr>
                <w:lang w:eastAsia="en-AU"/>
              </w:rPr>
              <w:t>20.8</w:t>
            </w:r>
          </w:p>
        </w:tc>
        <w:tc>
          <w:tcPr>
            <w:tcW w:w="0" w:type="auto"/>
            <w:tcBorders>
              <w:top w:val="nil"/>
              <w:left w:val="nil"/>
              <w:bottom w:val="nil"/>
              <w:right w:val="nil"/>
            </w:tcBorders>
            <w:shd w:val="clear" w:color="auto" w:fill="auto"/>
            <w:noWrap/>
            <w:hideMark/>
          </w:tcPr>
          <w:p w14:paraId="1E3B1378" w14:textId="77777777" w:rsidR="00E45705" w:rsidRPr="001B09E6" w:rsidRDefault="00E45705" w:rsidP="00E45705">
            <w:pPr>
              <w:pStyle w:val="TableCellText"/>
              <w:spacing w:before="0" w:after="0"/>
              <w:ind w:left="0" w:right="0"/>
              <w:jc w:val="center"/>
              <w:rPr>
                <w:lang w:eastAsia="en-AU"/>
              </w:rPr>
            </w:pPr>
            <w:r w:rsidRPr="001B09E6">
              <w:rPr>
                <w:lang w:eastAsia="en-AU"/>
              </w:rPr>
              <w:t>1.9</w:t>
            </w:r>
          </w:p>
        </w:tc>
        <w:tc>
          <w:tcPr>
            <w:tcW w:w="0" w:type="auto"/>
            <w:tcBorders>
              <w:top w:val="nil"/>
              <w:left w:val="nil"/>
              <w:bottom w:val="nil"/>
              <w:right w:val="nil"/>
            </w:tcBorders>
            <w:shd w:val="clear" w:color="auto" w:fill="auto"/>
            <w:noWrap/>
            <w:hideMark/>
          </w:tcPr>
          <w:p w14:paraId="5B66B191" w14:textId="77777777" w:rsidR="00E45705" w:rsidRPr="001B09E6" w:rsidRDefault="00E45705" w:rsidP="00E45705">
            <w:pPr>
              <w:pStyle w:val="TableCellText"/>
              <w:spacing w:before="0" w:after="0"/>
              <w:ind w:left="0" w:right="0"/>
              <w:jc w:val="center"/>
              <w:rPr>
                <w:lang w:eastAsia="en-AU"/>
              </w:rPr>
            </w:pPr>
            <w:r w:rsidRPr="001B09E6">
              <w:rPr>
                <w:lang w:eastAsia="en-AU"/>
              </w:rPr>
              <w:t>3.0</w:t>
            </w:r>
          </w:p>
        </w:tc>
      </w:tr>
      <w:tr w:rsidR="00E45705" w:rsidRPr="001B09E6" w14:paraId="415701B2" w14:textId="77777777" w:rsidTr="00E45705">
        <w:trPr>
          <w:trHeight w:val="57"/>
        </w:trPr>
        <w:tc>
          <w:tcPr>
            <w:tcW w:w="0" w:type="auto"/>
            <w:tcBorders>
              <w:top w:val="nil"/>
              <w:left w:val="nil"/>
              <w:bottom w:val="nil"/>
              <w:right w:val="nil"/>
            </w:tcBorders>
            <w:shd w:val="clear" w:color="auto" w:fill="auto"/>
            <w:noWrap/>
            <w:hideMark/>
          </w:tcPr>
          <w:p w14:paraId="3E8B78E1" w14:textId="77777777" w:rsidR="00E45705" w:rsidRPr="001B09E6" w:rsidRDefault="00E45705" w:rsidP="00E45705">
            <w:pPr>
              <w:pStyle w:val="TableCellText"/>
              <w:spacing w:before="0" w:after="0"/>
              <w:ind w:left="0" w:right="0"/>
              <w:rPr>
                <w:lang w:eastAsia="en-AU"/>
              </w:rPr>
            </w:pPr>
            <w:r w:rsidRPr="001B09E6">
              <w:rPr>
                <w:lang w:eastAsia="en-AU"/>
              </w:rPr>
              <w:t>1994</w:t>
            </w:r>
          </w:p>
        </w:tc>
        <w:tc>
          <w:tcPr>
            <w:tcW w:w="0" w:type="auto"/>
            <w:tcBorders>
              <w:top w:val="nil"/>
              <w:left w:val="nil"/>
              <w:bottom w:val="nil"/>
              <w:right w:val="nil"/>
            </w:tcBorders>
            <w:shd w:val="clear" w:color="auto" w:fill="auto"/>
            <w:noWrap/>
            <w:hideMark/>
          </w:tcPr>
          <w:p w14:paraId="07A9345F" w14:textId="77777777" w:rsidR="00E45705" w:rsidRPr="001B09E6" w:rsidRDefault="00E45705" w:rsidP="00E45705">
            <w:pPr>
              <w:pStyle w:val="TableCellText"/>
              <w:spacing w:before="0" w:after="0"/>
              <w:ind w:left="0" w:right="0"/>
              <w:jc w:val="center"/>
              <w:rPr>
                <w:lang w:eastAsia="en-AU"/>
              </w:rPr>
            </w:pPr>
            <w:r w:rsidRPr="001B09E6">
              <w:rPr>
                <w:lang w:eastAsia="en-AU"/>
              </w:rPr>
              <w:t>17.8</w:t>
            </w:r>
          </w:p>
        </w:tc>
        <w:tc>
          <w:tcPr>
            <w:tcW w:w="0" w:type="auto"/>
            <w:tcBorders>
              <w:top w:val="nil"/>
              <w:left w:val="nil"/>
              <w:bottom w:val="nil"/>
              <w:right w:val="nil"/>
            </w:tcBorders>
            <w:shd w:val="clear" w:color="auto" w:fill="auto"/>
            <w:noWrap/>
            <w:hideMark/>
          </w:tcPr>
          <w:p w14:paraId="014AD1D2" w14:textId="77777777" w:rsidR="00E45705" w:rsidRPr="001B09E6" w:rsidRDefault="00E45705" w:rsidP="00E45705">
            <w:pPr>
              <w:pStyle w:val="TableCellText"/>
              <w:spacing w:before="0" w:after="0"/>
              <w:ind w:left="0" w:right="0"/>
              <w:jc w:val="center"/>
              <w:rPr>
                <w:lang w:eastAsia="en-AU"/>
              </w:rPr>
            </w:pPr>
            <w:r w:rsidRPr="001B09E6">
              <w:rPr>
                <w:lang w:eastAsia="en-AU"/>
              </w:rPr>
              <w:t>19.8</w:t>
            </w:r>
          </w:p>
        </w:tc>
        <w:tc>
          <w:tcPr>
            <w:tcW w:w="0" w:type="auto"/>
            <w:tcBorders>
              <w:top w:val="nil"/>
              <w:left w:val="nil"/>
              <w:bottom w:val="nil"/>
              <w:right w:val="nil"/>
            </w:tcBorders>
            <w:shd w:val="clear" w:color="auto" w:fill="auto"/>
            <w:noWrap/>
            <w:hideMark/>
          </w:tcPr>
          <w:p w14:paraId="2E600655" w14:textId="77777777" w:rsidR="00E45705" w:rsidRPr="001B09E6" w:rsidRDefault="00E45705" w:rsidP="00E45705">
            <w:pPr>
              <w:pStyle w:val="TableCellText"/>
              <w:spacing w:before="0" w:after="0"/>
              <w:ind w:left="0" w:right="0"/>
              <w:jc w:val="center"/>
              <w:rPr>
                <w:lang w:eastAsia="en-AU"/>
              </w:rPr>
            </w:pPr>
            <w:r w:rsidRPr="001B09E6">
              <w:rPr>
                <w:lang w:eastAsia="en-AU"/>
              </w:rPr>
              <w:t>21.4</w:t>
            </w:r>
          </w:p>
        </w:tc>
        <w:tc>
          <w:tcPr>
            <w:tcW w:w="0" w:type="auto"/>
            <w:tcBorders>
              <w:top w:val="nil"/>
              <w:left w:val="nil"/>
              <w:bottom w:val="nil"/>
              <w:right w:val="nil"/>
            </w:tcBorders>
            <w:shd w:val="clear" w:color="auto" w:fill="auto"/>
            <w:noWrap/>
            <w:hideMark/>
          </w:tcPr>
          <w:p w14:paraId="34DFC8B1" w14:textId="77777777" w:rsidR="00E45705" w:rsidRPr="001B09E6" w:rsidRDefault="00E45705" w:rsidP="00E45705">
            <w:pPr>
              <w:pStyle w:val="TableCellText"/>
              <w:spacing w:before="0" w:after="0"/>
              <w:ind w:left="0" w:right="0"/>
              <w:jc w:val="center"/>
              <w:rPr>
                <w:lang w:eastAsia="en-AU"/>
              </w:rPr>
            </w:pPr>
            <w:r w:rsidRPr="001B09E6">
              <w:rPr>
                <w:lang w:eastAsia="en-AU"/>
              </w:rPr>
              <w:t>2.0</w:t>
            </w:r>
          </w:p>
        </w:tc>
        <w:tc>
          <w:tcPr>
            <w:tcW w:w="0" w:type="auto"/>
            <w:tcBorders>
              <w:top w:val="nil"/>
              <w:left w:val="nil"/>
              <w:bottom w:val="nil"/>
              <w:right w:val="nil"/>
            </w:tcBorders>
            <w:shd w:val="clear" w:color="auto" w:fill="auto"/>
            <w:noWrap/>
            <w:hideMark/>
          </w:tcPr>
          <w:p w14:paraId="0822FD2B" w14:textId="77777777" w:rsidR="00E45705" w:rsidRPr="001B09E6" w:rsidRDefault="00E45705" w:rsidP="00E45705">
            <w:pPr>
              <w:pStyle w:val="TableCellText"/>
              <w:spacing w:before="0" w:after="0"/>
              <w:ind w:left="0" w:right="0"/>
              <w:jc w:val="center"/>
              <w:rPr>
                <w:lang w:eastAsia="en-AU"/>
              </w:rPr>
            </w:pPr>
            <w:r w:rsidRPr="001B09E6">
              <w:rPr>
                <w:lang w:eastAsia="en-AU"/>
              </w:rPr>
              <w:t>3.6</w:t>
            </w:r>
          </w:p>
        </w:tc>
      </w:tr>
      <w:tr w:rsidR="00E45705" w:rsidRPr="001B09E6" w14:paraId="7E7EE322" w14:textId="77777777" w:rsidTr="00E45705">
        <w:trPr>
          <w:trHeight w:val="57"/>
        </w:trPr>
        <w:tc>
          <w:tcPr>
            <w:tcW w:w="0" w:type="auto"/>
            <w:tcBorders>
              <w:top w:val="nil"/>
              <w:left w:val="nil"/>
              <w:bottom w:val="nil"/>
              <w:right w:val="nil"/>
            </w:tcBorders>
            <w:shd w:val="clear" w:color="auto" w:fill="auto"/>
            <w:noWrap/>
            <w:hideMark/>
          </w:tcPr>
          <w:p w14:paraId="41E8EC28" w14:textId="77777777" w:rsidR="00E45705" w:rsidRPr="001B09E6" w:rsidRDefault="00E45705" w:rsidP="00E45705">
            <w:pPr>
              <w:pStyle w:val="TableCellText"/>
              <w:spacing w:before="0" w:after="0"/>
              <w:ind w:left="0" w:right="0"/>
              <w:rPr>
                <w:lang w:eastAsia="en-AU"/>
              </w:rPr>
            </w:pPr>
            <w:r w:rsidRPr="001B09E6">
              <w:rPr>
                <w:lang w:eastAsia="en-AU"/>
              </w:rPr>
              <w:t>1995</w:t>
            </w:r>
          </w:p>
        </w:tc>
        <w:tc>
          <w:tcPr>
            <w:tcW w:w="0" w:type="auto"/>
            <w:tcBorders>
              <w:top w:val="nil"/>
              <w:left w:val="nil"/>
              <w:bottom w:val="nil"/>
              <w:right w:val="nil"/>
            </w:tcBorders>
            <w:shd w:val="clear" w:color="auto" w:fill="auto"/>
            <w:noWrap/>
            <w:hideMark/>
          </w:tcPr>
          <w:p w14:paraId="1FB89EA3" w14:textId="77777777" w:rsidR="00E45705" w:rsidRPr="001B09E6" w:rsidRDefault="00E45705" w:rsidP="00E45705">
            <w:pPr>
              <w:pStyle w:val="TableCellText"/>
              <w:spacing w:before="0" w:after="0"/>
              <w:ind w:left="0" w:right="0"/>
              <w:jc w:val="center"/>
              <w:rPr>
                <w:lang w:eastAsia="en-AU"/>
              </w:rPr>
            </w:pPr>
            <w:r w:rsidRPr="001B09E6">
              <w:rPr>
                <w:lang w:eastAsia="en-AU"/>
              </w:rPr>
              <w:t>17.7</w:t>
            </w:r>
          </w:p>
        </w:tc>
        <w:tc>
          <w:tcPr>
            <w:tcW w:w="0" w:type="auto"/>
            <w:tcBorders>
              <w:top w:val="nil"/>
              <w:left w:val="nil"/>
              <w:bottom w:val="nil"/>
              <w:right w:val="nil"/>
            </w:tcBorders>
            <w:shd w:val="clear" w:color="auto" w:fill="auto"/>
            <w:noWrap/>
            <w:hideMark/>
          </w:tcPr>
          <w:p w14:paraId="08AAA078" w14:textId="77777777" w:rsidR="00E45705" w:rsidRPr="001B09E6" w:rsidRDefault="00E45705" w:rsidP="00E45705">
            <w:pPr>
              <w:pStyle w:val="TableCellText"/>
              <w:spacing w:before="0" w:after="0"/>
              <w:ind w:left="0" w:right="0"/>
              <w:jc w:val="center"/>
              <w:rPr>
                <w:lang w:eastAsia="en-AU"/>
              </w:rPr>
            </w:pPr>
            <w:r w:rsidRPr="001B09E6">
              <w:rPr>
                <w:lang w:eastAsia="en-AU"/>
              </w:rPr>
              <w:t>19.5</w:t>
            </w:r>
          </w:p>
        </w:tc>
        <w:tc>
          <w:tcPr>
            <w:tcW w:w="0" w:type="auto"/>
            <w:tcBorders>
              <w:top w:val="nil"/>
              <w:left w:val="nil"/>
              <w:bottom w:val="nil"/>
              <w:right w:val="nil"/>
            </w:tcBorders>
            <w:shd w:val="clear" w:color="auto" w:fill="auto"/>
            <w:noWrap/>
            <w:hideMark/>
          </w:tcPr>
          <w:p w14:paraId="14DAD97D" w14:textId="77777777" w:rsidR="00E45705" w:rsidRPr="001B09E6" w:rsidRDefault="00E45705" w:rsidP="00E45705">
            <w:pPr>
              <w:pStyle w:val="TableCellText"/>
              <w:spacing w:before="0" w:after="0"/>
              <w:ind w:left="0" w:right="0"/>
              <w:jc w:val="center"/>
              <w:rPr>
                <w:lang w:eastAsia="en-AU"/>
              </w:rPr>
            </w:pPr>
            <w:r w:rsidRPr="001B09E6">
              <w:rPr>
                <w:lang w:eastAsia="en-AU"/>
              </w:rPr>
              <w:t>20.9</w:t>
            </w:r>
          </w:p>
        </w:tc>
        <w:tc>
          <w:tcPr>
            <w:tcW w:w="0" w:type="auto"/>
            <w:tcBorders>
              <w:top w:val="nil"/>
              <w:left w:val="nil"/>
              <w:bottom w:val="nil"/>
              <w:right w:val="nil"/>
            </w:tcBorders>
            <w:shd w:val="clear" w:color="auto" w:fill="auto"/>
            <w:noWrap/>
            <w:hideMark/>
          </w:tcPr>
          <w:p w14:paraId="2AD6453C" w14:textId="77777777" w:rsidR="00E45705" w:rsidRPr="001B09E6" w:rsidRDefault="00E45705" w:rsidP="00E45705">
            <w:pPr>
              <w:pStyle w:val="TableCellText"/>
              <w:spacing w:before="0" w:after="0"/>
              <w:ind w:left="0" w:right="0"/>
              <w:jc w:val="center"/>
              <w:rPr>
                <w:lang w:eastAsia="en-AU"/>
              </w:rPr>
            </w:pPr>
            <w:r w:rsidRPr="001B09E6">
              <w:rPr>
                <w:lang w:eastAsia="en-AU"/>
              </w:rPr>
              <w:t>1.7</w:t>
            </w:r>
          </w:p>
        </w:tc>
        <w:tc>
          <w:tcPr>
            <w:tcW w:w="0" w:type="auto"/>
            <w:tcBorders>
              <w:top w:val="nil"/>
              <w:left w:val="nil"/>
              <w:bottom w:val="nil"/>
              <w:right w:val="nil"/>
            </w:tcBorders>
            <w:shd w:val="clear" w:color="auto" w:fill="auto"/>
            <w:noWrap/>
            <w:hideMark/>
          </w:tcPr>
          <w:p w14:paraId="792AEACE" w14:textId="77777777" w:rsidR="00E45705" w:rsidRPr="001B09E6" w:rsidRDefault="00E45705" w:rsidP="00E45705">
            <w:pPr>
              <w:pStyle w:val="TableCellText"/>
              <w:spacing w:before="0" w:after="0"/>
              <w:ind w:left="0" w:right="0"/>
              <w:jc w:val="center"/>
              <w:rPr>
                <w:lang w:eastAsia="en-AU"/>
              </w:rPr>
            </w:pPr>
            <w:r w:rsidRPr="001B09E6">
              <w:rPr>
                <w:lang w:eastAsia="en-AU"/>
              </w:rPr>
              <w:t>3.2</w:t>
            </w:r>
          </w:p>
        </w:tc>
      </w:tr>
      <w:tr w:rsidR="00E45705" w:rsidRPr="001B09E6" w14:paraId="0095468B" w14:textId="77777777" w:rsidTr="00E45705">
        <w:trPr>
          <w:trHeight w:val="57"/>
        </w:trPr>
        <w:tc>
          <w:tcPr>
            <w:tcW w:w="0" w:type="auto"/>
            <w:tcBorders>
              <w:top w:val="nil"/>
              <w:left w:val="nil"/>
              <w:bottom w:val="nil"/>
              <w:right w:val="nil"/>
            </w:tcBorders>
            <w:shd w:val="clear" w:color="auto" w:fill="auto"/>
            <w:noWrap/>
            <w:hideMark/>
          </w:tcPr>
          <w:p w14:paraId="64DC8AC2" w14:textId="77777777" w:rsidR="00E45705" w:rsidRPr="001B09E6" w:rsidRDefault="00E45705" w:rsidP="00E45705">
            <w:pPr>
              <w:pStyle w:val="TableCellText"/>
              <w:spacing w:before="0" w:after="0"/>
              <w:ind w:left="0" w:right="0"/>
              <w:rPr>
                <w:lang w:eastAsia="en-AU"/>
              </w:rPr>
            </w:pPr>
            <w:r w:rsidRPr="001B09E6">
              <w:rPr>
                <w:lang w:eastAsia="en-AU"/>
              </w:rPr>
              <w:t>1996</w:t>
            </w:r>
          </w:p>
        </w:tc>
        <w:tc>
          <w:tcPr>
            <w:tcW w:w="0" w:type="auto"/>
            <w:tcBorders>
              <w:top w:val="nil"/>
              <w:left w:val="nil"/>
              <w:bottom w:val="nil"/>
              <w:right w:val="nil"/>
            </w:tcBorders>
            <w:shd w:val="clear" w:color="auto" w:fill="auto"/>
            <w:noWrap/>
            <w:hideMark/>
          </w:tcPr>
          <w:p w14:paraId="7BC4149B" w14:textId="77777777" w:rsidR="00E45705" w:rsidRPr="001B09E6" w:rsidRDefault="00E45705" w:rsidP="00E45705">
            <w:pPr>
              <w:pStyle w:val="TableCellText"/>
              <w:spacing w:before="0" w:after="0"/>
              <w:ind w:left="0" w:right="0"/>
              <w:jc w:val="center"/>
              <w:rPr>
                <w:lang w:eastAsia="en-AU"/>
              </w:rPr>
            </w:pPr>
            <w:r w:rsidRPr="001B09E6">
              <w:rPr>
                <w:lang w:eastAsia="en-AU"/>
              </w:rPr>
              <w:t>17.8</w:t>
            </w:r>
          </w:p>
        </w:tc>
        <w:tc>
          <w:tcPr>
            <w:tcW w:w="0" w:type="auto"/>
            <w:tcBorders>
              <w:top w:val="nil"/>
              <w:left w:val="nil"/>
              <w:bottom w:val="nil"/>
              <w:right w:val="nil"/>
            </w:tcBorders>
            <w:shd w:val="clear" w:color="auto" w:fill="auto"/>
            <w:noWrap/>
            <w:hideMark/>
          </w:tcPr>
          <w:p w14:paraId="2C57803C" w14:textId="77777777" w:rsidR="00E45705" w:rsidRPr="001B09E6" w:rsidRDefault="00E45705" w:rsidP="00E45705">
            <w:pPr>
              <w:pStyle w:val="TableCellText"/>
              <w:spacing w:before="0" w:after="0"/>
              <w:ind w:left="0" w:right="0"/>
              <w:jc w:val="center"/>
              <w:rPr>
                <w:lang w:eastAsia="en-AU"/>
              </w:rPr>
            </w:pPr>
            <w:r w:rsidRPr="001B09E6">
              <w:rPr>
                <w:lang w:eastAsia="en-AU"/>
              </w:rPr>
              <w:t>19.5</w:t>
            </w:r>
          </w:p>
        </w:tc>
        <w:tc>
          <w:tcPr>
            <w:tcW w:w="0" w:type="auto"/>
            <w:tcBorders>
              <w:top w:val="nil"/>
              <w:left w:val="nil"/>
              <w:bottom w:val="nil"/>
              <w:right w:val="nil"/>
            </w:tcBorders>
            <w:shd w:val="clear" w:color="auto" w:fill="auto"/>
            <w:noWrap/>
            <w:hideMark/>
          </w:tcPr>
          <w:p w14:paraId="33DF5670" w14:textId="77777777" w:rsidR="00E45705" w:rsidRPr="001B09E6" w:rsidRDefault="00E45705" w:rsidP="00E45705">
            <w:pPr>
              <w:pStyle w:val="TableCellText"/>
              <w:spacing w:before="0" w:after="0"/>
              <w:ind w:left="0" w:right="0"/>
              <w:jc w:val="center"/>
              <w:rPr>
                <w:lang w:eastAsia="en-AU"/>
              </w:rPr>
            </w:pPr>
            <w:r w:rsidRPr="001B09E6">
              <w:rPr>
                <w:lang w:eastAsia="en-AU"/>
              </w:rPr>
              <w:t>20.9</w:t>
            </w:r>
          </w:p>
        </w:tc>
        <w:tc>
          <w:tcPr>
            <w:tcW w:w="0" w:type="auto"/>
            <w:tcBorders>
              <w:top w:val="nil"/>
              <w:left w:val="nil"/>
              <w:bottom w:val="nil"/>
              <w:right w:val="nil"/>
            </w:tcBorders>
            <w:shd w:val="clear" w:color="auto" w:fill="auto"/>
            <w:noWrap/>
            <w:hideMark/>
          </w:tcPr>
          <w:p w14:paraId="1A03DBF5" w14:textId="77777777" w:rsidR="00E45705" w:rsidRPr="001B09E6" w:rsidRDefault="00E45705" w:rsidP="00E45705">
            <w:pPr>
              <w:pStyle w:val="TableCellText"/>
              <w:spacing w:before="0" w:after="0"/>
              <w:ind w:left="0" w:right="0"/>
              <w:jc w:val="center"/>
              <w:rPr>
                <w:lang w:eastAsia="en-AU"/>
              </w:rPr>
            </w:pPr>
            <w:r w:rsidRPr="001B09E6">
              <w:rPr>
                <w:lang w:eastAsia="en-AU"/>
              </w:rPr>
              <w:t>1.7</w:t>
            </w:r>
          </w:p>
        </w:tc>
        <w:tc>
          <w:tcPr>
            <w:tcW w:w="0" w:type="auto"/>
            <w:tcBorders>
              <w:top w:val="nil"/>
              <w:left w:val="nil"/>
              <w:bottom w:val="nil"/>
              <w:right w:val="nil"/>
            </w:tcBorders>
            <w:shd w:val="clear" w:color="auto" w:fill="auto"/>
            <w:noWrap/>
            <w:hideMark/>
          </w:tcPr>
          <w:p w14:paraId="211A149B" w14:textId="77777777" w:rsidR="00E45705" w:rsidRPr="001B09E6" w:rsidRDefault="00E45705" w:rsidP="00E45705">
            <w:pPr>
              <w:pStyle w:val="TableCellText"/>
              <w:spacing w:before="0" w:after="0"/>
              <w:ind w:left="0" w:right="0"/>
              <w:jc w:val="center"/>
              <w:rPr>
                <w:lang w:eastAsia="en-AU"/>
              </w:rPr>
            </w:pPr>
            <w:r w:rsidRPr="001B09E6">
              <w:rPr>
                <w:lang w:eastAsia="en-AU"/>
              </w:rPr>
              <w:t>3.1</w:t>
            </w:r>
          </w:p>
        </w:tc>
      </w:tr>
      <w:tr w:rsidR="00E45705" w:rsidRPr="001B09E6" w14:paraId="174EC834" w14:textId="77777777" w:rsidTr="00E45705">
        <w:trPr>
          <w:trHeight w:val="57"/>
        </w:trPr>
        <w:tc>
          <w:tcPr>
            <w:tcW w:w="0" w:type="auto"/>
            <w:tcBorders>
              <w:top w:val="nil"/>
              <w:left w:val="nil"/>
              <w:bottom w:val="nil"/>
              <w:right w:val="nil"/>
            </w:tcBorders>
            <w:shd w:val="clear" w:color="auto" w:fill="auto"/>
            <w:noWrap/>
            <w:hideMark/>
          </w:tcPr>
          <w:p w14:paraId="79BFF9DD" w14:textId="77777777" w:rsidR="00E45705" w:rsidRPr="001B09E6" w:rsidRDefault="00E45705" w:rsidP="00E45705">
            <w:pPr>
              <w:pStyle w:val="TableCellText"/>
              <w:spacing w:before="0" w:after="0"/>
              <w:ind w:left="0" w:right="0"/>
              <w:rPr>
                <w:lang w:eastAsia="en-AU"/>
              </w:rPr>
            </w:pPr>
            <w:r w:rsidRPr="001B09E6">
              <w:rPr>
                <w:lang w:eastAsia="en-AU"/>
              </w:rPr>
              <w:t>1997</w:t>
            </w:r>
          </w:p>
        </w:tc>
        <w:tc>
          <w:tcPr>
            <w:tcW w:w="0" w:type="auto"/>
            <w:tcBorders>
              <w:top w:val="nil"/>
              <w:left w:val="nil"/>
              <w:bottom w:val="nil"/>
              <w:right w:val="nil"/>
            </w:tcBorders>
            <w:shd w:val="clear" w:color="auto" w:fill="auto"/>
            <w:noWrap/>
            <w:hideMark/>
          </w:tcPr>
          <w:p w14:paraId="54E19C67"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6E3A103B" w14:textId="77777777" w:rsidR="00E45705" w:rsidRPr="001B09E6" w:rsidRDefault="00E45705" w:rsidP="00E45705">
            <w:pPr>
              <w:pStyle w:val="TableCellText"/>
              <w:spacing w:before="0" w:after="0"/>
              <w:ind w:left="0" w:right="0"/>
              <w:jc w:val="center"/>
              <w:rPr>
                <w:lang w:eastAsia="en-AU"/>
              </w:rPr>
            </w:pPr>
            <w:r w:rsidRPr="001B09E6">
              <w:rPr>
                <w:lang w:eastAsia="en-AU"/>
              </w:rPr>
              <w:t>20.3</w:t>
            </w:r>
          </w:p>
        </w:tc>
        <w:tc>
          <w:tcPr>
            <w:tcW w:w="0" w:type="auto"/>
            <w:tcBorders>
              <w:top w:val="nil"/>
              <w:left w:val="nil"/>
              <w:bottom w:val="nil"/>
              <w:right w:val="nil"/>
            </w:tcBorders>
            <w:shd w:val="clear" w:color="auto" w:fill="auto"/>
            <w:noWrap/>
            <w:hideMark/>
          </w:tcPr>
          <w:p w14:paraId="448D8817" w14:textId="77777777" w:rsidR="00E45705" w:rsidRPr="001B09E6" w:rsidRDefault="00E45705" w:rsidP="00E45705">
            <w:pPr>
              <w:pStyle w:val="TableCellText"/>
              <w:spacing w:before="0" w:after="0"/>
              <w:ind w:left="0" w:right="0"/>
              <w:jc w:val="center"/>
              <w:rPr>
                <w:lang w:eastAsia="en-AU"/>
              </w:rPr>
            </w:pPr>
            <w:r w:rsidRPr="001B09E6">
              <w:rPr>
                <w:lang w:eastAsia="en-AU"/>
              </w:rPr>
              <w:t>21.6</w:t>
            </w:r>
          </w:p>
        </w:tc>
        <w:tc>
          <w:tcPr>
            <w:tcW w:w="0" w:type="auto"/>
            <w:tcBorders>
              <w:top w:val="nil"/>
              <w:left w:val="nil"/>
              <w:bottom w:val="nil"/>
              <w:right w:val="nil"/>
            </w:tcBorders>
            <w:shd w:val="clear" w:color="auto" w:fill="auto"/>
            <w:noWrap/>
            <w:hideMark/>
          </w:tcPr>
          <w:p w14:paraId="04AAC07D" w14:textId="77777777" w:rsidR="00E45705" w:rsidRPr="001B09E6" w:rsidRDefault="00E45705" w:rsidP="00E45705">
            <w:pPr>
              <w:pStyle w:val="TableCellText"/>
              <w:spacing w:before="0" w:after="0"/>
              <w:ind w:left="0" w:right="0"/>
              <w:jc w:val="center"/>
              <w:rPr>
                <w:lang w:eastAsia="en-AU"/>
              </w:rPr>
            </w:pPr>
            <w:r w:rsidRPr="001B09E6">
              <w:rPr>
                <w:lang w:eastAsia="en-AU"/>
              </w:rPr>
              <w:t>2.3</w:t>
            </w:r>
          </w:p>
        </w:tc>
        <w:tc>
          <w:tcPr>
            <w:tcW w:w="0" w:type="auto"/>
            <w:tcBorders>
              <w:top w:val="nil"/>
              <w:left w:val="nil"/>
              <w:bottom w:val="nil"/>
              <w:right w:val="nil"/>
            </w:tcBorders>
            <w:shd w:val="clear" w:color="auto" w:fill="auto"/>
            <w:noWrap/>
            <w:hideMark/>
          </w:tcPr>
          <w:p w14:paraId="25A71EA1" w14:textId="77777777" w:rsidR="00E45705" w:rsidRPr="001B09E6" w:rsidRDefault="00E45705" w:rsidP="00E45705">
            <w:pPr>
              <w:pStyle w:val="TableCellText"/>
              <w:spacing w:before="0" w:after="0"/>
              <w:ind w:left="0" w:right="0"/>
              <w:jc w:val="center"/>
              <w:rPr>
                <w:lang w:eastAsia="en-AU"/>
              </w:rPr>
            </w:pPr>
            <w:r w:rsidRPr="001B09E6">
              <w:rPr>
                <w:lang w:eastAsia="en-AU"/>
              </w:rPr>
              <w:t>3.7</w:t>
            </w:r>
          </w:p>
        </w:tc>
      </w:tr>
      <w:tr w:rsidR="00E45705" w:rsidRPr="001B09E6" w14:paraId="4EEAFF0E" w14:textId="77777777" w:rsidTr="00E45705">
        <w:trPr>
          <w:trHeight w:val="57"/>
        </w:trPr>
        <w:tc>
          <w:tcPr>
            <w:tcW w:w="0" w:type="auto"/>
            <w:tcBorders>
              <w:top w:val="nil"/>
              <w:left w:val="nil"/>
              <w:bottom w:val="nil"/>
              <w:right w:val="nil"/>
            </w:tcBorders>
            <w:shd w:val="clear" w:color="auto" w:fill="auto"/>
            <w:noWrap/>
            <w:hideMark/>
          </w:tcPr>
          <w:p w14:paraId="446331D5" w14:textId="77777777" w:rsidR="00E45705" w:rsidRPr="001B09E6" w:rsidRDefault="00E45705" w:rsidP="00E45705">
            <w:pPr>
              <w:pStyle w:val="TableCellText"/>
              <w:spacing w:before="0" w:after="0"/>
              <w:ind w:left="0" w:right="0"/>
              <w:rPr>
                <w:lang w:eastAsia="en-AU"/>
              </w:rPr>
            </w:pPr>
            <w:r w:rsidRPr="001B09E6">
              <w:rPr>
                <w:lang w:eastAsia="en-AU"/>
              </w:rPr>
              <w:t>1998</w:t>
            </w:r>
          </w:p>
        </w:tc>
        <w:tc>
          <w:tcPr>
            <w:tcW w:w="0" w:type="auto"/>
            <w:tcBorders>
              <w:top w:val="nil"/>
              <w:left w:val="nil"/>
              <w:bottom w:val="nil"/>
              <w:right w:val="nil"/>
            </w:tcBorders>
            <w:shd w:val="clear" w:color="auto" w:fill="auto"/>
            <w:noWrap/>
            <w:hideMark/>
          </w:tcPr>
          <w:p w14:paraId="2C7B8209"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19385BF4" w14:textId="77777777" w:rsidR="00E45705" w:rsidRPr="001B09E6" w:rsidRDefault="00E45705" w:rsidP="00E45705">
            <w:pPr>
              <w:pStyle w:val="TableCellText"/>
              <w:spacing w:before="0" w:after="0"/>
              <w:ind w:left="0" w:right="0"/>
              <w:jc w:val="center"/>
              <w:rPr>
                <w:lang w:eastAsia="en-AU"/>
              </w:rPr>
            </w:pPr>
            <w:r w:rsidRPr="001B09E6">
              <w:rPr>
                <w:lang w:eastAsia="en-AU"/>
              </w:rPr>
              <w:t>20.0</w:t>
            </w:r>
          </w:p>
        </w:tc>
        <w:tc>
          <w:tcPr>
            <w:tcW w:w="0" w:type="auto"/>
            <w:tcBorders>
              <w:top w:val="nil"/>
              <w:left w:val="nil"/>
              <w:bottom w:val="nil"/>
              <w:right w:val="nil"/>
            </w:tcBorders>
            <w:shd w:val="clear" w:color="auto" w:fill="auto"/>
            <w:noWrap/>
            <w:hideMark/>
          </w:tcPr>
          <w:p w14:paraId="222C5A76" w14:textId="77777777" w:rsidR="00E45705" w:rsidRPr="001B09E6" w:rsidRDefault="00E45705" w:rsidP="00E45705">
            <w:pPr>
              <w:pStyle w:val="TableCellText"/>
              <w:spacing w:before="0" w:after="0"/>
              <w:ind w:left="0" w:right="0"/>
              <w:jc w:val="center"/>
              <w:rPr>
                <w:lang w:eastAsia="en-AU"/>
              </w:rPr>
            </w:pPr>
            <w:r w:rsidRPr="001B09E6">
              <w:rPr>
                <w:lang w:eastAsia="en-AU"/>
              </w:rPr>
              <w:t>21.1</w:t>
            </w:r>
          </w:p>
        </w:tc>
        <w:tc>
          <w:tcPr>
            <w:tcW w:w="0" w:type="auto"/>
            <w:tcBorders>
              <w:top w:val="nil"/>
              <w:left w:val="nil"/>
              <w:bottom w:val="nil"/>
              <w:right w:val="nil"/>
            </w:tcBorders>
            <w:shd w:val="clear" w:color="auto" w:fill="auto"/>
            <w:noWrap/>
            <w:hideMark/>
          </w:tcPr>
          <w:p w14:paraId="1A972AE6" w14:textId="77777777" w:rsidR="00E45705" w:rsidRPr="001B09E6" w:rsidRDefault="00E45705" w:rsidP="00E45705">
            <w:pPr>
              <w:pStyle w:val="TableCellText"/>
              <w:spacing w:before="0" w:after="0"/>
              <w:ind w:left="0" w:right="0"/>
              <w:jc w:val="center"/>
              <w:rPr>
                <w:lang w:eastAsia="en-AU"/>
              </w:rPr>
            </w:pPr>
            <w:r w:rsidRPr="001B09E6">
              <w:rPr>
                <w:lang w:eastAsia="en-AU"/>
              </w:rPr>
              <w:t>2.0</w:t>
            </w:r>
          </w:p>
        </w:tc>
        <w:tc>
          <w:tcPr>
            <w:tcW w:w="0" w:type="auto"/>
            <w:tcBorders>
              <w:top w:val="nil"/>
              <w:left w:val="nil"/>
              <w:bottom w:val="nil"/>
              <w:right w:val="nil"/>
            </w:tcBorders>
            <w:shd w:val="clear" w:color="auto" w:fill="auto"/>
            <w:noWrap/>
            <w:hideMark/>
          </w:tcPr>
          <w:p w14:paraId="34557EB7" w14:textId="77777777" w:rsidR="00E45705" w:rsidRPr="001B09E6" w:rsidRDefault="00E45705" w:rsidP="00E45705">
            <w:pPr>
              <w:pStyle w:val="TableCellText"/>
              <w:spacing w:before="0" w:after="0"/>
              <w:ind w:left="0" w:right="0"/>
              <w:jc w:val="center"/>
              <w:rPr>
                <w:lang w:eastAsia="en-AU"/>
              </w:rPr>
            </w:pPr>
            <w:r w:rsidRPr="001B09E6">
              <w:rPr>
                <w:lang w:eastAsia="en-AU"/>
              </w:rPr>
              <w:t>3.2</w:t>
            </w:r>
          </w:p>
        </w:tc>
      </w:tr>
      <w:tr w:rsidR="00E45705" w:rsidRPr="001B09E6" w14:paraId="4131CE9D" w14:textId="77777777" w:rsidTr="00E45705">
        <w:trPr>
          <w:trHeight w:val="57"/>
        </w:trPr>
        <w:tc>
          <w:tcPr>
            <w:tcW w:w="0" w:type="auto"/>
            <w:tcBorders>
              <w:top w:val="nil"/>
              <w:left w:val="nil"/>
              <w:bottom w:val="nil"/>
              <w:right w:val="nil"/>
            </w:tcBorders>
            <w:shd w:val="clear" w:color="auto" w:fill="auto"/>
            <w:noWrap/>
            <w:hideMark/>
          </w:tcPr>
          <w:p w14:paraId="2847AE5A" w14:textId="77777777" w:rsidR="00E45705" w:rsidRPr="001B09E6" w:rsidRDefault="00E45705" w:rsidP="00E45705">
            <w:pPr>
              <w:pStyle w:val="TableCellText"/>
              <w:spacing w:before="0" w:after="0"/>
              <w:ind w:left="0" w:right="0"/>
              <w:rPr>
                <w:lang w:eastAsia="en-AU"/>
              </w:rPr>
            </w:pPr>
            <w:r w:rsidRPr="001B09E6">
              <w:rPr>
                <w:lang w:eastAsia="en-AU"/>
              </w:rPr>
              <w:t>1999</w:t>
            </w:r>
          </w:p>
        </w:tc>
        <w:tc>
          <w:tcPr>
            <w:tcW w:w="0" w:type="auto"/>
            <w:tcBorders>
              <w:top w:val="nil"/>
              <w:left w:val="nil"/>
              <w:bottom w:val="nil"/>
              <w:right w:val="nil"/>
            </w:tcBorders>
            <w:shd w:val="clear" w:color="auto" w:fill="auto"/>
            <w:noWrap/>
            <w:hideMark/>
          </w:tcPr>
          <w:p w14:paraId="60F88C9C"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3A371550" w14:textId="77777777" w:rsidR="00E45705" w:rsidRPr="001B09E6" w:rsidRDefault="00E45705" w:rsidP="00E45705">
            <w:pPr>
              <w:pStyle w:val="TableCellText"/>
              <w:spacing w:before="0" w:after="0"/>
              <w:ind w:left="0" w:right="0"/>
              <w:jc w:val="center"/>
              <w:rPr>
                <w:lang w:eastAsia="en-AU"/>
              </w:rPr>
            </w:pPr>
            <w:r w:rsidRPr="001B09E6">
              <w:rPr>
                <w:lang w:eastAsia="en-AU"/>
              </w:rPr>
              <w:t>20.1</w:t>
            </w:r>
          </w:p>
        </w:tc>
        <w:tc>
          <w:tcPr>
            <w:tcW w:w="0" w:type="auto"/>
            <w:tcBorders>
              <w:top w:val="nil"/>
              <w:left w:val="nil"/>
              <w:bottom w:val="nil"/>
              <w:right w:val="nil"/>
            </w:tcBorders>
            <w:shd w:val="clear" w:color="auto" w:fill="auto"/>
            <w:noWrap/>
            <w:hideMark/>
          </w:tcPr>
          <w:p w14:paraId="6E397354" w14:textId="77777777" w:rsidR="00E45705" w:rsidRPr="001B09E6" w:rsidRDefault="00E45705" w:rsidP="00E45705">
            <w:pPr>
              <w:pStyle w:val="TableCellText"/>
              <w:spacing w:before="0" w:after="0"/>
              <w:ind w:left="0" w:right="0"/>
              <w:jc w:val="center"/>
              <w:rPr>
                <w:lang w:eastAsia="en-AU"/>
              </w:rPr>
            </w:pPr>
            <w:r w:rsidRPr="001B09E6">
              <w:rPr>
                <w:lang w:eastAsia="en-AU"/>
              </w:rPr>
              <w:t>21.6</w:t>
            </w:r>
          </w:p>
        </w:tc>
        <w:tc>
          <w:tcPr>
            <w:tcW w:w="0" w:type="auto"/>
            <w:tcBorders>
              <w:top w:val="nil"/>
              <w:left w:val="nil"/>
              <w:bottom w:val="nil"/>
              <w:right w:val="nil"/>
            </w:tcBorders>
            <w:shd w:val="clear" w:color="auto" w:fill="auto"/>
            <w:noWrap/>
            <w:hideMark/>
          </w:tcPr>
          <w:p w14:paraId="2D0A527B" w14:textId="77777777" w:rsidR="00E45705" w:rsidRPr="001B09E6" w:rsidRDefault="00E45705" w:rsidP="00E45705">
            <w:pPr>
              <w:pStyle w:val="TableCellText"/>
              <w:spacing w:before="0" w:after="0"/>
              <w:ind w:left="0" w:right="0"/>
              <w:jc w:val="center"/>
              <w:rPr>
                <w:lang w:eastAsia="en-AU"/>
              </w:rPr>
            </w:pPr>
            <w:r w:rsidRPr="001B09E6">
              <w:rPr>
                <w:lang w:eastAsia="en-AU"/>
              </w:rPr>
              <w:t>2.2</w:t>
            </w:r>
          </w:p>
        </w:tc>
        <w:tc>
          <w:tcPr>
            <w:tcW w:w="0" w:type="auto"/>
            <w:tcBorders>
              <w:top w:val="nil"/>
              <w:left w:val="nil"/>
              <w:bottom w:val="nil"/>
              <w:right w:val="nil"/>
            </w:tcBorders>
            <w:shd w:val="clear" w:color="auto" w:fill="auto"/>
            <w:noWrap/>
            <w:hideMark/>
          </w:tcPr>
          <w:p w14:paraId="000B00FE" w14:textId="77777777" w:rsidR="00E45705" w:rsidRPr="001B09E6" w:rsidRDefault="00E45705" w:rsidP="00E45705">
            <w:pPr>
              <w:pStyle w:val="TableCellText"/>
              <w:spacing w:before="0" w:after="0"/>
              <w:ind w:left="0" w:right="0"/>
              <w:jc w:val="center"/>
              <w:rPr>
                <w:lang w:eastAsia="en-AU"/>
              </w:rPr>
            </w:pPr>
            <w:r w:rsidRPr="001B09E6">
              <w:rPr>
                <w:lang w:eastAsia="en-AU"/>
              </w:rPr>
              <w:t>3.7</w:t>
            </w:r>
          </w:p>
        </w:tc>
      </w:tr>
      <w:tr w:rsidR="00E45705" w:rsidRPr="001B09E6" w14:paraId="2B01FEFB" w14:textId="77777777" w:rsidTr="00E45705">
        <w:trPr>
          <w:trHeight w:val="57"/>
        </w:trPr>
        <w:tc>
          <w:tcPr>
            <w:tcW w:w="0" w:type="auto"/>
            <w:tcBorders>
              <w:top w:val="nil"/>
              <w:left w:val="nil"/>
              <w:bottom w:val="nil"/>
              <w:right w:val="nil"/>
            </w:tcBorders>
            <w:shd w:val="clear" w:color="auto" w:fill="auto"/>
            <w:noWrap/>
            <w:hideMark/>
          </w:tcPr>
          <w:p w14:paraId="2ED03BAC" w14:textId="77777777" w:rsidR="00E45705" w:rsidRPr="001B09E6" w:rsidRDefault="00E45705" w:rsidP="00E45705">
            <w:pPr>
              <w:pStyle w:val="TableCellText"/>
              <w:spacing w:before="0" w:after="0"/>
              <w:ind w:left="0" w:right="0"/>
              <w:rPr>
                <w:lang w:eastAsia="en-AU"/>
              </w:rPr>
            </w:pPr>
            <w:r w:rsidRPr="001B09E6">
              <w:rPr>
                <w:lang w:eastAsia="en-AU"/>
              </w:rPr>
              <w:t>2000</w:t>
            </w:r>
          </w:p>
        </w:tc>
        <w:tc>
          <w:tcPr>
            <w:tcW w:w="0" w:type="auto"/>
            <w:tcBorders>
              <w:top w:val="nil"/>
              <w:left w:val="nil"/>
              <w:bottom w:val="nil"/>
              <w:right w:val="nil"/>
            </w:tcBorders>
            <w:shd w:val="clear" w:color="auto" w:fill="auto"/>
            <w:noWrap/>
            <w:hideMark/>
          </w:tcPr>
          <w:p w14:paraId="058E0669"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3498A437" w14:textId="77777777" w:rsidR="00E45705" w:rsidRPr="001B09E6" w:rsidRDefault="00E45705" w:rsidP="00E45705">
            <w:pPr>
              <w:pStyle w:val="TableCellText"/>
              <w:spacing w:before="0" w:after="0"/>
              <w:ind w:left="0" w:right="0"/>
              <w:jc w:val="center"/>
              <w:rPr>
                <w:lang w:eastAsia="en-AU"/>
              </w:rPr>
            </w:pPr>
            <w:r w:rsidRPr="001B09E6">
              <w:rPr>
                <w:lang w:eastAsia="en-AU"/>
              </w:rPr>
              <w:t>19.5</w:t>
            </w:r>
          </w:p>
        </w:tc>
        <w:tc>
          <w:tcPr>
            <w:tcW w:w="0" w:type="auto"/>
            <w:tcBorders>
              <w:top w:val="nil"/>
              <w:left w:val="nil"/>
              <w:bottom w:val="nil"/>
              <w:right w:val="nil"/>
            </w:tcBorders>
            <w:shd w:val="clear" w:color="auto" w:fill="auto"/>
            <w:noWrap/>
            <w:hideMark/>
          </w:tcPr>
          <w:p w14:paraId="5EE0A30D" w14:textId="77777777" w:rsidR="00E45705" w:rsidRPr="001B09E6" w:rsidRDefault="00E45705" w:rsidP="00E45705">
            <w:pPr>
              <w:pStyle w:val="TableCellText"/>
              <w:spacing w:before="0" w:after="0"/>
              <w:ind w:left="0" w:right="0"/>
              <w:jc w:val="center"/>
              <w:rPr>
                <w:lang w:eastAsia="en-AU"/>
              </w:rPr>
            </w:pPr>
            <w:r w:rsidRPr="001B09E6">
              <w:rPr>
                <w:lang w:eastAsia="en-AU"/>
              </w:rPr>
              <w:t>21.0</w:t>
            </w:r>
          </w:p>
        </w:tc>
        <w:tc>
          <w:tcPr>
            <w:tcW w:w="0" w:type="auto"/>
            <w:tcBorders>
              <w:top w:val="nil"/>
              <w:left w:val="nil"/>
              <w:bottom w:val="nil"/>
              <w:right w:val="nil"/>
            </w:tcBorders>
            <w:shd w:val="clear" w:color="auto" w:fill="auto"/>
            <w:noWrap/>
            <w:hideMark/>
          </w:tcPr>
          <w:p w14:paraId="6ADC1817" w14:textId="77777777" w:rsidR="00E45705" w:rsidRPr="001B09E6" w:rsidRDefault="00E45705" w:rsidP="00E45705">
            <w:pPr>
              <w:pStyle w:val="TableCellText"/>
              <w:spacing w:before="0" w:after="0"/>
              <w:ind w:left="0" w:right="0"/>
              <w:jc w:val="center"/>
              <w:rPr>
                <w:lang w:eastAsia="en-AU"/>
              </w:rPr>
            </w:pPr>
            <w:r w:rsidRPr="001B09E6">
              <w:rPr>
                <w:lang w:eastAsia="en-AU"/>
              </w:rPr>
              <w:t>1.6</w:t>
            </w:r>
          </w:p>
        </w:tc>
        <w:tc>
          <w:tcPr>
            <w:tcW w:w="0" w:type="auto"/>
            <w:tcBorders>
              <w:top w:val="nil"/>
              <w:left w:val="nil"/>
              <w:bottom w:val="nil"/>
              <w:right w:val="nil"/>
            </w:tcBorders>
            <w:shd w:val="clear" w:color="auto" w:fill="auto"/>
            <w:noWrap/>
            <w:hideMark/>
          </w:tcPr>
          <w:p w14:paraId="1895198D" w14:textId="77777777" w:rsidR="00E45705" w:rsidRPr="001B09E6" w:rsidRDefault="00E45705" w:rsidP="00E45705">
            <w:pPr>
              <w:pStyle w:val="TableCellText"/>
              <w:spacing w:before="0" w:after="0"/>
              <w:ind w:left="0" w:right="0"/>
              <w:jc w:val="center"/>
              <w:rPr>
                <w:lang w:eastAsia="en-AU"/>
              </w:rPr>
            </w:pPr>
            <w:r w:rsidRPr="001B09E6">
              <w:rPr>
                <w:lang w:eastAsia="en-AU"/>
              </w:rPr>
              <w:t>3.1</w:t>
            </w:r>
          </w:p>
        </w:tc>
      </w:tr>
      <w:tr w:rsidR="00E45705" w:rsidRPr="001B09E6" w14:paraId="421A6C40" w14:textId="77777777" w:rsidTr="00E45705">
        <w:trPr>
          <w:trHeight w:val="57"/>
        </w:trPr>
        <w:tc>
          <w:tcPr>
            <w:tcW w:w="0" w:type="auto"/>
            <w:tcBorders>
              <w:top w:val="nil"/>
              <w:left w:val="nil"/>
              <w:bottom w:val="nil"/>
              <w:right w:val="nil"/>
            </w:tcBorders>
            <w:shd w:val="clear" w:color="auto" w:fill="auto"/>
            <w:noWrap/>
            <w:hideMark/>
          </w:tcPr>
          <w:p w14:paraId="069FA4F9" w14:textId="77777777" w:rsidR="00E45705" w:rsidRPr="001B09E6" w:rsidRDefault="00E45705" w:rsidP="00E45705">
            <w:pPr>
              <w:pStyle w:val="TableCellText"/>
              <w:spacing w:before="0" w:after="0"/>
              <w:ind w:left="0" w:right="0"/>
              <w:rPr>
                <w:lang w:eastAsia="en-AU"/>
              </w:rPr>
            </w:pPr>
            <w:r w:rsidRPr="001B09E6">
              <w:rPr>
                <w:lang w:eastAsia="en-AU"/>
              </w:rPr>
              <w:t>2001</w:t>
            </w:r>
          </w:p>
        </w:tc>
        <w:tc>
          <w:tcPr>
            <w:tcW w:w="0" w:type="auto"/>
            <w:tcBorders>
              <w:top w:val="nil"/>
              <w:left w:val="nil"/>
              <w:bottom w:val="nil"/>
              <w:right w:val="nil"/>
            </w:tcBorders>
            <w:shd w:val="clear" w:color="auto" w:fill="auto"/>
            <w:noWrap/>
            <w:hideMark/>
          </w:tcPr>
          <w:p w14:paraId="3588AA5E" w14:textId="77777777" w:rsidR="00E45705" w:rsidRPr="001B09E6" w:rsidRDefault="00E45705" w:rsidP="00E45705">
            <w:pPr>
              <w:pStyle w:val="TableCellText"/>
              <w:spacing w:before="0" w:after="0"/>
              <w:ind w:left="0" w:right="0"/>
              <w:jc w:val="center"/>
              <w:rPr>
                <w:lang w:eastAsia="en-AU"/>
              </w:rPr>
            </w:pPr>
            <w:r w:rsidRPr="001B09E6">
              <w:rPr>
                <w:lang w:eastAsia="en-AU"/>
              </w:rPr>
              <w:t>18.0</w:t>
            </w:r>
          </w:p>
        </w:tc>
        <w:tc>
          <w:tcPr>
            <w:tcW w:w="0" w:type="auto"/>
            <w:tcBorders>
              <w:top w:val="nil"/>
              <w:left w:val="nil"/>
              <w:bottom w:val="nil"/>
              <w:right w:val="nil"/>
            </w:tcBorders>
            <w:shd w:val="clear" w:color="auto" w:fill="auto"/>
            <w:noWrap/>
            <w:hideMark/>
          </w:tcPr>
          <w:p w14:paraId="56FC9DAE" w14:textId="77777777" w:rsidR="00E45705" w:rsidRPr="001B09E6" w:rsidRDefault="00E45705" w:rsidP="00E45705">
            <w:pPr>
              <w:pStyle w:val="TableCellText"/>
              <w:spacing w:before="0" w:after="0"/>
              <w:ind w:left="0" w:right="0"/>
              <w:jc w:val="center"/>
              <w:rPr>
                <w:lang w:eastAsia="en-AU"/>
              </w:rPr>
            </w:pPr>
            <w:r w:rsidRPr="001B09E6">
              <w:rPr>
                <w:lang w:eastAsia="en-AU"/>
              </w:rPr>
              <w:t>20.2</w:t>
            </w:r>
          </w:p>
        </w:tc>
        <w:tc>
          <w:tcPr>
            <w:tcW w:w="0" w:type="auto"/>
            <w:tcBorders>
              <w:top w:val="nil"/>
              <w:left w:val="nil"/>
              <w:bottom w:val="nil"/>
              <w:right w:val="nil"/>
            </w:tcBorders>
            <w:shd w:val="clear" w:color="auto" w:fill="auto"/>
            <w:noWrap/>
            <w:hideMark/>
          </w:tcPr>
          <w:p w14:paraId="343A0BA1" w14:textId="77777777" w:rsidR="00E45705" w:rsidRPr="001B09E6" w:rsidRDefault="00E45705" w:rsidP="00E45705">
            <w:pPr>
              <w:pStyle w:val="TableCellText"/>
              <w:spacing w:before="0" w:after="0"/>
              <w:ind w:left="0" w:right="0"/>
              <w:jc w:val="center"/>
              <w:rPr>
                <w:lang w:eastAsia="en-AU"/>
              </w:rPr>
            </w:pPr>
            <w:r w:rsidRPr="001B09E6">
              <w:rPr>
                <w:lang w:eastAsia="en-AU"/>
              </w:rPr>
              <w:t>21.6</w:t>
            </w:r>
          </w:p>
        </w:tc>
        <w:tc>
          <w:tcPr>
            <w:tcW w:w="0" w:type="auto"/>
            <w:tcBorders>
              <w:top w:val="nil"/>
              <w:left w:val="nil"/>
              <w:bottom w:val="nil"/>
              <w:right w:val="nil"/>
            </w:tcBorders>
            <w:shd w:val="clear" w:color="auto" w:fill="auto"/>
            <w:noWrap/>
            <w:hideMark/>
          </w:tcPr>
          <w:p w14:paraId="31DCFD26" w14:textId="77777777" w:rsidR="00E45705" w:rsidRPr="001B09E6" w:rsidRDefault="00E45705" w:rsidP="00E45705">
            <w:pPr>
              <w:pStyle w:val="TableCellText"/>
              <w:spacing w:before="0" w:after="0"/>
              <w:ind w:left="0" w:right="0"/>
              <w:jc w:val="center"/>
              <w:rPr>
                <w:lang w:eastAsia="en-AU"/>
              </w:rPr>
            </w:pPr>
            <w:r w:rsidRPr="001B09E6">
              <w:rPr>
                <w:lang w:eastAsia="en-AU"/>
              </w:rPr>
              <w:t>2.3</w:t>
            </w:r>
          </w:p>
        </w:tc>
        <w:tc>
          <w:tcPr>
            <w:tcW w:w="0" w:type="auto"/>
            <w:tcBorders>
              <w:top w:val="nil"/>
              <w:left w:val="nil"/>
              <w:bottom w:val="nil"/>
              <w:right w:val="nil"/>
            </w:tcBorders>
            <w:shd w:val="clear" w:color="auto" w:fill="auto"/>
            <w:noWrap/>
            <w:hideMark/>
          </w:tcPr>
          <w:p w14:paraId="05E87699" w14:textId="77777777" w:rsidR="00E45705" w:rsidRPr="001B09E6" w:rsidRDefault="00E45705" w:rsidP="00E45705">
            <w:pPr>
              <w:pStyle w:val="TableCellText"/>
              <w:spacing w:before="0" w:after="0"/>
              <w:ind w:left="0" w:right="0"/>
              <w:jc w:val="center"/>
              <w:rPr>
                <w:lang w:eastAsia="en-AU"/>
              </w:rPr>
            </w:pPr>
            <w:r w:rsidRPr="001B09E6">
              <w:rPr>
                <w:lang w:eastAsia="en-AU"/>
              </w:rPr>
              <w:t>3.6</w:t>
            </w:r>
          </w:p>
        </w:tc>
      </w:tr>
      <w:tr w:rsidR="00E45705" w:rsidRPr="001B09E6" w14:paraId="4973AEF0" w14:textId="77777777" w:rsidTr="00E45705">
        <w:trPr>
          <w:trHeight w:val="57"/>
        </w:trPr>
        <w:tc>
          <w:tcPr>
            <w:tcW w:w="0" w:type="auto"/>
            <w:tcBorders>
              <w:top w:val="nil"/>
              <w:left w:val="nil"/>
              <w:bottom w:val="nil"/>
              <w:right w:val="nil"/>
            </w:tcBorders>
            <w:shd w:val="clear" w:color="auto" w:fill="auto"/>
            <w:noWrap/>
            <w:hideMark/>
          </w:tcPr>
          <w:p w14:paraId="0AB7B496" w14:textId="77777777" w:rsidR="00E45705" w:rsidRPr="001B09E6" w:rsidRDefault="00E45705" w:rsidP="00E45705">
            <w:pPr>
              <w:pStyle w:val="TableCellText"/>
              <w:spacing w:before="0" w:after="0"/>
              <w:ind w:left="0" w:right="0"/>
              <w:rPr>
                <w:lang w:eastAsia="en-AU"/>
              </w:rPr>
            </w:pPr>
            <w:r w:rsidRPr="001B09E6">
              <w:rPr>
                <w:lang w:eastAsia="en-AU"/>
              </w:rPr>
              <w:t>2002</w:t>
            </w:r>
          </w:p>
        </w:tc>
        <w:tc>
          <w:tcPr>
            <w:tcW w:w="0" w:type="auto"/>
            <w:tcBorders>
              <w:top w:val="nil"/>
              <w:left w:val="nil"/>
              <w:bottom w:val="nil"/>
              <w:right w:val="nil"/>
            </w:tcBorders>
            <w:shd w:val="clear" w:color="auto" w:fill="auto"/>
            <w:noWrap/>
            <w:hideMark/>
          </w:tcPr>
          <w:p w14:paraId="44979018"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057FCC01" w14:textId="77777777" w:rsidR="00E45705" w:rsidRPr="001B09E6" w:rsidRDefault="00E45705" w:rsidP="00E45705">
            <w:pPr>
              <w:pStyle w:val="TableCellText"/>
              <w:spacing w:before="0" w:after="0"/>
              <w:ind w:left="0" w:right="0"/>
              <w:jc w:val="center"/>
              <w:rPr>
                <w:lang w:eastAsia="en-AU"/>
              </w:rPr>
            </w:pPr>
            <w:r w:rsidRPr="001B09E6">
              <w:rPr>
                <w:lang w:eastAsia="en-AU"/>
              </w:rPr>
              <w:t>20.7</w:t>
            </w:r>
          </w:p>
        </w:tc>
        <w:tc>
          <w:tcPr>
            <w:tcW w:w="0" w:type="auto"/>
            <w:tcBorders>
              <w:top w:val="nil"/>
              <w:left w:val="nil"/>
              <w:bottom w:val="nil"/>
              <w:right w:val="nil"/>
            </w:tcBorders>
            <w:shd w:val="clear" w:color="auto" w:fill="auto"/>
            <w:noWrap/>
            <w:hideMark/>
          </w:tcPr>
          <w:p w14:paraId="12C1E954" w14:textId="77777777" w:rsidR="00E45705" w:rsidRPr="001B09E6" w:rsidRDefault="00E45705" w:rsidP="00E45705">
            <w:pPr>
              <w:pStyle w:val="TableCellText"/>
              <w:spacing w:before="0" w:after="0"/>
              <w:ind w:left="0" w:right="0"/>
              <w:jc w:val="center"/>
              <w:rPr>
                <w:lang w:eastAsia="en-AU"/>
              </w:rPr>
            </w:pPr>
            <w:r w:rsidRPr="001B09E6">
              <w:rPr>
                <w:lang w:eastAsia="en-AU"/>
              </w:rPr>
              <w:t>21.7</w:t>
            </w:r>
          </w:p>
        </w:tc>
        <w:tc>
          <w:tcPr>
            <w:tcW w:w="0" w:type="auto"/>
            <w:tcBorders>
              <w:top w:val="nil"/>
              <w:left w:val="nil"/>
              <w:bottom w:val="nil"/>
              <w:right w:val="nil"/>
            </w:tcBorders>
            <w:shd w:val="clear" w:color="auto" w:fill="auto"/>
            <w:noWrap/>
            <w:hideMark/>
          </w:tcPr>
          <w:p w14:paraId="34210060" w14:textId="77777777" w:rsidR="00E45705" w:rsidRPr="001B09E6" w:rsidRDefault="00E45705" w:rsidP="00E45705">
            <w:pPr>
              <w:pStyle w:val="TableCellText"/>
              <w:spacing w:before="0" w:after="0"/>
              <w:ind w:left="0" w:right="0"/>
              <w:jc w:val="center"/>
              <w:rPr>
                <w:lang w:eastAsia="en-AU"/>
              </w:rPr>
            </w:pPr>
            <w:r w:rsidRPr="001B09E6">
              <w:rPr>
                <w:lang w:eastAsia="en-AU"/>
              </w:rPr>
              <w:t>2.8</w:t>
            </w:r>
          </w:p>
        </w:tc>
        <w:tc>
          <w:tcPr>
            <w:tcW w:w="0" w:type="auto"/>
            <w:tcBorders>
              <w:top w:val="nil"/>
              <w:left w:val="nil"/>
              <w:bottom w:val="nil"/>
              <w:right w:val="nil"/>
            </w:tcBorders>
            <w:shd w:val="clear" w:color="auto" w:fill="auto"/>
            <w:noWrap/>
            <w:hideMark/>
          </w:tcPr>
          <w:p w14:paraId="711839F0" w14:textId="77777777" w:rsidR="00E45705" w:rsidRPr="001B09E6" w:rsidRDefault="00E45705" w:rsidP="00E45705">
            <w:pPr>
              <w:pStyle w:val="TableCellText"/>
              <w:spacing w:before="0" w:after="0"/>
              <w:ind w:left="0" w:right="0"/>
              <w:jc w:val="center"/>
              <w:rPr>
                <w:lang w:eastAsia="en-AU"/>
              </w:rPr>
            </w:pPr>
            <w:r w:rsidRPr="001B09E6">
              <w:rPr>
                <w:lang w:eastAsia="en-AU"/>
              </w:rPr>
              <w:t>3.8</w:t>
            </w:r>
          </w:p>
        </w:tc>
      </w:tr>
      <w:tr w:rsidR="00E45705" w:rsidRPr="001B09E6" w14:paraId="3BC9E526" w14:textId="77777777" w:rsidTr="00E45705">
        <w:trPr>
          <w:trHeight w:val="57"/>
        </w:trPr>
        <w:tc>
          <w:tcPr>
            <w:tcW w:w="0" w:type="auto"/>
            <w:tcBorders>
              <w:top w:val="nil"/>
              <w:left w:val="nil"/>
              <w:bottom w:val="nil"/>
              <w:right w:val="nil"/>
            </w:tcBorders>
            <w:shd w:val="clear" w:color="auto" w:fill="auto"/>
            <w:noWrap/>
            <w:hideMark/>
          </w:tcPr>
          <w:p w14:paraId="760B05AD" w14:textId="77777777" w:rsidR="00E45705" w:rsidRPr="001B09E6" w:rsidRDefault="00E45705" w:rsidP="00E45705">
            <w:pPr>
              <w:pStyle w:val="TableCellText"/>
              <w:spacing w:before="0" w:after="0"/>
              <w:ind w:left="0" w:right="0"/>
              <w:rPr>
                <w:lang w:eastAsia="en-AU"/>
              </w:rPr>
            </w:pPr>
            <w:r w:rsidRPr="001B09E6">
              <w:rPr>
                <w:lang w:eastAsia="en-AU"/>
              </w:rPr>
              <w:t>2003</w:t>
            </w:r>
          </w:p>
        </w:tc>
        <w:tc>
          <w:tcPr>
            <w:tcW w:w="0" w:type="auto"/>
            <w:tcBorders>
              <w:top w:val="nil"/>
              <w:left w:val="nil"/>
              <w:bottom w:val="nil"/>
              <w:right w:val="nil"/>
            </w:tcBorders>
            <w:shd w:val="clear" w:color="auto" w:fill="auto"/>
            <w:noWrap/>
            <w:hideMark/>
          </w:tcPr>
          <w:p w14:paraId="1FE5AB8C"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48F2CA56" w14:textId="77777777" w:rsidR="00E45705" w:rsidRPr="001B09E6" w:rsidRDefault="00E45705" w:rsidP="00E45705">
            <w:pPr>
              <w:pStyle w:val="TableCellText"/>
              <w:spacing w:before="0" w:after="0"/>
              <w:ind w:left="0" w:right="0"/>
              <w:jc w:val="center"/>
              <w:rPr>
                <w:lang w:eastAsia="en-AU"/>
              </w:rPr>
            </w:pPr>
            <w:r w:rsidRPr="001B09E6">
              <w:rPr>
                <w:lang w:eastAsia="en-AU"/>
              </w:rPr>
              <w:t>21.1</w:t>
            </w:r>
          </w:p>
        </w:tc>
        <w:tc>
          <w:tcPr>
            <w:tcW w:w="0" w:type="auto"/>
            <w:tcBorders>
              <w:top w:val="nil"/>
              <w:left w:val="nil"/>
              <w:bottom w:val="nil"/>
              <w:right w:val="nil"/>
            </w:tcBorders>
            <w:shd w:val="clear" w:color="auto" w:fill="auto"/>
            <w:noWrap/>
            <w:hideMark/>
          </w:tcPr>
          <w:p w14:paraId="25493317" w14:textId="77777777" w:rsidR="00E45705" w:rsidRPr="001B09E6" w:rsidRDefault="00E45705" w:rsidP="00E45705">
            <w:pPr>
              <w:pStyle w:val="TableCellText"/>
              <w:spacing w:before="0" w:after="0"/>
              <w:ind w:left="0" w:right="0"/>
              <w:jc w:val="center"/>
              <w:rPr>
                <w:lang w:eastAsia="en-AU"/>
              </w:rPr>
            </w:pPr>
            <w:r w:rsidRPr="001B09E6">
              <w:rPr>
                <w:lang w:eastAsia="en-AU"/>
              </w:rPr>
              <w:t>22.1</w:t>
            </w:r>
          </w:p>
        </w:tc>
        <w:tc>
          <w:tcPr>
            <w:tcW w:w="0" w:type="auto"/>
            <w:tcBorders>
              <w:top w:val="nil"/>
              <w:left w:val="nil"/>
              <w:bottom w:val="nil"/>
              <w:right w:val="nil"/>
            </w:tcBorders>
            <w:shd w:val="clear" w:color="auto" w:fill="auto"/>
            <w:noWrap/>
            <w:hideMark/>
          </w:tcPr>
          <w:p w14:paraId="0439B7C6" w14:textId="77777777" w:rsidR="00E45705" w:rsidRPr="001B09E6" w:rsidRDefault="00E45705" w:rsidP="00E45705">
            <w:pPr>
              <w:pStyle w:val="TableCellText"/>
              <w:spacing w:before="0" w:after="0"/>
              <w:ind w:left="0" w:right="0"/>
              <w:jc w:val="center"/>
              <w:rPr>
                <w:lang w:eastAsia="en-AU"/>
              </w:rPr>
            </w:pPr>
            <w:r w:rsidRPr="001B09E6">
              <w:rPr>
                <w:lang w:eastAsia="en-AU"/>
              </w:rPr>
              <w:t>3.1</w:t>
            </w:r>
          </w:p>
        </w:tc>
        <w:tc>
          <w:tcPr>
            <w:tcW w:w="0" w:type="auto"/>
            <w:tcBorders>
              <w:top w:val="nil"/>
              <w:left w:val="nil"/>
              <w:bottom w:val="nil"/>
              <w:right w:val="nil"/>
            </w:tcBorders>
            <w:shd w:val="clear" w:color="auto" w:fill="auto"/>
            <w:noWrap/>
            <w:hideMark/>
          </w:tcPr>
          <w:p w14:paraId="354BE62C" w14:textId="77777777" w:rsidR="00E45705" w:rsidRPr="001B09E6" w:rsidRDefault="00E45705" w:rsidP="00E45705">
            <w:pPr>
              <w:pStyle w:val="TableCellText"/>
              <w:spacing w:before="0" w:after="0"/>
              <w:ind w:left="0" w:right="0"/>
              <w:jc w:val="center"/>
              <w:rPr>
                <w:lang w:eastAsia="en-AU"/>
              </w:rPr>
            </w:pPr>
            <w:r w:rsidRPr="001B09E6">
              <w:rPr>
                <w:lang w:eastAsia="en-AU"/>
              </w:rPr>
              <w:t>4.1</w:t>
            </w:r>
          </w:p>
        </w:tc>
      </w:tr>
      <w:tr w:rsidR="00E45705" w:rsidRPr="001B09E6" w14:paraId="586E37FB" w14:textId="77777777" w:rsidTr="00E45705">
        <w:trPr>
          <w:trHeight w:val="57"/>
        </w:trPr>
        <w:tc>
          <w:tcPr>
            <w:tcW w:w="0" w:type="auto"/>
            <w:tcBorders>
              <w:top w:val="nil"/>
              <w:left w:val="nil"/>
              <w:bottom w:val="nil"/>
              <w:right w:val="nil"/>
            </w:tcBorders>
            <w:shd w:val="clear" w:color="auto" w:fill="auto"/>
            <w:noWrap/>
            <w:hideMark/>
          </w:tcPr>
          <w:p w14:paraId="4B68C15D" w14:textId="77777777" w:rsidR="00E45705" w:rsidRPr="001B09E6" w:rsidRDefault="00E45705" w:rsidP="00E45705">
            <w:pPr>
              <w:pStyle w:val="TableCellText"/>
              <w:spacing w:before="0" w:after="0"/>
              <w:ind w:left="0" w:right="0"/>
              <w:rPr>
                <w:lang w:eastAsia="en-AU"/>
              </w:rPr>
            </w:pPr>
            <w:r w:rsidRPr="001B09E6">
              <w:rPr>
                <w:lang w:eastAsia="en-AU"/>
              </w:rPr>
              <w:t>2004</w:t>
            </w:r>
          </w:p>
        </w:tc>
        <w:tc>
          <w:tcPr>
            <w:tcW w:w="0" w:type="auto"/>
            <w:tcBorders>
              <w:top w:val="nil"/>
              <w:left w:val="nil"/>
              <w:bottom w:val="nil"/>
              <w:right w:val="nil"/>
            </w:tcBorders>
            <w:shd w:val="clear" w:color="auto" w:fill="auto"/>
            <w:noWrap/>
            <w:hideMark/>
          </w:tcPr>
          <w:p w14:paraId="0CCEEF78"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79C58A88" w14:textId="77777777" w:rsidR="00E45705" w:rsidRPr="001B09E6" w:rsidRDefault="00E45705" w:rsidP="00E45705">
            <w:pPr>
              <w:pStyle w:val="TableCellText"/>
              <w:spacing w:before="0" w:after="0"/>
              <w:ind w:left="0" w:right="0"/>
              <w:jc w:val="center"/>
              <w:rPr>
                <w:lang w:eastAsia="en-AU"/>
              </w:rPr>
            </w:pPr>
            <w:r w:rsidRPr="001B09E6">
              <w:rPr>
                <w:lang w:eastAsia="en-AU"/>
              </w:rPr>
              <w:t>20.4</w:t>
            </w:r>
          </w:p>
        </w:tc>
        <w:tc>
          <w:tcPr>
            <w:tcW w:w="0" w:type="auto"/>
            <w:tcBorders>
              <w:top w:val="nil"/>
              <w:left w:val="nil"/>
              <w:bottom w:val="nil"/>
              <w:right w:val="nil"/>
            </w:tcBorders>
            <w:shd w:val="clear" w:color="auto" w:fill="auto"/>
            <w:noWrap/>
            <w:hideMark/>
          </w:tcPr>
          <w:p w14:paraId="2A608F99" w14:textId="77777777" w:rsidR="00E45705" w:rsidRPr="001B09E6" w:rsidRDefault="00E45705" w:rsidP="00E45705">
            <w:pPr>
              <w:pStyle w:val="TableCellText"/>
              <w:spacing w:before="0" w:after="0"/>
              <w:ind w:left="0" w:right="0"/>
              <w:jc w:val="center"/>
              <w:rPr>
                <w:lang w:eastAsia="en-AU"/>
              </w:rPr>
            </w:pPr>
            <w:r w:rsidRPr="001B09E6">
              <w:rPr>
                <w:lang w:eastAsia="en-AU"/>
              </w:rPr>
              <w:t>22.2</w:t>
            </w:r>
          </w:p>
        </w:tc>
        <w:tc>
          <w:tcPr>
            <w:tcW w:w="0" w:type="auto"/>
            <w:tcBorders>
              <w:top w:val="nil"/>
              <w:left w:val="nil"/>
              <w:bottom w:val="nil"/>
              <w:right w:val="nil"/>
            </w:tcBorders>
            <w:shd w:val="clear" w:color="auto" w:fill="auto"/>
            <w:noWrap/>
            <w:hideMark/>
          </w:tcPr>
          <w:p w14:paraId="5571B4BA" w14:textId="77777777" w:rsidR="00E45705" w:rsidRPr="001B09E6" w:rsidRDefault="00E45705" w:rsidP="00E45705">
            <w:pPr>
              <w:pStyle w:val="TableCellText"/>
              <w:spacing w:before="0" w:after="0"/>
              <w:ind w:left="0" w:right="0"/>
              <w:jc w:val="center"/>
              <w:rPr>
                <w:lang w:eastAsia="en-AU"/>
              </w:rPr>
            </w:pPr>
            <w:r w:rsidRPr="001B09E6">
              <w:rPr>
                <w:lang w:eastAsia="en-AU"/>
              </w:rPr>
              <w:t>2.5</w:t>
            </w:r>
          </w:p>
        </w:tc>
        <w:tc>
          <w:tcPr>
            <w:tcW w:w="0" w:type="auto"/>
            <w:tcBorders>
              <w:top w:val="nil"/>
              <w:left w:val="nil"/>
              <w:bottom w:val="nil"/>
              <w:right w:val="nil"/>
            </w:tcBorders>
            <w:shd w:val="clear" w:color="auto" w:fill="auto"/>
            <w:noWrap/>
            <w:hideMark/>
          </w:tcPr>
          <w:p w14:paraId="062F1CBD" w14:textId="77777777" w:rsidR="00E45705" w:rsidRPr="001B09E6" w:rsidRDefault="00E45705" w:rsidP="00E45705">
            <w:pPr>
              <w:pStyle w:val="TableCellText"/>
              <w:spacing w:before="0" w:after="0"/>
              <w:ind w:left="0" w:right="0"/>
              <w:jc w:val="center"/>
              <w:rPr>
                <w:lang w:eastAsia="en-AU"/>
              </w:rPr>
            </w:pPr>
            <w:r w:rsidRPr="001B09E6">
              <w:rPr>
                <w:lang w:eastAsia="en-AU"/>
              </w:rPr>
              <w:t>4.3</w:t>
            </w:r>
          </w:p>
        </w:tc>
      </w:tr>
      <w:tr w:rsidR="00E45705" w:rsidRPr="001B09E6" w14:paraId="27B9C748" w14:textId="77777777" w:rsidTr="00E45705">
        <w:trPr>
          <w:trHeight w:val="57"/>
        </w:trPr>
        <w:tc>
          <w:tcPr>
            <w:tcW w:w="0" w:type="auto"/>
            <w:tcBorders>
              <w:top w:val="nil"/>
              <w:left w:val="nil"/>
              <w:bottom w:val="nil"/>
              <w:right w:val="nil"/>
            </w:tcBorders>
            <w:shd w:val="clear" w:color="auto" w:fill="auto"/>
            <w:noWrap/>
            <w:hideMark/>
          </w:tcPr>
          <w:p w14:paraId="1766704D" w14:textId="77777777" w:rsidR="00E45705" w:rsidRPr="001B09E6" w:rsidRDefault="00E45705" w:rsidP="00E45705">
            <w:pPr>
              <w:pStyle w:val="TableCellText"/>
              <w:spacing w:before="0" w:after="0"/>
              <w:ind w:left="0" w:right="0"/>
              <w:rPr>
                <w:lang w:eastAsia="en-AU"/>
              </w:rPr>
            </w:pPr>
            <w:r w:rsidRPr="001B09E6">
              <w:rPr>
                <w:lang w:eastAsia="en-AU"/>
              </w:rPr>
              <w:t>2005</w:t>
            </w:r>
          </w:p>
        </w:tc>
        <w:tc>
          <w:tcPr>
            <w:tcW w:w="0" w:type="auto"/>
            <w:tcBorders>
              <w:top w:val="nil"/>
              <w:left w:val="nil"/>
              <w:bottom w:val="nil"/>
              <w:right w:val="nil"/>
            </w:tcBorders>
            <w:shd w:val="clear" w:color="auto" w:fill="auto"/>
            <w:noWrap/>
            <w:hideMark/>
          </w:tcPr>
          <w:p w14:paraId="4FEF04D3" w14:textId="77777777" w:rsidR="00E45705" w:rsidRPr="001B09E6" w:rsidRDefault="00E45705" w:rsidP="00E45705">
            <w:pPr>
              <w:pStyle w:val="TableCellText"/>
              <w:spacing w:before="0" w:after="0"/>
              <w:ind w:left="0" w:right="0"/>
              <w:jc w:val="center"/>
              <w:rPr>
                <w:lang w:eastAsia="en-AU"/>
              </w:rPr>
            </w:pPr>
            <w:r w:rsidRPr="001B09E6">
              <w:rPr>
                <w:lang w:eastAsia="en-AU"/>
              </w:rPr>
              <w:t>17.8</w:t>
            </w:r>
          </w:p>
        </w:tc>
        <w:tc>
          <w:tcPr>
            <w:tcW w:w="0" w:type="auto"/>
            <w:tcBorders>
              <w:top w:val="nil"/>
              <w:left w:val="nil"/>
              <w:bottom w:val="nil"/>
              <w:right w:val="nil"/>
            </w:tcBorders>
            <w:shd w:val="clear" w:color="auto" w:fill="auto"/>
            <w:noWrap/>
            <w:hideMark/>
          </w:tcPr>
          <w:p w14:paraId="1F98FE1A" w14:textId="77777777" w:rsidR="00E45705" w:rsidRPr="001B09E6" w:rsidRDefault="00E45705" w:rsidP="00E45705">
            <w:pPr>
              <w:pStyle w:val="TableCellText"/>
              <w:spacing w:before="0" w:after="0"/>
              <w:ind w:left="0" w:right="0"/>
              <w:jc w:val="center"/>
              <w:rPr>
                <w:lang w:eastAsia="en-AU"/>
              </w:rPr>
            </w:pPr>
            <w:r w:rsidRPr="001B09E6">
              <w:rPr>
                <w:lang w:eastAsia="en-AU"/>
              </w:rPr>
              <w:t>20.3</w:t>
            </w:r>
          </w:p>
        </w:tc>
        <w:tc>
          <w:tcPr>
            <w:tcW w:w="0" w:type="auto"/>
            <w:tcBorders>
              <w:top w:val="nil"/>
              <w:left w:val="nil"/>
              <w:bottom w:val="nil"/>
              <w:right w:val="nil"/>
            </w:tcBorders>
            <w:shd w:val="clear" w:color="auto" w:fill="auto"/>
            <w:noWrap/>
            <w:hideMark/>
          </w:tcPr>
          <w:p w14:paraId="4B58F10E" w14:textId="77777777" w:rsidR="00E45705" w:rsidRPr="001B09E6" w:rsidRDefault="00E45705" w:rsidP="00E45705">
            <w:pPr>
              <w:pStyle w:val="TableCellText"/>
              <w:spacing w:before="0" w:after="0"/>
              <w:ind w:left="0" w:right="0"/>
              <w:jc w:val="center"/>
              <w:rPr>
                <w:lang w:eastAsia="en-AU"/>
              </w:rPr>
            </w:pPr>
            <w:r w:rsidRPr="001B09E6">
              <w:rPr>
                <w:lang w:eastAsia="en-AU"/>
              </w:rPr>
              <w:t>21.8</w:t>
            </w:r>
          </w:p>
        </w:tc>
        <w:tc>
          <w:tcPr>
            <w:tcW w:w="0" w:type="auto"/>
            <w:tcBorders>
              <w:top w:val="nil"/>
              <w:left w:val="nil"/>
              <w:bottom w:val="nil"/>
              <w:right w:val="nil"/>
            </w:tcBorders>
            <w:shd w:val="clear" w:color="auto" w:fill="auto"/>
            <w:noWrap/>
            <w:hideMark/>
          </w:tcPr>
          <w:p w14:paraId="2E24761C" w14:textId="77777777" w:rsidR="00E45705" w:rsidRPr="001B09E6" w:rsidRDefault="00E45705" w:rsidP="00E45705">
            <w:pPr>
              <w:pStyle w:val="TableCellText"/>
              <w:spacing w:before="0" w:after="0"/>
              <w:ind w:left="0" w:right="0"/>
              <w:jc w:val="center"/>
              <w:rPr>
                <w:lang w:eastAsia="en-AU"/>
              </w:rPr>
            </w:pPr>
            <w:r w:rsidRPr="001B09E6">
              <w:rPr>
                <w:lang w:eastAsia="en-AU"/>
              </w:rPr>
              <w:t>2.5</w:t>
            </w:r>
          </w:p>
        </w:tc>
        <w:tc>
          <w:tcPr>
            <w:tcW w:w="0" w:type="auto"/>
            <w:tcBorders>
              <w:top w:val="nil"/>
              <w:left w:val="nil"/>
              <w:bottom w:val="nil"/>
              <w:right w:val="nil"/>
            </w:tcBorders>
            <w:shd w:val="clear" w:color="auto" w:fill="auto"/>
            <w:noWrap/>
            <w:hideMark/>
          </w:tcPr>
          <w:p w14:paraId="47D3E9B6" w14:textId="77777777" w:rsidR="00E45705" w:rsidRPr="001B09E6" w:rsidRDefault="00E45705" w:rsidP="00E45705">
            <w:pPr>
              <w:pStyle w:val="TableCellText"/>
              <w:spacing w:before="0" w:after="0"/>
              <w:ind w:left="0" w:right="0"/>
              <w:jc w:val="center"/>
              <w:rPr>
                <w:lang w:eastAsia="en-AU"/>
              </w:rPr>
            </w:pPr>
            <w:r w:rsidRPr="001B09E6">
              <w:rPr>
                <w:lang w:eastAsia="en-AU"/>
              </w:rPr>
              <w:t>4.0</w:t>
            </w:r>
          </w:p>
        </w:tc>
      </w:tr>
      <w:tr w:rsidR="00E45705" w:rsidRPr="001B09E6" w14:paraId="1AE7B4E7" w14:textId="77777777" w:rsidTr="00E45705">
        <w:trPr>
          <w:trHeight w:val="57"/>
        </w:trPr>
        <w:tc>
          <w:tcPr>
            <w:tcW w:w="0" w:type="auto"/>
            <w:tcBorders>
              <w:top w:val="nil"/>
              <w:left w:val="nil"/>
              <w:bottom w:val="nil"/>
              <w:right w:val="nil"/>
            </w:tcBorders>
            <w:shd w:val="clear" w:color="auto" w:fill="auto"/>
            <w:noWrap/>
            <w:hideMark/>
          </w:tcPr>
          <w:p w14:paraId="1D1ED8AB" w14:textId="77777777" w:rsidR="00E45705" w:rsidRPr="001B09E6" w:rsidRDefault="00E45705" w:rsidP="00E45705">
            <w:pPr>
              <w:pStyle w:val="TableCellText"/>
              <w:spacing w:before="0" w:after="0"/>
              <w:ind w:left="0" w:right="0"/>
              <w:rPr>
                <w:lang w:eastAsia="en-AU"/>
              </w:rPr>
            </w:pPr>
            <w:r w:rsidRPr="001B09E6">
              <w:rPr>
                <w:lang w:eastAsia="en-AU"/>
              </w:rPr>
              <w:t>2006</w:t>
            </w:r>
          </w:p>
        </w:tc>
        <w:tc>
          <w:tcPr>
            <w:tcW w:w="0" w:type="auto"/>
            <w:tcBorders>
              <w:top w:val="nil"/>
              <w:left w:val="nil"/>
              <w:bottom w:val="nil"/>
              <w:right w:val="nil"/>
            </w:tcBorders>
            <w:shd w:val="clear" w:color="auto" w:fill="auto"/>
            <w:noWrap/>
            <w:hideMark/>
          </w:tcPr>
          <w:p w14:paraId="436AE4D9"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76DA32AB" w14:textId="77777777" w:rsidR="00E45705" w:rsidRPr="001B09E6" w:rsidRDefault="00E45705" w:rsidP="00E45705">
            <w:pPr>
              <w:pStyle w:val="TableCellText"/>
              <w:spacing w:before="0" w:after="0"/>
              <w:ind w:left="0" w:right="0"/>
              <w:jc w:val="center"/>
              <w:rPr>
                <w:lang w:eastAsia="en-AU"/>
              </w:rPr>
            </w:pPr>
            <w:r w:rsidRPr="001B09E6">
              <w:rPr>
                <w:lang w:eastAsia="en-AU"/>
              </w:rPr>
              <w:t>19.9</w:t>
            </w:r>
          </w:p>
        </w:tc>
        <w:tc>
          <w:tcPr>
            <w:tcW w:w="0" w:type="auto"/>
            <w:tcBorders>
              <w:top w:val="nil"/>
              <w:left w:val="nil"/>
              <w:bottom w:val="nil"/>
              <w:right w:val="nil"/>
            </w:tcBorders>
            <w:shd w:val="clear" w:color="auto" w:fill="auto"/>
            <w:noWrap/>
            <w:hideMark/>
          </w:tcPr>
          <w:p w14:paraId="2BD6C228" w14:textId="77777777" w:rsidR="00E45705" w:rsidRPr="001B09E6" w:rsidRDefault="00E45705" w:rsidP="00E45705">
            <w:pPr>
              <w:pStyle w:val="TableCellText"/>
              <w:spacing w:before="0" w:after="0"/>
              <w:ind w:left="0" w:right="0"/>
              <w:jc w:val="center"/>
              <w:rPr>
                <w:lang w:eastAsia="en-AU"/>
              </w:rPr>
            </w:pPr>
            <w:r w:rsidRPr="001B09E6">
              <w:rPr>
                <w:lang w:eastAsia="en-AU"/>
              </w:rPr>
              <w:t>22.1</w:t>
            </w:r>
          </w:p>
        </w:tc>
        <w:tc>
          <w:tcPr>
            <w:tcW w:w="0" w:type="auto"/>
            <w:tcBorders>
              <w:top w:val="nil"/>
              <w:left w:val="nil"/>
              <w:bottom w:val="nil"/>
              <w:right w:val="nil"/>
            </w:tcBorders>
            <w:shd w:val="clear" w:color="auto" w:fill="auto"/>
            <w:noWrap/>
            <w:hideMark/>
          </w:tcPr>
          <w:p w14:paraId="68E35212" w14:textId="77777777" w:rsidR="00E45705" w:rsidRPr="001B09E6" w:rsidRDefault="00E45705" w:rsidP="00E45705">
            <w:pPr>
              <w:pStyle w:val="TableCellText"/>
              <w:spacing w:before="0" w:after="0"/>
              <w:ind w:left="0" w:right="0"/>
              <w:jc w:val="center"/>
              <w:rPr>
                <w:lang w:eastAsia="en-AU"/>
              </w:rPr>
            </w:pPr>
            <w:r w:rsidRPr="001B09E6">
              <w:rPr>
                <w:lang w:eastAsia="en-AU"/>
              </w:rPr>
              <w:t>2.0</w:t>
            </w:r>
          </w:p>
        </w:tc>
        <w:tc>
          <w:tcPr>
            <w:tcW w:w="0" w:type="auto"/>
            <w:tcBorders>
              <w:top w:val="nil"/>
              <w:left w:val="nil"/>
              <w:bottom w:val="nil"/>
              <w:right w:val="nil"/>
            </w:tcBorders>
            <w:shd w:val="clear" w:color="auto" w:fill="auto"/>
            <w:noWrap/>
            <w:hideMark/>
          </w:tcPr>
          <w:p w14:paraId="73D058B3" w14:textId="77777777" w:rsidR="00E45705" w:rsidRPr="001B09E6" w:rsidRDefault="00E45705" w:rsidP="00E45705">
            <w:pPr>
              <w:pStyle w:val="TableCellText"/>
              <w:spacing w:before="0" w:after="0"/>
              <w:ind w:left="0" w:right="0"/>
              <w:jc w:val="center"/>
              <w:rPr>
                <w:lang w:eastAsia="en-AU"/>
              </w:rPr>
            </w:pPr>
            <w:r w:rsidRPr="001B09E6">
              <w:rPr>
                <w:lang w:eastAsia="en-AU"/>
              </w:rPr>
              <w:t>4.2</w:t>
            </w:r>
          </w:p>
        </w:tc>
      </w:tr>
      <w:tr w:rsidR="00E45705" w:rsidRPr="001B09E6" w14:paraId="2A15CC97" w14:textId="77777777" w:rsidTr="00E45705">
        <w:trPr>
          <w:trHeight w:val="57"/>
        </w:trPr>
        <w:tc>
          <w:tcPr>
            <w:tcW w:w="0" w:type="auto"/>
            <w:tcBorders>
              <w:top w:val="nil"/>
              <w:left w:val="nil"/>
              <w:bottom w:val="nil"/>
              <w:right w:val="nil"/>
            </w:tcBorders>
            <w:shd w:val="clear" w:color="auto" w:fill="auto"/>
            <w:noWrap/>
            <w:hideMark/>
          </w:tcPr>
          <w:p w14:paraId="4613CEB8" w14:textId="77777777" w:rsidR="00E45705" w:rsidRPr="001B09E6" w:rsidRDefault="00E45705" w:rsidP="00E45705">
            <w:pPr>
              <w:pStyle w:val="TableCellText"/>
              <w:spacing w:before="0" w:after="0"/>
              <w:ind w:left="0" w:right="0"/>
              <w:rPr>
                <w:lang w:eastAsia="en-AU"/>
              </w:rPr>
            </w:pPr>
            <w:r w:rsidRPr="001B09E6">
              <w:rPr>
                <w:lang w:eastAsia="en-AU"/>
              </w:rPr>
              <w:t>2007</w:t>
            </w:r>
          </w:p>
        </w:tc>
        <w:tc>
          <w:tcPr>
            <w:tcW w:w="0" w:type="auto"/>
            <w:tcBorders>
              <w:top w:val="nil"/>
              <w:left w:val="nil"/>
              <w:bottom w:val="nil"/>
              <w:right w:val="nil"/>
            </w:tcBorders>
            <w:shd w:val="clear" w:color="auto" w:fill="auto"/>
            <w:noWrap/>
            <w:hideMark/>
          </w:tcPr>
          <w:p w14:paraId="00EE49A8"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508C5938" w14:textId="77777777" w:rsidR="00E45705" w:rsidRPr="001B09E6" w:rsidRDefault="00E45705" w:rsidP="00E45705">
            <w:pPr>
              <w:pStyle w:val="TableCellText"/>
              <w:spacing w:before="0" w:after="0"/>
              <w:ind w:left="0" w:right="0"/>
              <w:jc w:val="center"/>
              <w:rPr>
                <w:lang w:eastAsia="en-AU"/>
              </w:rPr>
            </w:pPr>
            <w:r w:rsidRPr="001B09E6">
              <w:rPr>
                <w:lang w:eastAsia="en-AU"/>
              </w:rPr>
              <w:t>20.3</w:t>
            </w:r>
          </w:p>
        </w:tc>
        <w:tc>
          <w:tcPr>
            <w:tcW w:w="0" w:type="auto"/>
            <w:tcBorders>
              <w:top w:val="nil"/>
              <w:left w:val="nil"/>
              <w:bottom w:val="nil"/>
              <w:right w:val="nil"/>
            </w:tcBorders>
            <w:shd w:val="clear" w:color="auto" w:fill="auto"/>
            <w:noWrap/>
            <w:hideMark/>
          </w:tcPr>
          <w:p w14:paraId="3347931C" w14:textId="77777777" w:rsidR="00E45705" w:rsidRPr="001B09E6" w:rsidRDefault="00E45705" w:rsidP="00E45705">
            <w:pPr>
              <w:pStyle w:val="TableCellText"/>
              <w:spacing w:before="0" w:after="0"/>
              <w:ind w:left="0" w:right="0"/>
              <w:jc w:val="center"/>
              <w:rPr>
                <w:lang w:eastAsia="en-AU"/>
              </w:rPr>
            </w:pPr>
            <w:r w:rsidRPr="001B09E6">
              <w:rPr>
                <w:lang w:eastAsia="en-AU"/>
              </w:rPr>
              <w:t>21.8</w:t>
            </w:r>
          </w:p>
        </w:tc>
        <w:tc>
          <w:tcPr>
            <w:tcW w:w="0" w:type="auto"/>
            <w:tcBorders>
              <w:top w:val="nil"/>
              <w:left w:val="nil"/>
              <w:bottom w:val="nil"/>
              <w:right w:val="nil"/>
            </w:tcBorders>
            <w:shd w:val="clear" w:color="auto" w:fill="auto"/>
            <w:noWrap/>
            <w:hideMark/>
          </w:tcPr>
          <w:p w14:paraId="5BE36F57" w14:textId="77777777" w:rsidR="00E45705" w:rsidRPr="001B09E6" w:rsidRDefault="00E45705" w:rsidP="00E45705">
            <w:pPr>
              <w:pStyle w:val="TableCellText"/>
              <w:spacing w:before="0" w:after="0"/>
              <w:ind w:left="0" w:right="0"/>
              <w:jc w:val="center"/>
              <w:rPr>
                <w:lang w:eastAsia="en-AU"/>
              </w:rPr>
            </w:pPr>
            <w:r w:rsidRPr="001B09E6">
              <w:rPr>
                <w:lang w:eastAsia="en-AU"/>
              </w:rPr>
              <w:t>2.4</w:t>
            </w:r>
          </w:p>
        </w:tc>
        <w:tc>
          <w:tcPr>
            <w:tcW w:w="0" w:type="auto"/>
            <w:tcBorders>
              <w:top w:val="nil"/>
              <w:left w:val="nil"/>
              <w:bottom w:val="nil"/>
              <w:right w:val="nil"/>
            </w:tcBorders>
            <w:shd w:val="clear" w:color="auto" w:fill="auto"/>
            <w:noWrap/>
            <w:hideMark/>
          </w:tcPr>
          <w:p w14:paraId="3F333219" w14:textId="77777777" w:rsidR="00E45705" w:rsidRPr="001B09E6" w:rsidRDefault="00E45705" w:rsidP="00E45705">
            <w:pPr>
              <w:pStyle w:val="TableCellText"/>
              <w:spacing w:before="0" w:after="0"/>
              <w:ind w:left="0" w:right="0"/>
              <w:jc w:val="center"/>
              <w:rPr>
                <w:lang w:eastAsia="en-AU"/>
              </w:rPr>
            </w:pPr>
            <w:r w:rsidRPr="001B09E6">
              <w:rPr>
                <w:lang w:eastAsia="en-AU"/>
              </w:rPr>
              <w:t>3.9</w:t>
            </w:r>
          </w:p>
        </w:tc>
      </w:tr>
      <w:tr w:rsidR="00E45705" w:rsidRPr="001B09E6" w14:paraId="19C621D9" w14:textId="77777777" w:rsidTr="00E45705">
        <w:trPr>
          <w:trHeight w:val="57"/>
        </w:trPr>
        <w:tc>
          <w:tcPr>
            <w:tcW w:w="0" w:type="auto"/>
            <w:tcBorders>
              <w:top w:val="nil"/>
              <w:left w:val="nil"/>
              <w:bottom w:val="nil"/>
              <w:right w:val="nil"/>
            </w:tcBorders>
            <w:shd w:val="clear" w:color="auto" w:fill="auto"/>
            <w:noWrap/>
            <w:hideMark/>
          </w:tcPr>
          <w:p w14:paraId="215678BA" w14:textId="77777777" w:rsidR="00E45705" w:rsidRPr="001B09E6" w:rsidRDefault="00E45705" w:rsidP="00E45705">
            <w:pPr>
              <w:pStyle w:val="TableCellText"/>
              <w:spacing w:before="0" w:after="0"/>
              <w:ind w:left="0" w:right="0"/>
              <w:rPr>
                <w:lang w:eastAsia="en-AU"/>
              </w:rPr>
            </w:pPr>
            <w:r w:rsidRPr="001B09E6">
              <w:rPr>
                <w:lang w:eastAsia="en-AU"/>
              </w:rPr>
              <w:t>2008</w:t>
            </w:r>
          </w:p>
        </w:tc>
        <w:tc>
          <w:tcPr>
            <w:tcW w:w="0" w:type="auto"/>
            <w:tcBorders>
              <w:top w:val="nil"/>
              <w:left w:val="nil"/>
              <w:bottom w:val="nil"/>
              <w:right w:val="nil"/>
            </w:tcBorders>
            <w:shd w:val="clear" w:color="auto" w:fill="auto"/>
            <w:noWrap/>
            <w:hideMark/>
          </w:tcPr>
          <w:p w14:paraId="0D623012" w14:textId="77777777" w:rsidR="00E45705" w:rsidRPr="001B09E6" w:rsidRDefault="00E45705" w:rsidP="00E45705">
            <w:pPr>
              <w:pStyle w:val="TableCellText"/>
              <w:spacing w:before="0" w:after="0"/>
              <w:ind w:left="0" w:right="0"/>
              <w:jc w:val="center"/>
              <w:rPr>
                <w:lang w:eastAsia="en-AU"/>
              </w:rPr>
            </w:pPr>
            <w:r w:rsidRPr="001B09E6">
              <w:rPr>
                <w:lang w:eastAsia="en-AU"/>
              </w:rPr>
              <w:t>18.0</w:t>
            </w:r>
          </w:p>
        </w:tc>
        <w:tc>
          <w:tcPr>
            <w:tcW w:w="0" w:type="auto"/>
            <w:tcBorders>
              <w:top w:val="nil"/>
              <w:left w:val="nil"/>
              <w:bottom w:val="nil"/>
              <w:right w:val="nil"/>
            </w:tcBorders>
            <w:shd w:val="clear" w:color="auto" w:fill="auto"/>
            <w:noWrap/>
            <w:hideMark/>
          </w:tcPr>
          <w:p w14:paraId="0ADAD45F" w14:textId="77777777" w:rsidR="00E45705" w:rsidRPr="001B09E6" w:rsidRDefault="00E45705" w:rsidP="00E45705">
            <w:pPr>
              <w:pStyle w:val="TableCellText"/>
              <w:spacing w:before="0" w:after="0"/>
              <w:ind w:left="0" w:right="0"/>
              <w:jc w:val="center"/>
              <w:rPr>
                <w:lang w:eastAsia="en-AU"/>
              </w:rPr>
            </w:pPr>
            <w:r w:rsidRPr="001B09E6">
              <w:rPr>
                <w:lang w:eastAsia="en-AU"/>
              </w:rPr>
              <w:t>20.4</w:t>
            </w:r>
          </w:p>
        </w:tc>
        <w:tc>
          <w:tcPr>
            <w:tcW w:w="0" w:type="auto"/>
            <w:tcBorders>
              <w:top w:val="nil"/>
              <w:left w:val="nil"/>
              <w:bottom w:val="nil"/>
              <w:right w:val="nil"/>
            </w:tcBorders>
            <w:shd w:val="clear" w:color="auto" w:fill="auto"/>
            <w:noWrap/>
            <w:hideMark/>
          </w:tcPr>
          <w:p w14:paraId="0811EBF9" w14:textId="77777777" w:rsidR="00E45705" w:rsidRPr="001B09E6" w:rsidRDefault="00E45705" w:rsidP="00E45705">
            <w:pPr>
              <w:pStyle w:val="TableCellText"/>
              <w:spacing w:before="0" w:after="0"/>
              <w:ind w:left="0" w:right="0"/>
              <w:jc w:val="center"/>
              <w:rPr>
                <w:lang w:eastAsia="en-AU"/>
              </w:rPr>
            </w:pPr>
            <w:r w:rsidRPr="001B09E6">
              <w:rPr>
                <w:lang w:eastAsia="en-AU"/>
              </w:rPr>
              <w:t>22.0</w:t>
            </w:r>
          </w:p>
        </w:tc>
        <w:tc>
          <w:tcPr>
            <w:tcW w:w="0" w:type="auto"/>
            <w:tcBorders>
              <w:top w:val="nil"/>
              <w:left w:val="nil"/>
              <w:bottom w:val="nil"/>
              <w:right w:val="nil"/>
            </w:tcBorders>
            <w:shd w:val="clear" w:color="auto" w:fill="auto"/>
            <w:noWrap/>
            <w:hideMark/>
          </w:tcPr>
          <w:p w14:paraId="3296706C" w14:textId="77777777" w:rsidR="00E45705" w:rsidRPr="001B09E6" w:rsidRDefault="00E45705" w:rsidP="00E45705">
            <w:pPr>
              <w:pStyle w:val="TableCellText"/>
              <w:spacing w:before="0" w:after="0"/>
              <w:ind w:left="0" w:right="0"/>
              <w:jc w:val="center"/>
              <w:rPr>
                <w:lang w:eastAsia="en-AU"/>
              </w:rPr>
            </w:pPr>
            <w:r w:rsidRPr="001B09E6">
              <w:rPr>
                <w:lang w:eastAsia="en-AU"/>
              </w:rPr>
              <w:t>2.5</w:t>
            </w:r>
          </w:p>
        </w:tc>
        <w:tc>
          <w:tcPr>
            <w:tcW w:w="0" w:type="auto"/>
            <w:tcBorders>
              <w:top w:val="nil"/>
              <w:left w:val="nil"/>
              <w:bottom w:val="nil"/>
              <w:right w:val="nil"/>
            </w:tcBorders>
            <w:shd w:val="clear" w:color="auto" w:fill="auto"/>
            <w:noWrap/>
            <w:hideMark/>
          </w:tcPr>
          <w:p w14:paraId="5063A537" w14:textId="77777777" w:rsidR="00E45705" w:rsidRPr="001B09E6" w:rsidRDefault="00E45705" w:rsidP="00E45705">
            <w:pPr>
              <w:pStyle w:val="TableCellText"/>
              <w:spacing w:before="0" w:after="0"/>
              <w:ind w:left="0" w:right="0"/>
              <w:jc w:val="center"/>
              <w:rPr>
                <w:lang w:eastAsia="en-AU"/>
              </w:rPr>
            </w:pPr>
            <w:r w:rsidRPr="001B09E6">
              <w:rPr>
                <w:lang w:eastAsia="en-AU"/>
              </w:rPr>
              <w:t>4.1</w:t>
            </w:r>
          </w:p>
        </w:tc>
      </w:tr>
      <w:tr w:rsidR="00E45705" w:rsidRPr="001B09E6" w14:paraId="7BA1BAD6" w14:textId="77777777" w:rsidTr="00E45705">
        <w:trPr>
          <w:trHeight w:val="57"/>
        </w:trPr>
        <w:tc>
          <w:tcPr>
            <w:tcW w:w="0" w:type="auto"/>
            <w:tcBorders>
              <w:top w:val="nil"/>
              <w:left w:val="nil"/>
              <w:bottom w:val="nil"/>
              <w:right w:val="nil"/>
            </w:tcBorders>
            <w:shd w:val="clear" w:color="auto" w:fill="auto"/>
            <w:noWrap/>
            <w:hideMark/>
          </w:tcPr>
          <w:p w14:paraId="610D46C4" w14:textId="77777777" w:rsidR="00E45705" w:rsidRPr="001B09E6" w:rsidRDefault="00E45705" w:rsidP="00E45705">
            <w:pPr>
              <w:pStyle w:val="TableCellText"/>
              <w:spacing w:before="0" w:after="0"/>
              <w:ind w:left="0" w:right="0"/>
              <w:rPr>
                <w:lang w:eastAsia="en-AU"/>
              </w:rPr>
            </w:pPr>
            <w:r w:rsidRPr="001B09E6">
              <w:rPr>
                <w:lang w:eastAsia="en-AU"/>
              </w:rPr>
              <w:t>2009</w:t>
            </w:r>
          </w:p>
        </w:tc>
        <w:tc>
          <w:tcPr>
            <w:tcW w:w="0" w:type="auto"/>
            <w:tcBorders>
              <w:top w:val="nil"/>
              <w:left w:val="nil"/>
              <w:bottom w:val="nil"/>
              <w:right w:val="nil"/>
            </w:tcBorders>
            <w:shd w:val="clear" w:color="auto" w:fill="auto"/>
            <w:noWrap/>
            <w:hideMark/>
          </w:tcPr>
          <w:p w14:paraId="5560AB3D"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78961B6C" w14:textId="77777777" w:rsidR="00E45705" w:rsidRPr="001B09E6" w:rsidRDefault="00E45705" w:rsidP="00E45705">
            <w:pPr>
              <w:pStyle w:val="TableCellText"/>
              <w:spacing w:before="0" w:after="0"/>
              <w:ind w:left="0" w:right="0"/>
              <w:jc w:val="center"/>
              <w:rPr>
                <w:lang w:eastAsia="en-AU"/>
              </w:rPr>
            </w:pPr>
            <w:r w:rsidRPr="001B09E6">
              <w:rPr>
                <w:lang w:eastAsia="en-AU"/>
              </w:rPr>
              <w:t>21.0</w:t>
            </w:r>
          </w:p>
        </w:tc>
        <w:tc>
          <w:tcPr>
            <w:tcW w:w="0" w:type="auto"/>
            <w:tcBorders>
              <w:top w:val="nil"/>
              <w:left w:val="nil"/>
              <w:bottom w:val="nil"/>
              <w:right w:val="nil"/>
            </w:tcBorders>
            <w:shd w:val="clear" w:color="auto" w:fill="auto"/>
            <w:noWrap/>
            <w:hideMark/>
          </w:tcPr>
          <w:p w14:paraId="31A6FD64" w14:textId="77777777" w:rsidR="00E45705" w:rsidRPr="001B09E6" w:rsidRDefault="00E45705" w:rsidP="00E45705">
            <w:pPr>
              <w:pStyle w:val="TableCellText"/>
              <w:spacing w:before="0" w:after="0"/>
              <w:ind w:left="0" w:right="0"/>
              <w:jc w:val="center"/>
              <w:rPr>
                <w:lang w:eastAsia="en-AU"/>
              </w:rPr>
            </w:pPr>
            <w:r w:rsidRPr="001B09E6">
              <w:rPr>
                <w:lang w:eastAsia="en-AU"/>
              </w:rPr>
              <w:t>22.4</w:t>
            </w:r>
          </w:p>
        </w:tc>
        <w:tc>
          <w:tcPr>
            <w:tcW w:w="0" w:type="auto"/>
            <w:tcBorders>
              <w:top w:val="nil"/>
              <w:left w:val="nil"/>
              <w:bottom w:val="nil"/>
              <w:right w:val="nil"/>
            </w:tcBorders>
            <w:shd w:val="clear" w:color="auto" w:fill="auto"/>
            <w:noWrap/>
            <w:hideMark/>
          </w:tcPr>
          <w:p w14:paraId="6E53A23E" w14:textId="77777777" w:rsidR="00E45705" w:rsidRPr="001B09E6" w:rsidRDefault="00E45705" w:rsidP="00E45705">
            <w:pPr>
              <w:pStyle w:val="TableCellText"/>
              <w:spacing w:before="0" w:after="0"/>
              <w:ind w:left="0" w:right="0"/>
              <w:jc w:val="center"/>
              <w:rPr>
                <w:lang w:eastAsia="en-AU"/>
              </w:rPr>
            </w:pPr>
            <w:r w:rsidRPr="001B09E6">
              <w:rPr>
                <w:lang w:eastAsia="en-AU"/>
              </w:rPr>
              <w:t>3.1</w:t>
            </w:r>
          </w:p>
        </w:tc>
        <w:tc>
          <w:tcPr>
            <w:tcW w:w="0" w:type="auto"/>
            <w:tcBorders>
              <w:top w:val="nil"/>
              <w:left w:val="nil"/>
              <w:bottom w:val="nil"/>
              <w:right w:val="nil"/>
            </w:tcBorders>
            <w:shd w:val="clear" w:color="auto" w:fill="auto"/>
            <w:noWrap/>
            <w:hideMark/>
          </w:tcPr>
          <w:p w14:paraId="19841837" w14:textId="77777777" w:rsidR="00E45705" w:rsidRPr="001B09E6" w:rsidRDefault="00E45705" w:rsidP="00E45705">
            <w:pPr>
              <w:pStyle w:val="TableCellText"/>
              <w:spacing w:before="0" w:after="0"/>
              <w:ind w:left="0" w:right="0"/>
              <w:jc w:val="center"/>
              <w:rPr>
                <w:lang w:eastAsia="en-AU"/>
              </w:rPr>
            </w:pPr>
            <w:r w:rsidRPr="001B09E6">
              <w:rPr>
                <w:lang w:eastAsia="en-AU"/>
              </w:rPr>
              <w:t>4.5</w:t>
            </w:r>
          </w:p>
        </w:tc>
      </w:tr>
      <w:tr w:rsidR="00E45705" w:rsidRPr="001B09E6" w14:paraId="6FFF6AF9" w14:textId="77777777" w:rsidTr="00E45705">
        <w:trPr>
          <w:trHeight w:val="57"/>
        </w:trPr>
        <w:tc>
          <w:tcPr>
            <w:tcW w:w="0" w:type="auto"/>
            <w:tcBorders>
              <w:top w:val="nil"/>
              <w:left w:val="nil"/>
              <w:bottom w:val="nil"/>
              <w:right w:val="nil"/>
            </w:tcBorders>
            <w:shd w:val="clear" w:color="auto" w:fill="auto"/>
            <w:noWrap/>
            <w:hideMark/>
          </w:tcPr>
          <w:p w14:paraId="0689A12D" w14:textId="77777777" w:rsidR="00E45705" w:rsidRPr="001B09E6" w:rsidRDefault="00E45705" w:rsidP="00E45705">
            <w:pPr>
              <w:pStyle w:val="TableCellText"/>
              <w:spacing w:before="0" w:after="0"/>
              <w:ind w:left="0" w:right="0"/>
              <w:rPr>
                <w:lang w:eastAsia="en-AU"/>
              </w:rPr>
            </w:pPr>
            <w:r w:rsidRPr="001B09E6">
              <w:rPr>
                <w:lang w:eastAsia="en-AU"/>
              </w:rPr>
              <w:t>2010</w:t>
            </w:r>
          </w:p>
        </w:tc>
        <w:tc>
          <w:tcPr>
            <w:tcW w:w="0" w:type="auto"/>
            <w:tcBorders>
              <w:top w:val="nil"/>
              <w:left w:val="nil"/>
              <w:bottom w:val="nil"/>
              <w:right w:val="nil"/>
            </w:tcBorders>
            <w:shd w:val="clear" w:color="auto" w:fill="auto"/>
            <w:noWrap/>
            <w:hideMark/>
          </w:tcPr>
          <w:p w14:paraId="68F8F185"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315661AB" w14:textId="77777777" w:rsidR="00E45705" w:rsidRPr="001B09E6" w:rsidRDefault="00E45705" w:rsidP="00E45705">
            <w:pPr>
              <w:pStyle w:val="TableCellText"/>
              <w:spacing w:before="0" w:after="0"/>
              <w:ind w:left="0" w:right="0"/>
              <w:jc w:val="center"/>
              <w:rPr>
                <w:lang w:eastAsia="en-AU"/>
              </w:rPr>
            </w:pPr>
            <w:r w:rsidRPr="001B09E6">
              <w:rPr>
                <w:lang w:eastAsia="en-AU"/>
              </w:rPr>
              <w:t>21.2</w:t>
            </w:r>
          </w:p>
        </w:tc>
        <w:tc>
          <w:tcPr>
            <w:tcW w:w="0" w:type="auto"/>
            <w:tcBorders>
              <w:top w:val="nil"/>
              <w:left w:val="nil"/>
              <w:bottom w:val="nil"/>
              <w:right w:val="nil"/>
            </w:tcBorders>
            <w:shd w:val="clear" w:color="auto" w:fill="auto"/>
            <w:noWrap/>
            <w:hideMark/>
          </w:tcPr>
          <w:p w14:paraId="59EDBB9B" w14:textId="77777777" w:rsidR="00E45705" w:rsidRPr="001B09E6" w:rsidRDefault="00E45705" w:rsidP="00E45705">
            <w:pPr>
              <w:pStyle w:val="TableCellText"/>
              <w:spacing w:before="0" w:after="0"/>
              <w:ind w:left="0" w:right="0"/>
              <w:jc w:val="center"/>
              <w:rPr>
                <w:lang w:eastAsia="en-AU"/>
              </w:rPr>
            </w:pPr>
            <w:r w:rsidRPr="001B09E6">
              <w:rPr>
                <w:lang w:eastAsia="en-AU"/>
              </w:rPr>
              <w:t>22.0</w:t>
            </w:r>
          </w:p>
        </w:tc>
        <w:tc>
          <w:tcPr>
            <w:tcW w:w="0" w:type="auto"/>
            <w:tcBorders>
              <w:top w:val="nil"/>
              <w:left w:val="nil"/>
              <w:bottom w:val="nil"/>
              <w:right w:val="nil"/>
            </w:tcBorders>
            <w:shd w:val="clear" w:color="auto" w:fill="auto"/>
            <w:noWrap/>
            <w:hideMark/>
          </w:tcPr>
          <w:p w14:paraId="10430506" w14:textId="77777777" w:rsidR="00E45705" w:rsidRPr="001B09E6" w:rsidRDefault="00E45705" w:rsidP="00E45705">
            <w:pPr>
              <w:pStyle w:val="TableCellText"/>
              <w:spacing w:before="0" w:after="0"/>
              <w:ind w:left="0" w:right="0"/>
              <w:jc w:val="center"/>
              <w:rPr>
                <w:lang w:eastAsia="en-AU"/>
              </w:rPr>
            </w:pPr>
            <w:r w:rsidRPr="001B09E6">
              <w:rPr>
                <w:lang w:eastAsia="en-AU"/>
              </w:rPr>
              <w:t>3.3</w:t>
            </w:r>
          </w:p>
        </w:tc>
        <w:tc>
          <w:tcPr>
            <w:tcW w:w="0" w:type="auto"/>
            <w:tcBorders>
              <w:top w:val="nil"/>
              <w:left w:val="nil"/>
              <w:bottom w:val="nil"/>
              <w:right w:val="nil"/>
            </w:tcBorders>
            <w:shd w:val="clear" w:color="auto" w:fill="auto"/>
            <w:noWrap/>
            <w:hideMark/>
          </w:tcPr>
          <w:p w14:paraId="7624773E" w14:textId="77777777" w:rsidR="00E45705" w:rsidRPr="001B09E6" w:rsidRDefault="00E45705" w:rsidP="00E45705">
            <w:pPr>
              <w:pStyle w:val="TableCellText"/>
              <w:spacing w:before="0" w:after="0"/>
              <w:ind w:left="0" w:right="0"/>
              <w:jc w:val="center"/>
              <w:rPr>
                <w:lang w:eastAsia="en-AU"/>
              </w:rPr>
            </w:pPr>
            <w:r w:rsidRPr="001B09E6">
              <w:rPr>
                <w:lang w:eastAsia="en-AU"/>
              </w:rPr>
              <w:t>4.1</w:t>
            </w:r>
          </w:p>
        </w:tc>
      </w:tr>
      <w:tr w:rsidR="00E45705" w:rsidRPr="001B09E6" w14:paraId="1CDE2969" w14:textId="77777777" w:rsidTr="00E45705">
        <w:trPr>
          <w:trHeight w:val="57"/>
        </w:trPr>
        <w:tc>
          <w:tcPr>
            <w:tcW w:w="0" w:type="auto"/>
            <w:tcBorders>
              <w:top w:val="nil"/>
              <w:left w:val="nil"/>
              <w:bottom w:val="nil"/>
              <w:right w:val="nil"/>
            </w:tcBorders>
            <w:shd w:val="clear" w:color="auto" w:fill="auto"/>
            <w:noWrap/>
            <w:hideMark/>
          </w:tcPr>
          <w:p w14:paraId="34B7D090" w14:textId="77777777" w:rsidR="00E45705" w:rsidRPr="001B09E6" w:rsidRDefault="00E45705" w:rsidP="00E45705">
            <w:pPr>
              <w:pStyle w:val="TableCellText"/>
              <w:spacing w:before="0" w:after="0"/>
              <w:ind w:left="0" w:right="0"/>
              <w:rPr>
                <w:lang w:eastAsia="en-AU"/>
              </w:rPr>
            </w:pPr>
            <w:r w:rsidRPr="001B09E6">
              <w:rPr>
                <w:lang w:eastAsia="en-AU"/>
              </w:rPr>
              <w:t>2011</w:t>
            </w:r>
          </w:p>
        </w:tc>
        <w:tc>
          <w:tcPr>
            <w:tcW w:w="0" w:type="auto"/>
            <w:tcBorders>
              <w:top w:val="nil"/>
              <w:left w:val="nil"/>
              <w:bottom w:val="nil"/>
              <w:right w:val="nil"/>
            </w:tcBorders>
            <w:shd w:val="clear" w:color="auto" w:fill="auto"/>
            <w:noWrap/>
            <w:hideMark/>
          </w:tcPr>
          <w:p w14:paraId="0AC8F2C4" w14:textId="77777777" w:rsidR="00E45705" w:rsidRPr="001B09E6" w:rsidRDefault="00E45705" w:rsidP="00E45705">
            <w:pPr>
              <w:pStyle w:val="TableCellText"/>
              <w:spacing w:before="0" w:after="0"/>
              <w:ind w:left="0" w:right="0"/>
              <w:jc w:val="center"/>
              <w:rPr>
                <w:lang w:eastAsia="en-AU"/>
              </w:rPr>
            </w:pPr>
            <w:r w:rsidRPr="001B09E6">
              <w:rPr>
                <w:lang w:eastAsia="en-AU"/>
              </w:rPr>
              <w:t>17.9</w:t>
            </w:r>
          </w:p>
        </w:tc>
        <w:tc>
          <w:tcPr>
            <w:tcW w:w="0" w:type="auto"/>
            <w:tcBorders>
              <w:top w:val="nil"/>
              <w:left w:val="nil"/>
              <w:bottom w:val="nil"/>
              <w:right w:val="nil"/>
            </w:tcBorders>
            <w:shd w:val="clear" w:color="auto" w:fill="auto"/>
            <w:noWrap/>
            <w:hideMark/>
          </w:tcPr>
          <w:p w14:paraId="5A16037F" w14:textId="77777777" w:rsidR="00E45705" w:rsidRPr="001B09E6" w:rsidRDefault="00E45705" w:rsidP="00E45705">
            <w:pPr>
              <w:pStyle w:val="TableCellText"/>
              <w:spacing w:before="0" w:after="0"/>
              <w:ind w:left="0" w:right="0"/>
              <w:jc w:val="center"/>
              <w:rPr>
                <w:lang w:eastAsia="en-AU"/>
              </w:rPr>
            </w:pPr>
            <w:r w:rsidRPr="001B09E6">
              <w:rPr>
                <w:lang w:eastAsia="en-AU"/>
              </w:rPr>
              <w:t>20.9</w:t>
            </w:r>
          </w:p>
        </w:tc>
        <w:tc>
          <w:tcPr>
            <w:tcW w:w="0" w:type="auto"/>
            <w:tcBorders>
              <w:top w:val="nil"/>
              <w:left w:val="nil"/>
              <w:bottom w:val="nil"/>
              <w:right w:val="nil"/>
            </w:tcBorders>
            <w:shd w:val="clear" w:color="auto" w:fill="auto"/>
            <w:noWrap/>
            <w:hideMark/>
          </w:tcPr>
          <w:p w14:paraId="1991051E" w14:textId="77777777" w:rsidR="00E45705" w:rsidRPr="001B09E6" w:rsidRDefault="00E45705" w:rsidP="00E45705">
            <w:pPr>
              <w:pStyle w:val="TableCellText"/>
              <w:spacing w:before="0" w:after="0"/>
              <w:ind w:left="0" w:right="0"/>
              <w:jc w:val="center"/>
              <w:rPr>
                <w:lang w:eastAsia="en-AU"/>
              </w:rPr>
            </w:pPr>
            <w:r w:rsidRPr="001B09E6">
              <w:rPr>
                <w:lang w:eastAsia="en-AU"/>
              </w:rPr>
              <w:t>22.7</w:t>
            </w:r>
          </w:p>
        </w:tc>
        <w:tc>
          <w:tcPr>
            <w:tcW w:w="0" w:type="auto"/>
            <w:tcBorders>
              <w:top w:val="nil"/>
              <w:left w:val="nil"/>
              <w:bottom w:val="nil"/>
              <w:right w:val="nil"/>
            </w:tcBorders>
            <w:shd w:val="clear" w:color="auto" w:fill="auto"/>
            <w:noWrap/>
            <w:hideMark/>
          </w:tcPr>
          <w:p w14:paraId="6B7E0B8A" w14:textId="77777777" w:rsidR="00E45705" w:rsidRPr="001B09E6" w:rsidRDefault="00E45705" w:rsidP="00E45705">
            <w:pPr>
              <w:pStyle w:val="TableCellText"/>
              <w:spacing w:before="0" w:after="0"/>
              <w:ind w:left="0" w:right="0"/>
              <w:jc w:val="center"/>
              <w:rPr>
                <w:lang w:eastAsia="en-AU"/>
              </w:rPr>
            </w:pPr>
            <w:r w:rsidRPr="001B09E6">
              <w:rPr>
                <w:lang w:eastAsia="en-AU"/>
              </w:rPr>
              <w:t>3.0</w:t>
            </w:r>
          </w:p>
        </w:tc>
        <w:tc>
          <w:tcPr>
            <w:tcW w:w="0" w:type="auto"/>
            <w:tcBorders>
              <w:top w:val="nil"/>
              <w:left w:val="nil"/>
              <w:bottom w:val="nil"/>
              <w:right w:val="nil"/>
            </w:tcBorders>
            <w:shd w:val="clear" w:color="auto" w:fill="auto"/>
            <w:noWrap/>
            <w:hideMark/>
          </w:tcPr>
          <w:p w14:paraId="5D8D9D73" w14:textId="77777777" w:rsidR="00E45705" w:rsidRPr="001B09E6" w:rsidRDefault="00E45705" w:rsidP="00E45705">
            <w:pPr>
              <w:pStyle w:val="TableCellText"/>
              <w:spacing w:before="0" w:after="0"/>
              <w:ind w:left="0" w:right="0"/>
              <w:jc w:val="center"/>
              <w:rPr>
                <w:lang w:eastAsia="en-AU"/>
              </w:rPr>
            </w:pPr>
            <w:r w:rsidRPr="001B09E6">
              <w:rPr>
                <w:lang w:eastAsia="en-AU"/>
              </w:rPr>
              <w:t>4.8</w:t>
            </w:r>
          </w:p>
        </w:tc>
      </w:tr>
      <w:tr w:rsidR="00E45705" w:rsidRPr="001B09E6" w14:paraId="07B32130" w14:textId="77777777" w:rsidTr="00E45705">
        <w:trPr>
          <w:trHeight w:val="57"/>
        </w:trPr>
        <w:tc>
          <w:tcPr>
            <w:tcW w:w="0" w:type="auto"/>
            <w:tcBorders>
              <w:top w:val="nil"/>
              <w:left w:val="nil"/>
              <w:bottom w:val="single" w:sz="4" w:space="0" w:color="auto"/>
              <w:right w:val="nil"/>
            </w:tcBorders>
            <w:shd w:val="clear" w:color="auto" w:fill="auto"/>
            <w:noWrap/>
            <w:hideMark/>
          </w:tcPr>
          <w:p w14:paraId="11E75273" w14:textId="77777777" w:rsidR="00E45705" w:rsidRPr="001B09E6" w:rsidRDefault="00E45705" w:rsidP="00E45705">
            <w:pPr>
              <w:pStyle w:val="TableCellText"/>
              <w:spacing w:before="0" w:after="0"/>
              <w:ind w:left="0" w:right="0"/>
              <w:rPr>
                <w:lang w:eastAsia="en-AU"/>
              </w:rPr>
            </w:pPr>
            <w:r w:rsidRPr="001B09E6">
              <w:rPr>
                <w:lang w:eastAsia="en-AU"/>
              </w:rPr>
              <w:t>2012</w:t>
            </w:r>
          </w:p>
        </w:tc>
        <w:tc>
          <w:tcPr>
            <w:tcW w:w="0" w:type="auto"/>
            <w:tcBorders>
              <w:top w:val="nil"/>
              <w:left w:val="nil"/>
              <w:bottom w:val="single" w:sz="4" w:space="0" w:color="auto"/>
              <w:right w:val="nil"/>
            </w:tcBorders>
            <w:shd w:val="clear" w:color="auto" w:fill="auto"/>
            <w:noWrap/>
            <w:hideMark/>
          </w:tcPr>
          <w:p w14:paraId="7252CD2E" w14:textId="77777777" w:rsidR="00E45705" w:rsidRPr="001B09E6" w:rsidRDefault="00E45705" w:rsidP="00E45705">
            <w:pPr>
              <w:pStyle w:val="TableCellText"/>
              <w:spacing w:before="0" w:after="0"/>
              <w:ind w:left="0" w:right="0"/>
              <w:jc w:val="center"/>
              <w:rPr>
                <w:lang w:eastAsia="en-AU"/>
              </w:rPr>
            </w:pPr>
            <w:r w:rsidRPr="001B09E6">
              <w:rPr>
                <w:lang w:eastAsia="en-AU"/>
              </w:rPr>
              <w:t>18.1</w:t>
            </w:r>
          </w:p>
        </w:tc>
        <w:tc>
          <w:tcPr>
            <w:tcW w:w="0" w:type="auto"/>
            <w:tcBorders>
              <w:top w:val="nil"/>
              <w:left w:val="nil"/>
              <w:bottom w:val="single" w:sz="4" w:space="0" w:color="auto"/>
              <w:right w:val="nil"/>
            </w:tcBorders>
            <w:shd w:val="clear" w:color="auto" w:fill="auto"/>
            <w:noWrap/>
            <w:hideMark/>
          </w:tcPr>
          <w:p w14:paraId="6D9661E2" w14:textId="77777777" w:rsidR="00E45705" w:rsidRPr="001B09E6" w:rsidRDefault="00E45705" w:rsidP="00E45705">
            <w:pPr>
              <w:pStyle w:val="TableCellText"/>
              <w:spacing w:before="0" w:after="0"/>
              <w:ind w:left="0" w:right="0"/>
              <w:jc w:val="center"/>
              <w:rPr>
                <w:lang w:eastAsia="en-AU"/>
              </w:rPr>
            </w:pPr>
            <w:r w:rsidRPr="001B09E6">
              <w:rPr>
                <w:lang w:eastAsia="en-AU"/>
              </w:rPr>
              <w:t>21.3</w:t>
            </w:r>
          </w:p>
        </w:tc>
        <w:tc>
          <w:tcPr>
            <w:tcW w:w="0" w:type="auto"/>
            <w:tcBorders>
              <w:top w:val="nil"/>
              <w:left w:val="nil"/>
              <w:bottom w:val="single" w:sz="4" w:space="0" w:color="auto"/>
              <w:right w:val="nil"/>
            </w:tcBorders>
            <w:shd w:val="clear" w:color="auto" w:fill="auto"/>
            <w:noWrap/>
            <w:hideMark/>
          </w:tcPr>
          <w:p w14:paraId="3D3604D3" w14:textId="77777777" w:rsidR="00E45705" w:rsidRPr="001B09E6" w:rsidRDefault="00E45705" w:rsidP="00E45705">
            <w:pPr>
              <w:pStyle w:val="TableCellText"/>
              <w:spacing w:before="0" w:after="0"/>
              <w:ind w:left="0" w:right="0"/>
              <w:jc w:val="center"/>
              <w:rPr>
                <w:lang w:eastAsia="en-AU"/>
              </w:rPr>
            </w:pPr>
            <w:r w:rsidRPr="001B09E6">
              <w:rPr>
                <w:lang w:eastAsia="en-AU"/>
              </w:rPr>
              <w:t>22.8</w:t>
            </w:r>
          </w:p>
        </w:tc>
        <w:tc>
          <w:tcPr>
            <w:tcW w:w="0" w:type="auto"/>
            <w:tcBorders>
              <w:top w:val="nil"/>
              <w:left w:val="nil"/>
              <w:bottom w:val="single" w:sz="4" w:space="0" w:color="auto"/>
              <w:right w:val="nil"/>
            </w:tcBorders>
            <w:shd w:val="clear" w:color="auto" w:fill="auto"/>
            <w:noWrap/>
            <w:hideMark/>
          </w:tcPr>
          <w:p w14:paraId="5C63F7E1" w14:textId="77777777" w:rsidR="00E45705" w:rsidRPr="001B09E6" w:rsidRDefault="00E45705" w:rsidP="00E45705">
            <w:pPr>
              <w:pStyle w:val="TableCellText"/>
              <w:spacing w:before="0" w:after="0"/>
              <w:ind w:left="0" w:right="0"/>
              <w:jc w:val="center"/>
              <w:rPr>
                <w:lang w:eastAsia="en-AU"/>
              </w:rPr>
            </w:pPr>
            <w:r w:rsidRPr="001B09E6">
              <w:rPr>
                <w:lang w:eastAsia="en-AU"/>
              </w:rPr>
              <w:t>3.2</w:t>
            </w:r>
          </w:p>
        </w:tc>
        <w:tc>
          <w:tcPr>
            <w:tcW w:w="0" w:type="auto"/>
            <w:tcBorders>
              <w:top w:val="nil"/>
              <w:left w:val="nil"/>
              <w:bottom w:val="single" w:sz="4" w:space="0" w:color="auto"/>
              <w:right w:val="nil"/>
            </w:tcBorders>
            <w:shd w:val="clear" w:color="auto" w:fill="auto"/>
            <w:noWrap/>
            <w:hideMark/>
          </w:tcPr>
          <w:p w14:paraId="02295BCB" w14:textId="77777777" w:rsidR="00E45705" w:rsidRPr="001B09E6" w:rsidRDefault="00E45705" w:rsidP="00E45705">
            <w:pPr>
              <w:pStyle w:val="TableCellText"/>
              <w:spacing w:before="0" w:after="0"/>
              <w:ind w:left="0" w:right="0"/>
              <w:jc w:val="center"/>
              <w:rPr>
                <w:lang w:eastAsia="en-AU"/>
              </w:rPr>
            </w:pPr>
            <w:r w:rsidRPr="001B09E6">
              <w:rPr>
                <w:lang w:eastAsia="en-AU"/>
              </w:rPr>
              <w:t>4.7</w:t>
            </w:r>
          </w:p>
        </w:tc>
      </w:tr>
    </w:tbl>
    <w:p w14:paraId="7E0CE8E1" w14:textId="77777777" w:rsidR="00E45705" w:rsidRPr="001B09E6" w:rsidRDefault="00E45705" w:rsidP="00E45705">
      <w:pPr>
        <w:pStyle w:val="Tablenote"/>
      </w:pPr>
      <w:r w:rsidRPr="001B09E6">
        <w:t>1. The values in the table are calculated from single year of age data on educational and labour force status for 15-25 year-olds in May of each year. Column 4 is obtained by subtracting column 1 from column 2; column 5 is obtained by subtracting column 3 from column 1. The methodology is adapted from a methodology for calculating transition durations that first appeared in OECD (1996) “Transition from school to work”, Education Policy Analysis, Paris.</w:t>
      </w:r>
    </w:p>
    <w:p w14:paraId="504F0AA5" w14:textId="77777777" w:rsidR="00E45705" w:rsidRPr="001B09E6" w:rsidRDefault="00E45705" w:rsidP="00E45705">
      <w:pPr>
        <w:pStyle w:val="Tablenote"/>
      </w:pPr>
      <w:r w:rsidRPr="001B09E6">
        <w:t>Source: ABS 6291.0.55.001 Labour Force, Australia, Detailed - Electronic Delivery, Tables 03b and 03c.</w:t>
      </w:r>
      <w:r w:rsidRPr="001B09E6">
        <w:br w:type="page"/>
      </w:r>
    </w:p>
    <w:p w14:paraId="035843DF" w14:textId="77777777" w:rsidR="00E45705" w:rsidRPr="001B09E6" w:rsidRDefault="00E45705" w:rsidP="00E45705">
      <w:pPr>
        <w:pStyle w:val="Heading3NoNumbering"/>
      </w:pPr>
      <w:bookmarkStart w:id="222" w:name="_Toc192134437"/>
      <w:bookmarkStart w:id="223" w:name="_Toc333919022"/>
      <w:r w:rsidRPr="001B09E6">
        <w:t>Table A2.37: Persons aged 15-19 empl</w:t>
      </w:r>
      <w:r w:rsidR="00192ABE">
        <w:t>oyed full-time, 1990-2011 (‘000</w:t>
      </w:r>
      <w:r w:rsidRPr="001B09E6">
        <w:t>)</w:t>
      </w:r>
      <w:bookmarkEnd w:id="222"/>
      <w:bookmarkEnd w:id="223"/>
    </w:p>
    <w:tbl>
      <w:tblPr>
        <w:tblW w:w="813" w:type="pct"/>
        <w:tblLook w:val="04A0" w:firstRow="1" w:lastRow="0" w:firstColumn="1" w:lastColumn="0" w:noHBand="0" w:noVBand="1"/>
        <w:tblCaption w:val="Table A2.37: Persons aged 15-19 employed full-time, 1990-2011 (‘000) "/>
        <w:tblDescription w:val="Table A2.37: Persons aged 15-19 employed full-time, 1990-2011 (‘000)&#10;"/>
      </w:tblPr>
      <w:tblGrid>
        <w:gridCol w:w="1384"/>
        <w:gridCol w:w="993"/>
      </w:tblGrid>
      <w:tr w:rsidR="00192ABE" w:rsidRPr="001B09E6" w14:paraId="70CD6EB3" w14:textId="77777777" w:rsidTr="00192ABE">
        <w:trPr>
          <w:trHeight w:val="300"/>
        </w:trPr>
        <w:tc>
          <w:tcPr>
            <w:tcW w:w="2912" w:type="pct"/>
            <w:tcBorders>
              <w:top w:val="single" w:sz="4" w:space="0" w:color="auto"/>
              <w:left w:val="nil"/>
              <w:bottom w:val="single" w:sz="4" w:space="0" w:color="auto"/>
              <w:right w:val="nil"/>
            </w:tcBorders>
            <w:shd w:val="clear" w:color="auto" w:fill="auto"/>
            <w:noWrap/>
            <w:vAlign w:val="bottom"/>
            <w:hideMark/>
          </w:tcPr>
          <w:p w14:paraId="6C307303" w14:textId="77777777" w:rsidR="00E45705" w:rsidRPr="001B09E6" w:rsidRDefault="00192ABE" w:rsidP="00E45705">
            <w:pPr>
              <w:pStyle w:val="TableColumnHeading"/>
              <w:spacing w:before="0" w:after="0"/>
              <w:ind w:left="0" w:right="0"/>
            </w:pPr>
            <w:r>
              <w:t>Date</w:t>
            </w:r>
          </w:p>
        </w:tc>
        <w:tc>
          <w:tcPr>
            <w:tcW w:w="2088" w:type="pct"/>
            <w:tcBorders>
              <w:top w:val="single" w:sz="4" w:space="0" w:color="auto"/>
              <w:left w:val="nil"/>
              <w:bottom w:val="single" w:sz="4" w:space="0" w:color="auto"/>
              <w:right w:val="nil"/>
            </w:tcBorders>
            <w:shd w:val="clear" w:color="auto" w:fill="auto"/>
            <w:noWrap/>
            <w:vAlign w:val="bottom"/>
            <w:hideMark/>
          </w:tcPr>
          <w:p w14:paraId="19B9325A" w14:textId="77777777" w:rsidR="00E45705" w:rsidRPr="001B09E6" w:rsidRDefault="00E45705" w:rsidP="00E45705">
            <w:pPr>
              <w:pStyle w:val="TableColumnHeading"/>
              <w:spacing w:before="0" w:after="0"/>
              <w:ind w:left="0" w:right="0"/>
              <w:rPr>
                <w:rFonts w:cs="Arial"/>
              </w:rPr>
            </w:pPr>
            <w:r w:rsidRPr="001B09E6">
              <w:rPr>
                <w:rFonts w:cs="Arial"/>
              </w:rPr>
              <w:t>(’000)</w:t>
            </w:r>
          </w:p>
        </w:tc>
      </w:tr>
      <w:tr w:rsidR="00192ABE" w:rsidRPr="001B09E6" w14:paraId="62943604" w14:textId="77777777" w:rsidTr="00192ABE">
        <w:trPr>
          <w:trHeight w:val="300"/>
        </w:trPr>
        <w:tc>
          <w:tcPr>
            <w:tcW w:w="2912" w:type="pct"/>
            <w:tcBorders>
              <w:top w:val="single" w:sz="4" w:space="0" w:color="auto"/>
              <w:left w:val="nil"/>
              <w:bottom w:val="nil"/>
              <w:right w:val="nil"/>
            </w:tcBorders>
            <w:shd w:val="clear" w:color="auto" w:fill="auto"/>
            <w:noWrap/>
            <w:vAlign w:val="bottom"/>
            <w:hideMark/>
          </w:tcPr>
          <w:p w14:paraId="141CB839" w14:textId="77777777" w:rsidR="00E45705" w:rsidRPr="001B09E6" w:rsidRDefault="00E45705" w:rsidP="00E45705">
            <w:pPr>
              <w:pStyle w:val="TableCellText"/>
              <w:spacing w:before="0" w:after="0"/>
              <w:ind w:left="0" w:right="0"/>
            </w:pPr>
            <w:r w:rsidRPr="001B09E6">
              <w:t>Aug-90</w:t>
            </w:r>
          </w:p>
        </w:tc>
        <w:tc>
          <w:tcPr>
            <w:tcW w:w="2088" w:type="pct"/>
            <w:tcBorders>
              <w:top w:val="single" w:sz="4" w:space="0" w:color="auto"/>
              <w:left w:val="nil"/>
              <w:bottom w:val="nil"/>
              <w:right w:val="nil"/>
            </w:tcBorders>
            <w:shd w:val="clear" w:color="auto" w:fill="auto"/>
            <w:noWrap/>
            <w:vAlign w:val="bottom"/>
            <w:hideMark/>
          </w:tcPr>
          <w:p w14:paraId="2CD42B77" w14:textId="77777777" w:rsidR="00E45705" w:rsidRPr="001B09E6" w:rsidRDefault="00E45705" w:rsidP="00E45705">
            <w:pPr>
              <w:pStyle w:val="TableCellText"/>
              <w:spacing w:before="0" w:after="0"/>
              <w:ind w:left="0" w:right="0"/>
              <w:rPr>
                <w:rFonts w:cs="Arial"/>
              </w:rPr>
            </w:pPr>
            <w:r w:rsidRPr="001B09E6">
              <w:rPr>
                <w:rFonts w:cs="Arial"/>
              </w:rPr>
              <w:t>387.4</w:t>
            </w:r>
          </w:p>
        </w:tc>
      </w:tr>
      <w:tr w:rsidR="00192ABE" w:rsidRPr="001B09E6" w14:paraId="2E3640DD" w14:textId="77777777" w:rsidTr="00192ABE">
        <w:trPr>
          <w:trHeight w:val="300"/>
        </w:trPr>
        <w:tc>
          <w:tcPr>
            <w:tcW w:w="2912" w:type="pct"/>
            <w:tcBorders>
              <w:top w:val="nil"/>
              <w:left w:val="nil"/>
              <w:bottom w:val="nil"/>
              <w:right w:val="nil"/>
            </w:tcBorders>
            <w:shd w:val="clear" w:color="auto" w:fill="auto"/>
            <w:noWrap/>
            <w:vAlign w:val="bottom"/>
            <w:hideMark/>
          </w:tcPr>
          <w:p w14:paraId="6AE923B9" w14:textId="77777777" w:rsidR="00E45705" w:rsidRPr="001B09E6" w:rsidRDefault="00E45705" w:rsidP="00E45705">
            <w:pPr>
              <w:pStyle w:val="TableCellText"/>
              <w:spacing w:before="0" w:after="0"/>
              <w:ind w:left="0" w:right="0"/>
            </w:pPr>
            <w:r w:rsidRPr="001B09E6">
              <w:t>Aug-91</w:t>
            </w:r>
          </w:p>
        </w:tc>
        <w:tc>
          <w:tcPr>
            <w:tcW w:w="2088" w:type="pct"/>
            <w:tcBorders>
              <w:top w:val="nil"/>
              <w:left w:val="nil"/>
              <w:bottom w:val="nil"/>
              <w:right w:val="nil"/>
            </w:tcBorders>
            <w:shd w:val="clear" w:color="auto" w:fill="auto"/>
            <w:noWrap/>
            <w:vAlign w:val="bottom"/>
            <w:hideMark/>
          </w:tcPr>
          <w:p w14:paraId="0D0C5C1B" w14:textId="77777777" w:rsidR="00E45705" w:rsidRPr="001B09E6" w:rsidRDefault="00E45705" w:rsidP="00E45705">
            <w:pPr>
              <w:pStyle w:val="TableCellText"/>
              <w:spacing w:before="0" w:after="0"/>
              <w:ind w:left="0" w:right="0"/>
              <w:rPr>
                <w:rFonts w:cs="Arial"/>
              </w:rPr>
            </w:pPr>
            <w:r w:rsidRPr="001B09E6">
              <w:rPr>
                <w:rFonts w:cs="Arial"/>
              </w:rPr>
              <w:t>276.0</w:t>
            </w:r>
          </w:p>
        </w:tc>
      </w:tr>
      <w:tr w:rsidR="00192ABE" w:rsidRPr="001B09E6" w14:paraId="5E12567F" w14:textId="77777777" w:rsidTr="00192ABE">
        <w:trPr>
          <w:trHeight w:val="300"/>
        </w:trPr>
        <w:tc>
          <w:tcPr>
            <w:tcW w:w="2912" w:type="pct"/>
            <w:tcBorders>
              <w:top w:val="nil"/>
              <w:left w:val="nil"/>
              <w:bottom w:val="nil"/>
              <w:right w:val="nil"/>
            </w:tcBorders>
            <w:shd w:val="clear" w:color="auto" w:fill="auto"/>
            <w:noWrap/>
            <w:vAlign w:val="bottom"/>
            <w:hideMark/>
          </w:tcPr>
          <w:p w14:paraId="72633BF1" w14:textId="77777777" w:rsidR="00E45705" w:rsidRPr="001B09E6" w:rsidRDefault="00E45705" w:rsidP="00E45705">
            <w:pPr>
              <w:pStyle w:val="TableCellText"/>
              <w:spacing w:before="0" w:after="0"/>
              <w:ind w:left="0" w:right="0"/>
            </w:pPr>
            <w:r w:rsidRPr="001B09E6">
              <w:t>Aug-92</w:t>
            </w:r>
          </w:p>
        </w:tc>
        <w:tc>
          <w:tcPr>
            <w:tcW w:w="2088" w:type="pct"/>
            <w:tcBorders>
              <w:top w:val="nil"/>
              <w:left w:val="nil"/>
              <w:bottom w:val="nil"/>
              <w:right w:val="nil"/>
            </w:tcBorders>
            <w:shd w:val="clear" w:color="auto" w:fill="auto"/>
            <w:noWrap/>
            <w:vAlign w:val="bottom"/>
            <w:hideMark/>
          </w:tcPr>
          <w:p w14:paraId="63FF8EB3" w14:textId="77777777" w:rsidR="00E45705" w:rsidRPr="001B09E6" w:rsidRDefault="00E45705" w:rsidP="00E45705">
            <w:pPr>
              <w:pStyle w:val="TableCellText"/>
              <w:spacing w:before="0" w:after="0"/>
              <w:ind w:left="0" w:right="0"/>
              <w:rPr>
                <w:rFonts w:cs="Arial"/>
              </w:rPr>
            </w:pPr>
            <w:r w:rsidRPr="001B09E6">
              <w:rPr>
                <w:rFonts w:cs="Arial"/>
              </w:rPr>
              <w:t>235.2</w:t>
            </w:r>
          </w:p>
        </w:tc>
      </w:tr>
      <w:tr w:rsidR="00192ABE" w:rsidRPr="001B09E6" w14:paraId="55DA0F10" w14:textId="77777777" w:rsidTr="00192ABE">
        <w:trPr>
          <w:trHeight w:val="300"/>
        </w:trPr>
        <w:tc>
          <w:tcPr>
            <w:tcW w:w="2912" w:type="pct"/>
            <w:tcBorders>
              <w:top w:val="nil"/>
              <w:left w:val="nil"/>
              <w:bottom w:val="nil"/>
              <w:right w:val="nil"/>
            </w:tcBorders>
            <w:shd w:val="clear" w:color="auto" w:fill="auto"/>
            <w:noWrap/>
            <w:vAlign w:val="bottom"/>
            <w:hideMark/>
          </w:tcPr>
          <w:p w14:paraId="008D2E71" w14:textId="77777777" w:rsidR="00E45705" w:rsidRPr="001B09E6" w:rsidRDefault="00E45705" w:rsidP="00E45705">
            <w:pPr>
              <w:pStyle w:val="TableCellText"/>
              <w:spacing w:before="0" w:after="0"/>
              <w:ind w:left="0" w:right="0"/>
            </w:pPr>
            <w:r w:rsidRPr="001B09E6">
              <w:t>Aug-93</w:t>
            </w:r>
          </w:p>
        </w:tc>
        <w:tc>
          <w:tcPr>
            <w:tcW w:w="2088" w:type="pct"/>
            <w:tcBorders>
              <w:top w:val="nil"/>
              <w:left w:val="nil"/>
              <w:bottom w:val="nil"/>
              <w:right w:val="nil"/>
            </w:tcBorders>
            <w:shd w:val="clear" w:color="auto" w:fill="auto"/>
            <w:noWrap/>
            <w:vAlign w:val="bottom"/>
            <w:hideMark/>
          </w:tcPr>
          <w:p w14:paraId="433B5288" w14:textId="77777777" w:rsidR="00E45705" w:rsidRPr="001B09E6" w:rsidRDefault="00E45705" w:rsidP="00E45705">
            <w:pPr>
              <w:pStyle w:val="TableCellText"/>
              <w:spacing w:before="0" w:after="0"/>
              <w:ind w:left="0" w:right="0"/>
              <w:rPr>
                <w:rFonts w:cs="Arial"/>
              </w:rPr>
            </w:pPr>
            <w:r w:rsidRPr="001B09E6">
              <w:rPr>
                <w:rFonts w:cs="Arial"/>
              </w:rPr>
              <w:t>218.6</w:t>
            </w:r>
          </w:p>
        </w:tc>
      </w:tr>
      <w:tr w:rsidR="00192ABE" w:rsidRPr="001B09E6" w14:paraId="3697E1AA" w14:textId="77777777" w:rsidTr="00192ABE">
        <w:trPr>
          <w:trHeight w:val="300"/>
        </w:trPr>
        <w:tc>
          <w:tcPr>
            <w:tcW w:w="2912" w:type="pct"/>
            <w:tcBorders>
              <w:top w:val="nil"/>
              <w:left w:val="nil"/>
              <w:bottom w:val="nil"/>
              <w:right w:val="nil"/>
            </w:tcBorders>
            <w:shd w:val="clear" w:color="auto" w:fill="auto"/>
            <w:noWrap/>
            <w:vAlign w:val="bottom"/>
            <w:hideMark/>
          </w:tcPr>
          <w:p w14:paraId="2980AE15" w14:textId="77777777" w:rsidR="00E45705" w:rsidRPr="001B09E6" w:rsidRDefault="00E45705" w:rsidP="00E45705">
            <w:pPr>
              <w:pStyle w:val="TableCellText"/>
              <w:spacing w:before="0" w:after="0"/>
              <w:ind w:left="0" w:right="0"/>
            </w:pPr>
            <w:r w:rsidRPr="001B09E6">
              <w:t>Aug-94</w:t>
            </w:r>
          </w:p>
        </w:tc>
        <w:tc>
          <w:tcPr>
            <w:tcW w:w="2088" w:type="pct"/>
            <w:tcBorders>
              <w:top w:val="nil"/>
              <w:left w:val="nil"/>
              <w:bottom w:val="nil"/>
              <w:right w:val="nil"/>
            </w:tcBorders>
            <w:shd w:val="clear" w:color="auto" w:fill="auto"/>
            <w:noWrap/>
            <w:vAlign w:val="bottom"/>
            <w:hideMark/>
          </w:tcPr>
          <w:p w14:paraId="48A32A3A" w14:textId="77777777" w:rsidR="00E45705" w:rsidRPr="001B09E6" w:rsidRDefault="00E45705" w:rsidP="00E45705">
            <w:pPr>
              <w:pStyle w:val="TableCellText"/>
              <w:spacing w:before="0" w:after="0"/>
              <w:ind w:left="0" w:right="0"/>
              <w:rPr>
                <w:rFonts w:cs="Arial"/>
              </w:rPr>
            </w:pPr>
            <w:r w:rsidRPr="001B09E6">
              <w:rPr>
                <w:rFonts w:cs="Arial"/>
              </w:rPr>
              <w:t>228.9</w:t>
            </w:r>
          </w:p>
        </w:tc>
      </w:tr>
      <w:tr w:rsidR="00192ABE" w:rsidRPr="001B09E6" w14:paraId="60D80C77" w14:textId="77777777" w:rsidTr="00192ABE">
        <w:trPr>
          <w:trHeight w:val="300"/>
        </w:trPr>
        <w:tc>
          <w:tcPr>
            <w:tcW w:w="2912" w:type="pct"/>
            <w:tcBorders>
              <w:top w:val="nil"/>
              <w:left w:val="nil"/>
              <w:bottom w:val="nil"/>
              <w:right w:val="nil"/>
            </w:tcBorders>
            <w:shd w:val="clear" w:color="auto" w:fill="auto"/>
            <w:noWrap/>
            <w:vAlign w:val="bottom"/>
            <w:hideMark/>
          </w:tcPr>
          <w:p w14:paraId="7BB9147D" w14:textId="77777777" w:rsidR="00E45705" w:rsidRPr="001B09E6" w:rsidRDefault="00E45705" w:rsidP="00E45705">
            <w:pPr>
              <w:pStyle w:val="TableCellText"/>
              <w:spacing w:before="0" w:after="0"/>
              <w:ind w:left="0" w:right="0"/>
            </w:pPr>
            <w:r w:rsidRPr="001B09E6">
              <w:t>Aug-95</w:t>
            </w:r>
          </w:p>
        </w:tc>
        <w:tc>
          <w:tcPr>
            <w:tcW w:w="2088" w:type="pct"/>
            <w:tcBorders>
              <w:top w:val="nil"/>
              <w:left w:val="nil"/>
              <w:bottom w:val="nil"/>
              <w:right w:val="nil"/>
            </w:tcBorders>
            <w:shd w:val="clear" w:color="auto" w:fill="auto"/>
            <w:noWrap/>
            <w:vAlign w:val="bottom"/>
            <w:hideMark/>
          </w:tcPr>
          <w:p w14:paraId="06540888" w14:textId="77777777" w:rsidR="00E45705" w:rsidRPr="001B09E6" w:rsidRDefault="00E45705" w:rsidP="00E45705">
            <w:pPr>
              <w:pStyle w:val="TableCellText"/>
              <w:spacing w:before="0" w:after="0"/>
              <w:ind w:left="0" w:right="0"/>
              <w:rPr>
                <w:rFonts w:cs="Arial"/>
              </w:rPr>
            </w:pPr>
            <w:r w:rsidRPr="001B09E6">
              <w:rPr>
                <w:rFonts w:cs="Arial"/>
              </w:rPr>
              <w:t>221.5</w:t>
            </w:r>
          </w:p>
        </w:tc>
      </w:tr>
      <w:tr w:rsidR="00192ABE" w:rsidRPr="001B09E6" w14:paraId="2C3CE631" w14:textId="77777777" w:rsidTr="00192ABE">
        <w:trPr>
          <w:trHeight w:val="300"/>
        </w:trPr>
        <w:tc>
          <w:tcPr>
            <w:tcW w:w="2912" w:type="pct"/>
            <w:tcBorders>
              <w:top w:val="nil"/>
              <w:left w:val="nil"/>
              <w:bottom w:val="nil"/>
              <w:right w:val="nil"/>
            </w:tcBorders>
            <w:shd w:val="clear" w:color="auto" w:fill="auto"/>
            <w:noWrap/>
            <w:vAlign w:val="bottom"/>
            <w:hideMark/>
          </w:tcPr>
          <w:p w14:paraId="5B6320DF" w14:textId="77777777" w:rsidR="00E45705" w:rsidRPr="001B09E6" w:rsidRDefault="00E45705" w:rsidP="00E45705">
            <w:pPr>
              <w:pStyle w:val="TableCellText"/>
              <w:spacing w:before="0" w:after="0"/>
              <w:ind w:left="0" w:right="0"/>
            </w:pPr>
            <w:r w:rsidRPr="001B09E6">
              <w:t>Aug-96</w:t>
            </w:r>
          </w:p>
        </w:tc>
        <w:tc>
          <w:tcPr>
            <w:tcW w:w="2088" w:type="pct"/>
            <w:tcBorders>
              <w:top w:val="nil"/>
              <w:left w:val="nil"/>
              <w:bottom w:val="nil"/>
              <w:right w:val="nil"/>
            </w:tcBorders>
            <w:shd w:val="clear" w:color="auto" w:fill="auto"/>
            <w:noWrap/>
            <w:vAlign w:val="bottom"/>
            <w:hideMark/>
          </w:tcPr>
          <w:p w14:paraId="04F0FD95" w14:textId="77777777" w:rsidR="00E45705" w:rsidRPr="001B09E6" w:rsidRDefault="00E45705" w:rsidP="00E45705">
            <w:pPr>
              <w:pStyle w:val="TableCellText"/>
              <w:spacing w:before="0" w:after="0"/>
              <w:ind w:left="0" w:right="0"/>
              <w:rPr>
                <w:rFonts w:cs="Arial"/>
              </w:rPr>
            </w:pPr>
            <w:r w:rsidRPr="001B09E6">
              <w:rPr>
                <w:rFonts w:cs="Arial"/>
              </w:rPr>
              <w:t>219.7</w:t>
            </w:r>
          </w:p>
        </w:tc>
      </w:tr>
      <w:tr w:rsidR="00192ABE" w:rsidRPr="001B09E6" w14:paraId="18A87A72" w14:textId="77777777" w:rsidTr="00192ABE">
        <w:trPr>
          <w:trHeight w:val="300"/>
        </w:trPr>
        <w:tc>
          <w:tcPr>
            <w:tcW w:w="2912" w:type="pct"/>
            <w:tcBorders>
              <w:top w:val="nil"/>
              <w:left w:val="nil"/>
              <w:bottom w:val="nil"/>
              <w:right w:val="nil"/>
            </w:tcBorders>
            <w:shd w:val="clear" w:color="auto" w:fill="auto"/>
            <w:noWrap/>
            <w:vAlign w:val="bottom"/>
            <w:hideMark/>
          </w:tcPr>
          <w:p w14:paraId="3757ADF5" w14:textId="77777777" w:rsidR="00E45705" w:rsidRPr="001B09E6" w:rsidRDefault="00E45705" w:rsidP="00E45705">
            <w:pPr>
              <w:pStyle w:val="TableCellText"/>
              <w:spacing w:before="0" w:after="0"/>
              <w:ind w:left="0" w:right="0"/>
            </w:pPr>
            <w:r w:rsidRPr="001B09E6">
              <w:t>Aug-97</w:t>
            </w:r>
          </w:p>
        </w:tc>
        <w:tc>
          <w:tcPr>
            <w:tcW w:w="2088" w:type="pct"/>
            <w:tcBorders>
              <w:top w:val="nil"/>
              <w:left w:val="nil"/>
              <w:bottom w:val="nil"/>
              <w:right w:val="nil"/>
            </w:tcBorders>
            <w:shd w:val="clear" w:color="auto" w:fill="auto"/>
            <w:noWrap/>
            <w:vAlign w:val="bottom"/>
            <w:hideMark/>
          </w:tcPr>
          <w:p w14:paraId="39B966C6" w14:textId="77777777" w:rsidR="00E45705" w:rsidRPr="001B09E6" w:rsidRDefault="00E45705" w:rsidP="00E45705">
            <w:pPr>
              <w:pStyle w:val="TableCellText"/>
              <w:spacing w:before="0" w:after="0"/>
              <w:ind w:left="0" w:right="0"/>
              <w:rPr>
                <w:rFonts w:cs="Arial"/>
              </w:rPr>
            </w:pPr>
            <w:r w:rsidRPr="001B09E6">
              <w:rPr>
                <w:rFonts w:cs="Arial"/>
              </w:rPr>
              <w:t>203.8</w:t>
            </w:r>
          </w:p>
        </w:tc>
      </w:tr>
      <w:tr w:rsidR="00192ABE" w:rsidRPr="001B09E6" w14:paraId="318721EA" w14:textId="77777777" w:rsidTr="00192ABE">
        <w:trPr>
          <w:trHeight w:val="300"/>
        </w:trPr>
        <w:tc>
          <w:tcPr>
            <w:tcW w:w="2912" w:type="pct"/>
            <w:tcBorders>
              <w:top w:val="nil"/>
              <w:left w:val="nil"/>
              <w:bottom w:val="nil"/>
              <w:right w:val="nil"/>
            </w:tcBorders>
            <w:shd w:val="clear" w:color="auto" w:fill="auto"/>
            <w:noWrap/>
            <w:vAlign w:val="bottom"/>
            <w:hideMark/>
          </w:tcPr>
          <w:p w14:paraId="126E29F4" w14:textId="77777777" w:rsidR="00E45705" w:rsidRPr="001B09E6" w:rsidRDefault="00E45705" w:rsidP="00E45705">
            <w:pPr>
              <w:pStyle w:val="TableCellText"/>
              <w:spacing w:before="0" w:after="0"/>
              <w:ind w:left="0" w:right="0"/>
            </w:pPr>
            <w:r w:rsidRPr="001B09E6">
              <w:t>Aug-98</w:t>
            </w:r>
          </w:p>
        </w:tc>
        <w:tc>
          <w:tcPr>
            <w:tcW w:w="2088" w:type="pct"/>
            <w:tcBorders>
              <w:top w:val="nil"/>
              <w:left w:val="nil"/>
              <w:bottom w:val="nil"/>
              <w:right w:val="nil"/>
            </w:tcBorders>
            <w:shd w:val="clear" w:color="auto" w:fill="auto"/>
            <w:noWrap/>
            <w:vAlign w:val="bottom"/>
            <w:hideMark/>
          </w:tcPr>
          <w:p w14:paraId="274C3482" w14:textId="77777777" w:rsidR="00E45705" w:rsidRPr="001B09E6" w:rsidRDefault="00E45705" w:rsidP="00E45705">
            <w:pPr>
              <w:pStyle w:val="TableCellText"/>
              <w:spacing w:before="0" w:after="0"/>
              <w:ind w:left="0" w:right="0"/>
              <w:rPr>
                <w:rFonts w:cs="Arial"/>
              </w:rPr>
            </w:pPr>
            <w:r w:rsidRPr="001B09E6">
              <w:rPr>
                <w:rFonts w:cs="Arial"/>
              </w:rPr>
              <w:t>204.7</w:t>
            </w:r>
          </w:p>
        </w:tc>
      </w:tr>
      <w:tr w:rsidR="00192ABE" w:rsidRPr="001B09E6" w14:paraId="4C4CD247" w14:textId="77777777" w:rsidTr="00192ABE">
        <w:trPr>
          <w:trHeight w:val="300"/>
        </w:trPr>
        <w:tc>
          <w:tcPr>
            <w:tcW w:w="2912" w:type="pct"/>
            <w:tcBorders>
              <w:top w:val="nil"/>
              <w:left w:val="nil"/>
              <w:bottom w:val="nil"/>
              <w:right w:val="nil"/>
            </w:tcBorders>
            <w:shd w:val="clear" w:color="auto" w:fill="auto"/>
            <w:noWrap/>
            <w:vAlign w:val="bottom"/>
            <w:hideMark/>
          </w:tcPr>
          <w:p w14:paraId="282CDAD0" w14:textId="77777777" w:rsidR="00E45705" w:rsidRPr="001B09E6" w:rsidRDefault="00E45705" w:rsidP="00E45705">
            <w:pPr>
              <w:pStyle w:val="TableCellText"/>
              <w:spacing w:before="0" w:after="0"/>
              <w:ind w:left="0" w:right="0"/>
            </w:pPr>
            <w:r w:rsidRPr="001B09E6">
              <w:t>Aug-99</w:t>
            </w:r>
          </w:p>
        </w:tc>
        <w:tc>
          <w:tcPr>
            <w:tcW w:w="2088" w:type="pct"/>
            <w:tcBorders>
              <w:top w:val="nil"/>
              <w:left w:val="nil"/>
              <w:bottom w:val="nil"/>
              <w:right w:val="nil"/>
            </w:tcBorders>
            <w:shd w:val="clear" w:color="auto" w:fill="auto"/>
            <w:noWrap/>
            <w:vAlign w:val="bottom"/>
            <w:hideMark/>
          </w:tcPr>
          <w:p w14:paraId="5BD31801" w14:textId="77777777" w:rsidR="00E45705" w:rsidRPr="001B09E6" w:rsidRDefault="00E45705" w:rsidP="00E45705">
            <w:pPr>
              <w:pStyle w:val="TableCellText"/>
              <w:spacing w:before="0" w:after="0"/>
              <w:ind w:left="0" w:right="0"/>
              <w:rPr>
                <w:rFonts w:cs="Arial"/>
              </w:rPr>
            </w:pPr>
            <w:r w:rsidRPr="001B09E6">
              <w:rPr>
                <w:rFonts w:cs="Arial"/>
              </w:rPr>
              <w:t>214.5</w:t>
            </w:r>
          </w:p>
        </w:tc>
      </w:tr>
      <w:tr w:rsidR="00192ABE" w:rsidRPr="001B09E6" w14:paraId="022E7B2F" w14:textId="77777777" w:rsidTr="00192ABE">
        <w:trPr>
          <w:trHeight w:val="300"/>
        </w:trPr>
        <w:tc>
          <w:tcPr>
            <w:tcW w:w="2912" w:type="pct"/>
            <w:tcBorders>
              <w:top w:val="nil"/>
              <w:left w:val="nil"/>
              <w:bottom w:val="nil"/>
              <w:right w:val="nil"/>
            </w:tcBorders>
            <w:shd w:val="clear" w:color="auto" w:fill="auto"/>
            <w:noWrap/>
            <w:vAlign w:val="bottom"/>
            <w:hideMark/>
          </w:tcPr>
          <w:p w14:paraId="3A2BC78F" w14:textId="77777777" w:rsidR="00E45705" w:rsidRPr="001B09E6" w:rsidRDefault="00E45705" w:rsidP="00E45705">
            <w:pPr>
              <w:pStyle w:val="TableCellText"/>
              <w:spacing w:before="0" w:after="0"/>
              <w:ind w:left="0" w:right="0"/>
            </w:pPr>
            <w:r w:rsidRPr="001B09E6">
              <w:t>Aug-00</w:t>
            </w:r>
          </w:p>
        </w:tc>
        <w:tc>
          <w:tcPr>
            <w:tcW w:w="2088" w:type="pct"/>
            <w:tcBorders>
              <w:top w:val="nil"/>
              <w:left w:val="nil"/>
              <w:bottom w:val="nil"/>
              <w:right w:val="nil"/>
            </w:tcBorders>
            <w:shd w:val="clear" w:color="auto" w:fill="auto"/>
            <w:noWrap/>
            <w:vAlign w:val="bottom"/>
            <w:hideMark/>
          </w:tcPr>
          <w:p w14:paraId="3C9383A7" w14:textId="77777777" w:rsidR="00E45705" w:rsidRPr="001B09E6" w:rsidRDefault="00E45705" w:rsidP="00E45705">
            <w:pPr>
              <w:pStyle w:val="TableCellText"/>
              <w:spacing w:before="0" w:after="0"/>
              <w:ind w:left="0" w:right="0"/>
              <w:rPr>
                <w:rFonts w:cs="Arial"/>
              </w:rPr>
            </w:pPr>
            <w:r w:rsidRPr="001B09E6">
              <w:rPr>
                <w:rFonts w:cs="Arial"/>
              </w:rPr>
              <w:t>216.2</w:t>
            </w:r>
          </w:p>
        </w:tc>
      </w:tr>
      <w:tr w:rsidR="00192ABE" w:rsidRPr="001B09E6" w14:paraId="68349213" w14:textId="77777777" w:rsidTr="00192ABE">
        <w:trPr>
          <w:trHeight w:val="300"/>
        </w:trPr>
        <w:tc>
          <w:tcPr>
            <w:tcW w:w="2912" w:type="pct"/>
            <w:tcBorders>
              <w:top w:val="nil"/>
              <w:left w:val="nil"/>
              <w:bottom w:val="nil"/>
              <w:right w:val="nil"/>
            </w:tcBorders>
            <w:shd w:val="clear" w:color="auto" w:fill="auto"/>
            <w:noWrap/>
            <w:vAlign w:val="bottom"/>
            <w:hideMark/>
          </w:tcPr>
          <w:p w14:paraId="4C386190" w14:textId="77777777" w:rsidR="00E45705" w:rsidRPr="001B09E6" w:rsidRDefault="00E45705" w:rsidP="00E45705">
            <w:pPr>
              <w:pStyle w:val="TableCellText"/>
              <w:spacing w:before="0" w:after="0"/>
              <w:ind w:left="0" w:right="0"/>
            </w:pPr>
            <w:r w:rsidRPr="001B09E6">
              <w:t>Aug-01</w:t>
            </w:r>
          </w:p>
        </w:tc>
        <w:tc>
          <w:tcPr>
            <w:tcW w:w="2088" w:type="pct"/>
            <w:tcBorders>
              <w:top w:val="nil"/>
              <w:left w:val="nil"/>
              <w:bottom w:val="nil"/>
              <w:right w:val="nil"/>
            </w:tcBorders>
            <w:shd w:val="clear" w:color="auto" w:fill="auto"/>
            <w:noWrap/>
            <w:vAlign w:val="bottom"/>
            <w:hideMark/>
          </w:tcPr>
          <w:p w14:paraId="2A03A097" w14:textId="77777777" w:rsidR="00E45705" w:rsidRPr="001B09E6" w:rsidRDefault="00E45705" w:rsidP="00E45705">
            <w:pPr>
              <w:pStyle w:val="TableCellText"/>
              <w:spacing w:before="0" w:after="0"/>
              <w:ind w:left="0" w:right="0"/>
              <w:rPr>
                <w:rFonts w:cs="Arial"/>
              </w:rPr>
            </w:pPr>
            <w:r w:rsidRPr="001B09E6">
              <w:rPr>
                <w:rFonts w:cs="Arial"/>
              </w:rPr>
              <w:t>214.4</w:t>
            </w:r>
          </w:p>
        </w:tc>
      </w:tr>
      <w:tr w:rsidR="00192ABE" w:rsidRPr="001B09E6" w14:paraId="557D49C2" w14:textId="77777777" w:rsidTr="00192ABE">
        <w:trPr>
          <w:trHeight w:val="300"/>
        </w:trPr>
        <w:tc>
          <w:tcPr>
            <w:tcW w:w="2912" w:type="pct"/>
            <w:tcBorders>
              <w:top w:val="nil"/>
              <w:left w:val="nil"/>
              <w:bottom w:val="nil"/>
              <w:right w:val="nil"/>
            </w:tcBorders>
            <w:shd w:val="clear" w:color="auto" w:fill="auto"/>
            <w:noWrap/>
            <w:vAlign w:val="bottom"/>
            <w:hideMark/>
          </w:tcPr>
          <w:p w14:paraId="43D4DF35" w14:textId="77777777" w:rsidR="00E45705" w:rsidRPr="001B09E6" w:rsidRDefault="00E45705" w:rsidP="00E45705">
            <w:pPr>
              <w:pStyle w:val="TableCellText"/>
              <w:spacing w:before="0" w:after="0"/>
              <w:ind w:left="0" w:right="0"/>
            </w:pPr>
            <w:r w:rsidRPr="001B09E6">
              <w:t>Aug-02</w:t>
            </w:r>
          </w:p>
        </w:tc>
        <w:tc>
          <w:tcPr>
            <w:tcW w:w="2088" w:type="pct"/>
            <w:tcBorders>
              <w:top w:val="nil"/>
              <w:left w:val="nil"/>
              <w:bottom w:val="nil"/>
              <w:right w:val="nil"/>
            </w:tcBorders>
            <w:shd w:val="clear" w:color="auto" w:fill="auto"/>
            <w:noWrap/>
            <w:vAlign w:val="bottom"/>
            <w:hideMark/>
          </w:tcPr>
          <w:p w14:paraId="5883DB34" w14:textId="77777777" w:rsidR="00E45705" w:rsidRPr="001B09E6" w:rsidRDefault="00E45705" w:rsidP="00E45705">
            <w:pPr>
              <w:pStyle w:val="TableCellText"/>
              <w:spacing w:before="0" w:after="0"/>
              <w:ind w:left="0" w:right="0"/>
              <w:rPr>
                <w:rFonts w:cs="Arial"/>
              </w:rPr>
            </w:pPr>
            <w:r w:rsidRPr="001B09E6">
              <w:rPr>
                <w:rFonts w:cs="Arial"/>
              </w:rPr>
              <w:t>203.8</w:t>
            </w:r>
          </w:p>
        </w:tc>
      </w:tr>
      <w:tr w:rsidR="00192ABE" w:rsidRPr="001B09E6" w14:paraId="02CE71DF" w14:textId="77777777" w:rsidTr="00192ABE">
        <w:trPr>
          <w:trHeight w:val="300"/>
        </w:trPr>
        <w:tc>
          <w:tcPr>
            <w:tcW w:w="2912" w:type="pct"/>
            <w:tcBorders>
              <w:top w:val="nil"/>
              <w:left w:val="nil"/>
              <w:bottom w:val="nil"/>
              <w:right w:val="nil"/>
            </w:tcBorders>
            <w:shd w:val="clear" w:color="auto" w:fill="auto"/>
            <w:noWrap/>
            <w:vAlign w:val="bottom"/>
            <w:hideMark/>
          </w:tcPr>
          <w:p w14:paraId="42837895" w14:textId="77777777" w:rsidR="00E45705" w:rsidRPr="001B09E6" w:rsidRDefault="00E45705" w:rsidP="00E45705">
            <w:pPr>
              <w:pStyle w:val="TableCellText"/>
              <w:spacing w:before="0" w:after="0"/>
              <w:ind w:left="0" w:right="0"/>
            </w:pPr>
            <w:r w:rsidRPr="001B09E6">
              <w:t>Aug-03</w:t>
            </w:r>
          </w:p>
        </w:tc>
        <w:tc>
          <w:tcPr>
            <w:tcW w:w="2088" w:type="pct"/>
            <w:tcBorders>
              <w:top w:val="nil"/>
              <w:left w:val="nil"/>
              <w:bottom w:val="nil"/>
              <w:right w:val="nil"/>
            </w:tcBorders>
            <w:shd w:val="clear" w:color="auto" w:fill="auto"/>
            <w:noWrap/>
            <w:vAlign w:val="bottom"/>
            <w:hideMark/>
          </w:tcPr>
          <w:p w14:paraId="48B5D58E" w14:textId="77777777" w:rsidR="00E45705" w:rsidRPr="001B09E6" w:rsidRDefault="00E45705" w:rsidP="00E45705">
            <w:pPr>
              <w:pStyle w:val="TableCellText"/>
              <w:spacing w:before="0" w:after="0"/>
              <w:ind w:left="0" w:right="0"/>
              <w:rPr>
                <w:rFonts w:cs="Arial"/>
              </w:rPr>
            </w:pPr>
            <w:r w:rsidRPr="001B09E6">
              <w:rPr>
                <w:rFonts w:cs="Arial"/>
              </w:rPr>
              <w:t>208.6</w:t>
            </w:r>
          </w:p>
        </w:tc>
      </w:tr>
      <w:tr w:rsidR="00192ABE" w:rsidRPr="001B09E6" w14:paraId="7D10C9EB" w14:textId="77777777" w:rsidTr="00192ABE">
        <w:trPr>
          <w:trHeight w:val="300"/>
        </w:trPr>
        <w:tc>
          <w:tcPr>
            <w:tcW w:w="2912" w:type="pct"/>
            <w:tcBorders>
              <w:top w:val="nil"/>
              <w:left w:val="nil"/>
              <w:bottom w:val="nil"/>
              <w:right w:val="nil"/>
            </w:tcBorders>
            <w:shd w:val="clear" w:color="auto" w:fill="auto"/>
            <w:noWrap/>
            <w:vAlign w:val="bottom"/>
            <w:hideMark/>
          </w:tcPr>
          <w:p w14:paraId="44F31DDA" w14:textId="77777777" w:rsidR="00E45705" w:rsidRPr="001B09E6" w:rsidRDefault="00E45705" w:rsidP="00E45705">
            <w:pPr>
              <w:pStyle w:val="TableCellText"/>
              <w:spacing w:before="0" w:after="0"/>
              <w:ind w:left="0" w:right="0"/>
            </w:pPr>
            <w:r w:rsidRPr="001B09E6">
              <w:t>Aug-04</w:t>
            </w:r>
          </w:p>
        </w:tc>
        <w:tc>
          <w:tcPr>
            <w:tcW w:w="2088" w:type="pct"/>
            <w:tcBorders>
              <w:top w:val="nil"/>
              <w:left w:val="nil"/>
              <w:bottom w:val="nil"/>
              <w:right w:val="nil"/>
            </w:tcBorders>
            <w:shd w:val="clear" w:color="auto" w:fill="auto"/>
            <w:noWrap/>
            <w:vAlign w:val="bottom"/>
            <w:hideMark/>
          </w:tcPr>
          <w:p w14:paraId="3DCD039F" w14:textId="77777777" w:rsidR="00E45705" w:rsidRPr="001B09E6" w:rsidRDefault="00E45705" w:rsidP="00E45705">
            <w:pPr>
              <w:pStyle w:val="TableCellText"/>
              <w:spacing w:before="0" w:after="0"/>
              <w:ind w:left="0" w:right="0"/>
              <w:rPr>
                <w:rFonts w:cs="Arial"/>
              </w:rPr>
            </w:pPr>
            <w:r w:rsidRPr="001B09E6">
              <w:rPr>
                <w:rFonts w:cs="Arial"/>
              </w:rPr>
              <w:t>212.1</w:t>
            </w:r>
          </w:p>
        </w:tc>
      </w:tr>
      <w:tr w:rsidR="00192ABE" w:rsidRPr="001B09E6" w14:paraId="0E3480E1" w14:textId="77777777" w:rsidTr="00192ABE">
        <w:trPr>
          <w:trHeight w:val="300"/>
        </w:trPr>
        <w:tc>
          <w:tcPr>
            <w:tcW w:w="2912" w:type="pct"/>
            <w:tcBorders>
              <w:top w:val="nil"/>
              <w:left w:val="nil"/>
              <w:bottom w:val="nil"/>
              <w:right w:val="nil"/>
            </w:tcBorders>
            <w:shd w:val="clear" w:color="auto" w:fill="auto"/>
            <w:noWrap/>
            <w:vAlign w:val="bottom"/>
            <w:hideMark/>
          </w:tcPr>
          <w:p w14:paraId="081F3070" w14:textId="77777777" w:rsidR="00E45705" w:rsidRPr="001B09E6" w:rsidRDefault="00E45705" w:rsidP="00E45705">
            <w:pPr>
              <w:pStyle w:val="TableCellText"/>
              <w:spacing w:before="0" w:after="0"/>
              <w:ind w:left="0" w:right="0"/>
            </w:pPr>
            <w:r w:rsidRPr="001B09E6">
              <w:t>Aug-05</w:t>
            </w:r>
          </w:p>
        </w:tc>
        <w:tc>
          <w:tcPr>
            <w:tcW w:w="2088" w:type="pct"/>
            <w:tcBorders>
              <w:top w:val="nil"/>
              <w:left w:val="nil"/>
              <w:bottom w:val="nil"/>
              <w:right w:val="nil"/>
            </w:tcBorders>
            <w:shd w:val="clear" w:color="auto" w:fill="auto"/>
            <w:noWrap/>
            <w:vAlign w:val="bottom"/>
            <w:hideMark/>
          </w:tcPr>
          <w:p w14:paraId="2F91FA1A" w14:textId="77777777" w:rsidR="00E45705" w:rsidRPr="001B09E6" w:rsidRDefault="00E45705" w:rsidP="00E45705">
            <w:pPr>
              <w:pStyle w:val="TableCellText"/>
              <w:spacing w:before="0" w:after="0"/>
              <w:ind w:left="0" w:right="0"/>
              <w:rPr>
                <w:rFonts w:cs="Arial"/>
              </w:rPr>
            </w:pPr>
            <w:r w:rsidRPr="001B09E6">
              <w:rPr>
                <w:rFonts w:cs="Arial"/>
              </w:rPr>
              <w:t>226.4</w:t>
            </w:r>
          </w:p>
        </w:tc>
      </w:tr>
      <w:tr w:rsidR="00192ABE" w:rsidRPr="001B09E6" w14:paraId="07977DA0" w14:textId="77777777" w:rsidTr="00192ABE">
        <w:trPr>
          <w:trHeight w:val="300"/>
        </w:trPr>
        <w:tc>
          <w:tcPr>
            <w:tcW w:w="2912" w:type="pct"/>
            <w:tcBorders>
              <w:top w:val="nil"/>
              <w:left w:val="nil"/>
              <w:bottom w:val="nil"/>
              <w:right w:val="nil"/>
            </w:tcBorders>
            <w:shd w:val="clear" w:color="auto" w:fill="auto"/>
            <w:noWrap/>
            <w:vAlign w:val="bottom"/>
            <w:hideMark/>
          </w:tcPr>
          <w:p w14:paraId="0F40EB84" w14:textId="77777777" w:rsidR="00E45705" w:rsidRPr="001B09E6" w:rsidRDefault="00E45705" w:rsidP="00E45705">
            <w:pPr>
              <w:pStyle w:val="TableCellText"/>
              <w:spacing w:before="0" w:after="0"/>
              <w:ind w:left="0" w:right="0"/>
            </w:pPr>
            <w:r w:rsidRPr="001B09E6">
              <w:t>Aug-06</w:t>
            </w:r>
          </w:p>
        </w:tc>
        <w:tc>
          <w:tcPr>
            <w:tcW w:w="2088" w:type="pct"/>
            <w:tcBorders>
              <w:top w:val="nil"/>
              <w:left w:val="nil"/>
              <w:bottom w:val="nil"/>
              <w:right w:val="nil"/>
            </w:tcBorders>
            <w:shd w:val="clear" w:color="auto" w:fill="auto"/>
            <w:noWrap/>
            <w:vAlign w:val="bottom"/>
            <w:hideMark/>
          </w:tcPr>
          <w:p w14:paraId="4897EE23" w14:textId="77777777" w:rsidR="00E45705" w:rsidRPr="001B09E6" w:rsidRDefault="00E45705" w:rsidP="00E45705">
            <w:pPr>
              <w:pStyle w:val="TableCellText"/>
              <w:spacing w:before="0" w:after="0"/>
              <w:ind w:left="0" w:right="0"/>
              <w:rPr>
                <w:rFonts w:cs="Arial"/>
              </w:rPr>
            </w:pPr>
            <w:r w:rsidRPr="001B09E6">
              <w:rPr>
                <w:rFonts w:cs="Arial"/>
              </w:rPr>
              <w:t>224.3</w:t>
            </w:r>
          </w:p>
        </w:tc>
      </w:tr>
      <w:tr w:rsidR="00192ABE" w:rsidRPr="001B09E6" w14:paraId="212D268D" w14:textId="77777777" w:rsidTr="00192ABE">
        <w:trPr>
          <w:trHeight w:val="300"/>
        </w:trPr>
        <w:tc>
          <w:tcPr>
            <w:tcW w:w="2912" w:type="pct"/>
            <w:tcBorders>
              <w:top w:val="nil"/>
              <w:left w:val="nil"/>
              <w:bottom w:val="nil"/>
              <w:right w:val="nil"/>
            </w:tcBorders>
            <w:shd w:val="clear" w:color="auto" w:fill="auto"/>
            <w:noWrap/>
            <w:vAlign w:val="bottom"/>
            <w:hideMark/>
          </w:tcPr>
          <w:p w14:paraId="59BB0C7C" w14:textId="77777777" w:rsidR="00E45705" w:rsidRPr="001B09E6" w:rsidRDefault="00E45705" w:rsidP="00E45705">
            <w:pPr>
              <w:pStyle w:val="TableCellText"/>
              <w:spacing w:before="0" w:after="0"/>
              <w:ind w:left="0" w:right="0"/>
            </w:pPr>
            <w:r w:rsidRPr="001B09E6">
              <w:t>Aug-07</w:t>
            </w:r>
          </w:p>
        </w:tc>
        <w:tc>
          <w:tcPr>
            <w:tcW w:w="2088" w:type="pct"/>
            <w:tcBorders>
              <w:top w:val="nil"/>
              <w:left w:val="nil"/>
              <w:bottom w:val="nil"/>
              <w:right w:val="nil"/>
            </w:tcBorders>
            <w:shd w:val="clear" w:color="auto" w:fill="auto"/>
            <w:noWrap/>
            <w:vAlign w:val="bottom"/>
            <w:hideMark/>
          </w:tcPr>
          <w:p w14:paraId="77DAD513" w14:textId="77777777" w:rsidR="00E45705" w:rsidRPr="001B09E6" w:rsidRDefault="00E45705" w:rsidP="00E45705">
            <w:pPr>
              <w:pStyle w:val="TableCellText"/>
              <w:spacing w:before="0" w:after="0"/>
              <w:ind w:left="0" w:right="0"/>
              <w:rPr>
                <w:rFonts w:cs="Arial"/>
              </w:rPr>
            </w:pPr>
            <w:r w:rsidRPr="001B09E6">
              <w:rPr>
                <w:rFonts w:cs="Arial"/>
              </w:rPr>
              <w:t>241.6</w:t>
            </w:r>
          </w:p>
        </w:tc>
      </w:tr>
      <w:tr w:rsidR="00192ABE" w:rsidRPr="001B09E6" w14:paraId="797484FC" w14:textId="77777777" w:rsidTr="00192ABE">
        <w:trPr>
          <w:trHeight w:val="300"/>
        </w:trPr>
        <w:tc>
          <w:tcPr>
            <w:tcW w:w="2912" w:type="pct"/>
            <w:tcBorders>
              <w:top w:val="nil"/>
              <w:left w:val="nil"/>
              <w:bottom w:val="nil"/>
              <w:right w:val="nil"/>
            </w:tcBorders>
            <w:shd w:val="clear" w:color="auto" w:fill="auto"/>
            <w:noWrap/>
            <w:vAlign w:val="bottom"/>
            <w:hideMark/>
          </w:tcPr>
          <w:p w14:paraId="5C2CB162" w14:textId="77777777" w:rsidR="00E45705" w:rsidRPr="001B09E6" w:rsidRDefault="00E45705" w:rsidP="00E45705">
            <w:pPr>
              <w:pStyle w:val="TableCellText"/>
              <w:spacing w:before="0" w:after="0"/>
              <w:ind w:left="0" w:right="0"/>
            </w:pPr>
            <w:r w:rsidRPr="001B09E6">
              <w:t>Aug-08</w:t>
            </w:r>
          </w:p>
        </w:tc>
        <w:tc>
          <w:tcPr>
            <w:tcW w:w="2088" w:type="pct"/>
            <w:tcBorders>
              <w:top w:val="nil"/>
              <w:left w:val="nil"/>
              <w:bottom w:val="nil"/>
              <w:right w:val="nil"/>
            </w:tcBorders>
            <w:shd w:val="clear" w:color="auto" w:fill="auto"/>
            <w:noWrap/>
            <w:vAlign w:val="bottom"/>
            <w:hideMark/>
          </w:tcPr>
          <w:p w14:paraId="399DE55A" w14:textId="77777777" w:rsidR="00E45705" w:rsidRPr="001B09E6" w:rsidRDefault="00E45705" w:rsidP="00E45705">
            <w:pPr>
              <w:pStyle w:val="TableCellText"/>
              <w:spacing w:before="0" w:after="0"/>
              <w:ind w:left="0" w:right="0"/>
              <w:rPr>
                <w:rFonts w:cs="Arial"/>
              </w:rPr>
            </w:pPr>
            <w:r w:rsidRPr="001B09E6">
              <w:rPr>
                <w:rFonts w:cs="Arial"/>
              </w:rPr>
              <w:t>249.6</w:t>
            </w:r>
          </w:p>
        </w:tc>
      </w:tr>
      <w:tr w:rsidR="00192ABE" w:rsidRPr="001B09E6" w14:paraId="711F4261" w14:textId="77777777" w:rsidTr="00192ABE">
        <w:trPr>
          <w:trHeight w:val="300"/>
        </w:trPr>
        <w:tc>
          <w:tcPr>
            <w:tcW w:w="2912" w:type="pct"/>
            <w:tcBorders>
              <w:top w:val="nil"/>
              <w:left w:val="nil"/>
              <w:bottom w:val="nil"/>
              <w:right w:val="nil"/>
            </w:tcBorders>
            <w:shd w:val="clear" w:color="auto" w:fill="auto"/>
            <w:noWrap/>
            <w:vAlign w:val="bottom"/>
            <w:hideMark/>
          </w:tcPr>
          <w:p w14:paraId="061EA8D8" w14:textId="77777777" w:rsidR="00E45705" w:rsidRPr="001B09E6" w:rsidRDefault="00E45705" w:rsidP="00E45705">
            <w:pPr>
              <w:pStyle w:val="TableCellText"/>
              <w:spacing w:before="0" w:after="0"/>
              <w:ind w:left="0" w:right="0"/>
            </w:pPr>
            <w:r w:rsidRPr="001B09E6">
              <w:t>Aug-09</w:t>
            </w:r>
          </w:p>
        </w:tc>
        <w:tc>
          <w:tcPr>
            <w:tcW w:w="2088" w:type="pct"/>
            <w:tcBorders>
              <w:top w:val="nil"/>
              <w:left w:val="nil"/>
              <w:bottom w:val="nil"/>
              <w:right w:val="nil"/>
            </w:tcBorders>
            <w:shd w:val="clear" w:color="auto" w:fill="auto"/>
            <w:noWrap/>
            <w:vAlign w:val="bottom"/>
            <w:hideMark/>
          </w:tcPr>
          <w:p w14:paraId="61400C28" w14:textId="77777777" w:rsidR="00E45705" w:rsidRPr="001B09E6" w:rsidRDefault="00E45705" w:rsidP="00E45705">
            <w:pPr>
              <w:pStyle w:val="TableCellText"/>
              <w:spacing w:before="0" w:after="0"/>
              <w:ind w:left="0" w:right="0"/>
              <w:rPr>
                <w:rFonts w:cs="Arial"/>
              </w:rPr>
            </w:pPr>
            <w:r w:rsidRPr="001B09E6">
              <w:rPr>
                <w:rFonts w:cs="Arial"/>
              </w:rPr>
              <w:t>200.1</w:t>
            </w:r>
          </w:p>
        </w:tc>
      </w:tr>
      <w:tr w:rsidR="00192ABE" w:rsidRPr="001B09E6" w14:paraId="73C1EF3E" w14:textId="77777777" w:rsidTr="00192ABE">
        <w:trPr>
          <w:trHeight w:val="300"/>
        </w:trPr>
        <w:tc>
          <w:tcPr>
            <w:tcW w:w="2912" w:type="pct"/>
            <w:tcBorders>
              <w:top w:val="nil"/>
              <w:left w:val="nil"/>
              <w:right w:val="nil"/>
            </w:tcBorders>
            <w:shd w:val="clear" w:color="auto" w:fill="auto"/>
            <w:noWrap/>
            <w:vAlign w:val="bottom"/>
            <w:hideMark/>
          </w:tcPr>
          <w:p w14:paraId="57427A00" w14:textId="77777777" w:rsidR="00E45705" w:rsidRPr="001B09E6" w:rsidRDefault="00E45705" w:rsidP="00E45705">
            <w:pPr>
              <w:pStyle w:val="TableCellText"/>
              <w:spacing w:before="0" w:after="0"/>
              <w:ind w:left="0" w:right="0"/>
            </w:pPr>
            <w:r w:rsidRPr="001B09E6">
              <w:t>Aug-10</w:t>
            </w:r>
          </w:p>
        </w:tc>
        <w:tc>
          <w:tcPr>
            <w:tcW w:w="2088" w:type="pct"/>
            <w:tcBorders>
              <w:top w:val="nil"/>
              <w:left w:val="nil"/>
              <w:right w:val="nil"/>
            </w:tcBorders>
            <w:shd w:val="clear" w:color="auto" w:fill="auto"/>
            <w:noWrap/>
            <w:vAlign w:val="bottom"/>
            <w:hideMark/>
          </w:tcPr>
          <w:p w14:paraId="2C4F2818" w14:textId="77777777" w:rsidR="00E45705" w:rsidRPr="001B09E6" w:rsidRDefault="00E45705" w:rsidP="00E45705">
            <w:pPr>
              <w:pStyle w:val="TableCellText"/>
              <w:spacing w:before="0" w:after="0"/>
              <w:ind w:left="0" w:right="0"/>
              <w:rPr>
                <w:rFonts w:cs="Arial"/>
              </w:rPr>
            </w:pPr>
            <w:r w:rsidRPr="001B09E6">
              <w:rPr>
                <w:rFonts w:cs="Arial"/>
              </w:rPr>
              <w:t>199.2</w:t>
            </w:r>
          </w:p>
        </w:tc>
      </w:tr>
      <w:tr w:rsidR="00192ABE" w:rsidRPr="001B09E6" w14:paraId="6A9369B8" w14:textId="77777777" w:rsidTr="00192ABE">
        <w:trPr>
          <w:trHeight w:val="300"/>
        </w:trPr>
        <w:tc>
          <w:tcPr>
            <w:tcW w:w="2912" w:type="pct"/>
            <w:tcBorders>
              <w:top w:val="nil"/>
              <w:left w:val="nil"/>
              <w:bottom w:val="single" w:sz="4" w:space="0" w:color="auto"/>
              <w:right w:val="nil"/>
            </w:tcBorders>
            <w:shd w:val="clear" w:color="auto" w:fill="auto"/>
            <w:noWrap/>
            <w:vAlign w:val="bottom"/>
            <w:hideMark/>
          </w:tcPr>
          <w:p w14:paraId="72040526" w14:textId="77777777" w:rsidR="00E45705" w:rsidRPr="001B09E6" w:rsidRDefault="00E45705" w:rsidP="00E45705">
            <w:pPr>
              <w:pStyle w:val="TableCellText"/>
              <w:spacing w:before="0" w:after="0"/>
              <w:ind w:left="0" w:right="0"/>
            </w:pPr>
            <w:r w:rsidRPr="001B09E6">
              <w:t>Aug-11</w:t>
            </w:r>
          </w:p>
        </w:tc>
        <w:tc>
          <w:tcPr>
            <w:tcW w:w="2088" w:type="pct"/>
            <w:tcBorders>
              <w:top w:val="nil"/>
              <w:left w:val="nil"/>
              <w:bottom w:val="single" w:sz="4" w:space="0" w:color="auto"/>
              <w:right w:val="nil"/>
            </w:tcBorders>
            <w:shd w:val="clear" w:color="auto" w:fill="auto"/>
            <w:noWrap/>
            <w:vAlign w:val="bottom"/>
            <w:hideMark/>
          </w:tcPr>
          <w:p w14:paraId="1F4664BD" w14:textId="77777777" w:rsidR="00E45705" w:rsidRPr="001B09E6" w:rsidRDefault="00E45705" w:rsidP="00E45705">
            <w:pPr>
              <w:pStyle w:val="TableCellText"/>
              <w:spacing w:before="0" w:after="0"/>
              <w:ind w:left="0" w:right="0"/>
              <w:rPr>
                <w:rFonts w:cs="Arial"/>
              </w:rPr>
            </w:pPr>
            <w:r w:rsidRPr="001B09E6">
              <w:rPr>
                <w:rFonts w:cs="Arial"/>
              </w:rPr>
              <w:t>187.9</w:t>
            </w:r>
          </w:p>
        </w:tc>
      </w:tr>
    </w:tbl>
    <w:p w14:paraId="344BA77D" w14:textId="77777777" w:rsidR="00E45705" w:rsidRDefault="00E45705" w:rsidP="00E45705">
      <w:pPr>
        <w:pStyle w:val="Tablenote"/>
      </w:pPr>
      <w:r w:rsidRPr="001B09E6">
        <w:t>Source: ABS 6291.0.55.001 Labour Force, Australia, Detailed - Electronic Delivery, Tables03a</w:t>
      </w:r>
    </w:p>
    <w:p w14:paraId="5565329C" w14:textId="77777777" w:rsidR="00E45705" w:rsidRDefault="00E45705" w:rsidP="00E45705">
      <w:pPr>
        <w:pStyle w:val="Tablenote"/>
      </w:pPr>
    </w:p>
    <w:p w14:paraId="26538076" w14:textId="77777777" w:rsidR="00192ABE" w:rsidRDefault="00192ABE">
      <w:pPr>
        <w:spacing w:line="380" w:lineRule="atLeast"/>
        <w:rPr>
          <w:rFonts w:eastAsiaTheme="majorEastAsia" w:cstheme="majorBidi"/>
          <w:b/>
          <w:bCs/>
          <w:color w:val="808080"/>
          <w:sz w:val="24"/>
        </w:rPr>
      </w:pPr>
      <w:r>
        <w:br w:type="page"/>
      </w:r>
    </w:p>
    <w:p w14:paraId="6C73F705" w14:textId="77777777" w:rsidR="00E45705" w:rsidRPr="001B09E6" w:rsidRDefault="00E45705" w:rsidP="00E45705">
      <w:pPr>
        <w:pStyle w:val="Heading3NoNumbering"/>
        <w:tabs>
          <w:tab w:val="left" w:pos="7335"/>
        </w:tabs>
      </w:pPr>
      <w:r w:rsidRPr="001B09E6">
        <w:t>Table A2.38: Transition outcomes by age for the lowest achievement quintile, 1998 LSAY cohort</w:t>
      </w:r>
    </w:p>
    <w:tbl>
      <w:tblPr>
        <w:tblW w:w="9468" w:type="dxa"/>
        <w:tblInd w:w="108" w:type="dxa"/>
        <w:tblLayout w:type="fixed"/>
        <w:tblLook w:val="04A0" w:firstRow="1" w:lastRow="0" w:firstColumn="1" w:lastColumn="0" w:noHBand="0" w:noVBand="1"/>
        <w:tblCaption w:val="Table A2.38: Transition outcomes by age for the lowest achievement quintile, 1998 LSAY cohort "/>
        <w:tblDescription w:val="Table A2.38: Transition outcomes by age for the lowest achievement quintile, 1998 LSAY cohort&#10;"/>
      </w:tblPr>
      <w:tblGrid>
        <w:gridCol w:w="3620"/>
        <w:gridCol w:w="731"/>
        <w:gridCol w:w="731"/>
        <w:gridCol w:w="731"/>
        <w:gridCol w:w="731"/>
        <w:gridCol w:w="731"/>
        <w:gridCol w:w="731"/>
        <w:gridCol w:w="731"/>
        <w:gridCol w:w="731"/>
      </w:tblGrid>
      <w:tr w:rsidR="00E45705" w:rsidRPr="001B09E6" w14:paraId="185A6A39" w14:textId="77777777" w:rsidTr="00E45705">
        <w:trPr>
          <w:trHeight w:val="300"/>
        </w:trPr>
        <w:tc>
          <w:tcPr>
            <w:tcW w:w="3620" w:type="dxa"/>
            <w:tcBorders>
              <w:top w:val="single" w:sz="4" w:space="0" w:color="auto"/>
              <w:left w:val="nil"/>
              <w:bottom w:val="single" w:sz="4" w:space="0" w:color="auto"/>
              <w:right w:val="nil"/>
            </w:tcBorders>
            <w:shd w:val="clear" w:color="auto" w:fill="auto"/>
            <w:noWrap/>
            <w:vAlign w:val="bottom"/>
            <w:hideMark/>
          </w:tcPr>
          <w:p w14:paraId="37D877F3" w14:textId="77777777" w:rsidR="00E45705" w:rsidRPr="001B09E6" w:rsidRDefault="00E45705" w:rsidP="00E45705">
            <w:pPr>
              <w:pStyle w:val="TableColumnHeading"/>
              <w:spacing w:before="0" w:after="0"/>
              <w:ind w:left="0" w:right="0"/>
            </w:pPr>
          </w:p>
        </w:tc>
        <w:tc>
          <w:tcPr>
            <w:tcW w:w="731" w:type="dxa"/>
            <w:tcBorders>
              <w:top w:val="single" w:sz="4" w:space="0" w:color="auto"/>
              <w:left w:val="nil"/>
              <w:bottom w:val="single" w:sz="4" w:space="0" w:color="auto"/>
              <w:right w:val="nil"/>
            </w:tcBorders>
            <w:shd w:val="clear" w:color="auto" w:fill="auto"/>
            <w:noWrap/>
            <w:vAlign w:val="bottom"/>
            <w:hideMark/>
          </w:tcPr>
          <w:p w14:paraId="067E65F2" w14:textId="77777777" w:rsidR="00E45705" w:rsidRPr="001B09E6" w:rsidRDefault="00E45705" w:rsidP="00E45705">
            <w:pPr>
              <w:pStyle w:val="TableColumnHeading"/>
              <w:spacing w:before="0" w:after="0"/>
              <w:ind w:left="0" w:right="0"/>
            </w:pPr>
            <w:r w:rsidRPr="001B09E6">
              <w:t>Age 18</w:t>
            </w:r>
          </w:p>
        </w:tc>
        <w:tc>
          <w:tcPr>
            <w:tcW w:w="731" w:type="dxa"/>
            <w:tcBorders>
              <w:top w:val="single" w:sz="4" w:space="0" w:color="auto"/>
              <w:left w:val="nil"/>
              <w:bottom w:val="single" w:sz="4" w:space="0" w:color="auto"/>
              <w:right w:val="nil"/>
            </w:tcBorders>
            <w:shd w:val="clear" w:color="auto" w:fill="auto"/>
            <w:noWrap/>
            <w:vAlign w:val="bottom"/>
            <w:hideMark/>
          </w:tcPr>
          <w:p w14:paraId="3A199F06" w14:textId="77777777" w:rsidR="00E45705" w:rsidRPr="001B09E6" w:rsidRDefault="00E45705" w:rsidP="00E45705">
            <w:pPr>
              <w:pStyle w:val="TableColumnHeading"/>
              <w:spacing w:before="0" w:after="0"/>
              <w:ind w:left="0" w:right="0"/>
            </w:pPr>
            <w:r w:rsidRPr="001B09E6">
              <w:t>Age 19</w:t>
            </w:r>
          </w:p>
        </w:tc>
        <w:tc>
          <w:tcPr>
            <w:tcW w:w="731" w:type="dxa"/>
            <w:tcBorders>
              <w:top w:val="single" w:sz="4" w:space="0" w:color="auto"/>
              <w:left w:val="nil"/>
              <w:bottom w:val="single" w:sz="4" w:space="0" w:color="auto"/>
              <w:right w:val="nil"/>
            </w:tcBorders>
            <w:shd w:val="clear" w:color="auto" w:fill="auto"/>
            <w:noWrap/>
            <w:vAlign w:val="bottom"/>
            <w:hideMark/>
          </w:tcPr>
          <w:p w14:paraId="03F6862B" w14:textId="77777777" w:rsidR="00E45705" w:rsidRPr="001B09E6" w:rsidRDefault="00E45705" w:rsidP="00E45705">
            <w:pPr>
              <w:pStyle w:val="TableColumnHeading"/>
              <w:spacing w:before="0" w:after="0"/>
              <w:ind w:left="0" w:right="0"/>
            </w:pPr>
            <w:r w:rsidRPr="001B09E6">
              <w:t>Age 20</w:t>
            </w:r>
          </w:p>
        </w:tc>
        <w:tc>
          <w:tcPr>
            <w:tcW w:w="731" w:type="dxa"/>
            <w:tcBorders>
              <w:top w:val="single" w:sz="4" w:space="0" w:color="auto"/>
              <w:left w:val="nil"/>
              <w:bottom w:val="single" w:sz="4" w:space="0" w:color="auto"/>
              <w:right w:val="nil"/>
            </w:tcBorders>
            <w:shd w:val="clear" w:color="auto" w:fill="auto"/>
            <w:noWrap/>
            <w:vAlign w:val="bottom"/>
            <w:hideMark/>
          </w:tcPr>
          <w:p w14:paraId="2385E30F" w14:textId="77777777" w:rsidR="00E45705" w:rsidRPr="001B09E6" w:rsidRDefault="00E45705" w:rsidP="00E45705">
            <w:pPr>
              <w:pStyle w:val="TableColumnHeading"/>
              <w:spacing w:before="0" w:after="0"/>
              <w:ind w:left="0" w:right="0"/>
            </w:pPr>
            <w:r w:rsidRPr="001B09E6">
              <w:t>Age 21</w:t>
            </w:r>
          </w:p>
        </w:tc>
        <w:tc>
          <w:tcPr>
            <w:tcW w:w="731" w:type="dxa"/>
            <w:tcBorders>
              <w:top w:val="single" w:sz="4" w:space="0" w:color="auto"/>
              <w:left w:val="nil"/>
              <w:bottom w:val="single" w:sz="4" w:space="0" w:color="auto"/>
              <w:right w:val="nil"/>
            </w:tcBorders>
            <w:shd w:val="clear" w:color="auto" w:fill="auto"/>
            <w:noWrap/>
            <w:vAlign w:val="bottom"/>
            <w:hideMark/>
          </w:tcPr>
          <w:p w14:paraId="62647C35" w14:textId="77777777" w:rsidR="00E45705" w:rsidRPr="001B09E6" w:rsidRDefault="00E45705" w:rsidP="00E45705">
            <w:pPr>
              <w:pStyle w:val="TableColumnHeading"/>
              <w:spacing w:before="0" w:after="0"/>
              <w:ind w:left="0" w:right="0"/>
            </w:pPr>
            <w:r w:rsidRPr="001B09E6">
              <w:t>Age 22</w:t>
            </w:r>
          </w:p>
        </w:tc>
        <w:tc>
          <w:tcPr>
            <w:tcW w:w="731" w:type="dxa"/>
            <w:tcBorders>
              <w:top w:val="single" w:sz="4" w:space="0" w:color="auto"/>
              <w:left w:val="nil"/>
              <w:bottom w:val="single" w:sz="4" w:space="0" w:color="auto"/>
              <w:right w:val="nil"/>
            </w:tcBorders>
            <w:shd w:val="clear" w:color="auto" w:fill="auto"/>
            <w:noWrap/>
            <w:vAlign w:val="bottom"/>
            <w:hideMark/>
          </w:tcPr>
          <w:p w14:paraId="43FDDB37" w14:textId="77777777" w:rsidR="00E45705" w:rsidRPr="001B09E6" w:rsidRDefault="00E45705" w:rsidP="00E45705">
            <w:pPr>
              <w:pStyle w:val="TableColumnHeading"/>
              <w:spacing w:before="0" w:after="0"/>
              <w:ind w:left="0" w:right="0"/>
            </w:pPr>
            <w:r w:rsidRPr="001B09E6">
              <w:t>Age 23</w:t>
            </w:r>
          </w:p>
        </w:tc>
        <w:tc>
          <w:tcPr>
            <w:tcW w:w="731" w:type="dxa"/>
            <w:tcBorders>
              <w:top w:val="single" w:sz="4" w:space="0" w:color="auto"/>
              <w:left w:val="nil"/>
              <w:bottom w:val="single" w:sz="4" w:space="0" w:color="auto"/>
              <w:right w:val="nil"/>
            </w:tcBorders>
            <w:shd w:val="clear" w:color="auto" w:fill="auto"/>
            <w:noWrap/>
            <w:vAlign w:val="bottom"/>
            <w:hideMark/>
          </w:tcPr>
          <w:p w14:paraId="7CCF9E46" w14:textId="77777777" w:rsidR="00E45705" w:rsidRPr="001B09E6" w:rsidRDefault="00E45705" w:rsidP="00E45705">
            <w:pPr>
              <w:pStyle w:val="TableColumnHeading"/>
              <w:spacing w:before="0" w:after="0"/>
              <w:ind w:left="0" w:right="0"/>
            </w:pPr>
            <w:r w:rsidRPr="001B09E6">
              <w:t>Age 24</w:t>
            </w:r>
          </w:p>
        </w:tc>
        <w:tc>
          <w:tcPr>
            <w:tcW w:w="731" w:type="dxa"/>
            <w:tcBorders>
              <w:top w:val="single" w:sz="4" w:space="0" w:color="auto"/>
              <w:left w:val="nil"/>
              <w:bottom w:val="single" w:sz="4" w:space="0" w:color="auto"/>
              <w:right w:val="nil"/>
            </w:tcBorders>
            <w:shd w:val="clear" w:color="auto" w:fill="auto"/>
            <w:noWrap/>
            <w:vAlign w:val="bottom"/>
            <w:hideMark/>
          </w:tcPr>
          <w:p w14:paraId="43F7E6B4" w14:textId="77777777" w:rsidR="00E45705" w:rsidRPr="001B09E6" w:rsidRDefault="00E45705" w:rsidP="00E45705">
            <w:pPr>
              <w:pStyle w:val="TableColumnHeading"/>
              <w:spacing w:before="0" w:after="0"/>
              <w:ind w:left="0" w:right="0"/>
            </w:pPr>
            <w:r w:rsidRPr="001B09E6">
              <w:t>Age 25</w:t>
            </w:r>
          </w:p>
        </w:tc>
      </w:tr>
      <w:tr w:rsidR="00E45705" w:rsidRPr="001B09E6" w14:paraId="6C1CC5A4" w14:textId="77777777" w:rsidTr="00E45705">
        <w:trPr>
          <w:trHeight w:val="300"/>
        </w:trPr>
        <w:tc>
          <w:tcPr>
            <w:tcW w:w="3620" w:type="dxa"/>
            <w:tcBorders>
              <w:top w:val="single" w:sz="4" w:space="0" w:color="auto"/>
              <w:left w:val="nil"/>
              <w:bottom w:val="nil"/>
              <w:right w:val="nil"/>
            </w:tcBorders>
            <w:shd w:val="clear" w:color="auto" w:fill="auto"/>
            <w:noWrap/>
            <w:vAlign w:val="bottom"/>
            <w:hideMark/>
          </w:tcPr>
          <w:p w14:paraId="5FA9D696" w14:textId="77777777" w:rsidR="00E45705" w:rsidRPr="001B09E6" w:rsidRDefault="00E45705" w:rsidP="00E45705">
            <w:pPr>
              <w:pStyle w:val="TableCellText"/>
              <w:spacing w:before="0" w:after="0"/>
              <w:ind w:left="0" w:right="0"/>
            </w:pPr>
            <w:r w:rsidRPr="001B09E6">
              <w:t xml:space="preserve"> Completed Year 12 or Certificate III or higher</w:t>
            </w:r>
          </w:p>
        </w:tc>
        <w:tc>
          <w:tcPr>
            <w:tcW w:w="731" w:type="dxa"/>
            <w:tcBorders>
              <w:top w:val="single" w:sz="4" w:space="0" w:color="auto"/>
              <w:left w:val="nil"/>
              <w:bottom w:val="nil"/>
              <w:right w:val="nil"/>
            </w:tcBorders>
            <w:shd w:val="clear" w:color="auto" w:fill="auto"/>
            <w:noWrap/>
            <w:vAlign w:val="bottom"/>
            <w:hideMark/>
          </w:tcPr>
          <w:p w14:paraId="119A1615" w14:textId="77777777" w:rsidR="00E45705" w:rsidRPr="001B09E6" w:rsidRDefault="00E45705" w:rsidP="00E45705">
            <w:pPr>
              <w:pStyle w:val="TableCellText"/>
              <w:spacing w:before="0" w:after="0"/>
              <w:ind w:left="0" w:right="0"/>
            </w:pPr>
            <w:r w:rsidRPr="001B09E6">
              <w:t>67.6</w:t>
            </w:r>
          </w:p>
        </w:tc>
        <w:tc>
          <w:tcPr>
            <w:tcW w:w="731" w:type="dxa"/>
            <w:tcBorders>
              <w:top w:val="single" w:sz="4" w:space="0" w:color="auto"/>
              <w:left w:val="nil"/>
              <w:bottom w:val="nil"/>
              <w:right w:val="nil"/>
            </w:tcBorders>
            <w:shd w:val="clear" w:color="auto" w:fill="auto"/>
            <w:noWrap/>
            <w:vAlign w:val="bottom"/>
            <w:hideMark/>
          </w:tcPr>
          <w:p w14:paraId="5F4DD215" w14:textId="77777777" w:rsidR="00E45705" w:rsidRPr="001B09E6" w:rsidRDefault="00E45705" w:rsidP="00E45705">
            <w:pPr>
              <w:pStyle w:val="TableCellText"/>
              <w:spacing w:before="0" w:after="0"/>
              <w:ind w:left="0" w:right="0"/>
            </w:pPr>
            <w:r w:rsidRPr="001B09E6">
              <w:t>70.8</w:t>
            </w:r>
          </w:p>
        </w:tc>
        <w:tc>
          <w:tcPr>
            <w:tcW w:w="731" w:type="dxa"/>
            <w:tcBorders>
              <w:top w:val="single" w:sz="4" w:space="0" w:color="auto"/>
              <w:left w:val="nil"/>
              <w:bottom w:val="nil"/>
              <w:right w:val="nil"/>
            </w:tcBorders>
            <w:shd w:val="clear" w:color="auto" w:fill="auto"/>
            <w:noWrap/>
            <w:vAlign w:val="bottom"/>
            <w:hideMark/>
          </w:tcPr>
          <w:p w14:paraId="47816125" w14:textId="77777777" w:rsidR="00E45705" w:rsidRPr="001B09E6" w:rsidRDefault="00E45705" w:rsidP="00E45705">
            <w:pPr>
              <w:pStyle w:val="TableCellText"/>
              <w:spacing w:before="0" w:after="0"/>
              <w:ind w:left="0" w:right="0"/>
            </w:pPr>
            <w:r w:rsidRPr="001B09E6">
              <w:t>74.2</w:t>
            </w:r>
          </w:p>
        </w:tc>
        <w:tc>
          <w:tcPr>
            <w:tcW w:w="731" w:type="dxa"/>
            <w:tcBorders>
              <w:top w:val="single" w:sz="4" w:space="0" w:color="auto"/>
              <w:left w:val="nil"/>
              <w:bottom w:val="nil"/>
              <w:right w:val="nil"/>
            </w:tcBorders>
            <w:shd w:val="clear" w:color="auto" w:fill="auto"/>
            <w:noWrap/>
            <w:vAlign w:val="bottom"/>
            <w:hideMark/>
          </w:tcPr>
          <w:p w14:paraId="4978A966" w14:textId="77777777" w:rsidR="00E45705" w:rsidRPr="001B09E6" w:rsidRDefault="00E45705" w:rsidP="00E45705">
            <w:pPr>
              <w:pStyle w:val="TableCellText"/>
              <w:spacing w:before="0" w:after="0"/>
              <w:ind w:left="0" w:right="0"/>
            </w:pPr>
            <w:r w:rsidRPr="001B09E6">
              <w:t>75.8</w:t>
            </w:r>
          </w:p>
        </w:tc>
        <w:tc>
          <w:tcPr>
            <w:tcW w:w="731" w:type="dxa"/>
            <w:tcBorders>
              <w:top w:val="single" w:sz="4" w:space="0" w:color="auto"/>
              <w:left w:val="nil"/>
              <w:bottom w:val="nil"/>
              <w:right w:val="nil"/>
            </w:tcBorders>
            <w:shd w:val="clear" w:color="auto" w:fill="auto"/>
            <w:noWrap/>
            <w:vAlign w:val="bottom"/>
            <w:hideMark/>
          </w:tcPr>
          <w:p w14:paraId="3507898B" w14:textId="77777777" w:rsidR="00E45705" w:rsidRPr="001B09E6" w:rsidRDefault="00E45705" w:rsidP="00E45705">
            <w:pPr>
              <w:pStyle w:val="TableCellText"/>
              <w:spacing w:before="0" w:after="0"/>
              <w:ind w:left="0" w:right="0"/>
            </w:pPr>
            <w:r w:rsidRPr="001B09E6">
              <w:t>77.8</w:t>
            </w:r>
          </w:p>
        </w:tc>
        <w:tc>
          <w:tcPr>
            <w:tcW w:w="731" w:type="dxa"/>
            <w:tcBorders>
              <w:top w:val="single" w:sz="4" w:space="0" w:color="auto"/>
              <w:left w:val="nil"/>
              <w:bottom w:val="nil"/>
              <w:right w:val="nil"/>
            </w:tcBorders>
            <w:shd w:val="clear" w:color="auto" w:fill="auto"/>
            <w:noWrap/>
            <w:vAlign w:val="bottom"/>
            <w:hideMark/>
          </w:tcPr>
          <w:p w14:paraId="7D346B04" w14:textId="77777777" w:rsidR="00E45705" w:rsidRPr="001B09E6" w:rsidRDefault="00E45705" w:rsidP="00E45705">
            <w:pPr>
              <w:pStyle w:val="TableCellText"/>
              <w:spacing w:before="0" w:after="0"/>
              <w:ind w:left="0" w:right="0"/>
            </w:pPr>
            <w:r w:rsidRPr="001B09E6">
              <w:t>78.6</w:t>
            </w:r>
          </w:p>
        </w:tc>
        <w:tc>
          <w:tcPr>
            <w:tcW w:w="731" w:type="dxa"/>
            <w:tcBorders>
              <w:top w:val="single" w:sz="4" w:space="0" w:color="auto"/>
              <w:left w:val="nil"/>
              <w:bottom w:val="nil"/>
              <w:right w:val="nil"/>
            </w:tcBorders>
            <w:shd w:val="clear" w:color="auto" w:fill="auto"/>
            <w:noWrap/>
            <w:vAlign w:val="bottom"/>
            <w:hideMark/>
          </w:tcPr>
          <w:p w14:paraId="5EFA6A45" w14:textId="77777777" w:rsidR="00E45705" w:rsidRPr="001B09E6" w:rsidRDefault="00E45705" w:rsidP="00E45705">
            <w:pPr>
              <w:pStyle w:val="TableCellText"/>
              <w:spacing w:before="0" w:after="0"/>
              <w:ind w:left="0" w:right="0"/>
            </w:pPr>
            <w:r w:rsidRPr="001B09E6">
              <w:t>80.0</w:t>
            </w:r>
          </w:p>
        </w:tc>
        <w:tc>
          <w:tcPr>
            <w:tcW w:w="731" w:type="dxa"/>
            <w:tcBorders>
              <w:top w:val="single" w:sz="4" w:space="0" w:color="auto"/>
              <w:left w:val="nil"/>
              <w:bottom w:val="nil"/>
              <w:right w:val="nil"/>
            </w:tcBorders>
            <w:shd w:val="clear" w:color="auto" w:fill="auto"/>
            <w:noWrap/>
            <w:vAlign w:val="bottom"/>
            <w:hideMark/>
          </w:tcPr>
          <w:p w14:paraId="47CBAF9C" w14:textId="77777777" w:rsidR="00E45705" w:rsidRPr="001B09E6" w:rsidRDefault="00E45705" w:rsidP="00E45705">
            <w:pPr>
              <w:pStyle w:val="TableCellText"/>
              <w:spacing w:before="0" w:after="0"/>
              <w:ind w:left="0" w:right="0"/>
            </w:pPr>
            <w:r w:rsidRPr="001B09E6">
              <w:t>86.8</w:t>
            </w:r>
          </w:p>
        </w:tc>
      </w:tr>
      <w:tr w:rsidR="00E45705" w:rsidRPr="001B09E6" w14:paraId="3A9C52B8" w14:textId="77777777" w:rsidTr="00E45705">
        <w:trPr>
          <w:trHeight w:val="300"/>
        </w:trPr>
        <w:tc>
          <w:tcPr>
            <w:tcW w:w="3620" w:type="dxa"/>
            <w:tcBorders>
              <w:top w:val="nil"/>
              <w:left w:val="nil"/>
              <w:right w:val="nil"/>
            </w:tcBorders>
            <w:shd w:val="clear" w:color="auto" w:fill="auto"/>
            <w:noWrap/>
            <w:vAlign w:val="bottom"/>
            <w:hideMark/>
          </w:tcPr>
          <w:p w14:paraId="26D719D8" w14:textId="77777777" w:rsidR="00E45705" w:rsidRPr="001B09E6" w:rsidRDefault="00E45705" w:rsidP="00E45705">
            <w:pPr>
              <w:pStyle w:val="TableCellText"/>
              <w:spacing w:before="0" w:after="0"/>
              <w:ind w:left="0" w:right="0"/>
            </w:pPr>
            <w:r w:rsidRPr="001B09E6">
              <w:t xml:space="preserve"> Not working (unemployed or NILF) </w:t>
            </w:r>
          </w:p>
        </w:tc>
        <w:tc>
          <w:tcPr>
            <w:tcW w:w="731" w:type="dxa"/>
            <w:tcBorders>
              <w:top w:val="nil"/>
              <w:left w:val="nil"/>
              <w:right w:val="nil"/>
            </w:tcBorders>
            <w:shd w:val="clear" w:color="auto" w:fill="auto"/>
            <w:noWrap/>
            <w:vAlign w:val="bottom"/>
            <w:hideMark/>
          </w:tcPr>
          <w:p w14:paraId="25073149" w14:textId="77777777" w:rsidR="00E45705" w:rsidRPr="001B09E6" w:rsidRDefault="00E45705" w:rsidP="00E45705">
            <w:pPr>
              <w:pStyle w:val="TableCellText"/>
              <w:spacing w:before="0" w:after="0"/>
              <w:ind w:left="0" w:right="0"/>
            </w:pPr>
            <w:r w:rsidRPr="001B09E6">
              <w:t>26.3</w:t>
            </w:r>
          </w:p>
        </w:tc>
        <w:tc>
          <w:tcPr>
            <w:tcW w:w="731" w:type="dxa"/>
            <w:tcBorders>
              <w:top w:val="nil"/>
              <w:left w:val="nil"/>
              <w:right w:val="nil"/>
            </w:tcBorders>
            <w:shd w:val="clear" w:color="auto" w:fill="auto"/>
            <w:noWrap/>
            <w:vAlign w:val="bottom"/>
            <w:hideMark/>
          </w:tcPr>
          <w:p w14:paraId="1FFA91BE" w14:textId="77777777" w:rsidR="00E45705" w:rsidRPr="001B09E6" w:rsidRDefault="00E45705" w:rsidP="00E45705">
            <w:pPr>
              <w:pStyle w:val="TableCellText"/>
              <w:spacing w:before="0" w:after="0"/>
              <w:ind w:left="0" w:right="0"/>
            </w:pPr>
            <w:r w:rsidRPr="001B09E6">
              <w:t>22.8</w:t>
            </w:r>
          </w:p>
        </w:tc>
        <w:tc>
          <w:tcPr>
            <w:tcW w:w="731" w:type="dxa"/>
            <w:tcBorders>
              <w:top w:val="nil"/>
              <w:left w:val="nil"/>
              <w:right w:val="nil"/>
            </w:tcBorders>
            <w:shd w:val="clear" w:color="auto" w:fill="auto"/>
            <w:noWrap/>
            <w:vAlign w:val="bottom"/>
            <w:hideMark/>
          </w:tcPr>
          <w:p w14:paraId="6AB5DFCA" w14:textId="77777777" w:rsidR="00E45705" w:rsidRPr="001B09E6" w:rsidRDefault="00E45705" w:rsidP="00E45705">
            <w:pPr>
              <w:pStyle w:val="TableCellText"/>
              <w:spacing w:before="0" w:after="0"/>
              <w:ind w:left="0" w:right="0"/>
            </w:pPr>
            <w:r w:rsidRPr="001B09E6">
              <w:t>16.3</w:t>
            </w:r>
          </w:p>
        </w:tc>
        <w:tc>
          <w:tcPr>
            <w:tcW w:w="731" w:type="dxa"/>
            <w:tcBorders>
              <w:top w:val="nil"/>
              <w:left w:val="nil"/>
              <w:right w:val="nil"/>
            </w:tcBorders>
            <w:shd w:val="clear" w:color="auto" w:fill="auto"/>
            <w:noWrap/>
            <w:vAlign w:val="bottom"/>
            <w:hideMark/>
          </w:tcPr>
          <w:p w14:paraId="5E574A4F" w14:textId="77777777" w:rsidR="00E45705" w:rsidRPr="001B09E6" w:rsidRDefault="00E45705" w:rsidP="00E45705">
            <w:pPr>
              <w:pStyle w:val="TableCellText"/>
              <w:spacing w:before="0" w:after="0"/>
              <w:ind w:left="0" w:right="0"/>
            </w:pPr>
            <w:r w:rsidRPr="001B09E6">
              <w:t>16.1</w:t>
            </w:r>
          </w:p>
        </w:tc>
        <w:tc>
          <w:tcPr>
            <w:tcW w:w="731" w:type="dxa"/>
            <w:tcBorders>
              <w:top w:val="nil"/>
              <w:left w:val="nil"/>
              <w:right w:val="nil"/>
            </w:tcBorders>
            <w:shd w:val="clear" w:color="auto" w:fill="auto"/>
            <w:noWrap/>
            <w:vAlign w:val="bottom"/>
            <w:hideMark/>
          </w:tcPr>
          <w:p w14:paraId="55CA9130" w14:textId="77777777" w:rsidR="00E45705" w:rsidRPr="001B09E6" w:rsidRDefault="00E45705" w:rsidP="00E45705">
            <w:pPr>
              <w:pStyle w:val="TableCellText"/>
              <w:spacing w:before="0" w:after="0"/>
              <w:ind w:left="0" w:right="0"/>
            </w:pPr>
            <w:r w:rsidRPr="001B09E6">
              <w:t>14.4</w:t>
            </w:r>
          </w:p>
        </w:tc>
        <w:tc>
          <w:tcPr>
            <w:tcW w:w="731" w:type="dxa"/>
            <w:tcBorders>
              <w:top w:val="nil"/>
              <w:left w:val="nil"/>
              <w:right w:val="nil"/>
            </w:tcBorders>
            <w:shd w:val="clear" w:color="auto" w:fill="auto"/>
            <w:noWrap/>
            <w:vAlign w:val="bottom"/>
            <w:hideMark/>
          </w:tcPr>
          <w:p w14:paraId="5730CC22" w14:textId="77777777" w:rsidR="00E45705" w:rsidRPr="001B09E6" w:rsidRDefault="00E45705" w:rsidP="00E45705">
            <w:pPr>
              <w:pStyle w:val="TableCellText"/>
              <w:spacing w:before="0" w:after="0"/>
              <w:ind w:left="0" w:right="0"/>
            </w:pPr>
            <w:r w:rsidRPr="001B09E6">
              <w:t>13.2</w:t>
            </w:r>
          </w:p>
        </w:tc>
        <w:tc>
          <w:tcPr>
            <w:tcW w:w="731" w:type="dxa"/>
            <w:tcBorders>
              <w:top w:val="nil"/>
              <w:left w:val="nil"/>
              <w:right w:val="nil"/>
            </w:tcBorders>
            <w:shd w:val="clear" w:color="auto" w:fill="auto"/>
            <w:noWrap/>
            <w:vAlign w:val="bottom"/>
            <w:hideMark/>
          </w:tcPr>
          <w:p w14:paraId="06140B33" w14:textId="77777777" w:rsidR="00E45705" w:rsidRPr="001B09E6" w:rsidRDefault="00E45705" w:rsidP="00E45705">
            <w:pPr>
              <w:pStyle w:val="TableCellText"/>
              <w:spacing w:before="0" w:after="0"/>
              <w:ind w:left="0" w:right="0"/>
            </w:pPr>
            <w:r w:rsidRPr="001B09E6">
              <w:t>12.2</w:t>
            </w:r>
          </w:p>
        </w:tc>
        <w:tc>
          <w:tcPr>
            <w:tcW w:w="731" w:type="dxa"/>
            <w:tcBorders>
              <w:top w:val="nil"/>
              <w:left w:val="nil"/>
              <w:right w:val="nil"/>
            </w:tcBorders>
            <w:shd w:val="clear" w:color="auto" w:fill="auto"/>
            <w:noWrap/>
            <w:vAlign w:val="bottom"/>
            <w:hideMark/>
          </w:tcPr>
          <w:p w14:paraId="49FE44A5" w14:textId="77777777" w:rsidR="00E45705" w:rsidRPr="001B09E6" w:rsidRDefault="00E45705" w:rsidP="00E45705">
            <w:pPr>
              <w:pStyle w:val="TableCellText"/>
              <w:spacing w:before="0" w:after="0"/>
              <w:ind w:left="0" w:right="0"/>
            </w:pPr>
            <w:r w:rsidRPr="001B09E6">
              <w:t>14.3</w:t>
            </w:r>
          </w:p>
        </w:tc>
      </w:tr>
      <w:tr w:rsidR="00E45705" w:rsidRPr="001B09E6" w14:paraId="794E99AB" w14:textId="77777777" w:rsidTr="00E45705">
        <w:trPr>
          <w:trHeight w:val="300"/>
        </w:trPr>
        <w:tc>
          <w:tcPr>
            <w:tcW w:w="3620" w:type="dxa"/>
            <w:tcBorders>
              <w:top w:val="nil"/>
              <w:left w:val="nil"/>
              <w:bottom w:val="single" w:sz="4" w:space="0" w:color="auto"/>
              <w:right w:val="nil"/>
            </w:tcBorders>
            <w:shd w:val="clear" w:color="auto" w:fill="auto"/>
            <w:noWrap/>
            <w:vAlign w:val="bottom"/>
            <w:hideMark/>
          </w:tcPr>
          <w:p w14:paraId="1A1E4273" w14:textId="77777777" w:rsidR="00E45705" w:rsidRPr="001B09E6" w:rsidRDefault="00E45705" w:rsidP="00E45705">
            <w:pPr>
              <w:pStyle w:val="TableCellText"/>
              <w:spacing w:before="0" w:after="0"/>
              <w:ind w:left="0" w:right="0"/>
            </w:pPr>
            <w:r w:rsidRPr="001B09E6">
              <w:t>Permanent/ongoing employment</w:t>
            </w:r>
          </w:p>
        </w:tc>
        <w:tc>
          <w:tcPr>
            <w:tcW w:w="731" w:type="dxa"/>
            <w:tcBorders>
              <w:top w:val="nil"/>
              <w:left w:val="nil"/>
              <w:bottom w:val="single" w:sz="4" w:space="0" w:color="auto"/>
              <w:right w:val="nil"/>
            </w:tcBorders>
            <w:shd w:val="clear" w:color="auto" w:fill="auto"/>
            <w:noWrap/>
            <w:vAlign w:val="bottom"/>
            <w:hideMark/>
          </w:tcPr>
          <w:p w14:paraId="15E7F4F2" w14:textId="77777777" w:rsidR="00E45705" w:rsidRPr="001B09E6" w:rsidRDefault="00E45705" w:rsidP="00E45705">
            <w:pPr>
              <w:pStyle w:val="TableCellText"/>
              <w:spacing w:before="0" w:after="0"/>
              <w:ind w:left="0" w:right="0"/>
            </w:pPr>
            <w:r w:rsidRPr="001B09E6">
              <w:t>34.8</w:t>
            </w:r>
          </w:p>
        </w:tc>
        <w:tc>
          <w:tcPr>
            <w:tcW w:w="731" w:type="dxa"/>
            <w:tcBorders>
              <w:top w:val="nil"/>
              <w:left w:val="nil"/>
              <w:bottom w:val="single" w:sz="4" w:space="0" w:color="auto"/>
              <w:right w:val="nil"/>
            </w:tcBorders>
            <w:shd w:val="clear" w:color="auto" w:fill="auto"/>
            <w:noWrap/>
            <w:vAlign w:val="bottom"/>
            <w:hideMark/>
          </w:tcPr>
          <w:p w14:paraId="7EACA01B" w14:textId="77777777" w:rsidR="00E45705" w:rsidRPr="001B09E6" w:rsidRDefault="00E45705" w:rsidP="00E45705">
            <w:pPr>
              <w:pStyle w:val="TableCellText"/>
              <w:spacing w:before="0" w:after="0"/>
              <w:ind w:left="0" w:right="0"/>
            </w:pPr>
            <w:r w:rsidRPr="001B09E6">
              <w:t>40.7</w:t>
            </w:r>
          </w:p>
        </w:tc>
        <w:tc>
          <w:tcPr>
            <w:tcW w:w="731" w:type="dxa"/>
            <w:tcBorders>
              <w:top w:val="nil"/>
              <w:left w:val="nil"/>
              <w:bottom w:val="single" w:sz="4" w:space="0" w:color="auto"/>
              <w:right w:val="nil"/>
            </w:tcBorders>
            <w:shd w:val="clear" w:color="auto" w:fill="auto"/>
            <w:noWrap/>
            <w:vAlign w:val="bottom"/>
            <w:hideMark/>
          </w:tcPr>
          <w:p w14:paraId="3F8734DA" w14:textId="77777777" w:rsidR="00E45705" w:rsidRPr="001B09E6" w:rsidRDefault="00E45705" w:rsidP="00E45705">
            <w:pPr>
              <w:pStyle w:val="TableCellText"/>
              <w:spacing w:before="0" w:after="0"/>
              <w:ind w:left="0" w:right="0"/>
            </w:pPr>
            <w:r w:rsidRPr="001B09E6">
              <w:t>47.0</w:t>
            </w:r>
          </w:p>
        </w:tc>
        <w:tc>
          <w:tcPr>
            <w:tcW w:w="731" w:type="dxa"/>
            <w:tcBorders>
              <w:top w:val="nil"/>
              <w:left w:val="nil"/>
              <w:bottom w:val="single" w:sz="4" w:space="0" w:color="auto"/>
              <w:right w:val="nil"/>
            </w:tcBorders>
            <w:shd w:val="clear" w:color="auto" w:fill="auto"/>
            <w:noWrap/>
            <w:vAlign w:val="bottom"/>
            <w:hideMark/>
          </w:tcPr>
          <w:p w14:paraId="41037194" w14:textId="77777777" w:rsidR="00E45705" w:rsidRPr="001B09E6" w:rsidRDefault="00E45705" w:rsidP="00E45705">
            <w:pPr>
              <w:pStyle w:val="TableCellText"/>
              <w:spacing w:before="0" w:after="0"/>
              <w:ind w:left="0" w:right="0"/>
            </w:pPr>
            <w:r w:rsidRPr="001B09E6">
              <w:t>49.9</w:t>
            </w:r>
          </w:p>
        </w:tc>
        <w:tc>
          <w:tcPr>
            <w:tcW w:w="731" w:type="dxa"/>
            <w:tcBorders>
              <w:top w:val="nil"/>
              <w:left w:val="nil"/>
              <w:bottom w:val="single" w:sz="4" w:space="0" w:color="auto"/>
              <w:right w:val="nil"/>
            </w:tcBorders>
            <w:shd w:val="clear" w:color="auto" w:fill="auto"/>
            <w:noWrap/>
            <w:vAlign w:val="bottom"/>
            <w:hideMark/>
          </w:tcPr>
          <w:p w14:paraId="3C290133" w14:textId="77777777" w:rsidR="00E45705" w:rsidRPr="001B09E6" w:rsidRDefault="00E45705" w:rsidP="00E45705">
            <w:pPr>
              <w:pStyle w:val="TableCellText"/>
              <w:spacing w:before="0" w:after="0"/>
              <w:ind w:left="0" w:right="0"/>
            </w:pPr>
            <w:r w:rsidRPr="001B09E6">
              <w:t>55.8</w:t>
            </w:r>
          </w:p>
        </w:tc>
        <w:tc>
          <w:tcPr>
            <w:tcW w:w="731" w:type="dxa"/>
            <w:tcBorders>
              <w:top w:val="nil"/>
              <w:left w:val="nil"/>
              <w:bottom w:val="single" w:sz="4" w:space="0" w:color="auto"/>
              <w:right w:val="nil"/>
            </w:tcBorders>
            <w:shd w:val="clear" w:color="auto" w:fill="auto"/>
            <w:noWrap/>
            <w:vAlign w:val="bottom"/>
            <w:hideMark/>
          </w:tcPr>
          <w:p w14:paraId="0C1FD17B" w14:textId="77777777" w:rsidR="00E45705" w:rsidRPr="001B09E6" w:rsidRDefault="00E45705" w:rsidP="00E45705">
            <w:pPr>
              <w:pStyle w:val="TableCellText"/>
              <w:spacing w:before="0" w:after="0"/>
              <w:ind w:left="0" w:right="0"/>
            </w:pPr>
            <w:r w:rsidRPr="001B09E6">
              <w:t>61.1</w:t>
            </w:r>
          </w:p>
        </w:tc>
        <w:tc>
          <w:tcPr>
            <w:tcW w:w="731" w:type="dxa"/>
            <w:tcBorders>
              <w:top w:val="nil"/>
              <w:left w:val="nil"/>
              <w:bottom w:val="single" w:sz="4" w:space="0" w:color="auto"/>
              <w:right w:val="nil"/>
            </w:tcBorders>
            <w:shd w:val="clear" w:color="auto" w:fill="auto"/>
            <w:noWrap/>
            <w:vAlign w:val="bottom"/>
            <w:hideMark/>
          </w:tcPr>
          <w:p w14:paraId="3BB407E4" w14:textId="77777777" w:rsidR="00E45705" w:rsidRPr="001B09E6" w:rsidRDefault="00E45705" w:rsidP="00E45705">
            <w:pPr>
              <w:pStyle w:val="TableCellText"/>
              <w:spacing w:before="0" w:after="0"/>
              <w:ind w:left="0" w:right="0"/>
            </w:pPr>
            <w:r w:rsidRPr="001B09E6">
              <w:t>64.7</w:t>
            </w:r>
          </w:p>
        </w:tc>
        <w:tc>
          <w:tcPr>
            <w:tcW w:w="731" w:type="dxa"/>
            <w:tcBorders>
              <w:top w:val="nil"/>
              <w:left w:val="nil"/>
              <w:bottom w:val="single" w:sz="4" w:space="0" w:color="auto"/>
              <w:right w:val="nil"/>
            </w:tcBorders>
            <w:shd w:val="clear" w:color="auto" w:fill="auto"/>
            <w:noWrap/>
            <w:vAlign w:val="bottom"/>
            <w:hideMark/>
          </w:tcPr>
          <w:p w14:paraId="049F961D" w14:textId="77777777" w:rsidR="00E45705" w:rsidRPr="001B09E6" w:rsidRDefault="00E45705" w:rsidP="00E45705">
            <w:pPr>
              <w:pStyle w:val="TableCellText"/>
              <w:spacing w:before="0" w:after="0"/>
              <w:ind w:left="0" w:right="0"/>
            </w:pPr>
            <w:r w:rsidRPr="001B09E6">
              <w:t>62.1</w:t>
            </w:r>
          </w:p>
        </w:tc>
      </w:tr>
    </w:tbl>
    <w:p w14:paraId="576A2BBB" w14:textId="77777777" w:rsidR="00E45705" w:rsidRPr="001B09E6" w:rsidRDefault="00E45705" w:rsidP="00E45705">
      <w:pPr>
        <w:pStyle w:val="Tablenote"/>
      </w:pPr>
      <w:r w:rsidRPr="001B09E6">
        <w:t xml:space="preserve">Source: NCVER Longitudinal Surveys of Australian Youth 1998 Cohort Reports, </w:t>
      </w:r>
      <w:hyperlink r:id="rId90" w:history="1">
        <w:r w:rsidRPr="001B09E6">
          <w:rPr>
            <w:rStyle w:val="Hyperlink"/>
            <w:color w:val="808080"/>
            <w:u w:val="none"/>
          </w:rPr>
          <w:t>http://www.lsay.edu.au/cohort/1998/101.html</w:t>
        </w:r>
      </w:hyperlink>
    </w:p>
    <w:tbl>
      <w:tblPr>
        <w:tblW w:w="5000" w:type="pct"/>
        <w:tblLook w:val="04A0" w:firstRow="1" w:lastRow="0" w:firstColumn="1" w:lastColumn="0" w:noHBand="0" w:noVBand="1"/>
        <w:tblCaption w:val="Table A2.39: Proportion going on to further study by qualification level and type of further study, 2011 15-19 year olds "/>
        <w:tblDescription w:val="Table A2.39: Proportion going on to further study by qualification level and type of further study, 2011&#10;15-19 year olds&#10;"/>
      </w:tblPr>
      <w:tblGrid>
        <w:gridCol w:w="3019"/>
        <w:gridCol w:w="1997"/>
        <w:gridCol w:w="1599"/>
        <w:gridCol w:w="1976"/>
        <w:gridCol w:w="1628"/>
        <w:gridCol w:w="1444"/>
        <w:gridCol w:w="1731"/>
        <w:gridCol w:w="1222"/>
      </w:tblGrid>
      <w:tr w:rsidR="00E45705" w:rsidRPr="001B09E6" w14:paraId="24706E29" w14:textId="77777777" w:rsidTr="00E45705">
        <w:trPr>
          <w:trHeight w:val="300"/>
        </w:trPr>
        <w:tc>
          <w:tcPr>
            <w:tcW w:w="5000" w:type="pct"/>
            <w:gridSpan w:val="8"/>
            <w:tcBorders>
              <w:top w:val="nil"/>
              <w:left w:val="nil"/>
              <w:bottom w:val="nil"/>
              <w:right w:val="nil"/>
            </w:tcBorders>
            <w:shd w:val="clear" w:color="auto" w:fill="auto"/>
            <w:noWrap/>
            <w:vAlign w:val="bottom"/>
            <w:hideMark/>
          </w:tcPr>
          <w:p w14:paraId="1F1C9375" w14:textId="77777777" w:rsidR="00E45705" w:rsidRPr="001B09E6" w:rsidRDefault="00E45705" w:rsidP="00E45705">
            <w:pPr>
              <w:pStyle w:val="Heading3NoNumbering"/>
              <w:rPr>
                <w:lang w:eastAsia="en-AU"/>
              </w:rPr>
            </w:pPr>
            <w:bookmarkStart w:id="224" w:name="_Toc333919024"/>
            <w:r w:rsidRPr="001B09E6">
              <w:rPr>
                <w:lang w:eastAsia="en-AU"/>
              </w:rPr>
              <w:t>Table A2.39: Proportion going on to further study by qualification level and type of further study, 2011</w:t>
            </w:r>
            <w:bookmarkEnd w:id="224"/>
          </w:p>
          <w:p w14:paraId="26519FE9" w14:textId="77777777" w:rsidR="00E45705" w:rsidRPr="001B09E6" w:rsidRDefault="00E45705" w:rsidP="00E45705">
            <w:pPr>
              <w:pStyle w:val="Heading4"/>
              <w:rPr>
                <w:lang w:eastAsia="en-AU"/>
              </w:rPr>
            </w:pPr>
            <w:r w:rsidRPr="001B09E6">
              <w:rPr>
                <w:lang w:eastAsia="en-AU"/>
              </w:rPr>
              <w:t>15-19 year olds</w:t>
            </w:r>
          </w:p>
        </w:tc>
      </w:tr>
      <w:tr w:rsidR="00E45705" w:rsidRPr="001B09E6" w14:paraId="0D6EA95A" w14:textId="77777777" w:rsidTr="00192ABE">
        <w:trPr>
          <w:trHeight w:val="300"/>
        </w:trPr>
        <w:tc>
          <w:tcPr>
            <w:tcW w:w="1033" w:type="pct"/>
            <w:tcBorders>
              <w:top w:val="nil"/>
              <w:left w:val="nil"/>
              <w:bottom w:val="nil"/>
              <w:right w:val="nil"/>
            </w:tcBorders>
            <w:shd w:val="clear" w:color="auto" w:fill="auto"/>
            <w:noWrap/>
            <w:vAlign w:val="bottom"/>
            <w:hideMark/>
          </w:tcPr>
          <w:p w14:paraId="083EDD6F" w14:textId="77777777" w:rsidR="00E45705" w:rsidRPr="001B09E6" w:rsidRDefault="00E45705" w:rsidP="00E45705">
            <w:pPr>
              <w:rPr>
                <w:rFonts w:ascii="Arial" w:eastAsia="Times New Roman" w:hAnsi="Arial" w:cs="Arial"/>
                <w:b/>
                <w:bCs/>
                <w:color w:val="000000"/>
                <w:sz w:val="16"/>
                <w:szCs w:val="16"/>
                <w:lang w:eastAsia="en-AU"/>
              </w:rPr>
            </w:pPr>
          </w:p>
        </w:tc>
        <w:tc>
          <w:tcPr>
            <w:tcW w:w="683" w:type="pct"/>
            <w:tcBorders>
              <w:top w:val="nil"/>
              <w:left w:val="nil"/>
              <w:bottom w:val="nil"/>
              <w:right w:val="nil"/>
            </w:tcBorders>
            <w:shd w:val="clear" w:color="auto" w:fill="auto"/>
            <w:noWrap/>
            <w:vAlign w:val="bottom"/>
            <w:hideMark/>
          </w:tcPr>
          <w:p w14:paraId="6EC1AA30" w14:textId="77777777" w:rsidR="00E45705" w:rsidRPr="001B09E6" w:rsidRDefault="00E45705" w:rsidP="00E45705">
            <w:pPr>
              <w:rPr>
                <w:rFonts w:ascii="Arial" w:eastAsia="Times New Roman" w:hAnsi="Arial" w:cs="Arial"/>
                <w:color w:val="000000"/>
                <w:sz w:val="16"/>
                <w:szCs w:val="16"/>
                <w:lang w:eastAsia="en-AU"/>
              </w:rPr>
            </w:pPr>
          </w:p>
        </w:tc>
        <w:tc>
          <w:tcPr>
            <w:tcW w:w="547" w:type="pct"/>
            <w:tcBorders>
              <w:top w:val="nil"/>
              <w:left w:val="nil"/>
              <w:bottom w:val="nil"/>
              <w:right w:val="nil"/>
            </w:tcBorders>
            <w:shd w:val="clear" w:color="auto" w:fill="auto"/>
            <w:noWrap/>
            <w:vAlign w:val="bottom"/>
            <w:hideMark/>
          </w:tcPr>
          <w:p w14:paraId="16AADC7D" w14:textId="77777777" w:rsidR="00E45705" w:rsidRPr="001B09E6" w:rsidRDefault="00E45705" w:rsidP="00E45705">
            <w:pPr>
              <w:rPr>
                <w:rFonts w:ascii="Arial" w:eastAsia="Times New Roman" w:hAnsi="Arial" w:cs="Arial"/>
                <w:color w:val="000000"/>
                <w:sz w:val="16"/>
                <w:szCs w:val="16"/>
                <w:lang w:eastAsia="en-AU"/>
              </w:rPr>
            </w:pPr>
          </w:p>
        </w:tc>
        <w:tc>
          <w:tcPr>
            <w:tcW w:w="676" w:type="pct"/>
            <w:tcBorders>
              <w:top w:val="nil"/>
              <w:left w:val="nil"/>
              <w:bottom w:val="nil"/>
              <w:right w:val="nil"/>
            </w:tcBorders>
            <w:shd w:val="clear" w:color="auto" w:fill="auto"/>
            <w:noWrap/>
            <w:vAlign w:val="bottom"/>
            <w:hideMark/>
          </w:tcPr>
          <w:p w14:paraId="33D9745D" w14:textId="77777777" w:rsidR="00E45705" w:rsidRPr="001B09E6" w:rsidRDefault="00E45705" w:rsidP="00E45705">
            <w:pPr>
              <w:rPr>
                <w:rFonts w:ascii="Arial" w:eastAsia="Times New Roman" w:hAnsi="Arial" w:cs="Arial"/>
                <w:color w:val="000000"/>
                <w:sz w:val="16"/>
                <w:szCs w:val="16"/>
                <w:lang w:eastAsia="en-AU"/>
              </w:rPr>
            </w:pPr>
          </w:p>
        </w:tc>
        <w:tc>
          <w:tcPr>
            <w:tcW w:w="557" w:type="pct"/>
            <w:tcBorders>
              <w:top w:val="nil"/>
              <w:left w:val="nil"/>
              <w:bottom w:val="nil"/>
              <w:right w:val="nil"/>
            </w:tcBorders>
            <w:shd w:val="clear" w:color="auto" w:fill="auto"/>
            <w:noWrap/>
            <w:vAlign w:val="bottom"/>
            <w:hideMark/>
          </w:tcPr>
          <w:p w14:paraId="3851DC2B" w14:textId="77777777" w:rsidR="00E45705" w:rsidRPr="001B09E6" w:rsidRDefault="00E45705" w:rsidP="00E45705">
            <w:pPr>
              <w:rPr>
                <w:rFonts w:ascii="Arial" w:eastAsia="Times New Roman" w:hAnsi="Arial" w:cs="Arial"/>
                <w:color w:val="000000"/>
                <w:sz w:val="16"/>
                <w:szCs w:val="16"/>
                <w:lang w:eastAsia="en-AU"/>
              </w:rPr>
            </w:pPr>
          </w:p>
        </w:tc>
        <w:tc>
          <w:tcPr>
            <w:tcW w:w="494" w:type="pct"/>
            <w:tcBorders>
              <w:top w:val="nil"/>
              <w:left w:val="nil"/>
              <w:bottom w:val="nil"/>
              <w:right w:val="nil"/>
            </w:tcBorders>
            <w:shd w:val="clear" w:color="auto" w:fill="auto"/>
            <w:noWrap/>
            <w:vAlign w:val="bottom"/>
            <w:hideMark/>
          </w:tcPr>
          <w:p w14:paraId="377822EE" w14:textId="77777777" w:rsidR="00E45705" w:rsidRPr="001B09E6" w:rsidRDefault="00E45705" w:rsidP="00E45705">
            <w:pPr>
              <w:rPr>
                <w:rFonts w:ascii="Arial" w:eastAsia="Times New Roman" w:hAnsi="Arial" w:cs="Arial"/>
                <w:color w:val="000000"/>
                <w:sz w:val="16"/>
                <w:szCs w:val="16"/>
                <w:lang w:eastAsia="en-AU"/>
              </w:rPr>
            </w:pPr>
          </w:p>
        </w:tc>
        <w:tc>
          <w:tcPr>
            <w:tcW w:w="592" w:type="pct"/>
            <w:tcBorders>
              <w:top w:val="nil"/>
              <w:left w:val="nil"/>
              <w:bottom w:val="nil"/>
              <w:right w:val="nil"/>
            </w:tcBorders>
            <w:shd w:val="clear" w:color="auto" w:fill="auto"/>
            <w:noWrap/>
            <w:vAlign w:val="bottom"/>
            <w:hideMark/>
          </w:tcPr>
          <w:p w14:paraId="16E0DEFA" w14:textId="77777777" w:rsidR="00E45705" w:rsidRPr="001B09E6" w:rsidRDefault="00E45705" w:rsidP="00E45705">
            <w:pPr>
              <w:rPr>
                <w:rFonts w:ascii="Arial" w:eastAsia="Times New Roman" w:hAnsi="Arial" w:cs="Arial"/>
                <w:color w:val="000000"/>
                <w:sz w:val="16"/>
                <w:szCs w:val="16"/>
                <w:lang w:eastAsia="en-AU"/>
              </w:rPr>
            </w:pPr>
          </w:p>
        </w:tc>
        <w:tc>
          <w:tcPr>
            <w:tcW w:w="418" w:type="pct"/>
            <w:tcBorders>
              <w:top w:val="nil"/>
              <w:left w:val="nil"/>
              <w:bottom w:val="nil"/>
              <w:right w:val="nil"/>
            </w:tcBorders>
            <w:shd w:val="clear" w:color="auto" w:fill="auto"/>
            <w:noWrap/>
            <w:vAlign w:val="bottom"/>
            <w:hideMark/>
          </w:tcPr>
          <w:p w14:paraId="4BD6E07B" w14:textId="77777777" w:rsidR="00E45705" w:rsidRPr="001B09E6" w:rsidRDefault="00E45705" w:rsidP="00E45705">
            <w:pPr>
              <w:rPr>
                <w:rFonts w:ascii="Arial" w:eastAsia="Times New Roman" w:hAnsi="Arial" w:cs="Arial"/>
                <w:color w:val="000000"/>
                <w:sz w:val="16"/>
                <w:szCs w:val="16"/>
                <w:lang w:eastAsia="en-AU"/>
              </w:rPr>
            </w:pPr>
          </w:p>
        </w:tc>
      </w:tr>
      <w:tr w:rsidR="00E45705" w:rsidRPr="001B09E6" w14:paraId="73E9F755" w14:textId="77777777" w:rsidTr="00192ABE">
        <w:trPr>
          <w:trHeight w:val="690"/>
        </w:trPr>
        <w:tc>
          <w:tcPr>
            <w:tcW w:w="1033" w:type="pct"/>
            <w:tcBorders>
              <w:top w:val="single" w:sz="4" w:space="0" w:color="auto"/>
              <w:left w:val="nil"/>
              <w:bottom w:val="single" w:sz="4" w:space="0" w:color="auto"/>
              <w:right w:val="nil"/>
            </w:tcBorders>
            <w:shd w:val="clear" w:color="auto" w:fill="auto"/>
            <w:vAlign w:val="bottom"/>
            <w:hideMark/>
          </w:tcPr>
          <w:p w14:paraId="69638CED" w14:textId="77777777" w:rsidR="00E45705" w:rsidRPr="001B09E6" w:rsidRDefault="00E45705" w:rsidP="00E45705">
            <w:pPr>
              <w:pStyle w:val="TableColumnHeading"/>
              <w:spacing w:before="0" w:after="0"/>
              <w:ind w:left="0" w:right="0"/>
            </w:pPr>
            <w:r w:rsidRPr="001B09E6">
              <w:t>Type of further study institute</w:t>
            </w:r>
          </w:p>
        </w:tc>
        <w:tc>
          <w:tcPr>
            <w:tcW w:w="683" w:type="pct"/>
            <w:tcBorders>
              <w:top w:val="single" w:sz="4" w:space="0" w:color="auto"/>
              <w:left w:val="nil"/>
              <w:bottom w:val="single" w:sz="4" w:space="0" w:color="auto"/>
              <w:right w:val="nil"/>
            </w:tcBorders>
            <w:shd w:val="clear" w:color="auto" w:fill="auto"/>
            <w:vAlign w:val="bottom"/>
            <w:hideMark/>
          </w:tcPr>
          <w:p w14:paraId="2B2258E2" w14:textId="77777777" w:rsidR="00E45705" w:rsidRPr="001B09E6" w:rsidRDefault="00E45705" w:rsidP="00E45705">
            <w:pPr>
              <w:pStyle w:val="TableColumnHeading"/>
              <w:spacing w:before="0" w:after="0"/>
              <w:ind w:left="0" w:right="0"/>
            </w:pPr>
            <w:r w:rsidRPr="001B09E6">
              <w:t>University</w:t>
            </w:r>
          </w:p>
        </w:tc>
        <w:tc>
          <w:tcPr>
            <w:tcW w:w="547" w:type="pct"/>
            <w:tcBorders>
              <w:top w:val="single" w:sz="4" w:space="0" w:color="auto"/>
              <w:left w:val="nil"/>
              <w:bottom w:val="single" w:sz="4" w:space="0" w:color="auto"/>
              <w:right w:val="nil"/>
            </w:tcBorders>
            <w:shd w:val="clear" w:color="auto" w:fill="auto"/>
            <w:vAlign w:val="bottom"/>
            <w:hideMark/>
          </w:tcPr>
          <w:p w14:paraId="5FB8A872" w14:textId="77777777" w:rsidR="00E45705" w:rsidRPr="001B09E6" w:rsidRDefault="00E45705" w:rsidP="00E45705">
            <w:pPr>
              <w:pStyle w:val="TableColumnHeading"/>
              <w:spacing w:before="0" w:after="0"/>
              <w:ind w:left="0" w:right="0"/>
            </w:pPr>
            <w:r w:rsidRPr="001B09E6">
              <w:t>TAFE</w:t>
            </w:r>
          </w:p>
        </w:tc>
        <w:tc>
          <w:tcPr>
            <w:tcW w:w="676" w:type="pct"/>
            <w:tcBorders>
              <w:top w:val="single" w:sz="4" w:space="0" w:color="auto"/>
              <w:left w:val="nil"/>
              <w:bottom w:val="single" w:sz="4" w:space="0" w:color="auto"/>
              <w:right w:val="nil"/>
            </w:tcBorders>
            <w:shd w:val="clear" w:color="auto" w:fill="auto"/>
            <w:vAlign w:val="bottom"/>
            <w:hideMark/>
          </w:tcPr>
          <w:p w14:paraId="4A230F28" w14:textId="77777777" w:rsidR="00E45705" w:rsidRPr="001B09E6" w:rsidRDefault="00E45705" w:rsidP="00E45705">
            <w:pPr>
              <w:pStyle w:val="TableColumnHeading"/>
              <w:spacing w:before="0" w:after="0"/>
              <w:ind w:left="0" w:right="0"/>
            </w:pPr>
            <w:r w:rsidRPr="001B09E6">
              <w:t>Other</w:t>
            </w:r>
          </w:p>
        </w:tc>
        <w:tc>
          <w:tcPr>
            <w:tcW w:w="557" w:type="pct"/>
            <w:tcBorders>
              <w:top w:val="single" w:sz="4" w:space="0" w:color="auto"/>
              <w:left w:val="nil"/>
              <w:bottom w:val="single" w:sz="4" w:space="0" w:color="auto"/>
              <w:right w:val="nil"/>
            </w:tcBorders>
            <w:shd w:val="clear" w:color="auto" w:fill="auto"/>
            <w:vAlign w:val="bottom"/>
            <w:hideMark/>
          </w:tcPr>
          <w:p w14:paraId="3E094108" w14:textId="77777777" w:rsidR="00E45705" w:rsidRPr="001B09E6" w:rsidRDefault="00E45705" w:rsidP="00E45705">
            <w:pPr>
              <w:pStyle w:val="TableColumnHeading"/>
              <w:spacing w:before="0" w:after="0"/>
              <w:ind w:left="0" w:right="0"/>
            </w:pPr>
            <w:r w:rsidRPr="001B09E6">
              <w:t>Not enrolled in further study</w:t>
            </w:r>
          </w:p>
        </w:tc>
        <w:tc>
          <w:tcPr>
            <w:tcW w:w="494" w:type="pct"/>
            <w:tcBorders>
              <w:top w:val="single" w:sz="4" w:space="0" w:color="auto"/>
              <w:left w:val="nil"/>
              <w:bottom w:val="single" w:sz="4" w:space="0" w:color="auto"/>
              <w:right w:val="nil"/>
            </w:tcBorders>
            <w:shd w:val="clear" w:color="auto" w:fill="auto"/>
            <w:vAlign w:val="bottom"/>
            <w:hideMark/>
          </w:tcPr>
          <w:p w14:paraId="04109F09" w14:textId="77777777" w:rsidR="00E45705" w:rsidRPr="001B09E6" w:rsidRDefault="00E45705" w:rsidP="00E45705">
            <w:pPr>
              <w:pStyle w:val="TableColumnHeading"/>
              <w:spacing w:before="0" w:after="0"/>
              <w:ind w:left="0" w:right="0"/>
            </w:pPr>
            <w:r w:rsidRPr="001B09E6">
              <w:t>Not Stated</w:t>
            </w:r>
          </w:p>
        </w:tc>
        <w:tc>
          <w:tcPr>
            <w:tcW w:w="592" w:type="pct"/>
            <w:tcBorders>
              <w:top w:val="single" w:sz="4" w:space="0" w:color="auto"/>
              <w:left w:val="nil"/>
              <w:bottom w:val="single" w:sz="4" w:space="0" w:color="auto"/>
              <w:right w:val="nil"/>
            </w:tcBorders>
            <w:shd w:val="clear" w:color="auto" w:fill="auto"/>
            <w:vAlign w:val="bottom"/>
            <w:hideMark/>
          </w:tcPr>
          <w:p w14:paraId="0CB1C88E" w14:textId="77777777" w:rsidR="00E45705" w:rsidRPr="001B09E6" w:rsidRDefault="00E45705" w:rsidP="00E45705">
            <w:pPr>
              <w:pStyle w:val="TableColumnHeading"/>
              <w:spacing w:before="0" w:after="0"/>
              <w:ind w:left="0" w:right="0"/>
            </w:pPr>
            <w:r w:rsidRPr="001B09E6">
              <w:t>Total</w:t>
            </w:r>
          </w:p>
        </w:tc>
        <w:tc>
          <w:tcPr>
            <w:tcW w:w="418" w:type="pct"/>
            <w:tcBorders>
              <w:top w:val="nil"/>
              <w:left w:val="nil"/>
              <w:bottom w:val="nil"/>
              <w:right w:val="nil"/>
            </w:tcBorders>
            <w:shd w:val="clear" w:color="auto" w:fill="auto"/>
            <w:noWrap/>
            <w:vAlign w:val="bottom"/>
            <w:hideMark/>
          </w:tcPr>
          <w:p w14:paraId="1B67B07A" w14:textId="77777777" w:rsidR="00E45705" w:rsidRPr="001B09E6" w:rsidRDefault="00E45705" w:rsidP="00E45705">
            <w:pPr>
              <w:pStyle w:val="TableColumnHeading"/>
              <w:spacing w:before="0" w:after="0"/>
              <w:ind w:left="0" w:right="0"/>
            </w:pPr>
          </w:p>
        </w:tc>
      </w:tr>
      <w:tr w:rsidR="00E45705" w:rsidRPr="001B09E6" w14:paraId="22DBD0F4" w14:textId="77777777" w:rsidTr="00192ABE">
        <w:trPr>
          <w:trHeight w:val="300"/>
        </w:trPr>
        <w:tc>
          <w:tcPr>
            <w:tcW w:w="1033" w:type="pct"/>
            <w:tcBorders>
              <w:top w:val="nil"/>
              <w:left w:val="nil"/>
              <w:bottom w:val="nil"/>
              <w:right w:val="nil"/>
            </w:tcBorders>
            <w:shd w:val="clear" w:color="auto" w:fill="auto"/>
            <w:vAlign w:val="bottom"/>
            <w:hideMark/>
          </w:tcPr>
          <w:p w14:paraId="71C26EDD" w14:textId="77777777" w:rsidR="00E45705" w:rsidRPr="001B09E6" w:rsidRDefault="00E45705" w:rsidP="00E45705">
            <w:pPr>
              <w:pStyle w:val="TableColumnHeading"/>
              <w:spacing w:before="0" w:after="0"/>
              <w:ind w:left="0" w:right="0"/>
              <w:rPr>
                <w:lang w:eastAsia="en-AU"/>
              </w:rPr>
            </w:pPr>
            <w:r w:rsidRPr="001B09E6">
              <w:rPr>
                <w:lang w:eastAsia="en-AU"/>
              </w:rPr>
              <w:t>Qualification</w:t>
            </w:r>
          </w:p>
        </w:tc>
        <w:tc>
          <w:tcPr>
            <w:tcW w:w="683" w:type="pct"/>
            <w:tcBorders>
              <w:top w:val="nil"/>
              <w:left w:val="nil"/>
              <w:bottom w:val="nil"/>
              <w:right w:val="nil"/>
            </w:tcBorders>
            <w:shd w:val="clear" w:color="auto" w:fill="auto"/>
            <w:noWrap/>
            <w:vAlign w:val="bottom"/>
            <w:hideMark/>
          </w:tcPr>
          <w:p w14:paraId="4B23FF35" w14:textId="77777777" w:rsidR="00E45705" w:rsidRPr="001B09E6" w:rsidRDefault="00E45705" w:rsidP="00E45705">
            <w:pPr>
              <w:pStyle w:val="TableColumnHeading"/>
              <w:spacing w:before="0" w:after="0"/>
              <w:ind w:left="0" w:right="0"/>
              <w:rPr>
                <w:lang w:eastAsia="en-AU"/>
              </w:rPr>
            </w:pPr>
          </w:p>
        </w:tc>
        <w:tc>
          <w:tcPr>
            <w:tcW w:w="547" w:type="pct"/>
            <w:tcBorders>
              <w:top w:val="nil"/>
              <w:left w:val="nil"/>
              <w:bottom w:val="nil"/>
              <w:right w:val="nil"/>
            </w:tcBorders>
            <w:shd w:val="clear" w:color="auto" w:fill="auto"/>
            <w:noWrap/>
            <w:vAlign w:val="bottom"/>
            <w:hideMark/>
          </w:tcPr>
          <w:p w14:paraId="3F0275E3" w14:textId="77777777" w:rsidR="00E45705" w:rsidRPr="001B09E6" w:rsidRDefault="00E45705" w:rsidP="00E45705">
            <w:pPr>
              <w:pStyle w:val="TableColumnHeading"/>
              <w:spacing w:before="0" w:after="0"/>
              <w:ind w:left="0" w:right="0"/>
              <w:rPr>
                <w:lang w:eastAsia="en-AU"/>
              </w:rPr>
            </w:pPr>
          </w:p>
        </w:tc>
        <w:tc>
          <w:tcPr>
            <w:tcW w:w="676" w:type="pct"/>
            <w:tcBorders>
              <w:top w:val="nil"/>
              <w:left w:val="nil"/>
              <w:bottom w:val="nil"/>
              <w:right w:val="nil"/>
            </w:tcBorders>
            <w:shd w:val="clear" w:color="auto" w:fill="auto"/>
            <w:noWrap/>
            <w:vAlign w:val="bottom"/>
            <w:hideMark/>
          </w:tcPr>
          <w:p w14:paraId="5C7152F0" w14:textId="77777777" w:rsidR="00E45705" w:rsidRPr="001B09E6" w:rsidRDefault="00E45705" w:rsidP="00E45705">
            <w:pPr>
              <w:pStyle w:val="TableColumnHeading"/>
              <w:spacing w:before="0" w:after="0"/>
              <w:ind w:left="0" w:right="0"/>
              <w:rPr>
                <w:lang w:eastAsia="en-AU"/>
              </w:rPr>
            </w:pPr>
          </w:p>
        </w:tc>
        <w:tc>
          <w:tcPr>
            <w:tcW w:w="557" w:type="pct"/>
            <w:tcBorders>
              <w:top w:val="nil"/>
              <w:left w:val="nil"/>
              <w:bottom w:val="nil"/>
              <w:right w:val="nil"/>
            </w:tcBorders>
            <w:shd w:val="clear" w:color="auto" w:fill="auto"/>
            <w:noWrap/>
            <w:vAlign w:val="bottom"/>
            <w:hideMark/>
          </w:tcPr>
          <w:p w14:paraId="0287BA5A" w14:textId="77777777" w:rsidR="00E45705" w:rsidRPr="001B09E6" w:rsidRDefault="00E45705" w:rsidP="00E45705">
            <w:pPr>
              <w:pStyle w:val="TableColumnHeading"/>
              <w:spacing w:before="0" w:after="0"/>
              <w:ind w:left="0" w:right="0"/>
              <w:rPr>
                <w:lang w:eastAsia="en-AU"/>
              </w:rPr>
            </w:pPr>
          </w:p>
        </w:tc>
        <w:tc>
          <w:tcPr>
            <w:tcW w:w="494" w:type="pct"/>
            <w:tcBorders>
              <w:top w:val="nil"/>
              <w:left w:val="nil"/>
              <w:bottom w:val="nil"/>
              <w:right w:val="nil"/>
            </w:tcBorders>
            <w:shd w:val="clear" w:color="auto" w:fill="auto"/>
            <w:noWrap/>
            <w:vAlign w:val="bottom"/>
            <w:hideMark/>
          </w:tcPr>
          <w:p w14:paraId="2C04B728" w14:textId="77777777" w:rsidR="00E45705" w:rsidRPr="001B09E6" w:rsidRDefault="00E45705" w:rsidP="00E45705">
            <w:pPr>
              <w:pStyle w:val="TableColumnHeading"/>
              <w:spacing w:before="0" w:after="0"/>
              <w:ind w:left="0" w:right="0"/>
              <w:rPr>
                <w:lang w:eastAsia="en-AU"/>
              </w:rPr>
            </w:pPr>
          </w:p>
        </w:tc>
        <w:tc>
          <w:tcPr>
            <w:tcW w:w="592" w:type="pct"/>
            <w:tcBorders>
              <w:top w:val="nil"/>
              <w:left w:val="nil"/>
              <w:bottom w:val="nil"/>
              <w:right w:val="nil"/>
            </w:tcBorders>
            <w:shd w:val="clear" w:color="auto" w:fill="auto"/>
            <w:noWrap/>
            <w:vAlign w:val="bottom"/>
            <w:hideMark/>
          </w:tcPr>
          <w:p w14:paraId="4BF356AB" w14:textId="77777777" w:rsidR="00E45705" w:rsidRPr="001B09E6" w:rsidRDefault="00E45705" w:rsidP="00E45705">
            <w:pPr>
              <w:pStyle w:val="TableColumnHeading"/>
              <w:spacing w:before="0" w:after="0"/>
              <w:ind w:left="0" w:right="0"/>
              <w:rPr>
                <w:lang w:eastAsia="en-AU"/>
              </w:rPr>
            </w:pPr>
          </w:p>
        </w:tc>
        <w:tc>
          <w:tcPr>
            <w:tcW w:w="418" w:type="pct"/>
            <w:tcBorders>
              <w:top w:val="nil"/>
              <w:left w:val="nil"/>
              <w:bottom w:val="nil"/>
              <w:right w:val="nil"/>
            </w:tcBorders>
            <w:shd w:val="clear" w:color="auto" w:fill="auto"/>
            <w:noWrap/>
            <w:vAlign w:val="bottom"/>
            <w:hideMark/>
          </w:tcPr>
          <w:p w14:paraId="5150C67F" w14:textId="77777777" w:rsidR="00E45705" w:rsidRPr="001B09E6" w:rsidRDefault="00E45705" w:rsidP="00E45705">
            <w:pPr>
              <w:pStyle w:val="TableColumnHeading"/>
              <w:spacing w:before="0" w:after="0"/>
              <w:ind w:left="0" w:right="0"/>
              <w:rPr>
                <w:lang w:eastAsia="en-AU"/>
              </w:rPr>
            </w:pPr>
          </w:p>
        </w:tc>
      </w:tr>
      <w:tr w:rsidR="00E45705" w:rsidRPr="001B09E6" w14:paraId="1E56B3EE" w14:textId="77777777" w:rsidTr="00192ABE">
        <w:trPr>
          <w:trHeight w:val="465"/>
        </w:trPr>
        <w:tc>
          <w:tcPr>
            <w:tcW w:w="1033" w:type="pct"/>
            <w:tcBorders>
              <w:top w:val="nil"/>
              <w:left w:val="nil"/>
              <w:bottom w:val="nil"/>
              <w:right w:val="nil"/>
            </w:tcBorders>
            <w:shd w:val="clear" w:color="auto" w:fill="auto"/>
            <w:vAlign w:val="bottom"/>
            <w:hideMark/>
          </w:tcPr>
          <w:p w14:paraId="65EBD9CF" w14:textId="77777777" w:rsidR="00E45705" w:rsidRPr="001B09E6" w:rsidRDefault="00E45705" w:rsidP="00E45705">
            <w:pPr>
              <w:pStyle w:val="TableCellText"/>
              <w:spacing w:before="0" w:after="0"/>
              <w:ind w:left="0" w:right="0"/>
              <w:rPr>
                <w:lang w:eastAsia="en-AU"/>
              </w:rPr>
            </w:pPr>
            <w:r w:rsidRPr="001B09E6">
              <w:rPr>
                <w:lang w:eastAsia="en-AU"/>
              </w:rPr>
              <w:t>Diplomas and above</w:t>
            </w:r>
          </w:p>
        </w:tc>
        <w:tc>
          <w:tcPr>
            <w:tcW w:w="683" w:type="pct"/>
            <w:tcBorders>
              <w:top w:val="nil"/>
              <w:left w:val="nil"/>
              <w:bottom w:val="nil"/>
              <w:right w:val="nil"/>
            </w:tcBorders>
            <w:shd w:val="clear" w:color="auto" w:fill="auto"/>
            <w:vAlign w:val="bottom"/>
            <w:hideMark/>
          </w:tcPr>
          <w:p w14:paraId="240FCABE" w14:textId="77777777" w:rsidR="00E45705" w:rsidRPr="001B09E6" w:rsidRDefault="00E45705" w:rsidP="00E45705">
            <w:pPr>
              <w:pStyle w:val="TableCellText"/>
              <w:spacing w:before="0" w:after="0"/>
              <w:ind w:left="0" w:right="0"/>
              <w:rPr>
                <w:lang w:eastAsia="en-AU"/>
              </w:rPr>
            </w:pPr>
            <w:r w:rsidRPr="001B09E6">
              <w:rPr>
                <w:lang w:eastAsia="en-AU"/>
              </w:rPr>
              <w:t>22</w:t>
            </w:r>
          </w:p>
        </w:tc>
        <w:tc>
          <w:tcPr>
            <w:tcW w:w="547" w:type="pct"/>
            <w:tcBorders>
              <w:top w:val="nil"/>
              <w:left w:val="nil"/>
              <w:bottom w:val="nil"/>
              <w:right w:val="nil"/>
            </w:tcBorders>
            <w:shd w:val="clear" w:color="auto" w:fill="auto"/>
            <w:vAlign w:val="bottom"/>
            <w:hideMark/>
          </w:tcPr>
          <w:p w14:paraId="0CE1AE1F" w14:textId="77777777" w:rsidR="00E45705" w:rsidRPr="001B09E6" w:rsidRDefault="00E45705" w:rsidP="00E45705">
            <w:pPr>
              <w:pStyle w:val="TableCellText"/>
              <w:spacing w:before="0" w:after="0"/>
              <w:ind w:left="0" w:right="0"/>
              <w:rPr>
                <w:lang w:eastAsia="en-AU"/>
              </w:rPr>
            </w:pPr>
            <w:r w:rsidRPr="001B09E6">
              <w:rPr>
                <w:lang w:eastAsia="en-AU"/>
              </w:rPr>
              <w:t>19</w:t>
            </w:r>
          </w:p>
        </w:tc>
        <w:tc>
          <w:tcPr>
            <w:tcW w:w="676" w:type="pct"/>
            <w:tcBorders>
              <w:top w:val="nil"/>
              <w:left w:val="nil"/>
              <w:bottom w:val="nil"/>
              <w:right w:val="nil"/>
            </w:tcBorders>
            <w:shd w:val="clear" w:color="auto" w:fill="auto"/>
            <w:vAlign w:val="bottom"/>
            <w:hideMark/>
          </w:tcPr>
          <w:p w14:paraId="48E19F99" w14:textId="77777777" w:rsidR="00E45705" w:rsidRPr="001B09E6" w:rsidRDefault="00E45705" w:rsidP="00E45705">
            <w:pPr>
              <w:pStyle w:val="TableCellText"/>
              <w:spacing w:before="0" w:after="0"/>
              <w:ind w:left="0" w:right="0"/>
              <w:rPr>
                <w:lang w:eastAsia="en-AU"/>
              </w:rPr>
            </w:pPr>
            <w:r w:rsidRPr="001B09E6">
              <w:rPr>
                <w:lang w:eastAsia="en-AU"/>
              </w:rPr>
              <w:t>5</w:t>
            </w:r>
          </w:p>
        </w:tc>
        <w:tc>
          <w:tcPr>
            <w:tcW w:w="557" w:type="pct"/>
            <w:tcBorders>
              <w:top w:val="nil"/>
              <w:left w:val="nil"/>
              <w:bottom w:val="nil"/>
              <w:right w:val="nil"/>
            </w:tcBorders>
            <w:shd w:val="clear" w:color="auto" w:fill="auto"/>
            <w:vAlign w:val="bottom"/>
            <w:hideMark/>
          </w:tcPr>
          <w:p w14:paraId="12B47D3D" w14:textId="77777777" w:rsidR="00E45705" w:rsidRPr="001B09E6" w:rsidRDefault="00E45705" w:rsidP="00E45705">
            <w:pPr>
              <w:pStyle w:val="TableCellText"/>
              <w:spacing w:before="0" w:after="0"/>
              <w:ind w:left="0" w:right="0"/>
              <w:rPr>
                <w:lang w:eastAsia="en-AU"/>
              </w:rPr>
            </w:pPr>
            <w:r w:rsidRPr="001B09E6">
              <w:rPr>
                <w:lang w:eastAsia="en-AU"/>
              </w:rPr>
              <w:t>51</w:t>
            </w:r>
          </w:p>
        </w:tc>
        <w:tc>
          <w:tcPr>
            <w:tcW w:w="494" w:type="pct"/>
            <w:tcBorders>
              <w:top w:val="nil"/>
              <w:left w:val="nil"/>
              <w:bottom w:val="nil"/>
              <w:right w:val="nil"/>
            </w:tcBorders>
            <w:shd w:val="clear" w:color="auto" w:fill="auto"/>
            <w:vAlign w:val="bottom"/>
            <w:hideMark/>
          </w:tcPr>
          <w:p w14:paraId="313539AB" w14:textId="77777777" w:rsidR="00E45705" w:rsidRPr="001B09E6" w:rsidRDefault="00E45705" w:rsidP="00E45705">
            <w:pPr>
              <w:pStyle w:val="TableCellText"/>
              <w:spacing w:before="0" w:after="0"/>
              <w:ind w:left="0" w:right="0"/>
              <w:rPr>
                <w:lang w:eastAsia="en-AU"/>
              </w:rPr>
            </w:pPr>
            <w:r w:rsidRPr="001B09E6">
              <w:rPr>
                <w:lang w:eastAsia="en-AU"/>
              </w:rPr>
              <w:t>3</w:t>
            </w:r>
          </w:p>
        </w:tc>
        <w:tc>
          <w:tcPr>
            <w:tcW w:w="592" w:type="pct"/>
            <w:tcBorders>
              <w:top w:val="nil"/>
              <w:left w:val="nil"/>
              <w:bottom w:val="nil"/>
              <w:right w:val="nil"/>
            </w:tcBorders>
            <w:shd w:val="clear" w:color="auto" w:fill="auto"/>
            <w:vAlign w:val="bottom"/>
            <w:hideMark/>
          </w:tcPr>
          <w:p w14:paraId="61F22AEA"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22652C06" w14:textId="77777777" w:rsidR="00E45705" w:rsidRPr="001B09E6" w:rsidRDefault="00E45705" w:rsidP="00E45705">
            <w:pPr>
              <w:pStyle w:val="TableCellText"/>
              <w:spacing w:before="0" w:after="0"/>
              <w:ind w:left="0" w:right="0"/>
              <w:rPr>
                <w:lang w:eastAsia="en-AU"/>
              </w:rPr>
            </w:pPr>
          </w:p>
        </w:tc>
      </w:tr>
      <w:tr w:rsidR="00E45705" w:rsidRPr="001B09E6" w14:paraId="0CA1275C" w14:textId="77777777" w:rsidTr="00192ABE">
        <w:trPr>
          <w:trHeight w:val="300"/>
        </w:trPr>
        <w:tc>
          <w:tcPr>
            <w:tcW w:w="1033" w:type="pct"/>
            <w:tcBorders>
              <w:top w:val="nil"/>
              <w:left w:val="nil"/>
              <w:bottom w:val="nil"/>
              <w:right w:val="nil"/>
            </w:tcBorders>
            <w:shd w:val="clear" w:color="auto" w:fill="auto"/>
            <w:vAlign w:val="bottom"/>
            <w:hideMark/>
          </w:tcPr>
          <w:p w14:paraId="7F416B74" w14:textId="77777777" w:rsidR="00E45705" w:rsidRPr="001B09E6" w:rsidRDefault="00E45705" w:rsidP="00E45705">
            <w:pPr>
              <w:pStyle w:val="TableCellText"/>
              <w:spacing w:before="0" w:after="0"/>
              <w:ind w:left="0" w:right="0"/>
              <w:rPr>
                <w:lang w:eastAsia="en-AU"/>
              </w:rPr>
            </w:pPr>
            <w:r w:rsidRPr="001B09E6">
              <w:rPr>
                <w:lang w:eastAsia="en-AU"/>
              </w:rPr>
              <w:t>Certificate IV</w:t>
            </w:r>
          </w:p>
        </w:tc>
        <w:tc>
          <w:tcPr>
            <w:tcW w:w="683" w:type="pct"/>
            <w:tcBorders>
              <w:top w:val="nil"/>
              <w:left w:val="nil"/>
              <w:bottom w:val="nil"/>
              <w:right w:val="nil"/>
            </w:tcBorders>
            <w:shd w:val="clear" w:color="auto" w:fill="auto"/>
            <w:vAlign w:val="bottom"/>
            <w:hideMark/>
          </w:tcPr>
          <w:p w14:paraId="0BC4319D" w14:textId="77777777" w:rsidR="00E45705" w:rsidRPr="001B09E6" w:rsidRDefault="00E45705" w:rsidP="00E45705">
            <w:pPr>
              <w:pStyle w:val="TableCellText"/>
              <w:spacing w:before="0" w:after="0"/>
              <w:ind w:left="0" w:right="0"/>
              <w:rPr>
                <w:lang w:eastAsia="en-AU"/>
              </w:rPr>
            </w:pPr>
            <w:r w:rsidRPr="001B09E6">
              <w:rPr>
                <w:lang w:eastAsia="en-AU"/>
              </w:rPr>
              <w:t>17</w:t>
            </w:r>
          </w:p>
        </w:tc>
        <w:tc>
          <w:tcPr>
            <w:tcW w:w="547" w:type="pct"/>
            <w:tcBorders>
              <w:top w:val="nil"/>
              <w:left w:val="nil"/>
              <w:bottom w:val="nil"/>
              <w:right w:val="nil"/>
            </w:tcBorders>
            <w:shd w:val="clear" w:color="auto" w:fill="auto"/>
            <w:vAlign w:val="bottom"/>
            <w:hideMark/>
          </w:tcPr>
          <w:p w14:paraId="00AFF9E1" w14:textId="77777777" w:rsidR="00E45705" w:rsidRPr="001B09E6" w:rsidRDefault="00E45705" w:rsidP="00E45705">
            <w:pPr>
              <w:pStyle w:val="TableCellText"/>
              <w:spacing w:before="0" w:after="0"/>
              <w:ind w:left="0" w:right="0"/>
              <w:rPr>
                <w:lang w:eastAsia="en-AU"/>
              </w:rPr>
            </w:pPr>
            <w:r w:rsidRPr="001B09E6">
              <w:rPr>
                <w:lang w:eastAsia="en-AU"/>
              </w:rPr>
              <w:t>29</w:t>
            </w:r>
          </w:p>
        </w:tc>
        <w:tc>
          <w:tcPr>
            <w:tcW w:w="676" w:type="pct"/>
            <w:tcBorders>
              <w:top w:val="nil"/>
              <w:left w:val="nil"/>
              <w:bottom w:val="nil"/>
              <w:right w:val="nil"/>
            </w:tcBorders>
            <w:shd w:val="clear" w:color="auto" w:fill="auto"/>
            <w:vAlign w:val="bottom"/>
            <w:hideMark/>
          </w:tcPr>
          <w:p w14:paraId="7A11D5CC" w14:textId="77777777" w:rsidR="00E45705" w:rsidRPr="001B09E6" w:rsidRDefault="00E45705" w:rsidP="00E45705">
            <w:pPr>
              <w:pStyle w:val="TableCellText"/>
              <w:spacing w:before="0" w:after="0"/>
              <w:ind w:left="0" w:right="0"/>
              <w:rPr>
                <w:lang w:eastAsia="en-AU"/>
              </w:rPr>
            </w:pPr>
            <w:r w:rsidRPr="001B09E6">
              <w:rPr>
                <w:lang w:eastAsia="en-AU"/>
              </w:rPr>
              <w:t>5</w:t>
            </w:r>
          </w:p>
        </w:tc>
        <w:tc>
          <w:tcPr>
            <w:tcW w:w="557" w:type="pct"/>
            <w:tcBorders>
              <w:top w:val="nil"/>
              <w:left w:val="nil"/>
              <w:bottom w:val="nil"/>
              <w:right w:val="nil"/>
            </w:tcBorders>
            <w:shd w:val="clear" w:color="auto" w:fill="auto"/>
            <w:vAlign w:val="bottom"/>
            <w:hideMark/>
          </w:tcPr>
          <w:p w14:paraId="1943E1A2" w14:textId="77777777" w:rsidR="00E45705" w:rsidRPr="001B09E6" w:rsidRDefault="00E45705" w:rsidP="00E45705">
            <w:pPr>
              <w:pStyle w:val="TableCellText"/>
              <w:spacing w:before="0" w:after="0"/>
              <w:ind w:left="0" w:right="0"/>
              <w:rPr>
                <w:lang w:eastAsia="en-AU"/>
              </w:rPr>
            </w:pPr>
            <w:r w:rsidRPr="001B09E6">
              <w:rPr>
                <w:lang w:eastAsia="en-AU"/>
              </w:rPr>
              <w:t>46</w:t>
            </w:r>
          </w:p>
        </w:tc>
        <w:tc>
          <w:tcPr>
            <w:tcW w:w="494" w:type="pct"/>
            <w:tcBorders>
              <w:top w:val="nil"/>
              <w:left w:val="nil"/>
              <w:bottom w:val="nil"/>
              <w:right w:val="nil"/>
            </w:tcBorders>
            <w:shd w:val="clear" w:color="auto" w:fill="auto"/>
            <w:vAlign w:val="bottom"/>
            <w:hideMark/>
          </w:tcPr>
          <w:p w14:paraId="5C33BFDE" w14:textId="77777777" w:rsidR="00E45705" w:rsidRPr="001B09E6" w:rsidRDefault="00E45705" w:rsidP="00E45705">
            <w:pPr>
              <w:pStyle w:val="TableCellText"/>
              <w:spacing w:before="0" w:after="0"/>
              <w:ind w:left="0" w:right="0"/>
              <w:rPr>
                <w:lang w:eastAsia="en-AU"/>
              </w:rPr>
            </w:pPr>
            <w:r w:rsidRPr="001B09E6">
              <w:rPr>
                <w:lang w:eastAsia="en-AU"/>
              </w:rPr>
              <w:t>3</w:t>
            </w:r>
          </w:p>
        </w:tc>
        <w:tc>
          <w:tcPr>
            <w:tcW w:w="592" w:type="pct"/>
            <w:tcBorders>
              <w:top w:val="nil"/>
              <w:left w:val="nil"/>
              <w:bottom w:val="nil"/>
              <w:right w:val="nil"/>
            </w:tcBorders>
            <w:shd w:val="clear" w:color="auto" w:fill="auto"/>
            <w:vAlign w:val="bottom"/>
            <w:hideMark/>
          </w:tcPr>
          <w:p w14:paraId="48549472"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6FCFA95C" w14:textId="77777777" w:rsidR="00E45705" w:rsidRPr="001B09E6" w:rsidRDefault="00E45705" w:rsidP="00E45705">
            <w:pPr>
              <w:pStyle w:val="TableCellText"/>
              <w:spacing w:before="0" w:after="0"/>
              <w:ind w:left="0" w:right="0"/>
              <w:rPr>
                <w:lang w:eastAsia="en-AU"/>
              </w:rPr>
            </w:pPr>
          </w:p>
        </w:tc>
      </w:tr>
      <w:tr w:rsidR="00E45705" w:rsidRPr="001B09E6" w14:paraId="431EBA7C" w14:textId="77777777" w:rsidTr="00192ABE">
        <w:trPr>
          <w:trHeight w:val="300"/>
        </w:trPr>
        <w:tc>
          <w:tcPr>
            <w:tcW w:w="1033" w:type="pct"/>
            <w:tcBorders>
              <w:top w:val="nil"/>
              <w:left w:val="nil"/>
              <w:bottom w:val="nil"/>
              <w:right w:val="nil"/>
            </w:tcBorders>
            <w:shd w:val="clear" w:color="auto" w:fill="auto"/>
            <w:vAlign w:val="bottom"/>
            <w:hideMark/>
          </w:tcPr>
          <w:p w14:paraId="1D6FAE7E" w14:textId="77777777" w:rsidR="00E45705" w:rsidRPr="001B09E6" w:rsidRDefault="00E45705" w:rsidP="00E45705">
            <w:pPr>
              <w:pStyle w:val="TableCellText"/>
              <w:spacing w:before="0" w:after="0"/>
              <w:ind w:left="0" w:right="0"/>
              <w:rPr>
                <w:lang w:eastAsia="en-AU"/>
              </w:rPr>
            </w:pPr>
            <w:r w:rsidRPr="001B09E6">
              <w:rPr>
                <w:lang w:eastAsia="en-AU"/>
              </w:rPr>
              <w:t>Certificate III</w:t>
            </w:r>
          </w:p>
        </w:tc>
        <w:tc>
          <w:tcPr>
            <w:tcW w:w="683" w:type="pct"/>
            <w:tcBorders>
              <w:top w:val="nil"/>
              <w:left w:val="nil"/>
              <w:bottom w:val="nil"/>
              <w:right w:val="nil"/>
            </w:tcBorders>
            <w:shd w:val="clear" w:color="auto" w:fill="auto"/>
            <w:vAlign w:val="bottom"/>
            <w:hideMark/>
          </w:tcPr>
          <w:p w14:paraId="6085E8D8" w14:textId="77777777" w:rsidR="00E45705" w:rsidRPr="001B09E6" w:rsidRDefault="00E45705" w:rsidP="00E45705">
            <w:pPr>
              <w:pStyle w:val="TableCellText"/>
              <w:spacing w:before="0" w:after="0"/>
              <w:ind w:left="0" w:right="0"/>
              <w:rPr>
                <w:lang w:eastAsia="en-AU"/>
              </w:rPr>
            </w:pPr>
            <w:r w:rsidRPr="001B09E6">
              <w:rPr>
                <w:lang w:eastAsia="en-AU"/>
              </w:rPr>
              <w:t>8</w:t>
            </w:r>
          </w:p>
        </w:tc>
        <w:tc>
          <w:tcPr>
            <w:tcW w:w="547" w:type="pct"/>
            <w:tcBorders>
              <w:top w:val="nil"/>
              <w:left w:val="nil"/>
              <w:bottom w:val="nil"/>
              <w:right w:val="nil"/>
            </w:tcBorders>
            <w:shd w:val="clear" w:color="auto" w:fill="auto"/>
            <w:vAlign w:val="bottom"/>
            <w:hideMark/>
          </w:tcPr>
          <w:p w14:paraId="0C4294D7" w14:textId="77777777" w:rsidR="00E45705" w:rsidRPr="001B09E6" w:rsidRDefault="00E45705" w:rsidP="00E45705">
            <w:pPr>
              <w:pStyle w:val="TableCellText"/>
              <w:spacing w:before="0" w:after="0"/>
              <w:ind w:left="0" w:right="0"/>
              <w:rPr>
                <w:lang w:eastAsia="en-AU"/>
              </w:rPr>
            </w:pPr>
            <w:r w:rsidRPr="001B09E6">
              <w:rPr>
                <w:lang w:eastAsia="en-AU"/>
              </w:rPr>
              <w:t>20</w:t>
            </w:r>
          </w:p>
        </w:tc>
        <w:tc>
          <w:tcPr>
            <w:tcW w:w="676" w:type="pct"/>
            <w:tcBorders>
              <w:top w:val="nil"/>
              <w:left w:val="nil"/>
              <w:bottom w:val="nil"/>
              <w:right w:val="nil"/>
            </w:tcBorders>
            <w:shd w:val="clear" w:color="auto" w:fill="auto"/>
            <w:vAlign w:val="bottom"/>
            <w:hideMark/>
          </w:tcPr>
          <w:p w14:paraId="7154C4EF" w14:textId="77777777" w:rsidR="00E45705" w:rsidRPr="001B09E6" w:rsidRDefault="00E45705" w:rsidP="00E45705">
            <w:pPr>
              <w:pStyle w:val="TableCellText"/>
              <w:spacing w:before="0" w:after="0"/>
              <w:ind w:left="0" w:right="0"/>
              <w:rPr>
                <w:lang w:eastAsia="en-AU"/>
              </w:rPr>
            </w:pPr>
            <w:r w:rsidRPr="001B09E6">
              <w:rPr>
                <w:lang w:eastAsia="en-AU"/>
              </w:rPr>
              <w:t>9</w:t>
            </w:r>
          </w:p>
        </w:tc>
        <w:tc>
          <w:tcPr>
            <w:tcW w:w="557" w:type="pct"/>
            <w:tcBorders>
              <w:top w:val="nil"/>
              <w:left w:val="nil"/>
              <w:bottom w:val="nil"/>
              <w:right w:val="nil"/>
            </w:tcBorders>
            <w:shd w:val="clear" w:color="auto" w:fill="auto"/>
            <w:vAlign w:val="bottom"/>
            <w:hideMark/>
          </w:tcPr>
          <w:p w14:paraId="5C13F3F1" w14:textId="77777777" w:rsidR="00E45705" w:rsidRPr="001B09E6" w:rsidRDefault="00E45705" w:rsidP="00E45705">
            <w:pPr>
              <w:pStyle w:val="TableCellText"/>
              <w:spacing w:before="0" w:after="0"/>
              <w:ind w:left="0" w:right="0"/>
              <w:rPr>
                <w:lang w:eastAsia="en-AU"/>
              </w:rPr>
            </w:pPr>
            <w:r w:rsidRPr="001B09E6">
              <w:rPr>
                <w:lang w:eastAsia="en-AU"/>
              </w:rPr>
              <w:t>58</w:t>
            </w:r>
          </w:p>
        </w:tc>
        <w:tc>
          <w:tcPr>
            <w:tcW w:w="494" w:type="pct"/>
            <w:tcBorders>
              <w:top w:val="nil"/>
              <w:left w:val="nil"/>
              <w:bottom w:val="nil"/>
              <w:right w:val="nil"/>
            </w:tcBorders>
            <w:shd w:val="clear" w:color="auto" w:fill="auto"/>
            <w:vAlign w:val="bottom"/>
            <w:hideMark/>
          </w:tcPr>
          <w:p w14:paraId="04824CC8" w14:textId="77777777" w:rsidR="00E45705" w:rsidRPr="001B09E6" w:rsidRDefault="00E45705" w:rsidP="00E45705">
            <w:pPr>
              <w:pStyle w:val="TableCellText"/>
              <w:spacing w:before="0" w:after="0"/>
              <w:ind w:left="0" w:right="0"/>
              <w:rPr>
                <w:lang w:eastAsia="en-AU"/>
              </w:rPr>
            </w:pPr>
            <w:r w:rsidRPr="001B09E6">
              <w:rPr>
                <w:lang w:eastAsia="en-AU"/>
              </w:rPr>
              <w:t>5</w:t>
            </w:r>
          </w:p>
        </w:tc>
        <w:tc>
          <w:tcPr>
            <w:tcW w:w="592" w:type="pct"/>
            <w:tcBorders>
              <w:top w:val="nil"/>
              <w:left w:val="nil"/>
              <w:bottom w:val="nil"/>
              <w:right w:val="nil"/>
            </w:tcBorders>
            <w:shd w:val="clear" w:color="auto" w:fill="auto"/>
            <w:vAlign w:val="bottom"/>
            <w:hideMark/>
          </w:tcPr>
          <w:p w14:paraId="15C83B2C"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3D92C866" w14:textId="77777777" w:rsidR="00E45705" w:rsidRPr="001B09E6" w:rsidRDefault="00E45705" w:rsidP="00E45705">
            <w:pPr>
              <w:pStyle w:val="TableCellText"/>
              <w:spacing w:before="0" w:after="0"/>
              <w:ind w:left="0" w:right="0"/>
              <w:rPr>
                <w:lang w:eastAsia="en-AU"/>
              </w:rPr>
            </w:pPr>
          </w:p>
        </w:tc>
      </w:tr>
      <w:tr w:rsidR="00E45705" w:rsidRPr="001B09E6" w14:paraId="737AC294" w14:textId="77777777" w:rsidTr="00192ABE">
        <w:trPr>
          <w:trHeight w:val="300"/>
        </w:trPr>
        <w:tc>
          <w:tcPr>
            <w:tcW w:w="1033" w:type="pct"/>
            <w:tcBorders>
              <w:top w:val="nil"/>
              <w:left w:val="nil"/>
              <w:bottom w:val="nil"/>
              <w:right w:val="nil"/>
            </w:tcBorders>
            <w:shd w:val="clear" w:color="auto" w:fill="auto"/>
            <w:vAlign w:val="bottom"/>
            <w:hideMark/>
          </w:tcPr>
          <w:p w14:paraId="0CE50130" w14:textId="77777777" w:rsidR="00E45705" w:rsidRPr="001B09E6" w:rsidRDefault="00E45705" w:rsidP="00E45705">
            <w:pPr>
              <w:pStyle w:val="TableCellText"/>
              <w:spacing w:before="0" w:after="0"/>
              <w:ind w:left="0" w:right="0"/>
              <w:rPr>
                <w:lang w:eastAsia="en-AU"/>
              </w:rPr>
            </w:pPr>
            <w:r w:rsidRPr="001B09E6">
              <w:rPr>
                <w:lang w:eastAsia="en-AU"/>
              </w:rPr>
              <w:t>Certificate II</w:t>
            </w:r>
          </w:p>
        </w:tc>
        <w:tc>
          <w:tcPr>
            <w:tcW w:w="683" w:type="pct"/>
            <w:tcBorders>
              <w:top w:val="nil"/>
              <w:left w:val="nil"/>
              <w:bottom w:val="nil"/>
              <w:right w:val="nil"/>
            </w:tcBorders>
            <w:shd w:val="clear" w:color="auto" w:fill="auto"/>
            <w:vAlign w:val="bottom"/>
            <w:hideMark/>
          </w:tcPr>
          <w:p w14:paraId="486B559F" w14:textId="77777777" w:rsidR="00E45705" w:rsidRPr="001B09E6" w:rsidRDefault="00E45705" w:rsidP="00E45705">
            <w:pPr>
              <w:pStyle w:val="TableCellText"/>
              <w:spacing w:before="0" w:after="0"/>
              <w:ind w:left="0" w:right="0"/>
              <w:rPr>
                <w:lang w:eastAsia="en-AU"/>
              </w:rPr>
            </w:pPr>
            <w:r w:rsidRPr="001B09E6">
              <w:rPr>
                <w:lang w:eastAsia="en-AU"/>
              </w:rPr>
              <w:t>6</w:t>
            </w:r>
          </w:p>
        </w:tc>
        <w:tc>
          <w:tcPr>
            <w:tcW w:w="547" w:type="pct"/>
            <w:tcBorders>
              <w:top w:val="nil"/>
              <w:left w:val="nil"/>
              <w:bottom w:val="nil"/>
              <w:right w:val="nil"/>
            </w:tcBorders>
            <w:shd w:val="clear" w:color="auto" w:fill="auto"/>
            <w:vAlign w:val="bottom"/>
            <w:hideMark/>
          </w:tcPr>
          <w:p w14:paraId="58C07DAA" w14:textId="77777777" w:rsidR="00E45705" w:rsidRPr="001B09E6" w:rsidRDefault="00E45705" w:rsidP="00E45705">
            <w:pPr>
              <w:pStyle w:val="TableCellText"/>
              <w:spacing w:before="0" w:after="0"/>
              <w:ind w:left="0" w:right="0"/>
              <w:rPr>
                <w:lang w:eastAsia="en-AU"/>
              </w:rPr>
            </w:pPr>
            <w:r w:rsidRPr="001B09E6">
              <w:rPr>
                <w:lang w:eastAsia="en-AU"/>
              </w:rPr>
              <w:t>25</w:t>
            </w:r>
          </w:p>
        </w:tc>
        <w:tc>
          <w:tcPr>
            <w:tcW w:w="676" w:type="pct"/>
            <w:tcBorders>
              <w:top w:val="nil"/>
              <w:left w:val="nil"/>
              <w:bottom w:val="nil"/>
              <w:right w:val="nil"/>
            </w:tcBorders>
            <w:shd w:val="clear" w:color="auto" w:fill="auto"/>
            <w:vAlign w:val="bottom"/>
            <w:hideMark/>
          </w:tcPr>
          <w:p w14:paraId="6BA1D8D8" w14:textId="77777777" w:rsidR="00E45705" w:rsidRPr="001B09E6" w:rsidRDefault="00E45705" w:rsidP="00E45705">
            <w:pPr>
              <w:pStyle w:val="TableCellText"/>
              <w:spacing w:before="0" w:after="0"/>
              <w:ind w:left="0" w:right="0"/>
              <w:rPr>
                <w:lang w:eastAsia="en-AU"/>
              </w:rPr>
            </w:pPr>
            <w:r w:rsidRPr="001B09E6">
              <w:rPr>
                <w:lang w:eastAsia="en-AU"/>
              </w:rPr>
              <w:t>12</w:t>
            </w:r>
          </w:p>
        </w:tc>
        <w:tc>
          <w:tcPr>
            <w:tcW w:w="557" w:type="pct"/>
            <w:tcBorders>
              <w:top w:val="nil"/>
              <w:left w:val="nil"/>
              <w:bottom w:val="nil"/>
              <w:right w:val="nil"/>
            </w:tcBorders>
            <w:shd w:val="clear" w:color="auto" w:fill="auto"/>
            <w:vAlign w:val="bottom"/>
            <w:hideMark/>
          </w:tcPr>
          <w:p w14:paraId="3B08BA80" w14:textId="77777777" w:rsidR="00E45705" w:rsidRPr="001B09E6" w:rsidRDefault="00E45705" w:rsidP="00E45705">
            <w:pPr>
              <w:pStyle w:val="TableCellText"/>
              <w:spacing w:before="0" w:after="0"/>
              <w:ind w:left="0" w:right="0"/>
              <w:rPr>
                <w:lang w:eastAsia="en-AU"/>
              </w:rPr>
            </w:pPr>
            <w:r w:rsidRPr="001B09E6">
              <w:rPr>
                <w:lang w:eastAsia="en-AU"/>
              </w:rPr>
              <w:t>54</w:t>
            </w:r>
          </w:p>
        </w:tc>
        <w:tc>
          <w:tcPr>
            <w:tcW w:w="494" w:type="pct"/>
            <w:tcBorders>
              <w:top w:val="nil"/>
              <w:left w:val="nil"/>
              <w:bottom w:val="nil"/>
              <w:right w:val="nil"/>
            </w:tcBorders>
            <w:shd w:val="clear" w:color="auto" w:fill="auto"/>
            <w:vAlign w:val="bottom"/>
            <w:hideMark/>
          </w:tcPr>
          <w:p w14:paraId="58E786DB"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nil"/>
              <w:left w:val="nil"/>
              <w:bottom w:val="nil"/>
              <w:right w:val="nil"/>
            </w:tcBorders>
            <w:shd w:val="clear" w:color="auto" w:fill="auto"/>
            <w:vAlign w:val="bottom"/>
            <w:hideMark/>
          </w:tcPr>
          <w:p w14:paraId="452D6EE7"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7B046A9B" w14:textId="77777777" w:rsidR="00E45705" w:rsidRPr="001B09E6" w:rsidRDefault="00E45705" w:rsidP="00E45705">
            <w:pPr>
              <w:pStyle w:val="TableCellText"/>
              <w:spacing w:before="0" w:after="0"/>
              <w:ind w:left="0" w:right="0"/>
              <w:rPr>
                <w:lang w:eastAsia="en-AU"/>
              </w:rPr>
            </w:pPr>
          </w:p>
        </w:tc>
      </w:tr>
      <w:tr w:rsidR="00E45705" w:rsidRPr="001B09E6" w14:paraId="3B7C47E4" w14:textId="77777777" w:rsidTr="00192ABE">
        <w:trPr>
          <w:trHeight w:val="300"/>
        </w:trPr>
        <w:tc>
          <w:tcPr>
            <w:tcW w:w="1033" w:type="pct"/>
            <w:tcBorders>
              <w:top w:val="nil"/>
              <w:left w:val="nil"/>
              <w:bottom w:val="nil"/>
              <w:right w:val="nil"/>
            </w:tcBorders>
            <w:shd w:val="clear" w:color="auto" w:fill="auto"/>
            <w:vAlign w:val="bottom"/>
            <w:hideMark/>
          </w:tcPr>
          <w:p w14:paraId="478794C9" w14:textId="77777777" w:rsidR="00E45705" w:rsidRPr="001B09E6" w:rsidRDefault="00E45705" w:rsidP="00E45705">
            <w:pPr>
              <w:pStyle w:val="TableCellText"/>
              <w:spacing w:before="0" w:after="0"/>
              <w:ind w:left="0" w:right="0"/>
              <w:rPr>
                <w:lang w:eastAsia="en-AU"/>
              </w:rPr>
            </w:pPr>
            <w:r w:rsidRPr="001B09E6">
              <w:rPr>
                <w:lang w:eastAsia="en-AU"/>
              </w:rPr>
              <w:t>Certificate I</w:t>
            </w:r>
          </w:p>
        </w:tc>
        <w:tc>
          <w:tcPr>
            <w:tcW w:w="683" w:type="pct"/>
            <w:tcBorders>
              <w:top w:val="nil"/>
              <w:left w:val="nil"/>
              <w:bottom w:val="nil"/>
              <w:right w:val="nil"/>
            </w:tcBorders>
            <w:shd w:val="clear" w:color="auto" w:fill="auto"/>
            <w:vAlign w:val="bottom"/>
            <w:hideMark/>
          </w:tcPr>
          <w:p w14:paraId="3763C7F3" w14:textId="77777777" w:rsidR="00E45705" w:rsidRPr="001B09E6" w:rsidRDefault="00E45705" w:rsidP="00E45705">
            <w:pPr>
              <w:pStyle w:val="TableCellText"/>
              <w:spacing w:before="0" w:after="0"/>
              <w:ind w:left="0" w:right="0"/>
              <w:rPr>
                <w:lang w:eastAsia="en-AU"/>
              </w:rPr>
            </w:pPr>
            <w:r w:rsidRPr="001B09E6">
              <w:rPr>
                <w:lang w:eastAsia="en-AU"/>
              </w:rPr>
              <w:t>2</w:t>
            </w:r>
          </w:p>
        </w:tc>
        <w:tc>
          <w:tcPr>
            <w:tcW w:w="547" w:type="pct"/>
            <w:tcBorders>
              <w:top w:val="nil"/>
              <w:left w:val="nil"/>
              <w:bottom w:val="nil"/>
              <w:right w:val="nil"/>
            </w:tcBorders>
            <w:shd w:val="clear" w:color="auto" w:fill="auto"/>
            <w:vAlign w:val="bottom"/>
            <w:hideMark/>
          </w:tcPr>
          <w:p w14:paraId="09FA8275" w14:textId="77777777" w:rsidR="00E45705" w:rsidRPr="001B09E6" w:rsidRDefault="00E45705" w:rsidP="00E45705">
            <w:pPr>
              <w:pStyle w:val="TableCellText"/>
              <w:spacing w:before="0" w:after="0"/>
              <w:ind w:left="0" w:right="0"/>
              <w:rPr>
                <w:lang w:eastAsia="en-AU"/>
              </w:rPr>
            </w:pPr>
            <w:r w:rsidRPr="001B09E6">
              <w:rPr>
                <w:lang w:eastAsia="en-AU"/>
              </w:rPr>
              <w:t>19</w:t>
            </w:r>
          </w:p>
        </w:tc>
        <w:tc>
          <w:tcPr>
            <w:tcW w:w="676" w:type="pct"/>
            <w:tcBorders>
              <w:top w:val="nil"/>
              <w:left w:val="nil"/>
              <w:bottom w:val="nil"/>
              <w:right w:val="nil"/>
            </w:tcBorders>
            <w:shd w:val="clear" w:color="auto" w:fill="auto"/>
            <w:vAlign w:val="bottom"/>
            <w:hideMark/>
          </w:tcPr>
          <w:p w14:paraId="6A6B796D" w14:textId="77777777" w:rsidR="00E45705" w:rsidRPr="001B09E6" w:rsidRDefault="00E45705" w:rsidP="00E45705">
            <w:pPr>
              <w:pStyle w:val="TableCellText"/>
              <w:spacing w:before="0" w:after="0"/>
              <w:ind w:left="0" w:right="0"/>
              <w:rPr>
                <w:lang w:eastAsia="en-AU"/>
              </w:rPr>
            </w:pPr>
            <w:r w:rsidRPr="001B09E6">
              <w:rPr>
                <w:lang w:eastAsia="en-AU"/>
              </w:rPr>
              <w:t>13</w:t>
            </w:r>
          </w:p>
        </w:tc>
        <w:tc>
          <w:tcPr>
            <w:tcW w:w="557" w:type="pct"/>
            <w:tcBorders>
              <w:top w:val="nil"/>
              <w:left w:val="nil"/>
              <w:bottom w:val="nil"/>
              <w:right w:val="nil"/>
            </w:tcBorders>
            <w:shd w:val="clear" w:color="auto" w:fill="auto"/>
            <w:vAlign w:val="bottom"/>
            <w:hideMark/>
          </w:tcPr>
          <w:p w14:paraId="381E29E8" w14:textId="77777777" w:rsidR="00E45705" w:rsidRPr="001B09E6" w:rsidRDefault="00E45705" w:rsidP="00E45705">
            <w:pPr>
              <w:pStyle w:val="TableCellText"/>
              <w:spacing w:before="0" w:after="0"/>
              <w:ind w:left="0" w:right="0"/>
              <w:rPr>
                <w:lang w:eastAsia="en-AU"/>
              </w:rPr>
            </w:pPr>
            <w:r w:rsidRPr="001B09E6">
              <w:rPr>
                <w:lang w:eastAsia="en-AU"/>
              </w:rPr>
              <w:t>63</w:t>
            </w:r>
          </w:p>
        </w:tc>
        <w:tc>
          <w:tcPr>
            <w:tcW w:w="494" w:type="pct"/>
            <w:tcBorders>
              <w:top w:val="nil"/>
              <w:left w:val="nil"/>
              <w:bottom w:val="nil"/>
              <w:right w:val="nil"/>
            </w:tcBorders>
            <w:shd w:val="clear" w:color="auto" w:fill="auto"/>
            <w:vAlign w:val="bottom"/>
            <w:hideMark/>
          </w:tcPr>
          <w:p w14:paraId="783A84EA" w14:textId="77777777" w:rsidR="00E45705" w:rsidRPr="001B09E6" w:rsidRDefault="00E45705" w:rsidP="00E45705">
            <w:pPr>
              <w:pStyle w:val="TableCellText"/>
              <w:spacing w:before="0" w:after="0"/>
              <w:ind w:left="0" w:right="0"/>
              <w:rPr>
                <w:lang w:eastAsia="en-AU"/>
              </w:rPr>
            </w:pPr>
            <w:r w:rsidRPr="001B09E6">
              <w:rPr>
                <w:lang w:eastAsia="en-AU"/>
              </w:rPr>
              <w:t>3</w:t>
            </w:r>
          </w:p>
        </w:tc>
        <w:tc>
          <w:tcPr>
            <w:tcW w:w="592" w:type="pct"/>
            <w:tcBorders>
              <w:top w:val="nil"/>
              <w:left w:val="nil"/>
              <w:bottom w:val="nil"/>
              <w:right w:val="nil"/>
            </w:tcBorders>
            <w:shd w:val="clear" w:color="auto" w:fill="auto"/>
            <w:vAlign w:val="bottom"/>
            <w:hideMark/>
          </w:tcPr>
          <w:p w14:paraId="780A0AD4"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344E50BE" w14:textId="77777777" w:rsidR="00E45705" w:rsidRPr="001B09E6" w:rsidRDefault="00E45705" w:rsidP="00E45705">
            <w:pPr>
              <w:pStyle w:val="TableCellText"/>
              <w:spacing w:before="0" w:after="0"/>
              <w:ind w:left="0" w:right="0"/>
              <w:rPr>
                <w:lang w:eastAsia="en-AU"/>
              </w:rPr>
            </w:pPr>
          </w:p>
        </w:tc>
      </w:tr>
      <w:tr w:rsidR="00E45705" w:rsidRPr="001B09E6" w14:paraId="4853A796" w14:textId="77777777" w:rsidTr="00192ABE">
        <w:trPr>
          <w:trHeight w:val="300"/>
        </w:trPr>
        <w:tc>
          <w:tcPr>
            <w:tcW w:w="1033" w:type="pct"/>
            <w:tcBorders>
              <w:top w:val="nil"/>
              <w:left w:val="nil"/>
              <w:bottom w:val="nil"/>
              <w:right w:val="nil"/>
            </w:tcBorders>
            <w:shd w:val="clear" w:color="auto" w:fill="auto"/>
            <w:vAlign w:val="bottom"/>
            <w:hideMark/>
          </w:tcPr>
          <w:p w14:paraId="29DEB884" w14:textId="77777777" w:rsidR="00E45705" w:rsidRPr="001B09E6" w:rsidRDefault="00E45705" w:rsidP="00E45705">
            <w:pPr>
              <w:pStyle w:val="TableCellText"/>
              <w:spacing w:before="0" w:after="0"/>
              <w:ind w:left="0" w:right="0"/>
              <w:rPr>
                <w:lang w:eastAsia="en-AU"/>
              </w:rPr>
            </w:pPr>
            <w:r w:rsidRPr="001B09E6">
              <w:rPr>
                <w:lang w:eastAsia="en-AU"/>
              </w:rPr>
              <w:t>Other</w:t>
            </w:r>
          </w:p>
        </w:tc>
        <w:tc>
          <w:tcPr>
            <w:tcW w:w="683" w:type="pct"/>
            <w:tcBorders>
              <w:top w:val="nil"/>
              <w:left w:val="nil"/>
              <w:bottom w:val="nil"/>
              <w:right w:val="nil"/>
            </w:tcBorders>
            <w:shd w:val="clear" w:color="auto" w:fill="auto"/>
            <w:vAlign w:val="bottom"/>
            <w:hideMark/>
          </w:tcPr>
          <w:p w14:paraId="60596CC1" w14:textId="77777777" w:rsidR="00E45705" w:rsidRPr="001B09E6" w:rsidRDefault="00E45705" w:rsidP="00E45705">
            <w:pPr>
              <w:pStyle w:val="TableCellText"/>
              <w:spacing w:before="0" w:after="0"/>
              <w:ind w:left="0" w:right="0"/>
              <w:rPr>
                <w:lang w:eastAsia="en-AU"/>
              </w:rPr>
            </w:pPr>
            <w:r w:rsidRPr="001B09E6">
              <w:rPr>
                <w:lang w:eastAsia="en-AU"/>
              </w:rPr>
              <w:t>8</w:t>
            </w:r>
          </w:p>
        </w:tc>
        <w:tc>
          <w:tcPr>
            <w:tcW w:w="547" w:type="pct"/>
            <w:tcBorders>
              <w:top w:val="nil"/>
              <w:left w:val="nil"/>
              <w:bottom w:val="nil"/>
              <w:right w:val="nil"/>
            </w:tcBorders>
            <w:shd w:val="clear" w:color="auto" w:fill="auto"/>
            <w:vAlign w:val="bottom"/>
            <w:hideMark/>
          </w:tcPr>
          <w:p w14:paraId="61AE08EB" w14:textId="77777777" w:rsidR="00E45705" w:rsidRPr="001B09E6" w:rsidRDefault="00E45705" w:rsidP="00E45705">
            <w:pPr>
              <w:pStyle w:val="TableCellText"/>
              <w:spacing w:before="0" w:after="0"/>
              <w:ind w:left="0" w:right="0"/>
              <w:rPr>
                <w:lang w:eastAsia="en-AU"/>
              </w:rPr>
            </w:pPr>
            <w:r w:rsidRPr="001B09E6">
              <w:rPr>
                <w:lang w:eastAsia="en-AU"/>
              </w:rPr>
              <w:t>15</w:t>
            </w:r>
          </w:p>
        </w:tc>
        <w:tc>
          <w:tcPr>
            <w:tcW w:w="676" w:type="pct"/>
            <w:tcBorders>
              <w:top w:val="nil"/>
              <w:left w:val="nil"/>
              <w:bottom w:val="nil"/>
              <w:right w:val="nil"/>
            </w:tcBorders>
            <w:shd w:val="clear" w:color="auto" w:fill="auto"/>
            <w:vAlign w:val="bottom"/>
            <w:hideMark/>
          </w:tcPr>
          <w:p w14:paraId="6C991348" w14:textId="77777777" w:rsidR="00E45705" w:rsidRPr="001B09E6" w:rsidRDefault="00E45705" w:rsidP="00E45705">
            <w:pPr>
              <w:pStyle w:val="TableCellText"/>
              <w:spacing w:before="0" w:after="0"/>
              <w:ind w:left="0" w:right="0"/>
              <w:rPr>
                <w:lang w:eastAsia="en-AU"/>
              </w:rPr>
            </w:pPr>
            <w:r w:rsidRPr="001B09E6">
              <w:rPr>
                <w:lang w:eastAsia="en-AU"/>
              </w:rPr>
              <w:t>5</w:t>
            </w:r>
          </w:p>
        </w:tc>
        <w:tc>
          <w:tcPr>
            <w:tcW w:w="557" w:type="pct"/>
            <w:tcBorders>
              <w:top w:val="nil"/>
              <w:left w:val="nil"/>
              <w:bottom w:val="nil"/>
              <w:right w:val="nil"/>
            </w:tcBorders>
            <w:shd w:val="clear" w:color="auto" w:fill="auto"/>
            <w:vAlign w:val="bottom"/>
            <w:hideMark/>
          </w:tcPr>
          <w:p w14:paraId="4785B149" w14:textId="77777777" w:rsidR="00E45705" w:rsidRPr="001B09E6" w:rsidRDefault="00E45705" w:rsidP="00E45705">
            <w:pPr>
              <w:pStyle w:val="TableCellText"/>
              <w:spacing w:before="0" w:after="0"/>
              <w:ind w:left="0" w:right="0"/>
              <w:rPr>
                <w:lang w:eastAsia="en-AU"/>
              </w:rPr>
            </w:pPr>
            <w:r w:rsidRPr="001B09E6">
              <w:rPr>
                <w:lang w:eastAsia="en-AU"/>
              </w:rPr>
              <w:t>65</w:t>
            </w:r>
          </w:p>
        </w:tc>
        <w:tc>
          <w:tcPr>
            <w:tcW w:w="494" w:type="pct"/>
            <w:tcBorders>
              <w:top w:val="nil"/>
              <w:left w:val="nil"/>
              <w:bottom w:val="nil"/>
              <w:right w:val="nil"/>
            </w:tcBorders>
            <w:shd w:val="clear" w:color="auto" w:fill="auto"/>
            <w:vAlign w:val="bottom"/>
            <w:hideMark/>
          </w:tcPr>
          <w:p w14:paraId="6EEF085F"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92" w:type="pct"/>
            <w:tcBorders>
              <w:top w:val="nil"/>
              <w:left w:val="nil"/>
              <w:bottom w:val="nil"/>
              <w:right w:val="nil"/>
            </w:tcBorders>
            <w:shd w:val="clear" w:color="auto" w:fill="auto"/>
            <w:vAlign w:val="bottom"/>
            <w:hideMark/>
          </w:tcPr>
          <w:p w14:paraId="63210FF5"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066E1621" w14:textId="77777777" w:rsidR="00E45705" w:rsidRPr="001B09E6" w:rsidRDefault="00E45705" w:rsidP="00E45705">
            <w:pPr>
              <w:pStyle w:val="TableCellText"/>
              <w:spacing w:before="0" w:after="0"/>
              <w:ind w:left="0" w:right="0"/>
              <w:rPr>
                <w:lang w:eastAsia="en-AU"/>
              </w:rPr>
            </w:pPr>
          </w:p>
        </w:tc>
      </w:tr>
      <w:tr w:rsidR="00E45705" w:rsidRPr="001B09E6" w14:paraId="7A99BBEE" w14:textId="77777777" w:rsidTr="00192ABE">
        <w:trPr>
          <w:trHeight w:val="465"/>
        </w:trPr>
        <w:tc>
          <w:tcPr>
            <w:tcW w:w="1033" w:type="pct"/>
            <w:tcBorders>
              <w:top w:val="nil"/>
              <w:left w:val="nil"/>
              <w:bottom w:val="nil"/>
              <w:right w:val="nil"/>
            </w:tcBorders>
            <w:shd w:val="clear" w:color="auto" w:fill="auto"/>
            <w:vAlign w:val="bottom"/>
            <w:hideMark/>
          </w:tcPr>
          <w:p w14:paraId="4C50F6CA" w14:textId="77777777" w:rsidR="00E45705" w:rsidRPr="001B09E6" w:rsidRDefault="00E45705" w:rsidP="00E45705">
            <w:pPr>
              <w:pStyle w:val="TableCellText"/>
              <w:spacing w:before="0" w:after="0"/>
              <w:ind w:left="0" w:right="0"/>
              <w:rPr>
                <w:lang w:eastAsia="en-AU"/>
              </w:rPr>
            </w:pPr>
            <w:r w:rsidRPr="001B09E6">
              <w:rPr>
                <w:lang w:eastAsia="en-AU"/>
              </w:rPr>
              <w:t>Statement of Attainment</w:t>
            </w:r>
          </w:p>
        </w:tc>
        <w:tc>
          <w:tcPr>
            <w:tcW w:w="683" w:type="pct"/>
            <w:tcBorders>
              <w:top w:val="nil"/>
              <w:left w:val="nil"/>
              <w:bottom w:val="nil"/>
              <w:right w:val="nil"/>
            </w:tcBorders>
            <w:shd w:val="clear" w:color="auto" w:fill="auto"/>
            <w:vAlign w:val="bottom"/>
            <w:hideMark/>
          </w:tcPr>
          <w:p w14:paraId="5918804B"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47" w:type="pct"/>
            <w:tcBorders>
              <w:top w:val="nil"/>
              <w:left w:val="nil"/>
              <w:bottom w:val="nil"/>
              <w:right w:val="nil"/>
            </w:tcBorders>
            <w:shd w:val="clear" w:color="auto" w:fill="auto"/>
            <w:vAlign w:val="bottom"/>
            <w:hideMark/>
          </w:tcPr>
          <w:p w14:paraId="1BFEA014" w14:textId="77777777" w:rsidR="00E45705" w:rsidRPr="001B09E6" w:rsidRDefault="00E45705" w:rsidP="00E45705">
            <w:pPr>
              <w:pStyle w:val="TableCellText"/>
              <w:spacing w:before="0" w:after="0"/>
              <w:ind w:left="0" w:right="0"/>
              <w:rPr>
                <w:lang w:eastAsia="en-AU"/>
              </w:rPr>
            </w:pPr>
            <w:r w:rsidRPr="001B09E6">
              <w:rPr>
                <w:lang w:eastAsia="en-AU"/>
              </w:rPr>
              <w:t>15</w:t>
            </w:r>
          </w:p>
        </w:tc>
        <w:tc>
          <w:tcPr>
            <w:tcW w:w="676" w:type="pct"/>
            <w:tcBorders>
              <w:top w:val="nil"/>
              <w:left w:val="nil"/>
              <w:bottom w:val="nil"/>
              <w:right w:val="nil"/>
            </w:tcBorders>
            <w:shd w:val="clear" w:color="auto" w:fill="auto"/>
            <w:vAlign w:val="bottom"/>
            <w:hideMark/>
          </w:tcPr>
          <w:p w14:paraId="124FE926" w14:textId="77777777" w:rsidR="00E45705" w:rsidRPr="001B09E6" w:rsidRDefault="00E45705" w:rsidP="00E45705">
            <w:pPr>
              <w:pStyle w:val="TableCellText"/>
              <w:spacing w:before="0" w:after="0"/>
              <w:ind w:left="0" w:right="0"/>
              <w:rPr>
                <w:lang w:eastAsia="en-AU"/>
              </w:rPr>
            </w:pPr>
            <w:r w:rsidRPr="001B09E6">
              <w:rPr>
                <w:lang w:eastAsia="en-AU"/>
              </w:rPr>
              <w:t>5</w:t>
            </w:r>
          </w:p>
        </w:tc>
        <w:tc>
          <w:tcPr>
            <w:tcW w:w="557" w:type="pct"/>
            <w:tcBorders>
              <w:top w:val="nil"/>
              <w:left w:val="nil"/>
              <w:bottom w:val="nil"/>
              <w:right w:val="nil"/>
            </w:tcBorders>
            <w:shd w:val="clear" w:color="auto" w:fill="auto"/>
            <w:vAlign w:val="bottom"/>
            <w:hideMark/>
          </w:tcPr>
          <w:p w14:paraId="1EB00E07" w14:textId="77777777" w:rsidR="00E45705" w:rsidRPr="001B09E6" w:rsidRDefault="00E45705" w:rsidP="00E45705">
            <w:pPr>
              <w:pStyle w:val="TableCellText"/>
              <w:spacing w:before="0" w:after="0"/>
              <w:ind w:left="0" w:right="0"/>
              <w:rPr>
                <w:lang w:eastAsia="en-AU"/>
              </w:rPr>
            </w:pPr>
            <w:r w:rsidRPr="001B09E6">
              <w:rPr>
                <w:lang w:eastAsia="en-AU"/>
              </w:rPr>
              <w:t>70</w:t>
            </w:r>
          </w:p>
        </w:tc>
        <w:tc>
          <w:tcPr>
            <w:tcW w:w="494" w:type="pct"/>
            <w:tcBorders>
              <w:top w:val="nil"/>
              <w:left w:val="nil"/>
              <w:bottom w:val="nil"/>
              <w:right w:val="nil"/>
            </w:tcBorders>
            <w:shd w:val="clear" w:color="auto" w:fill="auto"/>
            <w:vAlign w:val="bottom"/>
            <w:hideMark/>
          </w:tcPr>
          <w:p w14:paraId="6316F75C" w14:textId="77777777" w:rsidR="00E45705" w:rsidRPr="001B09E6" w:rsidRDefault="00E45705" w:rsidP="00E45705">
            <w:pPr>
              <w:pStyle w:val="TableCellText"/>
              <w:spacing w:before="0" w:after="0"/>
              <w:ind w:left="0" w:right="0"/>
              <w:rPr>
                <w:lang w:eastAsia="en-AU"/>
              </w:rPr>
            </w:pPr>
            <w:r w:rsidRPr="001B09E6">
              <w:rPr>
                <w:lang w:eastAsia="en-AU"/>
              </w:rPr>
              <w:t>3</w:t>
            </w:r>
          </w:p>
        </w:tc>
        <w:tc>
          <w:tcPr>
            <w:tcW w:w="592" w:type="pct"/>
            <w:tcBorders>
              <w:top w:val="nil"/>
              <w:left w:val="nil"/>
              <w:bottom w:val="nil"/>
              <w:right w:val="nil"/>
            </w:tcBorders>
            <w:shd w:val="clear" w:color="auto" w:fill="auto"/>
            <w:vAlign w:val="bottom"/>
            <w:hideMark/>
          </w:tcPr>
          <w:p w14:paraId="031C75F1"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75E55924" w14:textId="77777777" w:rsidR="00E45705" w:rsidRPr="001B09E6" w:rsidRDefault="00E45705" w:rsidP="00E45705">
            <w:pPr>
              <w:pStyle w:val="TableCellText"/>
              <w:spacing w:before="0" w:after="0"/>
              <w:ind w:left="0" w:right="0"/>
              <w:rPr>
                <w:lang w:eastAsia="en-AU"/>
              </w:rPr>
            </w:pPr>
          </w:p>
        </w:tc>
      </w:tr>
      <w:tr w:rsidR="00E45705" w:rsidRPr="001B09E6" w14:paraId="6BB6E035" w14:textId="77777777" w:rsidTr="00192ABE">
        <w:trPr>
          <w:trHeight w:val="465"/>
        </w:trPr>
        <w:tc>
          <w:tcPr>
            <w:tcW w:w="1033" w:type="pct"/>
            <w:tcBorders>
              <w:top w:val="nil"/>
              <w:left w:val="nil"/>
              <w:bottom w:val="nil"/>
              <w:right w:val="nil"/>
            </w:tcBorders>
            <w:shd w:val="clear" w:color="auto" w:fill="auto"/>
            <w:vAlign w:val="bottom"/>
            <w:hideMark/>
          </w:tcPr>
          <w:p w14:paraId="76CB81FC" w14:textId="77777777" w:rsidR="00E45705" w:rsidRPr="001B09E6" w:rsidRDefault="00E45705" w:rsidP="00E45705">
            <w:pPr>
              <w:pStyle w:val="TableCellText"/>
              <w:spacing w:before="0" w:after="0"/>
              <w:ind w:left="0" w:right="0"/>
              <w:rPr>
                <w:lang w:eastAsia="en-AU"/>
              </w:rPr>
            </w:pPr>
            <w:r w:rsidRPr="001B09E6">
              <w:rPr>
                <w:lang w:eastAsia="en-AU"/>
              </w:rPr>
              <w:t>Subject only enrolment</w:t>
            </w:r>
          </w:p>
        </w:tc>
        <w:tc>
          <w:tcPr>
            <w:tcW w:w="683" w:type="pct"/>
            <w:tcBorders>
              <w:top w:val="nil"/>
              <w:left w:val="nil"/>
              <w:bottom w:val="nil"/>
              <w:right w:val="nil"/>
            </w:tcBorders>
            <w:shd w:val="clear" w:color="auto" w:fill="auto"/>
            <w:vAlign w:val="bottom"/>
            <w:hideMark/>
          </w:tcPr>
          <w:p w14:paraId="7846895E"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47" w:type="pct"/>
            <w:tcBorders>
              <w:top w:val="nil"/>
              <w:left w:val="nil"/>
              <w:bottom w:val="nil"/>
              <w:right w:val="nil"/>
            </w:tcBorders>
            <w:shd w:val="clear" w:color="auto" w:fill="auto"/>
            <w:vAlign w:val="bottom"/>
            <w:hideMark/>
          </w:tcPr>
          <w:p w14:paraId="4510DFD9" w14:textId="77777777" w:rsidR="00E45705" w:rsidRPr="001B09E6" w:rsidRDefault="00E45705" w:rsidP="00E45705">
            <w:pPr>
              <w:pStyle w:val="TableCellText"/>
              <w:spacing w:before="0" w:after="0"/>
              <w:ind w:left="0" w:right="0"/>
              <w:rPr>
                <w:lang w:eastAsia="en-AU"/>
              </w:rPr>
            </w:pPr>
            <w:r w:rsidRPr="001B09E6">
              <w:rPr>
                <w:lang w:eastAsia="en-AU"/>
              </w:rPr>
              <w:t>19</w:t>
            </w:r>
          </w:p>
        </w:tc>
        <w:tc>
          <w:tcPr>
            <w:tcW w:w="676" w:type="pct"/>
            <w:tcBorders>
              <w:top w:val="nil"/>
              <w:left w:val="nil"/>
              <w:bottom w:val="nil"/>
              <w:right w:val="nil"/>
            </w:tcBorders>
            <w:shd w:val="clear" w:color="auto" w:fill="auto"/>
            <w:vAlign w:val="bottom"/>
            <w:hideMark/>
          </w:tcPr>
          <w:p w14:paraId="336855AF" w14:textId="77777777" w:rsidR="00E45705" w:rsidRPr="001B09E6" w:rsidRDefault="00E45705" w:rsidP="00E45705">
            <w:pPr>
              <w:pStyle w:val="TableCellText"/>
              <w:spacing w:before="0" w:after="0"/>
              <w:ind w:left="0" w:right="0"/>
              <w:rPr>
                <w:lang w:eastAsia="en-AU"/>
              </w:rPr>
            </w:pPr>
            <w:r w:rsidRPr="001B09E6">
              <w:rPr>
                <w:lang w:eastAsia="en-AU"/>
              </w:rPr>
              <w:t>9</w:t>
            </w:r>
          </w:p>
        </w:tc>
        <w:tc>
          <w:tcPr>
            <w:tcW w:w="557" w:type="pct"/>
            <w:tcBorders>
              <w:top w:val="nil"/>
              <w:left w:val="nil"/>
              <w:bottom w:val="nil"/>
              <w:right w:val="nil"/>
            </w:tcBorders>
            <w:shd w:val="clear" w:color="auto" w:fill="auto"/>
            <w:vAlign w:val="bottom"/>
            <w:hideMark/>
          </w:tcPr>
          <w:p w14:paraId="44ABE9D9" w14:textId="77777777" w:rsidR="00E45705" w:rsidRPr="001B09E6" w:rsidRDefault="00E45705" w:rsidP="00E45705">
            <w:pPr>
              <w:pStyle w:val="TableCellText"/>
              <w:spacing w:before="0" w:after="0"/>
              <w:ind w:left="0" w:right="0"/>
              <w:rPr>
                <w:lang w:eastAsia="en-AU"/>
              </w:rPr>
            </w:pPr>
            <w:r w:rsidRPr="001B09E6">
              <w:rPr>
                <w:lang w:eastAsia="en-AU"/>
              </w:rPr>
              <w:t>60</w:t>
            </w:r>
          </w:p>
        </w:tc>
        <w:tc>
          <w:tcPr>
            <w:tcW w:w="494" w:type="pct"/>
            <w:tcBorders>
              <w:top w:val="nil"/>
              <w:left w:val="nil"/>
              <w:bottom w:val="nil"/>
              <w:right w:val="nil"/>
            </w:tcBorders>
            <w:shd w:val="clear" w:color="auto" w:fill="auto"/>
            <w:vAlign w:val="bottom"/>
            <w:hideMark/>
          </w:tcPr>
          <w:p w14:paraId="12370A6B"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nil"/>
              <w:left w:val="nil"/>
              <w:bottom w:val="nil"/>
              <w:right w:val="nil"/>
            </w:tcBorders>
            <w:shd w:val="clear" w:color="auto" w:fill="auto"/>
            <w:vAlign w:val="bottom"/>
            <w:hideMark/>
          </w:tcPr>
          <w:p w14:paraId="64976384"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1ED1A515" w14:textId="77777777" w:rsidR="00E45705" w:rsidRPr="001B09E6" w:rsidRDefault="00E45705" w:rsidP="00E45705">
            <w:pPr>
              <w:pStyle w:val="TableCellText"/>
              <w:spacing w:before="0" w:after="0"/>
              <w:ind w:left="0" w:right="0"/>
              <w:rPr>
                <w:lang w:eastAsia="en-AU"/>
              </w:rPr>
            </w:pPr>
          </w:p>
        </w:tc>
      </w:tr>
      <w:tr w:rsidR="00E45705" w:rsidRPr="001B09E6" w14:paraId="2066C2EC" w14:textId="77777777" w:rsidTr="00192ABE">
        <w:trPr>
          <w:trHeight w:val="300"/>
        </w:trPr>
        <w:tc>
          <w:tcPr>
            <w:tcW w:w="1033" w:type="pct"/>
            <w:tcBorders>
              <w:top w:val="single" w:sz="4" w:space="0" w:color="auto"/>
              <w:left w:val="nil"/>
              <w:bottom w:val="single" w:sz="4" w:space="0" w:color="auto"/>
              <w:right w:val="nil"/>
            </w:tcBorders>
            <w:shd w:val="clear" w:color="auto" w:fill="auto"/>
            <w:vAlign w:val="bottom"/>
            <w:hideMark/>
          </w:tcPr>
          <w:p w14:paraId="61C43954" w14:textId="77777777" w:rsidR="00E45705" w:rsidRPr="001B09E6" w:rsidRDefault="00E45705" w:rsidP="00E45705">
            <w:pPr>
              <w:pStyle w:val="TableCellText"/>
              <w:spacing w:before="0" w:after="0"/>
              <w:ind w:left="0" w:right="0"/>
              <w:rPr>
                <w:lang w:eastAsia="en-AU"/>
              </w:rPr>
            </w:pPr>
            <w:r w:rsidRPr="001B09E6">
              <w:rPr>
                <w:lang w:eastAsia="en-AU"/>
              </w:rPr>
              <w:t>Total</w:t>
            </w:r>
          </w:p>
        </w:tc>
        <w:tc>
          <w:tcPr>
            <w:tcW w:w="683" w:type="pct"/>
            <w:tcBorders>
              <w:top w:val="single" w:sz="4" w:space="0" w:color="auto"/>
              <w:left w:val="nil"/>
              <w:bottom w:val="single" w:sz="4" w:space="0" w:color="auto"/>
              <w:right w:val="nil"/>
            </w:tcBorders>
            <w:shd w:val="clear" w:color="auto" w:fill="auto"/>
            <w:vAlign w:val="bottom"/>
            <w:hideMark/>
          </w:tcPr>
          <w:p w14:paraId="3FD830E5" w14:textId="77777777" w:rsidR="00E45705" w:rsidRPr="001B09E6" w:rsidRDefault="00E45705" w:rsidP="00E45705">
            <w:pPr>
              <w:pStyle w:val="TableCellText"/>
              <w:spacing w:before="0" w:after="0"/>
              <w:ind w:left="0" w:right="0"/>
              <w:rPr>
                <w:lang w:eastAsia="en-AU"/>
              </w:rPr>
            </w:pPr>
            <w:r w:rsidRPr="001B09E6">
              <w:rPr>
                <w:lang w:eastAsia="en-AU"/>
              </w:rPr>
              <w:t>8</w:t>
            </w:r>
          </w:p>
        </w:tc>
        <w:tc>
          <w:tcPr>
            <w:tcW w:w="547" w:type="pct"/>
            <w:tcBorders>
              <w:top w:val="single" w:sz="4" w:space="0" w:color="auto"/>
              <w:left w:val="nil"/>
              <w:bottom w:val="single" w:sz="4" w:space="0" w:color="auto"/>
              <w:right w:val="nil"/>
            </w:tcBorders>
            <w:shd w:val="clear" w:color="auto" w:fill="auto"/>
            <w:vAlign w:val="bottom"/>
            <w:hideMark/>
          </w:tcPr>
          <w:p w14:paraId="63D891D0" w14:textId="77777777" w:rsidR="00E45705" w:rsidRPr="001B09E6" w:rsidRDefault="00E45705" w:rsidP="00E45705">
            <w:pPr>
              <w:pStyle w:val="TableCellText"/>
              <w:spacing w:before="0" w:after="0"/>
              <w:ind w:left="0" w:right="0"/>
              <w:rPr>
                <w:lang w:eastAsia="en-AU"/>
              </w:rPr>
            </w:pPr>
            <w:r w:rsidRPr="001B09E6">
              <w:rPr>
                <w:lang w:eastAsia="en-AU"/>
              </w:rPr>
              <w:t>22</w:t>
            </w:r>
          </w:p>
        </w:tc>
        <w:tc>
          <w:tcPr>
            <w:tcW w:w="676" w:type="pct"/>
            <w:tcBorders>
              <w:top w:val="single" w:sz="4" w:space="0" w:color="auto"/>
              <w:left w:val="nil"/>
              <w:bottom w:val="single" w:sz="4" w:space="0" w:color="auto"/>
              <w:right w:val="nil"/>
            </w:tcBorders>
            <w:shd w:val="clear" w:color="auto" w:fill="auto"/>
            <w:vAlign w:val="bottom"/>
            <w:hideMark/>
          </w:tcPr>
          <w:p w14:paraId="065EC37D" w14:textId="77777777" w:rsidR="00E45705" w:rsidRPr="001B09E6" w:rsidRDefault="00E45705" w:rsidP="00E45705">
            <w:pPr>
              <w:pStyle w:val="TableCellText"/>
              <w:spacing w:before="0" w:after="0"/>
              <w:ind w:left="0" w:right="0"/>
              <w:rPr>
                <w:lang w:eastAsia="en-AU"/>
              </w:rPr>
            </w:pPr>
            <w:r w:rsidRPr="001B09E6">
              <w:rPr>
                <w:lang w:eastAsia="en-AU"/>
              </w:rPr>
              <w:t>10</w:t>
            </w:r>
          </w:p>
        </w:tc>
        <w:tc>
          <w:tcPr>
            <w:tcW w:w="557" w:type="pct"/>
            <w:tcBorders>
              <w:top w:val="single" w:sz="4" w:space="0" w:color="auto"/>
              <w:left w:val="nil"/>
              <w:bottom w:val="single" w:sz="4" w:space="0" w:color="auto"/>
              <w:right w:val="nil"/>
            </w:tcBorders>
            <w:shd w:val="clear" w:color="auto" w:fill="auto"/>
            <w:vAlign w:val="bottom"/>
            <w:hideMark/>
          </w:tcPr>
          <w:p w14:paraId="7C7E4D9A" w14:textId="77777777" w:rsidR="00E45705" w:rsidRPr="001B09E6" w:rsidRDefault="00E45705" w:rsidP="00E45705">
            <w:pPr>
              <w:pStyle w:val="TableCellText"/>
              <w:spacing w:before="0" w:after="0"/>
              <w:ind w:left="0" w:right="0"/>
              <w:rPr>
                <w:lang w:eastAsia="en-AU"/>
              </w:rPr>
            </w:pPr>
            <w:r w:rsidRPr="001B09E6">
              <w:rPr>
                <w:lang w:eastAsia="en-AU"/>
              </w:rPr>
              <w:t>57</w:t>
            </w:r>
          </w:p>
        </w:tc>
        <w:tc>
          <w:tcPr>
            <w:tcW w:w="494" w:type="pct"/>
            <w:tcBorders>
              <w:top w:val="single" w:sz="4" w:space="0" w:color="auto"/>
              <w:left w:val="nil"/>
              <w:bottom w:val="single" w:sz="4" w:space="0" w:color="auto"/>
              <w:right w:val="nil"/>
            </w:tcBorders>
            <w:shd w:val="clear" w:color="auto" w:fill="auto"/>
            <w:vAlign w:val="bottom"/>
            <w:hideMark/>
          </w:tcPr>
          <w:p w14:paraId="1473F9D2"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single" w:sz="4" w:space="0" w:color="auto"/>
              <w:left w:val="nil"/>
              <w:bottom w:val="single" w:sz="4" w:space="0" w:color="auto"/>
              <w:right w:val="nil"/>
            </w:tcBorders>
            <w:shd w:val="clear" w:color="auto" w:fill="auto"/>
            <w:vAlign w:val="bottom"/>
            <w:hideMark/>
          </w:tcPr>
          <w:p w14:paraId="40439DEB"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7D0E15C9" w14:textId="77777777" w:rsidR="00E45705" w:rsidRPr="001B09E6" w:rsidRDefault="00E45705" w:rsidP="00E45705">
            <w:pPr>
              <w:pStyle w:val="TableCellText"/>
              <w:spacing w:before="0" w:after="0"/>
              <w:ind w:left="0" w:right="0"/>
              <w:rPr>
                <w:lang w:eastAsia="en-AU"/>
              </w:rPr>
            </w:pPr>
          </w:p>
        </w:tc>
      </w:tr>
      <w:tr w:rsidR="00E45705" w:rsidRPr="001B09E6" w14:paraId="43E4AF6C" w14:textId="77777777" w:rsidTr="00192ABE">
        <w:trPr>
          <w:trHeight w:val="300"/>
        </w:trPr>
        <w:tc>
          <w:tcPr>
            <w:tcW w:w="1033" w:type="pct"/>
            <w:tcBorders>
              <w:top w:val="nil"/>
              <w:left w:val="nil"/>
              <w:bottom w:val="nil"/>
              <w:right w:val="nil"/>
            </w:tcBorders>
            <w:shd w:val="clear" w:color="auto" w:fill="auto"/>
            <w:noWrap/>
            <w:vAlign w:val="bottom"/>
            <w:hideMark/>
          </w:tcPr>
          <w:p w14:paraId="215097CD" w14:textId="77777777" w:rsidR="00E45705" w:rsidRPr="001B09E6" w:rsidRDefault="00E45705" w:rsidP="00E45705">
            <w:pPr>
              <w:rPr>
                <w:rFonts w:ascii="Arial" w:eastAsia="Times New Roman" w:hAnsi="Arial" w:cs="Arial"/>
                <w:color w:val="000000"/>
                <w:sz w:val="16"/>
                <w:szCs w:val="16"/>
                <w:lang w:eastAsia="en-AU"/>
              </w:rPr>
            </w:pPr>
          </w:p>
        </w:tc>
        <w:tc>
          <w:tcPr>
            <w:tcW w:w="683" w:type="pct"/>
            <w:tcBorders>
              <w:top w:val="nil"/>
              <w:left w:val="nil"/>
              <w:bottom w:val="nil"/>
              <w:right w:val="nil"/>
            </w:tcBorders>
            <w:shd w:val="clear" w:color="auto" w:fill="auto"/>
            <w:noWrap/>
            <w:vAlign w:val="bottom"/>
            <w:hideMark/>
          </w:tcPr>
          <w:p w14:paraId="2BDC5290" w14:textId="77777777" w:rsidR="00E45705" w:rsidRPr="001B09E6" w:rsidRDefault="00E45705" w:rsidP="00E45705">
            <w:pPr>
              <w:rPr>
                <w:rFonts w:ascii="Arial" w:eastAsia="Times New Roman" w:hAnsi="Arial" w:cs="Arial"/>
                <w:color w:val="000000"/>
                <w:sz w:val="16"/>
                <w:szCs w:val="16"/>
                <w:lang w:eastAsia="en-AU"/>
              </w:rPr>
            </w:pPr>
          </w:p>
        </w:tc>
        <w:tc>
          <w:tcPr>
            <w:tcW w:w="547" w:type="pct"/>
            <w:tcBorders>
              <w:top w:val="nil"/>
              <w:left w:val="nil"/>
              <w:bottom w:val="nil"/>
              <w:right w:val="nil"/>
            </w:tcBorders>
            <w:shd w:val="clear" w:color="auto" w:fill="auto"/>
            <w:noWrap/>
            <w:vAlign w:val="bottom"/>
            <w:hideMark/>
          </w:tcPr>
          <w:p w14:paraId="3E5835E7" w14:textId="77777777" w:rsidR="00E45705" w:rsidRPr="001B09E6" w:rsidRDefault="00E45705" w:rsidP="00E45705">
            <w:pPr>
              <w:rPr>
                <w:rFonts w:ascii="Arial" w:eastAsia="Times New Roman" w:hAnsi="Arial" w:cs="Arial"/>
                <w:color w:val="000000"/>
                <w:sz w:val="16"/>
                <w:szCs w:val="16"/>
                <w:lang w:eastAsia="en-AU"/>
              </w:rPr>
            </w:pPr>
          </w:p>
        </w:tc>
        <w:tc>
          <w:tcPr>
            <w:tcW w:w="676" w:type="pct"/>
            <w:tcBorders>
              <w:top w:val="nil"/>
              <w:left w:val="nil"/>
              <w:bottom w:val="nil"/>
              <w:right w:val="nil"/>
            </w:tcBorders>
            <w:shd w:val="clear" w:color="auto" w:fill="auto"/>
            <w:noWrap/>
            <w:vAlign w:val="bottom"/>
            <w:hideMark/>
          </w:tcPr>
          <w:p w14:paraId="5918C5B8" w14:textId="77777777" w:rsidR="00E45705" w:rsidRPr="001B09E6" w:rsidRDefault="00E45705" w:rsidP="00E45705">
            <w:pPr>
              <w:rPr>
                <w:rFonts w:ascii="Arial" w:eastAsia="Times New Roman" w:hAnsi="Arial" w:cs="Arial"/>
                <w:color w:val="000000"/>
                <w:sz w:val="16"/>
                <w:szCs w:val="16"/>
                <w:lang w:eastAsia="en-AU"/>
              </w:rPr>
            </w:pPr>
          </w:p>
        </w:tc>
        <w:tc>
          <w:tcPr>
            <w:tcW w:w="557" w:type="pct"/>
            <w:tcBorders>
              <w:top w:val="nil"/>
              <w:left w:val="nil"/>
              <w:bottom w:val="nil"/>
              <w:right w:val="nil"/>
            </w:tcBorders>
            <w:shd w:val="clear" w:color="auto" w:fill="auto"/>
            <w:noWrap/>
            <w:vAlign w:val="bottom"/>
            <w:hideMark/>
          </w:tcPr>
          <w:p w14:paraId="266605C7" w14:textId="77777777" w:rsidR="00E45705" w:rsidRPr="001B09E6" w:rsidRDefault="00E45705" w:rsidP="00E45705">
            <w:pPr>
              <w:rPr>
                <w:rFonts w:ascii="Arial" w:eastAsia="Times New Roman" w:hAnsi="Arial" w:cs="Arial"/>
                <w:color w:val="000000"/>
                <w:sz w:val="16"/>
                <w:szCs w:val="16"/>
                <w:lang w:eastAsia="en-AU"/>
              </w:rPr>
            </w:pPr>
          </w:p>
        </w:tc>
        <w:tc>
          <w:tcPr>
            <w:tcW w:w="494" w:type="pct"/>
            <w:tcBorders>
              <w:top w:val="nil"/>
              <w:left w:val="nil"/>
              <w:bottom w:val="nil"/>
              <w:right w:val="nil"/>
            </w:tcBorders>
            <w:shd w:val="clear" w:color="auto" w:fill="auto"/>
            <w:noWrap/>
            <w:vAlign w:val="bottom"/>
            <w:hideMark/>
          </w:tcPr>
          <w:p w14:paraId="32F86648" w14:textId="77777777" w:rsidR="00E45705" w:rsidRPr="001B09E6" w:rsidRDefault="00E45705" w:rsidP="00E45705">
            <w:pPr>
              <w:rPr>
                <w:rFonts w:ascii="Arial" w:eastAsia="Times New Roman" w:hAnsi="Arial" w:cs="Arial"/>
                <w:color w:val="000000"/>
                <w:sz w:val="16"/>
                <w:szCs w:val="16"/>
                <w:lang w:eastAsia="en-AU"/>
              </w:rPr>
            </w:pPr>
          </w:p>
        </w:tc>
        <w:tc>
          <w:tcPr>
            <w:tcW w:w="592" w:type="pct"/>
            <w:tcBorders>
              <w:top w:val="nil"/>
              <w:left w:val="nil"/>
              <w:bottom w:val="nil"/>
              <w:right w:val="nil"/>
            </w:tcBorders>
            <w:shd w:val="clear" w:color="auto" w:fill="auto"/>
            <w:noWrap/>
            <w:vAlign w:val="bottom"/>
            <w:hideMark/>
          </w:tcPr>
          <w:p w14:paraId="7E789A77" w14:textId="77777777" w:rsidR="00E45705" w:rsidRPr="001B09E6" w:rsidRDefault="00E45705" w:rsidP="00E45705">
            <w:pPr>
              <w:rPr>
                <w:rFonts w:ascii="Arial" w:eastAsia="Times New Roman" w:hAnsi="Arial" w:cs="Arial"/>
                <w:color w:val="000000"/>
                <w:sz w:val="16"/>
                <w:szCs w:val="16"/>
                <w:lang w:eastAsia="en-AU"/>
              </w:rPr>
            </w:pPr>
          </w:p>
        </w:tc>
        <w:tc>
          <w:tcPr>
            <w:tcW w:w="418" w:type="pct"/>
            <w:tcBorders>
              <w:top w:val="nil"/>
              <w:left w:val="nil"/>
              <w:bottom w:val="nil"/>
              <w:right w:val="nil"/>
            </w:tcBorders>
            <w:shd w:val="clear" w:color="auto" w:fill="auto"/>
            <w:noWrap/>
            <w:vAlign w:val="bottom"/>
            <w:hideMark/>
          </w:tcPr>
          <w:p w14:paraId="73CABDEA" w14:textId="77777777" w:rsidR="00E45705" w:rsidRPr="001B09E6" w:rsidRDefault="00E45705" w:rsidP="00E45705">
            <w:pPr>
              <w:rPr>
                <w:rFonts w:ascii="Arial" w:eastAsia="Times New Roman" w:hAnsi="Arial" w:cs="Arial"/>
                <w:color w:val="000000"/>
                <w:sz w:val="16"/>
                <w:szCs w:val="16"/>
                <w:lang w:eastAsia="en-AU"/>
              </w:rPr>
            </w:pPr>
          </w:p>
        </w:tc>
      </w:tr>
    </w:tbl>
    <w:p w14:paraId="372A8DFD" w14:textId="77777777" w:rsidR="00192ABE" w:rsidRDefault="00192ABE">
      <w:r>
        <w:rPr>
          <w:b/>
          <w:bCs/>
          <w:iCs/>
        </w:rPr>
        <w:br w:type="page"/>
      </w:r>
    </w:p>
    <w:tbl>
      <w:tblPr>
        <w:tblW w:w="5000" w:type="pct"/>
        <w:tblLook w:val="04A0" w:firstRow="1" w:lastRow="0" w:firstColumn="1" w:lastColumn="0" w:noHBand="0" w:noVBand="1"/>
        <w:tblCaption w:val="Table A2.39: Proportion going on to further study by qualification level and type of further study, 2011 15-19 year olds "/>
        <w:tblDescription w:val="Table A2.39: Proportion going on to further study by qualification level and type of further study, 2011&#10;15-19 year olds&#10;"/>
      </w:tblPr>
      <w:tblGrid>
        <w:gridCol w:w="3019"/>
        <w:gridCol w:w="1997"/>
        <w:gridCol w:w="1599"/>
        <w:gridCol w:w="1976"/>
        <w:gridCol w:w="1628"/>
        <w:gridCol w:w="1444"/>
        <w:gridCol w:w="1731"/>
        <w:gridCol w:w="1222"/>
      </w:tblGrid>
      <w:tr w:rsidR="00E45705" w:rsidRPr="001B09E6" w14:paraId="4F8F39ED" w14:textId="77777777" w:rsidTr="00E45705">
        <w:trPr>
          <w:trHeight w:val="300"/>
        </w:trPr>
        <w:tc>
          <w:tcPr>
            <w:tcW w:w="5000" w:type="pct"/>
            <w:gridSpan w:val="8"/>
            <w:tcBorders>
              <w:top w:val="nil"/>
              <w:left w:val="nil"/>
              <w:bottom w:val="nil"/>
              <w:right w:val="nil"/>
            </w:tcBorders>
            <w:shd w:val="clear" w:color="auto" w:fill="auto"/>
            <w:noWrap/>
            <w:vAlign w:val="bottom"/>
            <w:hideMark/>
          </w:tcPr>
          <w:p w14:paraId="7695EEE2" w14:textId="77777777" w:rsidR="00E45705" w:rsidRPr="001B09E6" w:rsidRDefault="00E45705" w:rsidP="00E45705">
            <w:pPr>
              <w:pStyle w:val="Heading4"/>
              <w:spacing w:before="0"/>
              <w:rPr>
                <w:lang w:eastAsia="en-AU"/>
              </w:rPr>
            </w:pPr>
          </w:p>
          <w:p w14:paraId="70FA5B58" w14:textId="77777777" w:rsidR="00E45705" w:rsidRPr="001B09E6" w:rsidRDefault="00E45705" w:rsidP="00E45705">
            <w:pPr>
              <w:pStyle w:val="Heading4"/>
              <w:spacing w:before="0"/>
              <w:rPr>
                <w:lang w:eastAsia="en-AU"/>
              </w:rPr>
            </w:pPr>
            <w:r w:rsidRPr="001B09E6">
              <w:rPr>
                <w:lang w:eastAsia="en-AU"/>
              </w:rPr>
              <w:t>20-24 year olds</w:t>
            </w:r>
          </w:p>
        </w:tc>
      </w:tr>
      <w:tr w:rsidR="00E45705" w:rsidRPr="001B09E6" w14:paraId="4FFAF86B" w14:textId="77777777" w:rsidTr="00192ABE">
        <w:trPr>
          <w:trHeight w:val="300"/>
        </w:trPr>
        <w:tc>
          <w:tcPr>
            <w:tcW w:w="1033" w:type="pct"/>
            <w:tcBorders>
              <w:top w:val="nil"/>
              <w:left w:val="nil"/>
              <w:bottom w:val="nil"/>
              <w:right w:val="nil"/>
            </w:tcBorders>
            <w:shd w:val="clear" w:color="auto" w:fill="auto"/>
            <w:noWrap/>
            <w:vAlign w:val="bottom"/>
            <w:hideMark/>
          </w:tcPr>
          <w:p w14:paraId="44AE15C9" w14:textId="77777777" w:rsidR="00E45705" w:rsidRPr="001B09E6" w:rsidRDefault="00E45705" w:rsidP="00E45705">
            <w:pPr>
              <w:rPr>
                <w:rFonts w:ascii="Arial" w:eastAsia="Times New Roman" w:hAnsi="Arial" w:cs="Arial"/>
                <w:b/>
                <w:bCs/>
                <w:color w:val="000000"/>
                <w:sz w:val="16"/>
                <w:szCs w:val="16"/>
                <w:lang w:eastAsia="en-AU"/>
              </w:rPr>
            </w:pPr>
          </w:p>
        </w:tc>
        <w:tc>
          <w:tcPr>
            <w:tcW w:w="683" w:type="pct"/>
            <w:tcBorders>
              <w:top w:val="nil"/>
              <w:left w:val="nil"/>
              <w:bottom w:val="nil"/>
              <w:right w:val="nil"/>
            </w:tcBorders>
            <w:shd w:val="clear" w:color="auto" w:fill="auto"/>
            <w:noWrap/>
            <w:vAlign w:val="bottom"/>
            <w:hideMark/>
          </w:tcPr>
          <w:p w14:paraId="65868DF1" w14:textId="77777777" w:rsidR="00E45705" w:rsidRPr="001B09E6" w:rsidRDefault="00E45705" w:rsidP="00E45705">
            <w:pPr>
              <w:rPr>
                <w:rFonts w:ascii="Arial" w:eastAsia="Times New Roman" w:hAnsi="Arial" w:cs="Arial"/>
                <w:color w:val="000000"/>
                <w:sz w:val="16"/>
                <w:szCs w:val="16"/>
                <w:lang w:eastAsia="en-AU"/>
              </w:rPr>
            </w:pPr>
          </w:p>
        </w:tc>
        <w:tc>
          <w:tcPr>
            <w:tcW w:w="547" w:type="pct"/>
            <w:tcBorders>
              <w:top w:val="nil"/>
              <w:left w:val="nil"/>
              <w:bottom w:val="nil"/>
              <w:right w:val="nil"/>
            </w:tcBorders>
            <w:shd w:val="clear" w:color="auto" w:fill="auto"/>
            <w:noWrap/>
            <w:vAlign w:val="bottom"/>
            <w:hideMark/>
          </w:tcPr>
          <w:p w14:paraId="76005327" w14:textId="77777777" w:rsidR="00E45705" w:rsidRPr="001B09E6" w:rsidRDefault="00E45705" w:rsidP="00E45705">
            <w:pPr>
              <w:rPr>
                <w:rFonts w:ascii="Arial" w:eastAsia="Times New Roman" w:hAnsi="Arial" w:cs="Arial"/>
                <w:color w:val="000000"/>
                <w:sz w:val="16"/>
                <w:szCs w:val="16"/>
                <w:lang w:eastAsia="en-AU"/>
              </w:rPr>
            </w:pPr>
          </w:p>
        </w:tc>
        <w:tc>
          <w:tcPr>
            <w:tcW w:w="676" w:type="pct"/>
            <w:tcBorders>
              <w:top w:val="nil"/>
              <w:left w:val="nil"/>
              <w:bottom w:val="nil"/>
              <w:right w:val="nil"/>
            </w:tcBorders>
            <w:shd w:val="clear" w:color="auto" w:fill="auto"/>
            <w:noWrap/>
            <w:vAlign w:val="bottom"/>
            <w:hideMark/>
          </w:tcPr>
          <w:p w14:paraId="058301FF" w14:textId="77777777" w:rsidR="00E45705" w:rsidRPr="001B09E6" w:rsidRDefault="00E45705" w:rsidP="00E45705">
            <w:pPr>
              <w:rPr>
                <w:rFonts w:ascii="Arial" w:eastAsia="Times New Roman" w:hAnsi="Arial" w:cs="Arial"/>
                <w:color w:val="000000"/>
                <w:sz w:val="16"/>
                <w:szCs w:val="16"/>
                <w:lang w:eastAsia="en-AU"/>
              </w:rPr>
            </w:pPr>
          </w:p>
        </w:tc>
        <w:tc>
          <w:tcPr>
            <w:tcW w:w="557" w:type="pct"/>
            <w:tcBorders>
              <w:top w:val="nil"/>
              <w:left w:val="nil"/>
              <w:bottom w:val="nil"/>
              <w:right w:val="nil"/>
            </w:tcBorders>
            <w:shd w:val="clear" w:color="auto" w:fill="auto"/>
            <w:noWrap/>
            <w:vAlign w:val="bottom"/>
            <w:hideMark/>
          </w:tcPr>
          <w:p w14:paraId="0DF04CCF" w14:textId="77777777" w:rsidR="00E45705" w:rsidRPr="001B09E6" w:rsidRDefault="00E45705" w:rsidP="00E45705">
            <w:pPr>
              <w:rPr>
                <w:rFonts w:ascii="Arial" w:eastAsia="Times New Roman" w:hAnsi="Arial" w:cs="Arial"/>
                <w:color w:val="000000"/>
                <w:sz w:val="16"/>
                <w:szCs w:val="16"/>
                <w:lang w:eastAsia="en-AU"/>
              </w:rPr>
            </w:pPr>
          </w:p>
        </w:tc>
        <w:tc>
          <w:tcPr>
            <w:tcW w:w="494" w:type="pct"/>
            <w:tcBorders>
              <w:top w:val="nil"/>
              <w:left w:val="nil"/>
              <w:bottom w:val="nil"/>
              <w:right w:val="nil"/>
            </w:tcBorders>
            <w:shd w:val="clear" w:color="auto" w:fill="auto"/>
            <w:noWrap/>
            <w:vAlign w:val="bottom"/>
            <w:hideMark/>
          </w:tcPr>
          <w:p w14:paraId="56BF6B61" w14:textId="77777777" w:rsidR="00E45705" w:rsidRPr="001B09E6" w:rsidRDefault="00E45705" w:rsidP="00E45705">
            <w:pPr>
              <w:rPr>
                <w:rFonts w:ascii="Arial" w:eastAsia="Times New Roman" w:hAnsi="Arial" w:cs="Arial"/>
                <w:color w:val="000000"/>
                <w:sz w:val="16"/>
                <w:szCs w:val="16"/>
                <w:lang w:eastAsia="en-AU"/>
              </w:rPr>
            </w:pPr>
          </w:p>
        </w:tc>
        <w:tc>
          <w:tcPr>
            <w:tcW w:w="592" w:type="pct"/>
            <w:tcBorders>
              <w:top w:val="nil"/>
              <w:left w:val="nil"/>
              <w:bottom w:val="nil"/>
              <w:right w:val="nil"/>
            </w:tcBorders>
            <w:shd w:val="clear" w:color="auto" w:fill="auto"/>
            <w:noWrap/>
            <w:vAlign w:val="bottom"/>
            <w:hideMark/>
          </w:tcPr>
          <w:p w14:paraId="08873B56" w14:textId="77777777" w:rsidR="00E45705" w:rsidRPr="001B09E6" w:rsidRDefault="00E45705" w:rsidP="00E45705">
            <w:pPr>
              <w:rPr>
                <w:rFonts w:ascii="Arial" w:eastAsia="Times New Roman" w:hAnsi="Arial" w:cs="Arial"/>
                <w:color w:val="000000"/>
                <w:sz w:val="16"/>
                <w:szCs w:val="16"/>
                <w:lang w:eastAsia="en-AU"/>
              </w:rPr>
            </w:pPr>
          </w:p>
        </w:tc>
        <w:tc>
          <w:tcPr>
            <w:tcW w:w="418" w:type="pct"/>
            <w:tcBorders>
              <w:top w:val="nil"/>
              <w:left w:val="nil"/>
              <w:bottom w:val="nil"/>
              <w:right w:val="nil"/>
            </w:tcBorders>
            <w:shd w:val="clear" w:color="auto" w:fill="auto"/>
            <w:noWrap/>
            <w:vAlign w:val="bottom"/>
            <w:hideMark/>
          </w:tcPr>
          <w:p w14:paraId="46FC1694" w14:textId="77777777" w:rsidR="00E45705" w:rsidRPr="001B09E6" w:rsidRDefault="00E45705" w:rsidP="00E45705">
            <w:pPr>
              <w:rPr>
                <w:rFonts w:ascii="Arial" w:eastAsia="Times New Roman" w:hAnsi="Arial" w:cs="Arial"/>
                <w:color w:val="000000"/>
                <w:sz w:val="16"/>
                <w:szCs w:val="16"/>
                <w:lang w:eastAsia="en-AU"/>
              </w:rPr>
            </w:pPr>
          </w:p>
        </w:tc>
      </w:tr>
      <w:tr w:rsidR="00E45705" w:rsidRPr="001B09E6" w14:paraId="14D085B1" w14:textId="77777777" w:rsidTr="00192ABE">
        <w:trPr>
          <w:trHeight w:val="690"/>
        </w:trPr>
        <w:tc>
          <w:tcPr>
            <w:tcW w:w="1033" w:type="pct"/>
            <w:tcBorders>
              <w:top w:val="single" w:sz="4" w:space="0" w:color="auto"/>
              <w:left w:val="nil"/>
              <w:bottom w:val="single" w:sz="4" w:space="0" w:color="auto"/>
              <w:right w:val="nil"/>
            </w:tcBorders>
            <w:shd w:val="clear" w:color="auto" w:fill="auto"/>
            <w:vAlign w:val="bottom"/>
            <w:hideMark/>
          </w:tcPr>
          <w:p w14:paraId="6A18F3BD" w14:textId="77777777" w:rsidR="00E45705" w:rsidRPr="001B09E6" w:rsidRDefault="00E45705" w:rsidP="00E45705">
            <w:pPr>
              <w:pStyle w:val="TableColumnHeading"/>
              <w:spacing w:before="0" w:after="0"/>
              <w:ind w:left="0" w:right="0"/>
              <w:rPr>
                <w:lang w:eastAsia="en-AU"/>
              </w:rPr>
            </w:pPr>
            <w:r w:rsidRPr="001B09E6">
              <w:rPr>
                <w:lang w:eastAsia="en-AU"/>
              </w:rPr>
              <w:t>Type of further study institute</w:t>
            </w:r>
          </w:p>
        </w:tc>
        <w:tc>
          <w:tcPr>
            <w:tcW w:w="683" w:type="pct"/>
            <w:tcBorders>
              <w:top w:val="single" w:sz="4" w:space="0" w:color="auto"/>
              <w:left w:val="nil"/>
              <w:bottom w:val="single" w:sz="4" w:space="0" w:color="auto"/>
              <w:right w:val="nil"/>
            </w:tcBorders>
            <w:shd w:val="clear" w:color="auto" w:fill="auto"/>
            <w:vAlign w:val="bottom"/>
            <w:hideMark/>
          </w:tcPr>
          <w:p w14:paraId="5A4B95D1" w14:textId="77777777" w:rsidR="00E45705" w:rsidRPr="001B09E6" w:rsidRDefault="00E45705" w:rsidP="00E45705">
            <w:pPr>
              <w:pStyle w:val="TableColumnHeading"/>
              <w:spacing w:before="0" w:after="0"/>
              <w:ind w:left="0" w:right="0"/>
              <w:rPr>
                <w:lang w:eastAsia="en-AU"/>
              </w:rPr>
            </w:pPr>
            <w:r w:rsidRPr="001B09E6">
              <w:rPr>
                <w:lang w:eastAsia="en-AU"/>
              </w:rPr>
              <w:t>University</w:t>
            </w:r>
          </w:p>
        </w:tc>
        <w:tc>
          <w:tcPr>
            <w:tcW w:w="547" w:type="pct"/>
            <w:tcBorders>
              <w:top w:val="single" w:sz="4" w:space="0" w:color="auto"/>
              <w:left w:val="nil"/>
              <w:bottom w:val="single" w:sz="4" w:space="0" w:color="auto"/>
              <w:right w:val="nil"/>
            </w:tcBorders>
            <w:shd w:val="clear" w:color="auto" w:fill="auto"/>
            <w:vAlign w:val="bottom"/>
            <w:hideMark/>
          </w:tcPr>
          <w:p w14:paraId="20BF4BF1" w14:textId="77777777" w:rsidR="00E45705" w:rsidRPr="001B09E6" w:rsidRDefault="00E45705" w:rsidP="00E45705">
            <w:pPr>
              <w:pStyle w:val="TableColumnHeading"/>
              <w:spacing w:before="0" w:after="0"/>
              <w:ind w:left="0" w:right="0"/>
              <w:rPr>
                <w:lang w:eastAsia="en-AU"/>
              </w:rPr>
            </w:pPr>
            <w:r w:rsidRPr="001B09E6">
              <w:rPr>
                <w:lang w:eastAsia="en-AU"/>
              </w:rPr>
              <w:t>TAFE</w:t>
            </w:r>
          </w:p>
        </w:tc>
        <w:tc>
          <w:tcPr>
            <w:tcW w:w="676" w:type="pct"/>
            <w:tcBorders>
              <w:top w:val="single" w:sz="4" w:space="0" w:color="auto"/>
              <w:left w:val="nil"/>
              <w:bottom w:val="single" w:sz="4" w:space="0" w:color="auto"/>
              <w:right w:val="nil"/>
            </w:tcBorders>
            <w:shd w:val="clear" w:color="auto" w:fill="auto"/>
            <w:vAlign w:val="bottom"/>
            <w:hideMark/>
          </w:tcPr>
          <w:p w14:paraId="65D12E4C" w14:textId="77777777" w:rsidR="00E45705" w:rsidRPr="001B09E6" w:rsidRDefault="00E45705" w:rsidP="00E45705">
            <w:pPr>
              <w:pStyle w:val="TableColumnHeading"/>
              <w:spacing w:before="0" w:after="0"/>
              <w:ind w:left="0" w:right="0"/>
              <w:rPr>
                <w:lang w:eastAsia="en-AU"/>
              </w:rPr>
            </w:pPr>
            <w:r w:rsidRPr="001B09E6">
              <w:rPr>
                <w:lang w:eastAsia="en-AU"/>
              </w:rPr>
              <w:t>Other</w:t>
            </w:r>
          </w:p>
        </w:tc>
        <w:tc>
          <w:tcPr>
            <w:tcW w:w="557" w:type="pct"/>
            <w:tcBorders>
              <w:top w:val="single" w:sz="4" w:space="0" w:color="auto"/>
              <w:left w:val="nil"/>
              <w:bottom w:val="single" w:sz="4" w:space="0" w:color="auto"/>
              <w:right w:val="nil"/>
            </w:tcBorders>
            <w:shd w:val="clear" w:color="auto" w:fill="auto"/>
            <w:vAlign w:val="bottom"/>
            <w:hideMark/>
          </w:tcPr>
          <w:p w14:paraId="24E9F9F8" w14:textId="77777777" w:rsidR="00E45705" w:rsidRPr="001B09E6" w:rsidRDefault="00E45705" w:rsidP="00E45705">
            <w:pPr>
              <w:pStyle w:val="TableColumnHeading"/>
              <w:spacing w:before="0" w:after="0"/>
              <w:ind w:left="0" w:right="0"/>
              <w:rPr>
                <w:lang w:eastAsia="en-AU"/>
              </w:rPr>
            </w:pPr>
            <w:r w:rsidRPr="001B09E6">
              <w:rPr>
                <w:lang w:eastAsia="en-AU"/>
              </w:rPr>
              <w:t>Not enrolled in further study</w:t>
            </w:r>
          </w:p>
        </w:tc>
        <w:tc>
          <w:tcPr>
            <w:tcW w:w="494" w:type="pct"/>
            <w:tcBorders>
              <w:top w:val="single" w:sz="4" w:space="0" w:color="auto"/>
              <w:left w:val="nil"/>
              <w:bottom w:val="single" w:sz="4" w:space="0" w:color="auto"/>
              <w:right w:val="nil"/>
            </w:tcBorders>
            <w:shd w:val="clear" w:color="auto" w:fill="auto"/>
            <w:vAlign w:val="bottom"/>
            <w:hideMark/>
          </w:tcPr>
          <w:p w14:paraId="3F276933" w14:textId="77777777" w:rsidR="00E45705" w:rsidRPr="001B09E6" w:rsidRDefault="00E45705" w:rsidP="00E45705">
            <w:pPr>
              <w:pStyle w:val="TableColumnHeading"/>
              <w:spacing w:before="0" w:after="0"/>
              <w:ind w:left="0" w:right="0"/>
              <w:rPr>
                <w:lang w:eastAsia="en-AU"/>
              </w:rPr>
            </w:pPr>
            <w:r w:rsidRPr="001B09E6">
              <w:rPr>
                <w:lang w:eastAsia="en-AU"/>
              </w:rPr>
              <w:t>Not Stated</w:t>
            </w:r>
          </w:p>
        </w:tc>
        <w:tc>
          <w:tcPr>
            <w:tcW w:w="592" w:type="pct"/>
            <w:tcBorders>
              <w:top w:val="single" w:sz="4" w:space="0" w:color="auto"/>
              <w:left w:val="nil"/>
              <w:bottom w:val="single" w:sz="4" w:space="0" w:color="auto"/>
              <w:right w:val="nil"/>
            </w:tcBorders>
            <w:shd w:val="clear" w:color="auto" w:fill="auto"/>
            <w:vAlign w:val="bottom"/>
            <w:hideMark/>
          </w:tcPr>
          <w:p w14:paraId="65FB95A7" w14:textId="77777777" w:rsidR="00E45705" w:rsidRPr="001B09E6" w:rsidRDefault="00E45705" w:rsidP="00E45705">
            <w:pPr>
              <w:pStyle w:val="TableColumnHeading"/>
              <w:spacing w:before="0" w:after="0"/>
              <w:ind w:left="0" w:right="0"/>
              <w:rPr>
                <w:lang w:eastAsia="en-AU"/>
              </w:rPr>
            </w:pPr>
            <w:r w:rsidRPr="001B09E6">
              <w:rPr>
                <w:lang w:eastAsia="en-AU"/>
              </w:rPr>
              <w:t>Total</w:t>
            </w:r>
          </w:p>
        </w:tc>
        <w:tc>
          <w:tcPr>
            <w:tcW w:w="418" w:type="pct"/>
            <w:tcBorders>
              <w:top w:val="nil"/>
              <w:left w:val="nil"/>
              <w:bottom w:val="nil"/>
              <w:right w:val="nil"/>
            </w:tcBorders>
            <w:shd w:val="clear" w:color="auto" w:fill="auto"/>
            <w:noWrap/>
            <w:vAlign w:val="bottom"/>
            <w:hideMark/>
          </w:tcPr>
          <w:p w14:paraId="7FA9167C" w14:textId="77777777" w:rsidR="00E45705" w:rsidRPr="001B09E6" w:rsidRDefault="00E45705" w:rsidP="00E45705">
            <w:pPr>
              <w:pStyle w:val="TableColumnHeading"/>
              <w:spacing w:before="0" w:after="0"/>
              <w:ind w:left="0" w:right="0"/>
              <w:rPr>
                <w:lang w:eastAsia="en-AU"/>
              </w:rPr>
            </w:pPr>
          </w:p>
        </w:tc>
      </w:tr>
      <w:tr w:rsidR="00E45705" w:rsidRPr="001B09E6" w14:paraId="0B2E40B0" w14:textId="77777777" w:rsidTr="00192ABE">
        <w:trPr>
          <w:trHeight w:val="300"/>
        </w:trPr>
        <w:tc>
          <w:tcPr>
            <w:tcW w:w="1033" w:type="pct"/>
            <w:tcBorders>
              <w:top w:val="nil"/>
              <w:left w:val="nil"/>
              <w:bottom w:val="nil"/>
              <w:right w:val="nil"/>
            </w:tcBorders>
            <w:shd w:val="clear" w:color="auto" w:fill="auto"/>
            <w:vAlign w:val="bottom"/>
            <w:hideMark/>
          </w:tcPr>
          <w:p w14:paraId="1EA5877B" w14:textId="77777777" w:rsidR="00E45705" w:rsidRPr="001B09E6" w:rsidRDefault="00E45705" w:rsidP="00E45705">
            <w:pPr>
              <w:pStyle w:val="TableColumnHeading"/>
              <w:spacing w:before="0" w:after="0"/>
              <w:ind w:left="0" w:right="0"/>
              <w:rPr>
                <w:lang w:eastAsia="en-AU"/>
              </w:rPr>
            </w:pPr>
            <w:r w:rsidRPr="001B09E6">
              <w:rPr>
                <w:lang w:eastAsia="en-AU"/>
              </w:rPr>
              <w:t>Qualification</w:t>
            </w:r>
          </w:p>
        </w:tc>
        <w:tc>
          <w:tcPr>
            <w:tcW w:w="683" w:type="pct"/>
            <w:tcBorders>
              <w:top w:val="nil"/>
              <w:left w:val="nil"/>
              <w:bottom w:val="nil"/>
              <w:right w:val="nil"/>
            </w:tcBorders>
            <w:shd w:val="clear" w:color="auto" w:fill="auto"/>
            <w:noWrap/>
            <w:vAlign w:val="bottom"/>
            <w:hideMark/>
          </w:tcPr>
          <w:p w14:paraId="4F4B4BA8" w14:textId="77777777" w:rsidR="00E45705" w:rsidRPr="001B09E6" w:rsidRDefault="00E45705" w:rsidP="00E45705">
            <w:pPr>
              <w:pStyle w:val="TableColumnHeading"/>
              <w:spacing w:before="0" w:after="0"/>
              <w:ind w:left="0" w:right="0"/>
              <w:rPr>
                <w:lang w:eastAsia="en-AU"/>
              </w:rPr>
            </w:pPr>
          </w:p>
        </w:tc>
        <w:tc>
          <w:tcPr>
            <w:tcW w:w="547" w:type="pct"/>
            <w:tcBorders>
              <w:top w:val="nil"/>
              <w:left w:val="nil"/>
              <w:bottom w:val="nil"/>
              <w:right w:val="nil"/>
            </w:tcBorders>
            <w:shd w:val="clear" w:color="auto" w:fill="auto"/>
            <w:noWrap/>
            <w:vAlign w:val="bottom"/>
            <w:hideMark/>
          </w:tcPr>
          <w:p w14:paraId="16A23AEF" w14:textId="77777777" w:rsidR="00E45705" w:rsidRPr="001B09E6" w:rsidRDefault="00E45705" w:rsidP="00E45705">
            <w:pPr>
              <w:pStyle w:val="TableColumnHeading"/>
              <w:spacing w:before="0" w:after="0"/>
              <w:ind w:left="0" w:right="0"/>
              <w:rPr>
                <w:lang w:eastAsia="en-AU"/>
              </w:rPr>
            </w:pPr>
          </w:p>
        </w:tc>
        <w:tc>
          <w:tcPr>
            <w:tcW w:w="676" w:type="pct"/>
            <w:tcBorders>
              <w:top w:val="nil"/>
              <w:left w:val="nil"/>
              <w:bottom w:val="nil"/>
              <w:right w:val="nil"/>
            </w:tcBorders>
            <w:shd w:val="clear" w:color="auto" w:fill="auto"/>
            <w:noWrap/>
            <w:vAlign w:val="bottom"/>
            <w:hideMark/>
          </w:tcPr>
          <w:p w14:paraId="68BBA090" w14:textId="77777777" w:rsidR="00E45705" w:rsidRPr="001B09E6" w:rsidRDefault="00E45705" w:rsidP="00E45705">
            <w:pPr>
              <w:pStyle w:val="TableColumnHeading"/>
              <w:spacing w:before="0" w:after="0"/>
              <w:ind w:left="0" w:right="0"/>
              <w:rPr>
                <w:lang w:eastAsia="en-AU"/>
              </w:rPr>
            </w:pPr>
          </w:p>
        </w:tc>
        <w:tc>
          <w:tcPr>
            <w:tcW w:w="557" w:type="pct"/>
            <w:tcBorders>
              <w:top w:val="nil"/>
              <w:left w:val="nil"/>
              <w:bottom w:val="nil"/>
              <w:right w:val="nil"/>
            </w:tcBorders>
            <w:shd w:val="clear" w:color="auto" w:fill="auto"/>
            <w:noWrap/>
            <w:vAlign w:val="bottom"/>
            <w:hideMark/>
          </w:tcPr>
          <w:p w14:paraId="010BA7EE" w14:textId="77777777" w:rsidR="00E45705" w:rsidRPr="001B09E6" w:rsidRDefault="00E45705" w:rsidP="00E45705">
            <w:pPr>
              <w:pStyle w:val="TableColumnHeading"/>
              <w:spacing w:before="0" w:after="0"/>
              <w:ind w:left="0" w:right="0"/>
              <w:rPr>
                <w:lang w:eastAsia="en-AU"/>
              </w:rPr>
            </w:pPr>
          </w:p>
        </w:tc>
        <w:tc>
          <w:tcPr>
            <w:tcW w:w="494" w:type="pct"/>
            <w:tcBorders>
              <w:top w:val="nil"/>
              <w:left w:val="nil"/>
              <w:bottom w:val="nil"/>
              <w:right w:val="nil"/>
            </w:tcBorders>
            <w:shd w:val="clear" w:color="auto" w:fill="auto"/>
            <w:noWrap/>
            <w:vAlign w:val="bottom"/>
            <w:hideMark/>
          </w:tcPr>
          <w:p w14:paraId="3736135A" w14:textId="77777777" w:rsidR="00E45705" w:rsidRPr="001B09E6" w:rsidRDefault="00E45705" w:rsidP="00E45705">
            <w:pPr>
              <w:pStyle w:val="TableColumnHeading"/>
              <w:spacing w:before="0" w:after="0"/>
              <w:ind w:left="0" w:right="0"/>
              <w:rPr>
                <w:lang w:eastAsia="en-AU"/>
              </w:rPr>
            </w:pPr>
          </w:p>
        </w:tc>
        <w:tc>
          <w:tcPr>
            <w:tcW w:w="592" w:type="pct"/>
            <w:tcBorders>
              <w:top w:val="nil"/>
              <w:left w:val="nil"/>
              <w:bottom w:val="nil"/>
              <w:right w:val="nil"/>
            </w:tcBorders>
            <w:shd w:val="clear" w:color="auto" w:fill="auto"/>
            <w:noWrap/>
            <w:vAlign w:val="bottom"/>
            <w:hideMark/>
          </w:tcPr>
          <w:p w14:paraId="30913EE3" w14:textId="77777777" w:rsidR="00E45705" w:rsidRPr="001B09E6" w:rsidRDefault="00E45705" w:rsidP="00E45705">
            <w:pPr>
              <w:pStyle w:val="TableColumnHeading"/>
              <w:spacing w:before="0" w:after="0"/>
              <w:ind w:left="0" w:right="0"/>
              <w:rPr>
                <w:lang w:eastAsia="en-AU"/>
              </w:rPr>
            </w:pPr>
          </w:p>
        </w:tc>
        <w:tc>
          <w:tcPr>
            <w:tcW w:w="418" w:type="pct"/>
            <w:tcBorders>
              <w:top w:val="nil"/>
              <w:left w:val="nil"/>
              <w:bottom w:val="nil"/>
              <w:right w:val="nil"/>
            </w:tcBorders>
            <w:shd w:val="clear" w:color="auto" w:fill="auto"/>
            <w:noWrap/>
            <w:vAlign w:val="bottom"/>
            <w:hideMark/>
          </w:tcPr>
          <w:p w14:paraId="4F264B94" w14:textId="77777777" w:rsidR="00E45705" w:rsidRPr="001B09E6" w:rsidRDefault="00E45705" w:rsidP="00E45705">
            <w:pPr>
              <w:pStyle w:val="TableColumnHeading"/>
              <w:spacing w:before="0" w:after="0"/>
              <w:ind w:left="0" w:right="0"/>
              <w:rPr>
                <w:lang w:eastAsia="en-AU"/>
              </w:rPr>
            </w:pPr>
          </w:p>
        </w:tc>
      </w:tr>
      <w:tr w:rsidR="00E45705" w:rsidRPr="001B09E6" w14:paraId="551E16B3" w14:textId="77777777" w:rsidTr="00192ABE">
        <w:trPr>
          <w:trHeight w:val="465"/>
        </w:trPr>
        <w:tc>
          <w:tcPr>
            <w:tcW w:w="1033" w:type="pct"/>
            <w:tcBorders>
              <w:top w:val="nil"/>
              <w:left w:val="nil"/>
              <w:bottom w:val="nil"/>
              <w:right w:val="nil"/>
            </w:tcBorders>
            <w:shd w:val="clear" w:color="auto" w:fill="auto"/>
            <w:vAlign w:val="bottom"/>
            <w:hideMark/>
          </w:tcPr>
          <w:p w14:paraId="08746433" w14:textId="77777777" w:rsidR="00E45705" w:rsidRPr="001B09E6" w:rsidRDefault="00E45705" w:rsidP="00E45705">
            <w:pPr>
              <w:pStyle w:val="TableCellText"/>
              <w:spacing w:before="0" w:after="0"/>
              <w:ind w:left="0" w:right="0"/>
              <w:rPr>
                <w:lang w:eastAsia="en-AU"/>
              </w:rPr>
            </w:pPr>
            <w:r w:rsidRPr="001B09E6">
              <w:rPr>
                <w:lang w:eastAsia="en-AU"/>
              </w:rPr>
              <w:t>Diplomas and above</w:t>
            </w:r>
          </w:p>
        </w:tc>
        <w:tc>
          <w:tcPr>
            <w:tcW w:w="683" w:type="pct"/>
            <w:tcBorders>
              <w:top w:val="nil"/>
              <w:left w:val="nil"/>
              <w:bottom w:val="nil"/>
              <w:right w:val="nil"/>
            </w:tcBorders>
            <w:shd w:val="clear" w:color="auto" w:fill="auto"/>
            <w:vAlign w:val="bottom"/>
            <w:hideMark/>
          </w:tcPr>
          <w:p w14:paraId="7434BE35" w14:textId="77777777" w:rsidR="00E45705" w:rsidRPr="001B09E6" w:rsidRDefault="00E45705" w:rsidP="00E45705">
            <w:pPr>
              <w:pStyle w:val="TableCellText"/>
              <w:spacing w:before="0" w:after="0"/>
              <w:ind w:left="0" w:right="0"/>
              <w:rPr>
                <w:lang w:eastAsia="en-AU"/>
              </w:rPr>
            </w:pPr>
            <w:r w:rsidRPr="001B09E6">
              <w:rPr>
                <w:lang w:eastAsia="en-AU"/>
              </w:rPr>
              <w:t>24</w:t>
            </w:r>
          </w:p>
        </w:tc>
        <w:tc>
          <w:tcPr>
            <w:tcW w:w="547" w:type="pct"/>
            <w:tcBorders>
              <w:top w:val="nil"/>
              <w:left w:val="nil"/>
              <w:bottom w:val="nil"/>
              <w:right w:val="nil"/>
            </w:tcBorders>
            <w:shd w:val="clear" w:color="auto" w:fill="auto"/>
            <w:vAlign w:val="bottom"/>
            <w:hideMark/>
          </w:tcPr>
          <w:p w14:paraId="2671F49C" w14:textId="77777777" w:rsidR="00E45705" w:rsidRPr="001B09E6" w:rsidRDefault="00E45705" w:rsidP="00E45705">
            <w:pPr>
              <w:pStyle w:val="TableCellText"/>
              <w:spacing w:before="0" w:after="0"/>
              <w:ind w:left="0" w:right="0"/>
              <w:rPr>
                <w:lang w:eastAsia="en-AU"/>
              </w:rPr>
            </w:pPr>
            <w:r w:rsidRPr="001B09E6">
              <w:rPr>
                <w:lang w:eastAsia="en-AU"/>
              </w:rPr>
              <w:t>13</w:t>
            </w:r>
          </w:p>
        </w:tc>
        <w:tc>
          <w:tcPr>
            <w:tcW w:w="676" w:type="pct"/>
            <w:tcBorders>
              <w:top w:val="nil"/>
              <w:left w:val="nil"/>
              <w:bottom w:val="nil"/>
              <w:right w:val="nil"/>
            </w:tcBorders>
            <w:shd w:val="clear" w:color="auto" w:fill="auto"/>
            <w:vAlign w:val="bottom"/>
            <w:hideMark/>
          </w:tcPr>
          <w:p w14:paraId="7CC1DA29"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57" w:type="pct"/>
            <w:tcBorders>
              <w:top w:val="nil"/>
              <w:left w:val="nil"/>
              <w:bottom w:val="nil"/>
              <w:right w:val="nil"/>
            </w:tcBorders>
            <w:shd w:val="clear" w:color="auto" w:fill="auto"/>
            <w:vAlign w:val="bottom"/>
            <w:hideMark/>
          </w:tcPr>
          <w:p w14:paraId="33DB60C3" w14:textId="77777777" w:rsidR="00E45705" w:rsidRPr="001B09E6" w:rsidRDefault="00E45705" w:rsidP="00E45705">
            <w:pPr>
              <w:pStyle w:val="TableCellText"/>
              <w:spacing w:before="0" w:after="0"/>
              <w:ind w:left="0" w:right="0"/>
              <w:rPr>
                <w:lang w:eastAsia="en-AU"/>
              </w:rPr>
            </w:pPr>
            <w:r w:rsidRPr="001B09E6">
              <w:rPr>
                <w:lang w:eastAsia="en-AU"/>
              </w:rPr>
              <w:t>57</w:t>
            </w:r>
          </w:p>
        </w:tc>
        <w:tc>
          <w:tcPr>
            <w:tcW w:w="494" w:type="pct"/>
            <w:tcBorders>
              <w:top w:val="nil"/>
              <w:left w:val="nil"/>
              <w:bottom w:val="nil"/>
              <w:right w:val="nil"/>
            </w:tcBorders>
            <w:shd w:val="clear" w:color="auto" w:fill="auto"/>
            <w:vAlign w:val="bottom"/>
            <w:hideMark/>
          </w:tcPr>
          <w:p w14:paraId="021BFB13" w14:textId="77777777" w:rsidR="00E45705" w:rsidRPr="001B09E6" w:rsidRDefault="00E45705" w:rsidP="00E45705">
            <w:pPr>
              <w:pStyle w:val="TableCellText"/>
              <w:spacing w:before="0" w:after="0"/>
              <w:ind w:left="0" w:right="0"/>
              <w:rPr>
                <w:lang w:eastAsia="en-AU"/>
              </w:rPr>
            </w:pPr>
            <w:r w:rsidRPr="001B09E6">
              <w:rPr>
                <w:lang w:eastAsia="en-AU"/>
              </w:rPr>
              <w:t>3</w:t>
            </w:r>
          </w:p>
        </w:tc>
        <w:tc>
          <w:tcPr>
            <w:tcW w:w="592" w:type="pct"/>
            <w:tcBorders>
              <w:top w:val="nil"/>
              <w:left w:val="nil"/>
              <w:bottom w:val="nil"/>
              <w:right w:val="nil"/>
            </w:tcBorders>
            <w:shd w:val="clear" w:color="auto" w:fill="auto"/>
            <w:vAlign w:val="bottom"/>
            <w:hideMark/>
          </w:tcPr>
          <w:p w14:paraId="067BC067"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5490E13F" w14:textId="77777777" w:rsidR="00E45705" w:rsidRPr="001B09E6" w:rsidRDefault="00E45705" w:rsidP="00E45705">
            <w:pPr>
              <w:pStyle w:val="TableCellText"/>
              <w:spacing w:before="0" w:after="0"/>
              <w:ind w:left="0" w:right="0"/>
              <w:rPr>
                <w:lang w:eastAsia="en-AU"/>
              </w:rPr>
            </w:pPr>
          </w:p>
        </w:tc>
      </w:tr>
      <w:tr w:rsidR="00E45705" w:rsidRPr="001B09E6" w14:paraId="3E0D99DF" w14:textId="77777777" w:rsidTr="00192ABE">
        <w:trPr>
          <w:trHeight w:val="300"/>
        </w:trPr>
        <w:tc>
          <w:tcPr>
            <w:tcW w:w="1033" w:type="pct"/>
            <w:tcBorders>
              <w:top w:val="nil"/>
              <w:left w:val="nil"/>
              <w:bottom w:val="nil"/>
              <w:right w:val="nil"/>
            </w:tcBorders>
            <w:shd w:val="clear" w:color="auto" w:fill="auto"/>
            <w:vAlign w:val="bottom"/>
            <w:hideMark/>
          </w:tcPr>
          <w:p w14:paraId="7E59C65D" w14:textId="77777777" w:rsidR="00E45705" w:rsidRPr="001B09E6" w:rsidRDefault="00E45705" w:rsidP="00E45705">
            <w:pPr>
              <w:pStyle w:val="TableCellText"/>
              <w:spacing w:before="0" w:after="0"/>
              <w:ind w:left="0" w:right="0"/>
              <w:rPr>
                <w:lang w:eastAsia="en-AU"/>
              </w:rPr>
            </w:pPr>
            <w:r w:rsidRPr="001B09E6">
              <w:rPr>
                <w:lang w:eastAsia="en-AU"/>
              </w:rPr>
              <w:t>Certificate IV</w:t>
            </w:r>
          </w:p>
        </w:tc>
        <w:tc>
          <w:tcPr>
            <w:tcW w:w="683" w:type="pct"/>
            <w:tcBorders>
              <w:top w:val="nil"/>
              <w:left w:val="nil"/>
              <w:bottom w:val="nil"/>
              <w:right w:val="nil"/>
            </w:tcBorders>
            <w:shd w:val="clear" w:color="auto" w:fill="auto"/>
            <w:vAlign w:val="bottom"/>
            <w:hideMark/>
          </w:tcPr>
          <w:p w14:paraId="551BC8DB" w14:textId="77777777" w:rsidR="00E45705" w:rsidRPr="001B09E6" w:rsidRDefault="00E45705" w:rsidP="00E45705">
            <w:pPr>
              <w:pStyle w:val="TableCellText"/>
              <w:spacing w:before="0" w:after="0"/>
              <w:ind w:left="0" w:right="0"/>
              <w:rPr>
                <w:lang w:eastAsia="en-AU"/>
              </w:rPr>
            </w:pPr>
            <w:r w:rsidRPr="001B09E6">
              <w:rPr>
                <w:lang w:eastAsia="en-AU"/>
              </w:rPr>
              <w:t>12</w:t>
            </w:r>
          </w:p>
        </w:tc>
        <w:tc>
          <w:tcPr>
            <w:tcW w:w="547" w:type="pct"/>
            <w:tcBorders>
              <w:top w:val="nil"/>
              <w:left w:val="nil"/>
              <w:bottom w:val="nil"/>
              <w:right w:val="nil"/>
            </w:tcBorders>
            <w:shd w:val="clear" w:color="auto" w:fill="auto"/>
            <w:vAlign w:val="bottom"/>
            <w:hideMark/>
          </w:tcPr>
          <w:p w14:paraId="25F56921" w14:textId="77777777" w:rsidR="00E45705" w:rsidRPr="001B09E6" w:rsidRDefault="00E45705" w:rsidP="00E45705">
            <w:pPr>
              <w:pStyle w:val="TableCellText"/>
              <w:spacing w:before="0" w:after="0"/>
              <w:ind w:left="0" w:right="0"/>
              <w:rPr>
                <w:lang w:eastAsia="en-AU"/>
              </w:rPr>
            </w:pPr>
            <w:r w:rsidRPr="001B09E6">
              <w:rPr>
                <w:lang w:eastAsia="en-AU"/>
              </w:rPr>
              <w:t>21</w:t>
            </w:r>
          </w:p>
        </w:tc>
        <w:tc>
          <w:tcPr>
            <w:tcW w:w="676" w:type="pct"/>
            <w:tcBorders>
              <w:top w:val="nil"/>
              <w:left w:val="nil"/>
              <w:bottom w:val="nil"/>
              <w:right w:val="nil"/>
            </w:tcBorders>
            <w:shd w:val="clear" w:color="auto" w:fill="auto"/>
            <w:vAlign w:val="bottom"/>
            <w:hideMark/>
          </w:tcPr>
          <w:p w14:paraId="52CEDC39" w14:textId="77777777" w:rsidR="00E45705" w:rsidRPr="001B09E6" w:rsidRDefault="00E45705" w:rsidP="00E45705">
            <w:pPr>
              <w:pStyle w:val="TableCellText"/>
              <w:spacing w:before="0" w:after="0"/>
              <w:ind w:left="0" w:right="0"/>
              <w:rPr>
                <w:lang w:eastAsia="en-AU"/>
              </w:rPr>
            </w:pPr>
            <w:r w:rsidRPr="001B09E6">
              <w:rPr>
                <w:lang w:eastAsia="en-AU"/>
              </w:rPr>
              <w:t>6</w:t>
            </w:r>
          </w:p>
        </w:tc>
        <w:tc>
          <w:tcPr>
            <w:tcW w:w="557" w:type="pct"/>
            <w:tcBorders>
              <w:top w:val="nil"/>
              <w:left w:val="nil"/>
              <w:bottom w:val="nil"/>
              <w:right w:val="nil"/>
            </w:tcBorders>
            <w:shd w:val="clear" w:color="auto" w:fill="auto"/>
            <w:vAlign w:val="bottom"/>
            <w:hideMark/>
          </w:tcPr>
          <w:p w14:paraId="64E34A40" w14:textId="77777777" w:rsidR="00E45705" w:rsidRPr="001B09E6" w:rsidRDefault="00E45705" w:rsidP="00E45705">
            <w:pPr>
              <w:pStyle w:val="TableCellText"/>
              <w:spacing w:before="0" w:after="0"/>
              <w:ind w:left="0" w:right="0"/>
              <w:rPr>
                <w:lang w:eastAsia="en-AU"/>
              </w:rPr>
            </w:pPr>
            <w:r w:rsidRPr="001B09E6">
              <w:rPr>
                <w:lang w:eastAsia="en-AU"/>
              </w:rPr>
              <w:t>57</w:t>
            </w:r>
          </w:p>
        </w:tc>
        <w:tc>
          <w:tcPr>
            <w:tcW w:w="494" w:type="pct"/>
            <w:tcBorders>
              <w:top w:val="nil"/>
              <w:left w:val="nil"/>
              <w:bottom w:val="nil"/>
              <w:right w:val="nil"/>
            </w:tcBorders>
            <w:shd w:val="clear" w:color="auto" w:fill="auto"/>
            <w:vAlign w:val="bottom"/>
            <w:hideMark/>
          </w:tcPr>
          <w:p w14:paraId="7EA46764"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nil"/>
              <w:left w:val="nil"/>
              <w:bottom w:val="nil"/>
              <w:right w:val="nil"/>
            </w:tcBorders>
            <w:shd w:val="clear" w:color="auto" w:fill="auto"/>
            <w:vAlign w:val="bottom"/>
            <w:hideMark/>
          </w:tcPr>
          <w:p w14:paraId="041F67FC"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43E4DD61" w14:textId="77777777" w:rsidR="00E45705" w:rsidRPr="001B09E6" w:rsidRDefault="00E45705" w:rsidP="00E45705">
            <w:pPr>
              <w:pStyle w:val="TableCellText"/>
              <w:spacing w:before="0" w:after="0"/>
              <w:ind w:left="0" w:right="0"/>
              <w:rPr>
                <w:lang w:eastAsia="en-AU"/>
              </w:rPr>
            </w:pPr>
          </w:p>
        </w:tc>
      </w:tr>
      <w:tr w:rsidR="00E45705" w:rsidRPr="001B09E6" w14:paraId="7A7C731E" w14:textId="77777777" w:rsidTr="00192ABE">
        <w:trPr>
          <w:trHeight w:val="300"/>
        </w:trPr>
        <w:tc>
          <w:tcPr>
            <w:tcW w:w="1033" w:type="pct"/>
            <w:tcBorders>
              <w:top w:val="nil"/>
              <w:left w:val="nil"/>
              <w:bottom w:val="nil"/>
              <w:right w:val="nil"/>
            </w:tcBorders>
            <w:shd w:val="clear" w:color="auto" w:fill="auto"/>
            <w:vAlign w:val="bottom"/>
            <w:hideMark/>
          </w:tcPr>
          <w:p w14:paraId="2AD4CC5E" w14:textId="77777777" w:rsidR="00E45705" w:rsidRPr="001B09E6" w:rsidRDefault="00E45705" w:rsidP="00E45705">
            <w:pPr>
              <w:pStyle w:val="TableCellText"/>
              <w:spacing w:before="0" w:after="0"/>
              <w:ind w:left="0" w:right="0"/>
              <w:rPr>
                <w:lang w:eastAsia="en-AU"/>
              </w:rPr>
            </w:pPr>
            <w:r w:rsidRPr="001B09E6">
              <w:rPr>
                <w:lang w:eastAsia="en-AU"/>
              </w:rPr>
              <w:t>Certificate III</w:t>
            </w:r>
          </w:p>
        </w:tc>
        <w:tc>
          <w:tcPr>
            <w:tcW w:w="683" w:type="pct"/>
            <w:tcBorders>
              <w:top w:val="nil"/>
              <w:left w:val="nil"/>
              <w:bottom w:val="nil"/>
              <w:right w:val="nil"/>
            </w:tcBorders>
            <w:shd w:val="clear" w:color="auto" w:fill="auto"/>
            <w:vAlign w:val="bottom"/>
            <w:hideMark/>
          </w:tcPr>
          <w:p w14:paraId="40B0E925"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47" w:type="pct"/>
            <w:tcBorders>
              <w:top w:val="nil"/>
              <w:left w:val="nil"/>
              <w:bottom w:val="nil"/>
              <w:right w:val="nil"/>
            </w:tcBorders>
            <w:shd w:val="clear" w:color="auto" w:fill="auto"/>
            <w:vAlign w:val="bottom"/>
            <w:hideMark/>
          </w:tcPr>
          <w:p w14:paraId="5DED16B8" w14:textId="77777777" w:rsidR="00E45705" w:rsidRPr="001B09E6" w:rsidRDefault="00E45705" w:rsidP="00E45705">
            <w:pPr>
              <w:pStyle w:val="TableCellText"/>
              <w:spacing w:before="0" w:after="0"/>
              <w:ind w:left="0" w:right="0"/>
              <w:rPr>
                <w:lang w:eastAsia="en-AU"/>
              </w:rPr>
            </w:pPr>
            <w:r w:rsidRPr="001B09E6">
              <w:rPr>
                <w:lang w:eastAsia="en-AU"/>
              </w:rPr>
              <w:t>15</w:t>
            </w:r>
          </w:p>
        </w:tc>
        <w:tc>
          <w:tcPr>
            <w:tcW w:w="676" w:type="pct"/>
            <w:tcBorders>
              <w:top w:val="nil"/>
              <w:left w:val="nil"/>
              <w:bottom w:val="nil"/>
              <w:right w:val="nil"/>
            </w:tcBorders>
            <w:shd w:val="clear" w:color="auto" w:fill="auto"/>
            <w:vAlign w:val="bottom"/>
            <w:hideMark/>
          </w:tcPr>
          <w:p w14:paraId="6B8D685C"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57" w:type="pct"/>
            <w:tcBorders>
              <w:top w:val="nil"/>
              <w:left w:val="nil"/>
              <w:bottom w:val="nil"/>
              <w:right w:val="nil"/>
            </w:tcBorders>
            <w:shd w:val="clear" w:color="auto" w:fill="auto"/>
            <w:vAlign w:val="bottom"/>
            <w:hideMark/>
          </w:tcPr>
          <w:p w14:paraId="2AE97142" w14:textId="77777777" w:rsidR="00E45705" w:rsidRPr="001B09E6" w:rsidRDefault="00E45705" w:rsidP="00E45705">
            <w:pPr>
              <w:pStyle w:val="TableCellText"/>
              <w:spacing w:before="0" w:after="0"/>
              <w:ind w:left="0" w:right="0"/>
              <w:rPr>
                <w:lang w:eastAsia="en-AU"/>
              </w:rPr>
            </w:pPr>
            <w:r w:rsidRPr="001B09E6">
              <w:rPr>
                <w:lang w:eastAsia="en-AU"/>
              </w:rPr>
              <w:t>69</w:t>
            </w:r>
          </w:p>
        </w:tc>
        <w:tc>
          <w:tcPr>
            <w:tcW w:w="494" w:type="pct"/>
            <w:tcBorders>
              <w:top w:val="nil"/>
              <w:left w:val="nil"/>
              <w:bottom w:val="nil"/>
              <w:right w:val="nil"/>
            </w:tcBorders>
            <w:shd w:val="clear" w:color="auto" w:fill="auto"/>
            <w:vAlign w:val="bottom"/>
            <w:hideMark/>
          </w:tcPr>
          <w:p w14:paraId="58AAB0BD"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nil"/>
              <w:left w:val="nil"/>
              <w:bottom w:val="nil"/>
              <w:right w:val="nil"/>
            </w:tcBorders>
            <w:shd w:val="clear" w:color="auto" w:fill="auto"/>
            <w:vAlign w:val="bottom"/>
            <w:hideMark/>
          </w:tcPr>
          <w:p w14:paraId="274B329B"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0AE12606" w14:textId="77777777" w:rsidR="00E45705" w:rsidRPr="001B09E6" w:rsidRDefault="00E45705" w:rsidP="00E45705">
            <w:pPr>
              <w:pStyle w:val="TableCellText"/>
              <w:spacing w:before="0" w:after="0"/>
              <w:ind w:left="0" w:right="0"/>
              <w:rPr>
                <w:lang w:eastAsia="en-AU"/>
              </w:rPr>
            </w:pPr>
          </w:p>
        </w:tc>
      </w:tr>
      <w:tr w:rsidR="00E45705" w:rsidRPr="001B09E6" w14:paraId="317FAFB1" w14:textId="77777777" w:rsidTr="00192ABE">
        <w:trPr>
          <w:trHeight w:val="300"/>
        </w:trPr>
        <w:tc>
          <w:tcPr>
            <w:tcW w:w="1033" w:type="pct"/>
            <w:tcBorders>
              <w:top w:val="nil"/>
              <w:left w:val="nil"/>
              <w:bottom w:val="nil"/>
              <w:right w:val="nil"/>
            </w:tcBorders>
            <w:shd w:val="clear" w:color="auto" w:fill="auto"/>
            <w:vAlign w:val="bottom"/>
            <w:hideMark/>
          </w:tcPr>
          <w:p w14:paraId="135935EB" w14:textId="77777777" w:rsidR="00E45705" w:rsidRPr="001B09E6" w:rsidRDefault="00E45705" w:rsidP="00E45705">
            <w:pPr>
              <w:pStyle w:val="TableCellText"/>
              <w:spacing w:before="0" w:after="0"/>
              <w:ind w:left="0" w:right="0"/>
              <w:rPr>
                <w:lang w:eastAsia="en-AU"/>
              </w:rPr>
            </w:pPr>
            <w:r w:rsidRPr="001B09E6">
              <w:rPr>
                <w:lang w:eastAsia="en-AU"/>
              </w:rPr>
              <w:t>Certificate II</w:t>
            </w:r>
          </w:p>
        </w:tc>
        <w:tc>
          <w:tcPr>
            <w:tcW w:w="683" w:type="pct"/>
            <w:tcBorders>
              <w:top w:val="nil"/>
              <w:left w:val="nil"/>
              <w:bottom w:val="nil"/>
              <w:right w:val="nil"/>
            </w:tcBorders>
            <w:shd w:val="clear" w:color="auto" w:fill="auto"/>
            <w:vAlign w:val="bottom"/>
            <w:hideMark/>
          </w:tcPr>
          <w:p w14:paraId="60764120"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47" w:type="pct"/>
            <w:tcBorders>
              <w:top w:val="nil"/>
              <w:left w:val="nil"/>
              <w:bottom w:val="nil"/>
              <w:right w:val="nil"/>
            </w:tcBorders>
            <w:shd w:val="clear" w:color="auto" w:fill="auto"/>
            <w:vAlign w:val="bottom"/>
            <w:hideMark/>
          </w:tcPr>
          <w:p w14:paraId="33AD50C7" w14:textId="77777777" w:rsidR="00E45705" w:rsidRPr="001B09E6" w:rsidRDefault="00E45705" w:rsidP="00E45705">
            <w:pPr>
              <w:pStyle w:val="TableCellText"/>
              <w:spacing w:before="0" w:after="0"/>
              <w:ind w:left="0" w:right="0"/>
              <w:rPr>
                <w:lang w:eastAsia="en-AU"/>
              </w:rPr>
            </w:pPr>
            <w:r w:rsidRPr="001B09E6">
              <w:rPr>
                <w:lang w:eastAsia="en-AU"/>
              </w:rPr>
              <w:t>18</w:t>
            </w:r>
          </w:p>
        </w:tc>
        <w:tc>
          <w:tcPr>
            <w:tcW w:w="676" w:type="pct"/>
            <w:tcBorders>
              <w:top w:val="nil"/>
              <w:left w:val="nil"/>
              <w:bottom w:val="nil"/>
              <w:right w:val="nil"/>
            </w:tcBorders>
            <w:shd w:val="clear" w:color="auto" w:fill="auto"/>
            <w:vAlign w:val="bottom"/>
            <w:hideMark/>
          </w:tcPr>
          <w:p w14:paraId="1B00A834" w14:textId="77777777" w:rsidR="00E45705" w:rsidRPr="001B09E6" w:rsidRDefault="00E45705" w:rsidP="00E45705">
            <w:pPr>
              <w:pStyle w:val="TableCellText"/>
              <w:spacing w:before="0" w:after="0"/>
              <w:ind w:left="0" w:right="0"/>
              <w:rPr>
                <w:lang w:eastAsia="en-AU"/>
              </w:rPr>
            </w:pPr>
            <w:r w:rsidRPr="001B09E6">
              <w:rPr>
                <w:lang w:eastAsia="en-AU"/>
              </w:rPr>
              <w:t>9</w:t>
            </w:r>
          </w:p>
        </w:tc>
        <w:tc>
          <w:tcPr>
            <w:tcW w:w="557" w:type="pct"/>
            <w:tcBorders>
              <w:top w:val="nil"/>
              <w:left w:val="nil"/>
              <w:bottom w:val="nil"/>
              <w:right w:val="nil"/>
            </w:tcBorders>
            <w:shd w:val="clear" w:color="auto" w:fill="auto"/>
            <w:vAlign w:val="bottom"/>
            <w:hideMark/>
          </w:tcPr>
          <w:p w14:paraId="0341986E" w14:textId="77777777" w:rsidR="00E45705" w:rsidRPr="001B09E6" w:rsidRDefault="00E45705" w:rsidP="00E45705">
            <w:pPr>
              <w:pStyle w:val="TableCellText"/>
              <w:spacing w:before="0" w:after="0"/>
              <w:ind w:left="0" w:right="0"/>
              <w:rPr>
                <w:lang w:eastAsia="en-AU"/>
              </w:rPr>
            </w:pPr>
            <w:r w:rsidRPr="001B09E6">
              <w:rPr>
                <w:lang w:eastAsia="en-AU"/>
              </w:rPr>
              <w:t>62</w:t>
            </w:r>
          </w:p>
        </w:tc>
        <w:tc>
          <w:tcPr>
            <w:tcW w:w="494" w:type="pct"/>
            <w:tcBorders>
              <w:top w:val="nil"/>
              <w:left w:val="nil"/>
              <w:bottom w:val="nil"/>
              <w:right w:val="nil"/>
            </w:tcBorders>
            <w:shd w:val="clear" w:color="auto" w:fill="auto"/>
            <w:vAlign w:val="bottom"/>
            <w:hideMark/>
          </w:tcPr>
          <w:p w14:paraId="068156A8"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nil"/>
              <w:left w:val="nil"/>
              <w:bottom w:val="nil"/>
              <w:right w:val="nil"/>
            </w:tcBorders>
            <w:shd w:val="clear" w:color="auto" w:fill="auto"/>
            <w:vAlign w:val="bottom"/>
            <w:hideMark/>
          </w:tcPr>
          <w:p w14:paraId="2AE62255"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59BFE34C" w14:textId="77777777" w:rsidR="00E45705" w:rsidRPr="001B09E6" w:rsidRDefault="00E45705" w:rsidP="00E45705">
            <w:pPr>
              <w:pStyle w:val="TableCellText"/>
              <w:spacing w:before="0" w:after="0"/>
              <w:ind w:left="0" w:right="0"/>
              <w:rPr>
                <w:lang w:eastAsia="en-AU"/>
              </w:rPr>
            </w:pPr>
          </w:p>
        </w:tc>
      </w:tr>
      <w:tr w:rsidR="00E45705" w:rsidRPr="001B09E6" w14:paraId="23BEA512" w14:textId="77777777" w:rsidTr="00192ABE">
        <w:trPr>
          <w:trHeight w:val="300"/>
        </w:trPr>
        <w:tc>
          <w:tcPr>
            <w:tcW w:w="1033" w:type="pct"/>
            <w:tcBorders>
              <w:top w:val="nil"/>
              <w:left w:val="nil"/>
              <w:bottom w:val="nil"/>
              <w:right w:val="nil"/>
            </w:tcBorders>
            <w:shd w:val="clear" w:color="auto" w:fill="auto"/>
            <w:vAlign w:val="bottom"/>
            <w:hideMark/>
          </w:tcPr>
          <w:p w14:paraId="0A83E9A1" w14:textId="77777777" w:rsidR="00E45705" w:rsidRPr="001B09E6" w:rsidRDefault="00E45705" w:rsidP="00E45705">
            <w:pPr>
              <w:pStyle w:val="TableCellText"/>
              <w:spacing w:before="0" w:after="0"/>
              <w:ind w:left="0" w:right="0"/>
              <w:rPr>
                <w:lang w:eastAsia="en-AU"/>
              </w:rPr>
            </w:pPr>
            <w:r w:rsidRPr="001B09E6">
              <w:rPr>
                <w:lang w:eastAsia="en-AU"/>
              </w:rPr>
              <w:t>Certificate I</w:t>
            </w:r>
          </w:p>
        </w:tc>
        <w:tc>
          <w:tcPr>
            <w:tcW w:w="683" w:type="pct"/>
            <w:tcBorders>
              <w:top w:val="nil"/>
              <w:left w:val="nil"/>
              <w:bottom w:val="nil"/>
              <w:right w:val="nil"/>
            </w:tcBorders>
            <w:shd w:val="clear" w:color="auto" w:fill="auto"/>
            <w:vAlign w:val="bottom"/>
            <w:hideMark/>
          </w:tcPr>
          <w:p w14:paraId="01A66E2E" w14:textId="77777777" w:rsidR="00E45705" w:rsidRPr="001B09E6" w:rsidRDefault="00E45705" w:rsidP="00E45705">
            <w:pPr>
              <w:pStyle w:val="TableCellText"/>
              <w:spacing w:before="0" w:after="0"/>
              <w:ind w:left="0" w:right="0"/>
              <w:rPr>
                <w:lang w:eastAsia="en-AU"/>
              </w:rPr>
            </w:pPr>
            <w:r w:rsidRPr="001B09E6">
              <w:rPr>
                <w:lang w:eastAsia="en-AU"/>
              </w:rPr>
              <w:t>6</w:t>
            </w:r>
          </w:p>
        </w:tc>
        <w:tc>
          <w:tcPr>
            <w:tcW w:w="547" w:type="pct"/>
            <w:tcBorders>
              <w:top w:val="nil"/>
              <w:left w:val="nil"/>
              <w:bottom w:val="nil"/>
              <w:right w:val="nil"/>
            </w:tcBorders>
            <w:shd w:val="clear" w:color="auto" w:fill="auto"/>
            <w:vAlign w:val="bottom"/>
            <w:hideMark/>
          </w:tcPr>
          <w:p w14:paraId="68DD8006" w14:textId="77777777" w:rsidR="00E45705" w:rsidRPr="001B09E6" w:rsidRDefault="00E45705" w:rsidP="00E45705">
            <w:pPr>
              <w:pStyle w:val="TableCellText"/>
              <w:spacing w:before="0" w:after="0"/>
              <w:ind w:left="0" w:right="0"/>
              <w:rPr>
                <w:lang w:eastAsia="en-AU"/>
              </w:rPr>
            </w:pPr>
            <w:r w:rsidRPr="001B09E6">
              <w:rPr>
                <w:lang w:eastAsia="en-AU"/>
              </w:rPr>
              <w:t>16</w:t>
            </w:r>
          </w:p>
        </w:tc>
        <w:tc>
          <w:tcPr>
            <w:tcW w:w="676" w:type="pct"/>
            <w:tcBorders>
              <w:top w:val="nil"/>
              <w:left w:val="nil"/>
              <w:bottom w:val="nil"/>
              <w:right w:val="nil"/>
            </w:tcBorders>
            <w:shd w:val="clear" w:color="auto" w:fill="auto"/>
            <w:vAlign w:val="bottom"/>
            <w:hideMark/>
          </w:tcPr>
          <w:p w14:paraId="1485518E" w14:textId="77777777" w:rsidR="00E45705" w:rsidRPr="001B09E6" w:rsidRDefault="00E45705" w:rsidP="00E45705">
            <w:pPr>
              <w:pStyle w:val="TableCellText"/>
              <w:spacing w:before="0" w:after="0"/>
              <w:ind w:left="0" w:right="0"/>
              <w:rPr>
                <w:lang w:eastAsia="en-AU"/>
              </w:rPr>
            </w:pPr>
            <w:r w:rsidRPr="001B09E6">
              <w:rPr>
                <w:lang w:eastAsia="en-AU"/>
              </w:rPr>
              <w:t>10</w:t>
            </w:r>
          </w:p>
        </w:tc>
        <w:tc>
          <w:tcPr>
            <w:tcW w:w="557" w:type="pct"/>
            <w:tcBorders>
              <w:top w:val="nil"/>
              <w:left w:val="nil"/>
              <w:bottom w:val="nil"/>
              <w:right w:val="nil"/>
            </w:tcBorders>
            <w:shd w:val="clear" w:color="auto" w:fill="auto"/>
            <w:vAlign w:val="bottom"/>
            <w:hideMark/>
          </w:tcPr>
          <w:p w14:paraId="59967EB0" w14:textId="77777777" w:rsidR="00E45705" w:rsidRPr="001B09E6" w:rsidRDefault="00E45705" w:rsidP="00E45705">
            <w:pPr>
              <w:pStyle w:val="TableCellText"/>
              <w:spacing w:before="0" w:after="0"/>
              <w:ind w:left="0" w:right="0"/>
              <w:rPr>
                <w:lang w:eastAsia="en-AU"/>
              </w:rPr>
            </w:pPr>
            <w:r w:rsidRPr="001B09E6">
              <w:rPr>
                <w:lang w:eastAsia="en-AU"/>
              </w:rPr>
              <w:t>64</w:t>
            </w:r>
          </w:p>
        </w:tc>
        <w:tc>
          <w:tcPr>
            <w:tcW w:w="494" w:type="pct"/>
            <w:tcBorders>
              <w:top w:val="nil"/>
              <w:left w:val="nil"/>
              <w:bottom w:val="nil"/>
              <w:right w:val="nil"/>
            </w:tcBorders>
            <w:shd w:val="clear" w:color="auto" w:fill="auto"/>
            <w:vAlign w:val="bottom"/>
            <w:hideMark/>
          </w:tcPr>
          <w:p w14:paraId="7D87186D"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nil"/>
              <w:left w:val="nil"/>
              <w:bottom w:val="nil"/>
              <w:right w:val="nil"/>
            </w:tcBorders>
            <w:shd w:val="clear" w:color="auto" w:fill="auto"/>
            <w:vAlign w:val="bottom"/>
            <w:hideMark/>
          </w:tcPr>
          <w:p w14:paraId="42C0FC6B"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00A0613A" w14:textId="77777777" w:rsidR="00E45705" w:rsidRPr="001B09E6" w:rsidRDefault="00E45705" w:rsidP="00E45705">
            <w:pPr>
              <w:pStyle w:val="TableCellText"/>
              <w:spacing w:before="0" w:after="0"/>
              <w:ind w:left="0" w:right="0"/>
              <w:rPr>
                <w:lang w:eastAsia="en-AU"/>
              </w:rPr>
            </w:pPr>
          </w:p>
        </w:tc>
      </w:tr>
      <w:tr w:rsidR="00E45705" w:rsidRPr="001B09E6" w14:paraId="31D8B013" w14:textId="77777777" w:rsidTr="00192ABE">
        <w:trPr>
          <w:trHeight w:val="300"/>
        </w:trPr>
        <w:tc>
          <w:tcPr>
            <w:tcW w:w="1033" w:type="pct"/>
            <w:tcBorders>
              <w:top w:val="nil"/>
              <w:left w:val="nil"/>
              <w:bottom w:val="nil"/>
              <w:right w:val="nil"/>
            </w:tcBorders>
            <w:shd w:val="clear" w:color="auto" w:fill="auto"/>
            <w:vAlign w:val="bottom"/>
            <w:hideMark/>
          </w:tcPr>
          <w:p w14:paraId="63CF6374" w14:textId="77777777" w:rsidR="00E45705" w:rsidRPr="001B09E6" w:rsidRDefault="00E45705" w:rsidP="00E45705">
            <w:pPr>
              <w:pStyle w:val="TableCellText"/>
              <w:spacing w:before="0" w:after="0"/>
              <w:ind w:left="0" w:right="0"/>
              <w:rPr>
                <w:lang w:eastAsia="en-AU"/>
              </w:rPr>
            </w:pPr>
            <w:r w:rsidRPr="001B09E6">
              <w:rPr>
                <w:lang w:eastAsia="en-AU"/>
              </w:rPr>
              <w:t>Other</w:t>
            </w:r>
          </w:p>
        </w:tc>
        <w:tc>
          <w:tcPr>
            <w:tcW w:w="683" w:type="pct"/>
            <w:tcBorders>
              <w:top w:val="nil"/>
              <w:left w:val="nil"/>
              <w:bottom w:val="nil"/>
              <w:right w:val="nil"/>
            </w:tcBorders>
            <w:shd w:val="clear" w:color="auto" w:fill="auto"/>
            <w:vAlign w:val="bottom"/>
            <w:hideMark/>
          </w:tcPr>
          <w:p w14:paraId="26273C29" w14:textId="77777777" w:rsidR="00E45705" w:rsidRPr="001B09E6" w:rsidRDefault="00E45705" w:rsidP="00E45705">
            <w:pPr>
              <w:pStyle w:val="TableCellText"/>
              <w:spacing w:before="0" w:after="0"/>
              <w:ind w:left="0" w:right="0"/>
              <w:rPr>
                <w:lang w:eastAsia="en-AU"/>
              </w:rPr>
            </w:pPr>
            <w:r w:rsidRPr="001B09E6">
              <w:rPr>
                <w:lang w:eastAsia="en-AU"/>
              </w:rPr>
              <w:t>10</w:t>
            </w:r>
          </w:p>
        </w:tc>
        <w:tc>
          <w:tcPr>
            <w:tcW w:w="547" w:type="pct"/>
            <w:tcBorders>
              <w:top w:val="nil"/>
              <w:left w:val="nil"/>
              <w:bottom w:val="nil"/>
              <w:right w:val="nil"/>
            </w:tcBorders>
            <w:shd w:val="clear" w:color="auto" w:fill="auto"/>
            <w:vAlign w:val="bottom"/>
            <w:hideMark/>
          </w:tcPr>
          <w:p w14:paraId="4A3BB8FA" w14:textId="77777777" w:rsidR="00E45705" w:rsidRPr="001B09E6" w:rsidRDefault="00E45705" w:rsidP="00E45705">
            <w:pPr>
              <w:pStyle w:val="TableCellText"/>
              <w:spacing w:before="0" w:after="0"/>
              <w:ind w:left="0" w:right="0"/>
              <w:rPr>
                <w:lang w:eastAsia="en-AU"/>
              </w:rPr>
            </w:pPr>
            <w:r w:rsidRPr="001B09E6">
              <w:rPr>
                <w:lang w:eastAsia="en-AU"/>
              </w:rPr>
              <w:t>10</w:t>
            </w:r>
          </w:p>
        </w:tc>
        <w:tc>
          <w:tcPr>
            <w:tcW w:w="676" w:type="pct"/>
            <w:tcBorders>
              <w:top w:val="nil"/>
              <w:left w:val="nil"/>
              <w:bottom w:val="nil"/>
              <w:right w:val="nil"/>
            </w:tcBorders>
            <w:shd w:val="clear" w:color="auto" w:fill="auto"/>
            <w:vAlign w:val="bottom"/>
            <w:hideMark/>
          </w:tcPr>
          <w:p w14:paraId="70341E9E" w14:textId="77777777" w:rsidR="00E45705" w:rsidRPr="001B09E6" w:rsidRDefault="00E45705" w:rsidP="00E45705">
            <w:pPr>
              <w:pStyle w:val="TableCellText"/>
              <w:spacing w:before="0" w:after="0"/>
              <w:ind w:left="0" w:right="0"/>
              <w:rPr>
                <w:lang w:eastAsia="en-AU"/>
              </w:rPr>
            </w:pPr>
            <w:r w:rsidRPr="001B09E6">
              <w:rPr>
                <w:lang w:eastAsia="en-AU"/>
              </w:rPr>
              <w:t>3</w:t>
            </w:r>
          </w:p>
        </w:tc>
        <w:tc>
          <w:tcPr>
            <w:tcW w:w="557" w:type="pct"/>
            <w:tcBorders>
              <w:top w:val="nil"/>
              <w:left w:val="nil"/>
              <w:bottom w:val="nil"/>
              <w:right w:val="nil"/>
            </w:tcBorders>
            <w:shd w:val="clear" w:color="auto" w:fill="auto"/>
            <w:vAlign w:val="bottom"/>
            <w:hideMark/>
          </w:tcPr>
          <w:p w14:paraId="1A877E66" w14:textId="77777777" w:rsidR="00E45705" w:rsidRPr="001B09E6" w:rsidRDefault="00E45705" w:rsidP="00E45705">
            <w:pPr>
              <w:pStyle w:val="TableCellText"/>
              <w:spacing w:before="0" w:after="0"/>
              <w:ind w:left="0" w:right="0"/>
              <w:rPr>
                <w:lang w:eastAsia="en-AU"/>
              </w:rPr>
            </w:pPr>
            <w:r w:rsidRPr="001B09E6">
              <w:rPr>
                <w:lang w:eastAsia="en-AU"/>
              </w:rPr>
              <w:t>72</w:t>
            </w:r>
          </w:p>
        </w:tc>
        <w:tc>
          <w:tcPr>
            <w:tcW w:w="494" w:type="pct"/>
            <w:tcBorders>
              <w:top w:val="nil"/>
              <w:left w:val="nil"/>
              <w:bottom w:val="nil"/>
              <w:right w:val="nil"/>
            </w:tcBorders>
            <w:shd w:val="clear" w:color="auto" w:fill="auto"/>
            <w:vAlign w:val="bottom"/>
            <w:hideMark/>
          </w:tcPr>
          <w:p w14:paraId="5B08D137" w14:textId="77777777" w:rsidR="00E45705" w:rsidRPr="001B09E6" w:rsidRDefault="00E45705" w:rsidP="00E45705">
            <w:pPr>
              <w:pStyle w:val="TableCellText"/>
              <w:spacing w:before="0" w:after="0"/>
              <w:ind w:left="0" w:right="0"/>
              <w:rPr>
                <w:lang w:eastAsia="en-AU"/>
              </w:rPr>
            </w:pPr>
            <w:r w:rsidRPr="001B09E6">
              <w:rPr>
                <w:lang w:eastAsia="en-AU"/>
              </w:rPr>
              <w:t>5</w:t>
            </w:r>
          </w:p>
        </w:tc>
        <w:tc>
          <w:tcPr>
            <w:tcW w:w="592" w:type="pct"/>
            <w:tcBorders>
              <w:top w:val="nil"/>
              <w:left w:val="nil"/>
              <w:bottom w:val="nil"/>
              <w:right w:val="nil"/>
            </w:tcBorders>
            <w:shd w:val="clear" w:color="auto" w:fill="auto"/>
            <w:vAlign w:val="bottom"/>
            <w:hideMark/>
          </w:tcPr>
          <w:p w14:paraId="7C4F13BA"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00B4C43B" w14:textId="77777777" w:rsidR="00E45705" w:rsidRPr="001B09E6" w:rsidRDefault="00E45705" w:rsidP="00E45705">
            <w:pPr>
              <w:pStyle w:val="TableCellText"/>
              <w:spacing w:before="0" w:after="0"/>
              <w:ind w:left="0" w:right="0"/>
              <w:rPr>
                <w:lang w:eastAsia="en-AU"/>
              </w:rPr>
            </w:pPr>
          </w:p>
        </w:tc>
      </w:tr>
      <w:tr w:rsidR="00E45705" w:rsidRPr="001B09E6" w14:paraId="3D814E2A" w14:textId="77777777" w:rsidTr="00192ABE">
        <w:trPr>
          <w:trHeight w:val="465"/>
        </w:trPr>
        <w:tc>
          <w:tcPr>
            <w:tcW w:w="1033" w:type="pct"/>
            <w:tcBorders>
              <w:top w:val="nil"/>
              <w:left w:val="nil"/>
              <w:bottom w:val="nil"/>
              <w:right w:val="nil"/>
            </w:tcBorders>
            <w:shd w:val="clear" w:color="auto" w:fill="auto"/>
            <w:vAlign w:val="bottom"/>
            <w:hideMark/>
          </w:tcPr>
          <w:p w14:paraId="60E79BEC" w14:textId="77777777" w:rsidR="00E45705" w:rsidRPr="001B09E6" w:rsidRDefault="00E45705" w:rsidP="00E45705">
            <w:pPr>
              <w:pStyle w:val="TableCellText"/>
              <w:spacing w:before="0" w:after="0"/>
              <w:ind w:left="0" w:right="0"/>
              <w:rPr>
                <w:lang w:eastAsia="en-AU"/>
              </w:rPr>
            </w:pPr>
            <w:r w:rsidRPr="001B09E6">
              <w:rPr>
                <w:lang w:eastAsia="en-AU"/>
              </w:rPr>
              <w:t>Statement of Attainment</w:t>
            </w:r>
          </w:p>
        </w:tc>
        <w:tc>
          <w:tcPr>
            <w:tcW w:w="683" w:type="pct"/>
            <w:tcBorders>
              <w:top w:val="nil"/>
              <w:left w:val="nil"/>
              <w:bottom w:val="nil"/>
              <w:right w:val="nil"/>
            </w:tcBorders>
            <w:shd w:val="clear" w:color="auto" w:fill="auto"/>
            <w:vAlign w:val="bottom"/>
            <w:hideMark/>
          </w:tcPr>
          <w:p w14:paraId="30559BF7" w14:textId="77777777" w:rsidR="00E45705" w:rsidRPr="001B09E6" w:rsidRDefault="00E45705" w:rsidP="00E45705">
            <w:pPr>
              <w:pStyle w:val="TableCellText"/>
              <w:spacing w:before="0" w:after="0"/>
              <w:ind w:left="0" w:right="0"/>
              <w:rPr>
                <w:lang w:eastAsia="en-AU"/>
              </w:rPr>
            </w:pPr>
            <w:r w:rsidRPr="001B09E6">
              <w:rPr>
                <w:lang w:eastAsia="en-AU"/>
              </w:rPr>
              <w:t>9</w:t>
            </w:r>
          </w:p>
        </w:tc>
        <w:tc>
          <w:tcPr>
            <w:tcW w:w="547" w:type="pct"/>
            <w:tcBorders>
              <w:top w:val="nil"/>
              <w:left w:val="nil"/>
              <w:bottom w:val="nil"/>
              <w:right w:val="nil"/>
            </w:tcBorders>
            <w:shd w:val="clear" w:color="auto" w:fill="auto"/>
            <w:vAlign w:val="bottom"/>
            <w:hideMark/>
          </w:tcPr>
          <w:p w14:paraId="5F4D3230" w14:textId="77777777" w:rsidR="00E45705" w:rsidRPr="001B09E6" w:rsidRDefault="00E45705" w:rsidP="00E45705">
            <w:pPr>
              <w:pStyle w:val="TableCellText"/>
              <w:spacing w:before="0" w:after="0"/>
              <w:ind w:left="0" w:right="0"/>
              <w:rPr>
                <w:lang w:eastAsia="en-AU"/>
              </w:rPr>
            </w:pPr>
            <w:r w:rsidRPr="001B09E6">
              <w:rPr>
                <w:lang w:eastAsia="en-AU"/>
              </w:rPr>
              <w:t>9</w:t>
            </w:r>
          </w:p>
        </w:tc>
        <w:tc>
          <w:tcPr>
            <w:tcW w:w="676" w:type="pct"/>
            <w:tcBorders>
              <w:top w:val="nil"/>
              <w:left w:val="nil"/>
              <w:bottom w:val="nil"/>
              <w:right w:val="nil"/>
            </w:tcBorders>
            <w:shd w:val="clear" w:color="auto" w:fill="auto"/>
            <w:vAlign w:val="bottom"/>
            <w:hideMark/>
          </w:tcPr>
          <w:p w14:paraId="2F8B4503"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57" w:type="pct"/>
            <w:tcBorders>
              <w:top w:val="nil"/>
              <w:left w:val="nil"/>
              <w:bottom w:val="nil"/>
              <w:right w:val="nil"/>
            </w:tcBorders>
            <w:shd w:val="clear" w:color="auto" w:fill="auto"/>
            <w:vAlign w:val="bottom"/>
            <w:hideMark/>
          </w:tcPr>
          <w:p w14:paraId="0CE35B4F" w14:textId="77777777" w:rsidR="00E45705" w:rsidRPr="001B09E6" w:rsidRDefault="00E45705" w:rsidP="00E45705">
            <w:pPr>
              <w:pStyle w:val="TableCellText"/>
              <w:spacing w:before="0" w:after="0"/>
              <w:ind w:left="0" w:right="0"/>
              <w:rPr>
                <w:lang w:eastAsia="en-AU"/>
              </w:rPr>
            </w:pPr>
            <w:r w:rsidRPr="001B09E6">
              <w:rPr>
                <w:lang w:eastAsia="en-AU"/>
              </w:rPr>
              <w:t>72</w:t>
            </w:r>
          </w:p>
        </w:tc>
        <w:tc>
          <w:tcPr>
            <w:tcW w:w="494" w:type="pct"/>
            <w:tcBorders>
              <w:top w:val="nil"/>
              <w:left w:val="nil"/>
              <w:bottom w:val="nil"/>
              <w:right w:val="nil"/>
            </w:tcBorders>
            <w:shd w:val="clear" w:color="auto" w:fill="auto"/>
            <w:vAlign w:val="bottom"/>
            <w:hideMark/>
          </w:tcPr>
          <w:p w14:paraId="0932A9AA"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92" w:type="pct"/>
            <w:tcBorders>
              <w:top w:val="nil"/>
              <w:left w:val="nil"/>
              <w:bottom w:val="nil"/>
              <w:right w:val="nil"/>
            </w:tcBorders>
            <w:shd w:val="clear" w:color="auto" w:fill="auto"/>
            <w:vAlign w:val="bottom"/>
            <w:hideMark/>
          </w:tcPr>
          <w:p w14:paraId="77A38891"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57BB0A27" w14:textId="77777777" w:rsidR="00E45705" w:rsidRPr="001B09E6" w:rsidRDefault="00E45705" w:rsidP="00E45705">
            <w:pPr>
              <w:pStyle w:val="TableCellText"/>
              <w:spacing w:before="0" w:after="0"/>
              <w:ind w:left="0" w:right="0"/>
              <w:rPr>
                <w:lang w:eastAsia="en-AU"/>
              </w:rPr>
            </w:pPr>
          </w:p>
        </w:tc>
      </w:tr>
      <w:tr w:rsidR="00E45705" w:rsidRPr="001B09E6" w14:paraId="22C8FC50" w14:textId="77777777" w:rsidTr="00192ABE">
        <w:trPr>
          <w:trHeight w:val="465"/>
        </w:trPr>
        <w:tc>
          <w:tcPr>
            <w:tcW w:w="1033" w:type="pct"/>
            <w:tcBorders>
              <w:top w:val="nil"/>
              <w:left w:val="nil"/>
              <w:bottom w:val="nil"/>
              <w:right w:val="nil"/>
            </w:tcBorders>
            <w:shd w:val="clear" w:color="auto" w:fill="auto"/>
            <w:vAlign w:val="bottom"/>
            <w:hideMark/>
          </w:tcPr>
          <w:p w14:paraId="24A06C7D" w14:textId="77777777" w:rsidR="00E45705" w:rsidRPr="001B09E6" w:rsidRDefault="00E45705" w:rsidP="00E45705">
            <w:pPr>
              <w:pStyle w:val="TableCellText"/>
              <w:spacing w:before="0" w:after="0"/>
              <w:ind w:left="0" w:right="0"/>
              <w:rPr>
                <w:lang w:eastAsia="en-AU"/>
              </w:rPr>
            </w:pPr>
            <w:r w:rsidRPr="001B09E6">
              <w:rPr>
                <w:lang w:eastAsia="en-AU"/>
              </w:rPr>
              <w:t>Subject only enrolment</w:t>
            </w:r>
          </w:p>
        </w:tc>
        <w:tc>
          <w:tcPr>
            <w:tcW w:w="683" w:type="pct"/>
            <w:tcBorders>
              <w:top w:val="nil"/>
              <w:left w:val="nil"/>
              <w:bottom w:val="nil"/>
              <w:right w:val="nil"/>
            </w:tcBorders>
            <w:shd w:val="clear" w:color="auto" w:fill="auto"/>
            <w:vAlign w:val="bottom"/>
            <w:hideMark/>
          </w:tcPr>
          <w:p w14:paraId="396EB8F9" w14:textId="77777777" w:rsidR="00E45705" w:rsidRPr="001B09E6" w:rsidRDefault="00E45705" w:rsidP="00E45705">
            <w:pPr>
              <w:pStyle w:val="TableCellText"/>
              <w:spacing w:before="0" w:after="0"/>
              <w:ind w:left="0" w:right="0"/>
              <w:rPr>
                <w:lang w:eastAsia="en-AU"/>
              </w:rPr>
            </w:pPr>
            <w:r w:rsidRPr="001B09E6">
              <w:rPr>
                <w:lang w:eastAsia="en-AU"/>
              </w:rPr>
              <w:t>11</w:t>
            </w:r>
          </w:p>
        </w:tc>
        <w:tc>
          <w:tcPr>
            <w:tcW w:w="547" w:type="pct"/>
            <w:tcBorders>
              <w:top w:val="nil"/>
              <w:left w:val="nil"/>
              <w:bottom w:val="nil"/>
              <w:right w:val="nil"/>
            </w:tcBorders>
            <w:shd w:val="clear" w:color="auto" w:fill="auto"/>
            <w:vAlign w:val="bottom"/>
            <w:hideMark/>
          </w:tcPr>
          <w:p w14:paraId="67BAFFD2" w14:textId="77777777" w:rsidR="00E45705" w:rsidRPr="001B09E6" w:rsidRDefault="00E45705" w:rsidP="00E45705">
            <w:pPr>
              <w:pStyle w:val="TableCellText"/>
              <w:spacing w:before="0" w:after="0"/>
              <w:ind w:left="0" w:right="0"/>
              <w:rPr>
                <w:lang w:eastAsia="en-AU"/>
              </w:rPr>
            </w:pPr>
            <w:r w:rsidRPr="001B09E6">
              <w:rPr>
                <w:lang w:eastAsia="en-AU"/>
              </w:rPr>
              <w:t>16</w:t>
            </w:r>
          </w:p>
        </w:tc>
        <w:tc>
          <w:tcPr>
            <w:tcW w:w="676" w:type="pct"/>
            <w:tcBorders>
              <w:top w:val="nil"/>
              <w:left w:val="nil"/>
              <w:bottom w:val="nil"/>
              <w:right w:val="nil"/>
            </w:tcBorders>
            <w:shd w:val="clear" w:color="auto" w:fill="auto"/>
            <w:vAlign w:val="bottom"/>
            <w:hideMark/>
          </w:tcPr>
          <w:p w14:paraId="0BF5138D" w14:textId="77777777" w:rsidR="00E45705" w:rsidRPr="001B09E6" w:rsidRDefault="00E45705" w:rsidP="00E45705">
            <w:pPr>
              <w:pStyle w:val="TableCellText"/>
              <w:spacing w:before="0" w:after="0"/>
              <w:ind w:left="0" w:right="0"/>
              <w:rPr>
                <w:lang w:eastAsia="en-AU"/>
              </w:rPr>
            </w:pPr>
            <w:r w:rsidRPr="001B09E6">
              <w:rPr>
                <w:lang w:eastAsia="en-AU"/>
              </w:rPr>
              <w:t>5</w:t>
            </w:r>
          </w:p>
        </w:tc>
        <w:tc>
          <w:tcPr>
            <w:tcW w:w="557" w:type="pct"/>
            <w:tcBorders>
              <w:top w:val="nil"/>
              <w:left w:val="nil"/>
              <w:bottom w:val="nil"/>
              <w:right w:val="nil"/>
            </w:tcBorders>
            <w:shd w:val="clear" w:color="auto" w:fill="auto"/>
            <w:vAlign w:val="bottom"/>
            <w:hideMark/>
          </w:tcPr>
          <w:p w14:paraId="53FBD027" w14:textId="77777777" w:rsidR="00E45705" w:rsidRPr="001B09E6" w:rsidRDefault="00E45705" w:rsidP="00E45705">
            <w:pPr>
              <w:pStyle w:val="TableCellText"/>
              <w:spacing w:before="0" w:after="0"/>
              <w:ind w:left="0" w:right="0"/>
              <w:rPr>
                <w:lang w:eastAsia="en-AU"/>
              </w:rPr>
            </w:pPr>
            <w:r w:rsidRPr="001B09E6">
              <w:rPr>
                <w:lang w:eastAsia="en-AU"/>
              </w:rPr>
              <w:t>59</w:t>
            </w:r>
          </w:p>
        </w:tc>
        <w:tc>
          <w:tcPr>
            <w:tcW w:w="494" w:type="pct"/>
            <w:tcBorders>
              <w:top w:val="nil"/>
              <w:left w:val="nil"/>
              <w:bottom w:val="nil"/>
              <w:right w:val="nil"/>
            </w:tcBorders>
            <w:shd w:val="clear" w:color="auto" w:fill="auto"/>
            <w:vAlign w:val="bottom"/>
            <w:hideMark/>
          </w:tcPr>
          <w:p w14:paraId="7E6D5064" w14:textId="77777777" w:rsidR="00E45705" w:rsidRPr="001B09E6" w:rsidRDefault="00E45705" w:rsidP="00E45705">
            <w:pPr>
              <w:pStyle w:val="TableCellText"/>
              <w:spacing w:before="0" w:after="0"/>
              <w:ind w:left="0" w:right="0"/>
              <w:rPr>
                <w:lang w:eastAsia="en-AU"/>
              </w:rPr>
            </w:pPr>
            <w:r w:rsidRPr="001B09E6">
              <w:rPr>
                <w:lang w:eastAsia="en-AU"/>
              </w:rPr>
              <w:t>9</w:t>
            </w:r>
          </w:p>
        </w:tc>
        <w:tc>
          <w:tcPr>
            <w:tcW w:w="592" w:type="pct"/>
            <w:tcBorders>
              <w:top w:val="nil"/>
              <w:left w:val="nil"/>
              <w:bottom w:val="nil"/>
              <w:right w:val="nil"/>
            </w:tcBorders>
            <w:shd w:val="clear" w:color="auto" w:fill="auto"/>
            <w:vAlign w:val="bottom"/>
            <w:hideMark/>
          </w:tcPr>
          <w:p w14:paraId="42B1FF91"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41A6459A" w14:textId="77777777" w:rsidR="00E45705" w:rsidRPr="001B09E6" w:rsidRDefault="00E45705" w:rsidP="00E45705">
            <w:pPr>
              <w:pStyle w:val="TableCellText"/>
              <w:spacing w:before="0" w:after="0"/>
              <w:ind w:left="0" w:right="0"/>
              <w:rPr>
                <w:lang w:eastAsia="en-AU"/>
              </w:rPr>
            </w:pPr>
          </w:p>
        </w:tc>
      </w:tr>
      <w:tr w:rsidR="00E45705" w:rsidRPr="001B09E6" w14:paraId="2C97B922" w14:textId="77777777" w:rsidTr="00192ABE">
        <w:trPr>
          <w:trHeight w:val="300"/>
        </w:trPr>
        <w:tc>
          <w:tcPr>
            <w:tcW w:w="1033" w:type="pct"/>
            <w:tcBorders>
              <w:top w:val="single" w:sz="4" w:space="0" w:color="auto"/>
              <w:left w:val="nil"/>
              <w:bottom w:val="single" w:sz="4" w:space="0" w:color="auto"/>
              <w:right w:val="nil"/>
            </w:tcBorders>
            <w:shd w:val="clear" w:color="auto" w:fill="auto"/>
            <w:vAlign w:val="bottom"/>
            <w:hideMark/>
          </w:tcPr>
          <w:p w14:paraId="13845AF6" w14:textId="77777777" w:rsidR="00E45705" w:rsidRPr="001B09E6" w:rsidRDefault="00E45705" w:rsidP="00E45705">
            <w:pPr>
              <w:pStyle w:val="TableCellText"/>
              <w:spacing w:before="0" w:after="0"/>
              <w:ind w:left="0" w:right="0"/>
              <w:rPr>
                <w:lang w:eastAsia="en-AU"/>
              </w:rPr>
            </w:pPr>
            <w:r w:rsidRPr="001B09E6">
              <w:rPr>
                <w:lang w:eastAsia="en-AU"/>
              </w:rPr>
              <w:t>Total</w:t>
            </w:r>
          </w:p>
        </w:tc>
        <w:tc>
          <w:tcPr>
            <w:tcW w:w="683" w:type="pct"/>
            <w:tcBorders>
              <w:top w:val="single" w:sz="4" w:space="0" w:color="auto"/>
              <w:left w:val="nil"/>
              <w:bottom w:val="single" w:sz="4" w:space="0" w:color="auto"/>
              <w:right w:val="nil"/>
            </w:tcBorders>
            <w:shd w:val="clear" w:color="auto" w:fill="auto"/>
            <w:vAlign w:val="bottom"/>
            <w:hideMark/>
          </w:tcPr>
          <w:p w14:paraId="57A2574C" w14:textId="77777777" w:rsidR="00E45705" w:rsidRPr="001B09E6" w:rsidRDefault="00E45705" w:rsidP="00E45705">
            <w:pPr>
              <w:pStyle w:val="TableCellText"/>
              <w:spacing w:before="0" w:after="0"/>
              <w:ind w:left="0" w:right="0"/>
              <w:rPr>
                <w:lang w:eastAsia="en-AU"/>
              </w:rPr>
            </w:pPr>
            <w:r w:rsidRPr="001B09E6">
              <w:rPr>
                <w:lang w:eastAsia="en-AU"/>
              </w:rPr>
              <w:t>10</w:t>
            </w:r>
          </w:p>
        </w:tc>
        <w:tc>
          <w:tcPr>
            <w:tcW w:w="547" w:type="pct"/>
            <w:tcBorders>
              <w:top w:val="single" w:sz="4" w:space="0" w:color="auto"/>
              <w:left w:val="nil"/>
              <w:bottom w:val="single" w:sz="4" w:space="0" w:color="auto"/>
              <w:right w:val="nil"/>
            </w:tcBorders>
            <w:shd w:val="clear" w:color="auto" w:fill="auto"/>
            <w:vAlign w:val="bottom"/>
            <w:hideMark/>
          </w:tcPr>
          <w:p w14:paraId="09FBE6D7" w14:textId="77777777" w:rsidR="00E45705" w:rsidRPr="001B09E6" w:rsidRDefault="00E45705" w:rsidP="00E45705">
            <w:pPr>
              <w:pStyle w:val="TableCellText"/>
              <w:spacing w:before="0" w:after="0"/>
              <w:ind w:left="0" w:right="0"/>
              <w:rPr>
                <w:lang w:eastAsia="en-AU"/>
              </w:rPr>
            </w:pPr>
            <w:r w:rsidRPr="001B09E6">
              <w:rPr>
                <w:lang w:eastAsia="en-AU"/>
              </w:rPr>
              <w:t>15</w:t>
            </w:r>
          </w:p>
        </w:tc>
        <w:tc>
          <w:tcPr>
            <w:tcW w:w="676" w:type="pct"/>
            <w:tcBorders>
              <w:top w:val="single" w:sz="4" w:space="0" w:color="auto"/>
              <w:left w:val="nil"/>
              <w:bottom w:val="single" w:sz="4" w:space="0" w:color="auto"/>
              <w:right w:val="nil"/>
            </w:tcBorders>
            <w:shd w:val="clear" w:color="auto" w:fill="auto"/>
            <w:vAlign w:val="bottom"/>
            <w:hideMark/>
          </w:tcPr>
          <w:p w14:paraId="1FD36C9F" w14:textId="77777777" w:rsidR="00E45705" w:rsidRPr="001B09E6" w:rsidRDefault="00E45705" w:rsidP="00E45705">
            <w:pPr>
              <w:pStyle w:val="TableCellText"/>
              <w:spacing w:before="0" w:after="0"/>
              <w:ind w:left="0" w:right="0"/>
              <w:rPr>
                <w:lang w:eastAsia="en-AU"/>
              </w:rPr>
            </w:pPr>
            <w:r w:rsidRPr="001B09E6">
              <w:rPr>
                <w:lang w:eastAsia="en-AU"/>
              </w:rPr>
              <w:t>6</w:t>
            </w:r>
          </w:p>
        </w:tc>
        <w:tc>
          <w:tcPr>
            <w:tcW w:w="557" w:type="pct"/>
            <w:tcBorders>
              <w:top w:val="single" w:sz="4" w:space="0" w:color="auto"/>
              <w:left w:val="nil"/>
              <w:bottom w:val="single" w:sz="4" w:space="0" w:color="auto"/>
              <w:right w:val="nil"/>
            </w:tcBorders>
            <w:shd w:val="clear" w:color="auto" w:fill="auto"/>
            <w:vAlign w:val="bottom"/>
            <w:hideMark/>
          </w:tcPr>
          <w:p w14:paraId="0CFAD12D" w14:textId="77777777" w:rsidR="00E45705" w:rsidRPr="001B09E6" w:rsidRDefault="00E45705" w:rsidP="00E45705">
            <w:pPr>
              <w:pStyle w:val="TableCellText"/>
              <w:spacing w:before="0" w:after="0"/>
              <w:ind w:left="0" w:right="0"/>
              <w:rPr>
                <w:lang w:eastAsia="en-AU"/>
              </w:rPr>
            </w:pPr>
            <w:r w:rsidRPr="001B09E6">
              <w:rPr>
                <w:lang w:eastAsia="en-AU"/>
              </w:rPr>
              <w:t>64</w:t>
            </w:r>
          </w:p>
        </w:tc>
        <w:tc>
          <w:tcPr>
            <w:tcW w:w="494" w:type="pct"/>
            <w:tcBorders>
              <w:top w:val="single" w:sz="4" w:space="0" w:color="auto"/>
              <w:left w:val="nil"/>
              <w:bottom w:val="single" w:sz="4" w:space="0" w:color="auto"/>
              <w:right w:val="nil"/>
            </w:tcBorders>
            <w:shd w:val="clear" w:color="auto" w:fill="auto"/>
            <w:vAlign w:val="bottom"/>
            <w:hideMark/>
          </w:tcPr>
          <w:p w14:paraId="0D3774C8"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single" w:sz="4" w:space="0" w:color="auto"/>
              <w:left w:val="nil"/>
              <w:bottom w:val="single" w:sz="4" w:space="0" w:color="auto"/>
              <w:right w:val="nil"/>
            </w:tcBorders>
            <w:shd w:val="clear" w:color="auto" w:fill="auto"/>
            <w:vAlign w:val="bottom"/>
            <w:hideMark/>
          </w:tcPr>
          <w:p w14:paraId="2387D06F"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2C53F982" w14:textId="77777777" w:rsidR="00E45705" w:rsidRPr="001B09E6" w:rsidRDefault="00E45705" w:rsidP="00E45705">
            <w:pPr>
              <w:pStyle w:val="TableCellText"/>
              <w:spacing w:before="0" w:after="0"/>
              <w:ind w:left="0" w:right="0"/>
              <w:rPr>
                <w:lang w:eastAsia="en-AU"/>
              </w:rPr>
            </w:pPr>
          </w:p>
        </w:tc>
      </w:tr>
      <w:tr w:rsidR="00E45705" w:rsidRPr="001B09E6" w14:paraId="70A69388" w14:textId="77777777" w:rsidTr="00192ABE">
        <w:trPr>
          <w:trHeight w:val="300"/>
        </w:trPr>
        <w:tc>
          <w:tcPr>
            <w:tcW w:w="1033" w:type="pct"/>
            <w:tcBorders>
              <w:top w:val="nil"/>
              <w:left w:val="nil"/>
              <w:bottom w:val="nil"/>
              <w:right w:val="nil"/>
            </w:tcBorders>
            <w:shd w:val="clear" w:color="auto" w:fill="auto"/>
            <w:noWrap/>
            <w:vAlign w:val="bottom"/>
            <w:hideMark/>
          </w:tcPr>
          <w:p w14:paraId="53A61D13" w14:textId="77777777" w:rsidR="00E45705" w:rsidRPr="001B09E6" w:rsidRDefault="00E45705" w:rsidP="00E45705">
            <w:pPr>
              <w:rPr>
                <w:rFonts w:ascii="Arial" w:eastAsia="Times New Roman" w:hAnsi="Arial" w:cs="Arial"/>
                <w:color w:val="000000"/>
                <w:sz w:val="16"/>
                <w:szCs w:val="16"/>
                <w:lang w:eastAsia="en-AU"/>
              </w:rPr>
            </w:pPr>
          </w:p>
        </w:tc>
        <w:tc>
          <w:tcPr>
            <w:tcW w:w="683" w:type="pct"/>
            <w:tcBorders>
              <w:top w:val="nil"/>
              <w:left w:val="nil"/>
              <w:bottom w:val="nil"/>
              <w:right w:val="nil"/>
            </w:tcBorders>
            <w:shd w:val="clear" w:color="auto" w:fill="auto"/>
            <w:noWrap/>
            <w:vAlign w:val="bottom"/>
            <w:hideMark/>
          </w:tcPr>
          <w:p w14:paraId="26B645EF" w14:textId="77777777" w:rsidR="00E45705" w:rsidRPr="001B09E6" w:rsidRDefault="00E45705" w:rsidP="00E45705">
            <w:pPr>
              <w:rPr>
                <w:rFonts w:ascii="Arial" w:eastAsia="Times New Roman" w:hAnsi="Arial" w:cs="Arial"/>
                <w:color w:val="000000"/>
                <w:sz w:val="16"/>
                <w:szCs w:val="16"/>
                <w:lang w:eastAsia="en-AU"/>
              </w:rPr>
            </w:pPr>
          </w:p>
        </w:tc>
        <w:tc>
          <w:tcPr>
            <w:tcW w:w="547" w:type="pct"/>
            <w:tcBorders>
              <w:top w:val="nil"/>
              <w:left w:val="nil"/>
              <w:bottom w:val="nil"/>
              <w:right w:val="nil"/>
            </w:tcBorders>
            <w:shd w:val="clear" w:color="auto" w:fill="auto"/>
            <w:noWrap/>
            <w:vAlign w:val="bottom"/>
            <w:hideMark/>
          </w:tcPr>
          <w:p w14:paraId="39A5A81C" w14:textId="77777777" w:rsidR="00E45705" w:rsidRPr="001B09E6" w:rsidRDefault="00E45705" w:rsidP="00E45705">
            <w:pPr>
              <w:rPr>
                <w:rFonts w:ascii="Arial" w:eastAsia="Times New Roman" w:hAnsi="Arial" w:cs="Arial"/>
                <w:color w:val="000000"/>
                <w:sz w:val="16"/>
                <w:szCs w:val="16"/>
                <w:lang w:eastAsia="en-AU"/>
              </w:rPr>
            </w:pPr>
          </w:p>
        </w:tc>
        <w:tc>
          <w:tcPr>
            <w:tcW w:w="676" w:type="pct"/>
            <w:tcBorders>
              <w:top w:val="nil"/>
              <w:left w:val="nil"/>
              <w:bottom w:val="nil"/>
              <w:right w:val="nil"/>
            </w:tcBorders>
            <w:shd w:val="clear" w:color="auto" w:fill="auto"/>
            <w:noWrap/>
            <w:vAlign w:val="bottom"/>
            <w:hideMark/>
          </w:tcPr>
          <w:p w14:paraId="232EFC30" w14:textId="77777777" w:rsidR="00E45705" w:rsidRPr="001B09E6" w:rsidRDefault="00E45705" w:rsidP="00E45705">
            <w:pPr>
              <w:rPr>
                <w:rFonts w:ascii="Arial" w:eastAsia="Times New Roman" w:hAnsi="Arial" w:cs="Arial"/>
                <w:color w:val="000000"/>
                <w:sz w:val="16"/>
                <w:szCs w:val="16"/>
                <w:lang w:eastAsia="en-AU"/>
              </w:rPr>
            </w:pPr>
          </w:p>
        </w:tc>
        <w:tc>
          <w:tcPr>
            <w:tcW w:w="557" w:type="pct"/>
            <w:tcBorders>
              <w:top w:val="nil"/>
              <w:left w:val="nil"/>
              <w:bottom w:val="nil"/>
              <w:right w:val="nil"/>
            </w:tcBorders>
            <w:shd w:val="clear" w:color="auto" w:fill="auto"/>
            <w:noWrap/>
            <w:vAlign w:val="bottom"/>
            <w:hideMark/>
          </w:tcPr>
          <w:p w14:paraId="5C8D71E3" w14:textId="77777777" w:rsidR="00E45705" w:rsidRPr="001B09E6" w:rsidRDefault="00E45705" w:rsidP="00E45705">
            <w:pPr>
              <w:rPr>
                <w:rFonts w:ascii="Arial" w:eastAsia="Times New Roman" w:hAnsi="Arial" w:cs="Arial"/>
                <w:color w:val="000000"/>
                <w:sz w:val="16"/>
                <w:szCs w:val="16"/>
                <w:lang w:eastAsia="en-AU"/>
              </w:rPr>
            </w:pPr>
          </w:p>
        </w:tc>
        <w:tc>
          <w:tcPr>
            <w:tcW w:w="494" w:type="pct"/>
            <w:tcBorders>
              <w:top w:val="nil"/>
              <w:left w:val="nil"/>
              <w:bottom w:val="nil"/>
              <w:right w:val="nil"/>
            </w:tcBorders>
            <w:shd w:val="clear" w:color="auto" w:fill="auto"/>
            <w:noWrap/>
            <w:vAlign w:val="bottom"/>
            <w:hideMark/>
          </w:tcPr>
          <w:p w14:paraId="3956F100" w14:textId="77777777" w:rsidR="00E45705" w:rsidRPr="001B09E6" w:rsidRDefault="00E45705" w:rsidP="00E45705">
            <w:pPr>
              <w:rPr>
                <w:rFonts w:ascii="Arial" w:eastAsia="Times New Roman" w:hAnsi="Arial" w:cs="Arial"/>
                <w:color w:val="000000"/>
                <w:sz w:val="16"/>
                <w:szCs w:val="16"/>
                <w:lang w:eastAsia="en-AU"/>
              </w:rPr>
            </w:pPr>
          </w:p>
        </w:tc>
        <w:tc>
          <w:tcPr>
            <w:tcW w:w="592" w:type="pct"/>
            <w:tcBorders>
              <w:top w:val="nil"/>
              <w:left w:val="nil"/>
              <w:bottom w:val="nil"/>
              <w:right w:val="nil"/>
            </w:tcBorders>
            <w:shd w:val="clear" w:color="auto" w:fill="auto"/>
            <w:noWrap/>
            <w:vAlign w:val="bottom"/>
            <w:hideMark/>
          </w:tcPr>
          <w:p w14:paraId="5768572E" w14:textId="77777777" w:rsidR="00E45705" w:rsidRPr="001B09E6" w:rsidRDefault="00E45705" w:rsidP="00E45705">
            <w:pPr>
              <w:rPr>
                <w:rFonts w:ascii="Arial" w:eastAsia="Times New Roman" w:hAnsi="Arial" w:cs="Arial"/>
                <w:color w:val="000000"/>
                <w:sz w:val="16"/>
                <w:szCs w:val="16"/>
                <w:lang w:eastAsia="en-AU"/>
              </w:rPr>
            </w:pPr>
          </w:p>
        </w:tc>
        <w:tc>
          <w:tcPr>
            <w:tcW w:w="418" w:type="pct"/>
            <w:tcBorders>
              <w:top w:val="nil"/>
              <w:left w:val="nil"/>
              <w:bottom w:val="nil"/>
              <w:right w:val="nil"/>
            </w:tcBorders>
            <w:shd w:val="clear" w:color="auto" w:fill="auto"/>
            <w:noWrap/>
            <w:vAlign w:val="bottom"/>
            <w:hideMark/>
          </w:tcPr>
          <w:p w14:paraId="58E552CE" w14:textId="77777777" w:rsidR="00E45705" w:rsidRPr="001B09E6" w:rsidRDefault="00E45705" w:rsidP="00E45705">
            <w:pPr>
              <w:rPr>
                <w:rFonts w:ascii="Arial" w:eastAsia="Times New Roman" w:hAnsi="Arial" w:cs="Arial"/>
                <w:color w:val="000000"/>
                <w:sz w:val="16"/>
                <w:szCs w:val="16"/>
                <w:lang w:eastAsia="en-AU"/>
              </w:rPr>
            </w:pPr>
          </w:p>
        </w:tc>
      </w:tr>
      <w:tr w:rsidR="00E45705" w:rsidRPr="001B09E6" w14:paraId="0300F12F" w14:textId="77777777" w:rsidTr="00E45705">
        <w:trPr>
          <w:trHeight w:val="300"/>
        </w:trPr>
        <w:tc>
          <w:tcPr>
            <w:tcW w:w="5000" w:type="pct"/>
            <w:gridSpan w:val="8"/>
            <w:tcBorders>
              <w:top w:val="nil"/>
              <w:left w:val="nil"/>
              <w:bottom w:val="nil"/>
              <w:right w:val="nil"/>
            </w:tcBorders>
            <w:shd w:val="clear" w:color="auto" w:fill="auto"/>
            <w:noWrap/>
            <w:vAlign w:val="bottom"/>
            <w:hideMark/>
          </w:tcPr>
          <w:p w14:paraId="4176BB6C" w14:textId="77777777" w:rsidR="00E45705" w:rsidRPr="001B09E6" w:rsidRDefault="00E45705" w:rsidP="00E45705">
            <w:pPr>
              <w:pStyle w:val="Heading4"/>
              <w:spacing w:before="0"/>
              <w:rPr>
                <w:lang w:eastAsia="en-AU"/>
              </w:rPr>
            </w:pPr>
            <w:r w:rsidRPr="001B09E6">
              <w:rPr>
                <w:lang w:eastAsia="en-AU"/>
              </w:rPr>
              <w:t>15-24 year olds</w:t>
            </w:r>
          </w:p>
        </w:tc>
      </w:tr>
      <w:tr w:rsidR="00E45705" w:rsidRPr="001B09E6" w14:paraId="652501E9" w14:textId="77777777" w:rsidTr="00192ABE">
        <w:trPr>
          <w:trHeight w:val="300"/>
        </w:trPr>
        <w:tc>
          <w:tcPr>
            <w:tcW w:w="1033" w:type="pct"/>
            <w:tcBorders>
              <w:top w:val="nil"/>
              <w:left w:val="nil"/>
              <w:bottom w:val="nil"/>
              <w:right w:val="nil"/>
            </w:tcBorders>
            <w:shd w:val="clear" w:color="auto" w:fill="auto"/>
            <w:noWrap/>
            <w:vAlign w:val="bottom"/>
            <w:hideMark/>
          </w:tcPr>
          <w:p w14:paraId="56314E79" w14:textId="77777777" w:rsidR="00E45705" w:rsidRPr="001B09E6" w:rsidRDefault="00E45705" w:rsidP="00E45705">
            <w:pPr>
              <w:rPr>
                <w:rFonts w:ascii="Arial" w:eastAsia="Times New Roman" w:hAnsi="Arial" w:cs="Arial"/>
                <w:b/>
                <w:bCs/>
                <w:color w:val="000000"/>
                <w:sz w:val="16"/>
                <w:szCs w:val="16"/>
                <w:lang w:eastAsia="en-AU"/>
              </w:rPr>
            </w:pPr>
          </w:p>
        </w:tc>
        <w:tc>
          <w:tcPr>
            <w:tcW w:w="683" w:type="pct"/>
            <w:tcBorders>
              <w:top w:val="nil"/>
              <w:left w:val="nil"/>
              <w:bottom w:val="nil"/>
              <w:right w:val="nil"/>
            </w:tcBorders>
            <w:shd w:val="clear" w:color="auto" w:fill="auto"/>
            <w:noWrap/>
            <w:vAlign w:val="bottom"/>
            <w:hideMark/>
          </w:tcPr>
          <w:p w14:paraId="3C9C4CDB" w14:textId="77777777" w:rsidR="00E45705" w:rsidRPr="001B09E6" w:rsidRDefault="00E45705" w:rsidP="00E45705">
            <w:pPr>
              <w:rPr>
                <w:rFonts w:ascii="Arial" w:eastAsia="Times New Roman" w:hAnsi="Arial" w:cs="Arial"/>
                <w:color w:val="000000"/>
                <w:sz w:val="16"/>
                <w:szCs w:val="16"/>
                <w:lang w:eastAsia="en-AU"/>
              </w:rPr>
            </w:pPr>
          </w:p>
        </w:tc>
        <w:tc>
          <w:tcPr>
            <w:tcW w:w="547" w:type="pct"/>
            <w:tcBorders>
              <w:top w:val="nil"/>
              <w:left w:val="nil"/>
              <w:bottom w:val="nil"/>
              <w:right w:val="nil"/>
            </w:tcBorders>
            <w:shd w:val="clear" w:color="auto" w:fill="auto"/>
            <w:noWrap/>
            <w:vAlign w:val="bottom"/>
            <w:hideMark/>
          </w:tcPr>
          <w:p w14:paraId="533D3052" w14:textId="77777777" w:rsidR="00E45705" w:rsidRPr="001B09E6" w:rsidRDefault="00E45705" w:rsidP="00E45705">
            <w:pPr>
              <w:rPr>
                <w:rFonts w:ascii="Arial" w:eastAsia="Times New Roman" w:hAnsi="Arial" w:cs="Arial"/>
                <w:color w:val="000000"/>
                <w:sz w:val="16"/>
                <w:szCs w:val="16"/>
                <w:lang w:eastAsia="en-AU"/>
              </w:rPr>
            </w:pPr>
          </w:p>
        </w:tc>
        <w:tc>
          <w:tcPr>
            <w:tcW w:w="676" w:type="pct"/>
            <w:tcBorders>
              <w:top w:val="nil"/>
              <w:left w:val="nil"/>
              <w:bottom w:val="nil"/>
              <w:right w:val="nil"/>
            </w:tcBorders>
            <w:shd w:val="clear" w:color="auto" w:fill="auto"/>
            <w:noWrap/>
            <w:vAlign w:val="bottom"/>
            <w:hideMark/>
          </w:tcPr>
          <w:p w14:paraId="6D738D8E" w14:textId="77777777" w:rsidR="00E45705" w:rsidRPr="001B09E6" w:rsidRDefault="00E45705" w:rsidP="00E45705">
            <w:pPr>
              <w:rPr>
                <w:rFonts w:ascii="Arial" w:eastAsia="Times New Roman" w:hAnsi="Arial" w:cs="Arial"/>
                <w:color w:val="000000"/>
                <w:sz w:val="16"/>
                <w:szCs w:val="16"/>
                <w:lang w:eastAsia="en-AU"/>
              </w:rPr>
            </w:pPr>
          </w:p>
        </w:tc>
        <w:tc>
          <w:tcPr>
            <w:tcW w:w="557" w:type="pct"/>
            <w:tcBorders>
              <w:top w:val="nil"/>
              <w:left w:val="nil"/>
              <w:bottom w:val="nil"/>
              <w:right w:val="nil"/>
            </w:tcBorders>
            <w:shd w:val="clear" w:color="auto" w:fill="auto"/>
            <w:noWrap/>
            <w:vAlign w:val="bottom"/>
            <w:hideMark/>
          </w:tcPr>
          <w:p w14:paraId="050A83A4" w14:textId="77777777" w:rsidR="00E45705" w:rsidRPr="001B09E6" w:rsidRDefault="00E45705" w:rsidP="00E45705">
            <w:pPr>
              <w:rPr>
                <w:rFonts w:ascii="Arial" w:eastAsia="Times New Roman" w:hAnsi="Arial" w:cs="Arial"/>
                <w:color w:val="000000"/>
                <w:sz w:val="16"/>
                <w:szCs w:val="16"/>
                <w:lang w:eastAsia="en-AU"/>
              </w:rPr>
            </w:pPr>
          </w:p>
        </w:tc>
        <w:tc>
          <w:tcPr>
            <w:tcW w:w="494" w:type="pct"/>
            <w:tcBorders>
              <w:top w:val="nil"/>
              <w:left w:val="nil"/>
              <w:bottom w:val="nil"/>
              <w:right w:val="nil"/>
            </w:tcBorders>
            <w:shd w:val="clear" w:color="auto" w:fill="auto"/>
            <w:noWrap/>
            <w:vAlign w:val="bottom"/>
            <w:hideMark/>
          </w:tcPr>
          <w:p w14:paraId="7F68D236" w14:textId="77777777" w:rsidR="00E45705" w:rsidRPr="001B09E6" w:rsidRDefault="00E45705" w:rsidP="00E45705">
            <w:pPr>
              <w:rPr>
                <w:rFonts w:ascii="Arial" w:eastAsia="Times New Roman" w:hAnsi="Arial" w:cs="Arial"/>
                <w:color w:val="000000"/>
                <w:sz w:val="16"/>
                <w:szCs w:val="16"/>
                <w:lang w:eastAsia="en-AU"/>
              </w:rPr>
            </w:pPr>
          </w:p>
        </w:tc>
        <w:tc>
          <w:tcPr>
            <w:tcW w:w="592" w:type="pct"/>
            <w:tcBorders>
              <w:top w:val="nil"/>
              <w:left w:val="nil"/>
              <w:bottom w:val="nil"/>
              <w:right w:val="nil"/>
            </w:tcBorders>
            <w:shd w:val="clear" w:color="auto" w:fill="auto"/>
            <w:noWrap/>
            <w:vAlign w:val="bottom"/>
            <w:hideMark/>
          </w:tcPr>
          <w:p w14:paraId="73556530" w14:textId="77777777" w:rsidR="00E45705" w:rsidRPr="001B09E6" w:rsidRDefault="00E45705" w:rsidP="00E45705">
            <w:pPr>
              <w:rPr>
                <w:rFonts w:ascii="Arial" w:eastAsia="Times New Roman" w:hAnsi="Arial" w:cs="Arial"/>
                <w:color w:val="000000"/>
                <w:sz w:val="16"/>
                <w:szCs w:val="16"/>
                <w:lang w:eastAsia="en-AU"/>
              </w:rPr>
            </w:pPr>
          </w:p>
        </w:tc>
        <w:tc>
          <w:tcPr>
            <w:tcW w:w="418" w:type="pct"/>
            <w:tcBorders>
              <w:top w:val="nil"/>
              <w:left w:val="nil"/>
              <w:bottom w:val="nil"/>
              <w:right w:val="nil"/>
            </w:tcBorders>
            <w:shd w:val="clear" w:color="auto" w:fill="auto"/>
            <w:noWrap/>
            <w:vAlign w:val="bottom"/>
            <w:hideMark/>
          </w:tcPr>
          <w:p w14:paraId="2E17E125" w14:textId="77777777" w:rsidR="00E45705" w:rsidRPr="001B09E6" w:rsidRDefault="00E45705" w:rsidP="00E45705">
            <w:pPr>
              <w:rPr>
                <w:rFonts w:ascii="Arial" w:eastAsia="Times New Roman" w:hAnsi="Arial" w:cs="Arial"/>
                <w:color w:val="000000"/>
                <w:sz w:val="16"/>
                <w:szCs w:val="16"/>
                <w:lang w:eastAsia="en-AU"/>
              </w:rPr>
            </w:pPr>
          </w:p>
        </w:tc>
      </w:tr>
      <w:tr w:rsidR="00E45705" w:rsidRPr="001B09E6" w14:paraId="51C9C474" w14:textId="77777777" w:rsidTr="00192ABE">
        <w:trPr>
          <w:trHeight w:val="690"/>
        </w:trPr>
        <w:tc>
          <w:tcPr>
            <w:tcW w:w="1033" w:type="pct"/>
            <w:tcBorders>
              <w:top w:val="single" w:sz="4" w:space="0" w:color="auto"/>
              <w:left w:val="nil"/>
              <w:bottom w:val="single" w:sz="4" w:space="0" w:color="auto"/>
              <w:right w:val="nil"/>
            </w:tcBorders>
            <w:shd w:val="clear" w:color="auto" w:fill="auto"/>
            <w:vAlign w:val="bottom"/>
            <w:hideMark/>
          </w:tcPr>
          <w:p w14:paraId="57C72DB2" w14:textId="77777777" w:rsidR="00E45705" w:rsidRPr="001B09E6" w:rsidRDefault="00E45705" w:rsidP="00E45705">
            <w:pPr>
              <w:pStyle w:val="TableColumnHeading"/>
              <w:spacing w:before="0" w:after="0"/>
              <w:ind w:left="0" w:right="0"/>
              <w:rPr>
                <w:lang w:eastAsia="en-AU"/>
              </w:rPr>
            </w:pPr>
            <w:r w:rsidRPr="001B09E6">
              <w:rPr>
                <w:lang w:eastAsia="en-AU"/>
              </w:rPr>
              <w:t>Type of further study institute</w:t>
            </w:r>
          </w:p>
        </w:tc>
        <w:tc>
          <w:tcPr>
            <w:tcW w:w="683" w:type="pct"/>
            <w:tcBorders>
              <w:top w:val="single" w:sz="4" w:space="0" w:color="auto"/>
              <w:left w:val="nil"/>
              <w:bottom w:val="single" w:sz="4" w:space="0" w:color="auto"/>
              <w:right w:val="nil"/>
            </w:tcBorders>
            <w:shd w:val="clear" w:color="auto" w:fill="auto"/>
            <w:vAlign w:val="bottom"/>
            <w:hideMark/>
          </w:tcPr>
          <w:p w14:paraId="0F30EEA4" w14:textId="77777777" w:rsidR="00E45705" w:rsidRPr="001B09E6" w:rsidRDefault="00E45705" w:rsidP="00E45705">
            <w:pPr>
              <w:pStyle w:val="TableColumnHeading"/>
              <w:spacing w:before="0" w:after="0"/>
              <w:ind w:left="0" w:right="0"/>
              <w:rPr>
                <w:lang w:eastAsia="en-AU"/>
              </w:rPr>
            </w:pPr>
            <w:r w:rsidRPr="001B09E6">
              <w:rPr>
                <w:lang w:eastAsia="en-AU"/>
              </w:rPr>
              <w:t>University</w:t>
            </w:r>
          </w:p>
        </w:tc>
        <w:tc>
          <w:tcPr>
            <w:tcW w:w="547" w:type="pct"/>
            <w:tcBorders>
              <w:top w:val="single" w:sz="4" w:space="0" w:color="auto"/>
              <w:left w:val="nil"/>
              <w:bottom w:val="single" w:sz="4" w:space="0" w:color="auto"/>
              <w:right w:val="nil"/>
            </w:tcBorders>
            <w:shd w:val="clear" w:color="auto" w:fill="auto"/>
            <w:vAlign w:val="bottom"/>
            <w:hideMark/>
          </w:tcPr>
          <w:p w14:paraId="633FCF69" w14:textId="77777777" w:rsidR="00E45705" w:rsidRPr="001B09E6" w:rsidRDefault="00E45705" w:rsidP="00E45705">
            <w:pPr>
              <w:pStyle w:val="TableColumnHeading"/>
              <w:spacing w:before="0" w:after="0"/>
              <w:ind w:left="0" w:right="0"/>
              <w:rPr>
                <w:lang w:eastAsia="en-AU"/>
              </w:rPr>
            </w:pPr>
            <w:r w:rsidRPr="001B09E6">
              <w:rPr>
                <w:lang w:eastAsia="en-AU"/>
              </w:rPr>
              <w:t>TAFE</w:t>
            </w:r>
          </w:p>
        </w:tc>
        <w:tc>
          <w:tcPr>
            <w:tcW w:w="676" w:type="pct"/>
            <w:tcBorders>
              <w:top w:val="single" w:sz="4" w:space="0" w:color="auto"/>
              <w:left w:val="nil"/>
              <w:bottom w:val="single" w:sz="4" w:space="0" w:color="auto"/>
              <w:right w:val="nil"/>
            </w:tcBorders>
            <w:shd w:val="clear" w:color="auto" w:fill="auto"/>
            <w:vAlign w:val="bottom"/>
            <w:hideMark/>
          </w:tcPr>
          <w:p w14:paraId="2204D413" w14:textId="77777777" w:rsidR="00E45705" w:rsidRPr="001B09E6" w:rsidRDefault="00E45705" w:rsidP="00E45705">
            <w:pPr>
              <w:pStyle w:val="TableColumnHeading"/>
              <w:spacing w:before="0" w:after="0"/>
              <w:ind w:left="0" w:right="0"/>
              <w:rPr>
                <w:lang w:eastAsia="en-AU"/>
              </w:rPr>
            </w:pPr>
            <w:r w:rsidRPr="001B09E6">
              <w:rPr>
                <w:lang w:eastAsia="en-AU"/>
              </w:rPr>
              <w:t>Other</w:t>
            </w:r>
          </w:p>
        </w:tc>
        <w:tc>
          <w:tcPr>
            <w:tcW w:w="557" w:type="pct"/>
            <w:tcBorders>
              <w:top w:val="single" w:sz="4" w:space="0" w:color="auto"/>
              <w:left w:val="nil"/>
              <w:bottom w:val="single" w:sz="4" w:space="0" w:color="auto"/>
              <w:right w:val="nil"/>
            </w:tcBorders>
            <w:shd w:val="clear" w:color="auto" w:fill="auto"/>
            <w:vAlign w:val="bottom"/>
            <w:hideMark/>
          </w:tcPr>
          <w:p w14:paraId="2E48AA14" w14:textId="77777777" w:rsidR="00E45705" w:rsidRPr="001B09E6" w:rsidRDefault="00E45705" w:rsidP="00E45705">
            <w:pPr>
              <w:pStyle w:val="TableColumnHeading"/>
              <w:spacing w:before="0" w:after="0"/>
              <w:ind w:left="0" w:right="0"/>
              <w:rPr>
                <w:lang w:eastAsia="en-AU"/>
              </w:rPr>
            </w:pPr>
            <w:r w:rsidRPr="001B09E6">
              <w:rPr>
                <w:lang w:eastAsia="en-AU"/>
              </w:rPr>
              <w:t>Not enrolled in further study</w:t>
            </w:r>
          </w:p>
        </w:tc>
        <w:tc>
          <w:tcPr>
            <w:tcW w:w="494" w:type="pct"/>
            <w:tcBorders>
              <w:top w:val="single" w:sz="4" w:space="0" w:color="auto"/>
              <w:left w:val="nil"/>
              <w:bottom w:val="single" w:sz="4" w:space="0" w:color="auto"/>
              <w:right w:val="nil"/>
            </w:tcBorders>
            <w:shd w:val="clear" w:color="auto" w:fill="auto"/>
            <w:vAlign w:val="bottom"/>
            <w:hideMark/>
          </w:tcPr>
          <w:p w14:paraId="34B19E8D" w14:textId="77777777" w:rsidR="00E45705" w:rsidRPr="001B09E6" w:rsidRDefault="00E45705" w:rsidP="00E45705">
            <w:pPr>
              <w:pStyle w:val="TableColumnHeading"/>
              <w:spacing w:before="0" w:after="0"/>
              <w:ind w:left="0" w:right="0"/>
              <w:rPr>
                <w:lang w:eastAsia="en-AU"/>
              </w:rPr>
            </w:pPr>
            <w:r w:rsidRPr="001B09E6">
              <w:rPr>
                <w:lang w:eastAsia="en-AU"/>
              </w:rPr>
              <w:t>Not Stated</w:t>
            </w:r>
          </w:p>
        </w:tc>
        <w:tc>
          <w:tcPr>
            <w:tcW w:w="592" w:type="pct"/>
            <w:tcBorders>
              <w:top w:val="single" w:sz="4" w:space="0" w:color="auto"/>
              <w:left w:val="nil"/>
              <w:bottom w:val="single" w:sz="4" w:space="0" w:color="auto"/>
              <w:right w:val="nil"/>
            </w:tcBorders>
            <w:shd w:val="clear" w:color="auto" w:fill="auto"/>
            <w:vAlign w:val="bottom"/>
            <w:hideMark/>
          </w:tcPr>
          <w:p w14:paraId="1D1C6689" w14:textId="77777777" w:rsidR="00E45705" w:rsidRPr="001B09E6" w:rsidRDefault="00E45705" w:rsidP="00E45705">
            <w:pPr>
              <w:pStyle w:val="TableColumnHeading"/>
              <w:spacing w:before="0" w:after="0"/>
              <w:ind w:left="0" w:right="0"/>
              <w:rPr>
                <w:lang w:eastAsia="en-AU"/>
              </w:rPr>
            </w:pPr>
            <w:r w:rsidRPr="001B09E6">
              <w:rPr>
                <w:lang w:eastAsia="en-AU"/>
              </w:rPr>
              <w:t>Total</w:t>
            </w:r>
          </w:p>
        </w:tc>
        <w:tc>
          <w:tcPr>
            <w:tcW w:w="418" w:type="pct"/>
            <w:tcBorders>
              <w:top w:val="nil"/>
              <w:left w:val="nil"/>
              <w:bottom w:val="nil"/>
              <w:right w:val="nil"/>
            </w:tcBorders>
            <w:shd w:val="clear" w:color="auto" w:fill="auto"/>
            <w:noWrap/>
            <w:vAlign w:val="bottom"/>
            <w:hideMark/>
          </w:tcPr>
          <w:p w14:paraId="65964B0B" w14:textId="77777777" w:rsidR="00E45705" w:rsidRPr="001B09E6" w:rsidRDefault="00E45705" w:rsidP="00E45705">
            <w:pPr>
              <w:pStyle w:val="TableColumnHeading"/>
              <w:spacing w:before="0" w:after="0"/>
              <w:ind w:left="0" w:right="0"/>
              <w:rPr>
                <w:lang w:eastAsia="en-AU"/>
              </w:rPr>
            </w:pPr>
          </w:p>
        </w:tc>
      </w:tr>
      <w:tr w:rsidR="00E45705" w:rsidRPr="001B09E6" w14:paraId="62067AF9" w14:textId="77777777" w:rsidTr="00192ABE">
        <w:trPr>
          <w:trHeight w:val="300"/>
        </w:trPr>
        <w:tc>
          <w:tcPr>
            <w:tcW w:w="1033" w:type="pct"/>
            <w:tcBorders>
              <w:top w:val="nil"/>
              <w:left w:val="nil"/>
              <w:bottom w:val="nil"/>
              <w:right w:val="nil"/>
            </w:tcBorders>
            <w:shd w:val="clear" w:color="auto" w:fill="auto"/>
            <w:vAlign w:val="bottom"/>
            <w:hideMark/>
          </w:tcPr>
          <w:p w14:paraId="44827FB7" w14:textId="77777777" w:rsidR="00E45705" w:rsidRPr="001B09E6" w:rsidRDefault="00E45705" w:rsidP="00E45705">
            <w:pPr>
              <w:pStyle w:val="TableColumnHeading"/>
              <w:spacing w:before="0" w:after="0"/>
              <w:ind w:left="0" w:right="0"/>
              <w:rPr>
                <w:lang w:eastAsia="en-AU"/>
              </w:rPr>
            </w:pPr>
            <w:r w:rsidRPr="001B09E6">
              <w:rPr>
                <w:lang w:eastAsia="en-AU"/>
              </w:rPr>
              <w:t>Qualification</w:t>
            </w:r>
          </w:p>
        </w:tc>
        <w:tc>
          <w:tcPr>
            <w:tcW w:w="683" w:type="pct"/>
            <w:tcBorders>
              <w:top w:val="nil"/>
              <w:left w:val="nil"/>
              <w:bottom w:val="nil"/>
              <w:right w:val="nil"/>
            </w:tcBorders>
            <w:shd w:val="clear" w:color="auto" w:fill="auto"/>
            <w:noWrap/>
            <w:vAlign w:val="bottom"/>
            <w:hideMark/>
          </w:tcPr>
          <w:p w14:paraId="5D6A66B2" w14:textId="77777777" w:rsidR="00E45705" w:rsidRPr="001B09E6" w:rsidRDefault="00E45705" w:rsidP="00E45705">
            <w:pPr>
              <w:pStyle w:val="TableColumnHeading"/>
              <w:spacing w:before="0" w:after="0"/>
              <w:ind w:left="0" w:right="0"/>
              <w:rPr>
                <w:lang w:eastAsia="en-AU"/>
              </w:rPr>
            </w:pPr>
          </w:p>
        </w:tc>
        <w:tc>
          <w:tcPr>
            <w:tcW w:w="547" w:type="pct"/>
            <w:tcBorders>
              <w:top w:val="nil"/>
              <w:left w:val="nil"/>
              <w:bottom w:val="nil"/>
              <w:right w:val="nil"/>
            </w:tcBorders>
            <w:shd w:val="clear" w:color="auto" w:fill="auto"/>
            <w:noWrap/>
            <w:vAlign w:val="bottom"/>
            <w:hideMark/>
          </w:tcPr>
          <w:p w14:paraId="55F2A4FC" w14:textId="77777777" w:rsidR="00E45705" w:rsidRPr="001B09E6" w:rsidRDefault="00E45705" w:rsidP="00E45705">
            <w:pPr>
              <w:pStyle w:val="TableColumnHeading"/>
              <w:spacing w:before="0" w:after="0"/>
              <w:ind w:left="0" w:right="0"/>
              <w:rPr>
                <w:lang w:eastAsia="en-AU"/>
              </w:rPr>
            </w:pPr>
          </w:p>
        </w:tc>
        <w:tc>
          <w:tcPr>
            <w:tcW w:w="676" w:type="pct"/>
            <w:tcBorders>
              <w:top w:val="nil"/>
              <w:left w:val="nil"/>
              <w:bottom w:val="nil"/>
              <w:right w:val="nil"/>
            </w:tcBorders>
            <w:shd w:val="clear" w:color="auto" w:fill="auto"/>
            <w:noWrap/>
            <w:vAlign w:val="bottom"/>
            <w:hideMark/>
          </w:tcPr>
          <w:p w14:paraId="58B04E15" w14:textId="77777777" w:rsidR="00E45705" w:rsidRPr="001B09E6" w:rsidRDefault="00E45705" w:rsidP="00E45705">
            <w:pPr>
              <w:pStyle w:val="TableColumnHeading"/>
              <w:spacing w:before="0" w:after="0"/>
              <w:ind w:left="0" w:right="0"/>
              <w:rPr>
                <w:lang w:eastAsia="en-AU"/>
              </w:rPr>
            </w:pPr>
          </w:p>
        </w:tc>
        <w:tc>
          <w:tcPr>
            <w:tcW w:w="557" w:type="pct"/>
            <w:tcBorders>
              <w:top w:val="nil"/>
              <w:left w:val="nil"/>
              <w:bottom w:val="nil"/>
              <w:right w:val="nil"/>
            </w:tcBorders>
            <w:shd w:val="clear" w:color="auto" w:fill="auto"/>
            <w:noWrap/>
            <w:vAlign w:val="bottom"/>
            <w:hideMark/>
          </w:tcPr>
          <w:p w14:paraId="7EB0631A" w14:textId="77777777" w:rsidR="00E45705" w:rsidRPr="001B09E6" w:rsidRDefault="00E45705" w:rsidP="00E45705">
            <w:pPr>
              <w:pStyle w:val="TableColumnHeading"/>
              <w:spacing w:before="0" w:after="0"/>
              <w:ind w:left="0" w:right="0"/>
              <w:rPr>
                <w:lang w:eastAsia="en-AU"/>
              </w:rPr>
            </w:pPr>
          </w:p>
        </w:tc>
        <w:tc>
          <w:tcPr>
            <w:tcW w:w="494" w:type="pct"/>
            <w:tcBorders>
              <w:top w:val="nil"/>
              <w:left w:val="nil"/>
              <w:bottom w:val="nil"/>
              <w:right w:val="nil"/>
            </w:tcBorders>
            <w:shd w:val="clear" w:color="auto" w:fill="auto"/>
            <w:noWrap/>
            <w:vAlign w:val="bottom"/>
            <w:hideMark/>
          </w:tcPr>
          <w:p w14:paraId="4FD6D6BA" w14:textId="77777777" w:rsidR="00E45705" w:rsidRPr="001B09E6" w:rsidRDefault="00E45705" w:rsidP="00E45705">
            <w:pPr>
              <w:pStyle w:val="TableColumnHeading"/>
              <w:spacing w:before="0" w:after="0"/>
              <w:ind w:left="0" w:right="0"/>
              <w:rPr>
                <w:lang w:eastAsia="en-AU"/>
              </w:rPr>
            </w:pPr>
          </w:p>
        </w:tc>
        <w:tc>
          <w:tcPr>
            <w:tcW w:w="592" w:type="pct"/>
            <w:tcBorders>
              <w:top w:val="nil"/>
              <w:left w:val="nil"/>
              <w:bottom w:val="nil"/>
              <w:right w:val="nil"/>
            </w:tcBorders>
            <w:shd w:val="clear" w:color="auto" w:fill="auto"/>
            <w:noWrap/>
            <w:vAlign w:val="bottom"/>
            <w:hideMark/>
          </w:tcPr>
          <w:p w14:paraId="7FF88831" w14:textId="77777777" w:rsidR="00E45705" w:rsidRPr="001B09E6" w:rsidRDefault="00E45705" w:rsidP="00E45705">
            <w:pPr>
              <w:pStyle w:val="TableColumnHeading"/>
              <w:spacing w:before="0" w:after="0"/>
              <w:ind w:left="0" w:right="0"/>
              <w:rPr>
                <w:lang w:eastAsia="en-AU"/>
              </w:rPr>
            </w:pPr>
          </w:p>
        </w:tc>
        <w:tc>
          <w:tcPr>
            <w:tcW w:w="418" w:type="pct"/>
            <w:tcBorders>
              <w:top w:val="nil"/>
              <w:left w:val="nil"/>
              <w:bottom w:val="nil"/>
              <w:right w:val="nil"/>
            </w:tcBorders>
            <w:shd w:val="clear" w:color="auto" w:fill="auto"/>
            <w:noWrap/>
            <w:vAlign w:val="bottom"/>
            <w:hideMark/>
          </w:tcPr>
          <w:p w14:paraId="7C8DABD8" w14:textId="77777777" w:rsidR="00E45705" w:rsidRPr="001B09E6" w:rsidRDefault="00E45705" w:rsidP="00E45705">
            <w:pPr>
              <w:pStyle w:val="TableColumnHeading"/>
              <w:spacing w:before="0" w:after="0"/>
              <w:ind w:left="0" w:right="0"/>
              <w:rPr>
                <w:lang w:eastAsia="en-AU"/>
              </w:rPr>
            </w:pPr>
          </w:p>
        </w:tc>
      </w:tr>
      <w:tr w:rsidR="00E45705" w:rsidRPr="001B09E6" w14:paraId="66BFF657" w14:textId="77777777" w:rsidTr="00192ABE">
        <w:trPr>
          <w:trHeight w:val="465"/>
        </w:trPr>
        <w:tc>
          <w:tcPr>
            <w:tcW w:w="1033" w:type="pct"/>
            <w:tcBorders>
              <w:top w:val="nil"/>
              <w:left w:val="nil"/>
              <w:bottom w:val="nil"/>
              <w:right w:val="nil"/>
            </w:tcBorders>
            <w:shd w:val="clear" w:color="auto" w:fill="auto"/>
            <w:vAlign w:val="bottom"/>
            <w:hideMark/>
          </w:tcPr>
          <w:p w14:paraId="2DA885E3" w14:textId="77777777" w:rsidR="00E45705" w:rsidRPr="001B09E6" w:rsidRDefault="00E45705" w:rsidP="00E45705">
            <w:pPr>
              <w:pStyle w:val="TableCellText"/>
              <w:spacing w:before="0" w:after="0"/>
              <w:ind w:left="0" w:right="0"/>
              <w:rPr>
                <w:lang w:eastAsia="en-AU"/>
              </w:rPr>
            </w:pPr>
            <w:r w:rsidRPr="001B09E6">
              <w:rPr>
                <w:lang w:eastAsia="en-AU"/>
              </w:rPr>
              <w:t>Diplomas and above</w:t>
            </w:r>
          </w:p>
        </w:tc>
        <w:tc>
          <w:tcPr>
            <w:tcW w:w="683" w:type="pct"/>
            <w:tcBorders>
              <w:top w:val="nil"/>
              <w:left w:val="nil"/>
              <w:bottom w:val="nil"/>
              <w:right w:val="nil"/>
            </w:tcBorders>
            <w:shd w:val="clear" w:color="auto" w:fill="auto"/>
            <w:vAlign w:val="bottom"/>
            <w:hideMark/>
          </w:tcPr>
          <w:p w14:paraId="352530BA" w14:textId="77777777" w:rsidR="00E45705" w:rsidRPr="001B09E6" w:rsidRDefault="00E45705" w:rsidP="00E45705">
            <w:pPr>
              <w:pStyle w:val="TableCellText"/>
              <w:spacing w:before="0" w:after="0"/>
              <w:ind w:left="0" w:right="0"/>
              <w:rPr>
                <w:lang w:eastAsia="en-AU"/>
              </w:rPr>
            </w:pPr>
            <w:r w:rsidRPr="001B09E6">
              <w:rPr>
                <w:lang w:eastAsia="en-AU"/>
              </w:rPr>
              <w:t>24</w:t>
            </w:r>
          </w:p>
        </w:tc>
        <w:tc>
          <w:tcPr>
            <w:tcW w:w="547" w:type="pct"/>
            <w:tcBorders>
              <w:top w:val="nil"/>
              <w:left w:val="nil"/>
              <w:bottom w:val="nil"/>
              <w:right w:val="nil"/>
            </w:tcBorders>
            <w:shd w:val="clear" w:color="auto" w:fill="auto"/>
            <w:vAlign w:val="bottom"/>
            <w:hideMark/>
          </w:tcPr>
          <w:p w14:paraId="6ECB328C" w14:textId="77777777" w:rsidR="00E45705" w:rsidRPr="001B09E6" w:rsidRDefault="00E45705" w:rsidP="00E45705">
            <w:pPr>
              <w:pStyle w:val="TableCellText"/>
              <w:spacing w:before="0" w:after="0"/>
              <w:ind w:left="0" w:right="0"/>
              <w:rPr>
                <w:lang w:eastAsia="en-AU"/>
              </w:rPr>
            </w:pPr>
            <w:r w:rsidRPr="001B09E6">
              <w:rPr>
                <w:lang w:eastAsia="en-AU"/>
              </w:rPr>
              <w:t>14</w:t>
            </w:r>
          </w:p>
        </w:tc>
        <w:tc>
          <w:tcPr>
            <w:tcW w:w="676" w:type="pct"/>
            <w:tcBorders>
              <w:top w:val="nil"/>
              <w:left w:val="nil"/>
              <w:bottom w:val="nil"/>
              <w:right w:val="nil"/>
            </w:tcBorders>
            <w:shd w:val="clear" w:color="auto" w:fill="auto"/>
            <w:vAlign w:val="bottom"/>
            <w:hideMark/>
          </w:tcPr>
          <w:p w14:paraId="045F230B"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57" w:type="pct"/>
            <w:tcBorders>
              <w:top w:val="nil"/>
              <w:left w:val="nil"/>
              <w:bottom w:val="nil"/>
              <w:right w:val="nil"/>
            </w:tcBorders>
            <w:shd w:val="clear" w:color="auto" w:fill="auto"/>
            <w:vAlign w:val="bottom"/>
            <w:hideMark/>
          </w:tcPr>
          <w:p w14:paraId="50D00BFA" w14:textId="77777777" w:rsidR="00E45705" w:rsidRPr="001B09E6" w:rsidRDefault="00E45705" w:rsidP="00E45705">
            <w:pPr>
              <w:pStyle w:val="TableCellText"/>
              <w:spacing w:before="0" w:after="0"/>
              <w:ind w:left="0" w:right="0"/>
              <w:rPr>
                <w:lang w:eastAsia="en-AU"/>
              </w:rPr>
            </w:pPr>
            <w:r w:rsidRPr="001B09E6">
              <w:rPr>
                <w:lang w:eastAsia="en-AU"/>
              </w:rPr>
              <w:t>56</w:t>
            </w:r>
          </w:p>
        </w:tc>
        <w:tc>
          <w:tcPr>
            <w:tcW w:w="494" w:type="pct"/>
            <w:tcBorders>
              <w:top w:val="nil"/>
              <w:left w:val="nil"/>
              <w:bottom w:val="nil"/>
              <w:right w:val="nil"/>
            </w:tcBorders>
            <w:shd w:val="clear" w:color="auto" w:fill="auto"/>
            <w:vAlign w:val="bottom"/>
            <w:hideMark/>
          </w:tcPr>
          <w:p w14:paraId="58684B63" w14:textId="77777777" w:rsidR="00E45705" w:rsidRPr="001B09E6" w:rsidRDefault="00E45705" w:rsidP="00E45705">
            <w:pPr>
              <w:pStyle w:val="TableCellText"/>
              <w:spacing w:before="0" w:after="0"/>
              <w:ind w:left="0" w:right="0"/>
              <w:rPr>
                <w:lang w:eastAsia="en-AU"/>
              </w:rPr>
            </w:pPr>
            <w:r w:rsidRPr="001B09E6">
              <w:rPr>
                <w:lang w:eastAsia="en-AU"/>
              </w:rPr>
              <w:t>3</w:t>
            </w:r>
          </w:p>
        </w:tc>
        <w:tc>
          <w:tcPr>
            <w:tcW w:w="592" w:type="pct"/>
            <w:tcBorders>
              <w:top w:val="nil"/>
              <w:left w:val="nil"/>
              <w:bottom w:val="nil"/>
              <w:right w:val="nil"/>
            </w:tcBorders>
            <w:shd w:val="clear" w:color="auto" w:fill="auto"/>
            <w:vAlign w:val="bottom"/>
            <w:hideMark/>
          </w:tcPr>
          <w:p w14:paraId="3420FF70"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70F449CB" w14:textId="77777777" w:rsidR="00E45705" w:rsidRPr="001B09E6" w:rsidRDefault="00E45705" w:rsidP="00E45705">
            <w:pPr>
              <w:pStyle w:val="TableCellText"/>
              <w:spacing w:before="0" w:after="0"/>
              <w:ind w:left="0" w:right="0"/>
              <w:rPr>
                <w:lang w:eastAsia="en-AU"/>
              </w:rPr>
            </w:pPr>
          </w:p>
        </w:tc>
      </w:tr>
      <w:tr w:rsidR="00E45705" w:rsidRPr="001B09E6" w14:paraId="243C7BDF" w14:textId="77777777" w:rsidTr="00192ABE">
        <w:trPr>
          <w:trHeight w:val="300"/>
        </w:trPr>
        <w:tc>
          <w:tcPr>
            <w:tcW w:w="1033" w:type="pct"/>
            <w:tcBorders>
              <w:top w:val="nil"/>
              <w:left w:val="nil"/>
              <w:bottom w:val="nil"/>
              <w:right w:val="nil"/>
            </w:tcBorders>
            <w:shd w:val="clear" w:color="auto" w:fill="auto"/>
            <w:vAlign w:val="bottom"/>
            <w:hideMark/>
          </w:tcPr>
          <w:p w14:paraId="6D5A62B6" w14:textId="77777777" w:rsidR="00E45705" w:rsidRPr="001B09E6" w:rsidRDefault="00E45705" w:rsidP="00E45705">
            <w:pPr>
              <w:pStyle w:val="TableCellText"/>
              <w:spacing w:before="0" w:after="0"/>
              <w:ind w:left="0" w:right="0"/>
              <w:rPr>
                <w:lang w:eastAsia="en-AU"/>
              </w:rPr>
            </w:pPr>
            <w:r w:rsidRPr="001B09E6">
              <w:rPr>
                <w:lang w:eastAsia="en-AU"/>
              </w:rPr>
              <w:t>Certificate IV</w:t>
            </w:r>
          </w:p>
        </w:tc>
        <w:tc>
          <w:tcPr>
            <w:tcW w:w="683" w:type="pct"/>
            <w:tcBorders>
              <w:top w:val="nil"/>
              <w:left w:val="nil"/>
              <w:bottom w:val="nil"/>
              <w:right w:val="nil"/>
            </w:tcBorders>
            <w:shd w:val="clear" w:color="auto" w:fill="auto"/>
            <w:vAlign w:val="bottom"/>
            <w:hideMark/>
          </w:tcPr>
          <w:p w14:paraId="3F89CAAA" w14:textId="77777777" w:rsidR="00E45705" w:rsidRPr="001B09E6" w:rsidRDefault="00E45705" w:rsidP="00E45705">
            <w:pPr>
              <w:pStyle w:val="TableCellText"/>
              <w:spacing w:before="0" w:after="0"/>
              <w:ind w:left="0" w:right="0"/>
              <w:rPr>
                <w:lang w:eastAsia="en-AU"/>
              </w:rPr>
            </w:pPr>
            <w:r w:rsidRPr="001B09E6">
              <w:rPr>
                <w:lang w:eastAsia="en-AU"/>
              </w:rPr>
              <w:t>14</w:t>
            </w:r>
          </w:p>
        </w:tc>
        <w:tc>
          <w:tcPr>
            <w:tcW w:w="547" w:type="pct"/>
            <w:tcBorders>
              <w:top w:val="nil"/>
              <w:left w:val="nil"/>
              <w:bottom w:val="nil"/>
              <w:right w:val="nil"/>
            </w:tcBorders>
            <w:shd w:val="clear" w:color="auto" w:fill="auto"/>
            <w:vAlign w:val="bottom"/>
            <w:hideMark/>
          </w:tcPr>
          <w:p w14:paraId="2430C0FD" w14:textId="77777777" w:rsidR="00E45705" w:rsidRPr="001B09E6" w:rsidRDefault="00E45705" w:rsidP="00E45705">
            <w:pPr>
              <w:pStyle w:val="TableCellText"/>
              <w:spacing w:before="0" w:after="0"/>
              <w:ind w:left="0" w:right="0"/>
              <w:rPr>
                <w:lang w:eastAsia="en-AU"/>
              </w:rPr>
            </w:pPr>
            <w:r w:rsidRPr="001B09E6">
              <w:rPr>
                <w:lang w:eastAsia="en-AU"/>
              </w:rPr>
              <w:t>24</w:t>
            </w:r>
          </w:p>
        </w:tc>
        <w:tc>
          <w:tcPr>
            <w:tcW w:w="676" w:type="pct"/>
            <w:tcBorders>
              <w:top w:val="nil"/>
              <w:left w:val="nil"/>
              <w:bottom w:val="nil"/>
              <w:right w:val="nil"/>
            </w:tcBorders>
            <w:shd w:val="clear" w:color="auto" w:fill="auto"/>
            <w:vAlign w:val="bottom"/>
            <w:hideMark/>
          </w:tcPr>
          <w:p w14:paraId="7D686C98" w14:textId="77777777" w:rsidR="00E45705" w:rsidRPr="001B09E6" w:rsidRDefault="00E45705" w:rsidP="00E45705">
            <w:pPr>
              <w:pStyle w:val="TableCellText"/>
              <w:spacing w:before="0" w:after="0"/>
              <w:ind w:left="0" w:right="0"/>
              <w:rPr>
                <w:lang w:eastAsia="en-AU"/>
              </w:rPr>
            </w:pPr>
            <w:r w:rsidRPr="001B09E6">
              <w:rPr>
                <w:lang w:eastAsia="en-AU"/>
              </w:rPr>
              <w:t>6</w:t>
            </w:r>
          </w:p>
        </w:tc>
        <w:tc>
          <w:tcPr>
            <w:tcW w:w="557" w:type="pct"/>
            <w:tcBorders>
              <w:top w:val="nil"/>
              <w:left w:val="nil"/>
              <w:bottom w:val="nil"/>
              <w:right w:val="nil"/>
            </w:tcBorders>
            <w:shd w:val="clear" w:color="auto" w:fill="auto"/>
            <w:vAlign w:val="bottom"/>
            <w:hideMark/>
          </w:tcPr>
          <w:p w14:paraId="2A1AF663" w14:textId="77777777" w:rsidR="00E45705" w:rsidRPr="001B09E6" w:rsidRDefault="00E45705" w:rsidP="00E45705">
            <w:pPr>
              <w:pStyle w:val="TableCellText"/>
              <w:spacing w:before="0" w:after="0"/>
              <w:ind w:left="0" w:right="0"/>
              <w:rPr>
                <w:lang w:eastAsia="en-AU"/>
              </w:rPr>
            </w:pPr>
            <w:r w:rsidRPr="001B09E6">
              <w:rPr>
                <w:lang w:eastAsia="en-AU"/>
              </w:rPr>
              <w:t>53</w:t>
            </w:r>
          </w:p>
        </w:tc>
        <w:tc>
          <w:tcPr>
            <w:tcW w:w="494" w:type="pct"/>
            <w:tcBorders>
              <w:top w:val="nil"/>
              <w:left w:val="nil"/>
              <w:bottom w:val="nil"/>
              <w:right w:val="nil"/>
            </w:tcBorders>
            <w:shd w:val="clear" w:color="auto" w:fill="auto"/>
            <w:vAlign w:val="bottom"/>
            <w:hideMark/>
          </w:tcPr>
          <w:p w14:paraId="676AEE7B"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nil"/>
              <w:left w:val="nil"/>
              <w:bottom w:val="nil"/>
              <w:right w:val="nil"/>
            </w:tcBorders>
            <w:shd w:val="clear" w:color="auto" w:fill="auto"/>
            <w:vAlign w:val="bottom"/>
            <w:hideMark/>
          </w:tcPr>
          <w:p w14:paraId="0C4BDF92"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55CC9351" w14:textId="77777777" w:rsidR="00E45705" w:rsidRPr="001B09E6" w:rsidRDefault="00E45705" w:rsidP="00E45705">
            <w:pPr>
              <w:pStyle w:val="TableCellText"/>
              <w:spacing w:before="0" w:after="0"/>
              <w:ind w:left="0" w:right="0"/>
              <w:rPr>
                <w:lang w:eastAsia="en-AU"/>
              </w:rPr>
            </w:pPr>
          </w:p>
        </w:tc>
      </w:tr>
      <w:tr w:rsidR="00E45705" w:rsidRPr="001B09E6" w14:paraId="00844F1A" w14:textId="77777777" w:rsidTr="00192ABE">
        <w:trPr>
          <w:trHeight w:val="300"/>
        </w:trPr>
        <w:tc>
          <w:tcPr>
            <w:tcW w:w="1033" w:type="pct"/>
            <w:tcBorders>
              <w:top w:val="nil"/>
              <w:left w:val="nil"/>
              <w:bottom w:val="nil"/>
              <w:right w:val="nil"/>
            </w:tcBorders>
            <w:shd w:val="clear" w:color="auto" w:fill="auto"/>
            <w:vAlign w:val="bottom"/>
            <w:hideMark/>
          </w:tcPr>
          <w:p w14:paraId="3F68CDA3" w14:textId="77777777" w:rsidR="00E45705" w:rsidRPr="001B09E6" w:rsidRDefault="00E45705" w:rsidP="00E45705">
            <w:pPr>
              <w:pStyle w:val="TableCellText"/>
              <w:spacing w:before="0" w:after="0"/>
              <w:ind w:left="0" w:right="0"/>
              <w:rPr>
                <w:lang w:eastAsia="en-AU"/>
              </w:rPr>
            </w:pPr>
            <w:r w:rsidRPr="001B09E6">
              <w:rPr>
                <w:lang w:eastAsia="en-AU"/>
              </w:rPr>
              <w:t>Certificate III</w:t>
            </w:r>
          </w:p>
        </w:tc>
        <w:tc>
          <w:tcPr>
            <w:tcW w:w="683" w:type="pct"/>
            <w:tcBorders>
              <w:top w:val="nil"/>
              <w:left w:val="nil"/>
              <w:bottom w:val="nil"/>
              <w:right w:val="nil"/>
            </w:tcBorders>
            <w:shd w:val="clear" w:color="auto" w:fill="auto"/>
            <w:vAlign w:val="bottom"/>
            <w:hideMark/>
          </w:tcPr>
          <w:p w14:paraId="32A5C5D3"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47" w:type="pct"/>
            <w:tcBorders>
              <w:top w:val="nil"/>
              <w:left w:val="nil"/>
              <w:bottom w:val="nil"/>
              <w:right w:val="nil"/>
            </w:tcBorders>
            <w:shd w:val="clear" w:color="auto" w:fill="auto"/>
            <w:vAlign w:val="bottom"/>
            <w:hideMark/>
          </w:tcPr>
          <w:p w14:paraId="1CA300CD" w14:textId="77777777" w:rsidR="00E45705" w:rsidRPr="001B09E6" w:rsidRDefault="00E45705" w:rsidP="00E45705">
            <w:pPr>
              <w:pStyle w:val="TableCellText"/>
              <w:spacing w:before="0" w:after="0"/>
              <w:ind w:left="0" w:right="0"/>
              <w:rPr>
                <w:lang w:eastAsia="en-AU"/>
              </w:rPr>
            </w:pPr>
            <w:r w:rsidRPr="001B09E6">
              <w:rPr>
                <w:lang w:eastAsia="en-AU"/>
              </w:rPr>
              <w:t>17</w:t>
            </w:r>
          </w:p>
        </w:tc>
        <w:tc>
          <w:tcPr>
            <w:tcW w:w="676" w:type="pct"/>
            <w:tcBorders>
              <w:top w:val="nil"/>
              <w:left w:val="nil"/>
              <w:bottom w:val="nil"/>
              <w:right w:val="nil"/>
            </w:tcBorders>
            <w:shd w:val="clear" w:color="auto" w:fill="auto"/>
            <w:vAlign w:val="bottom"/>
            <w:hideMark/>
          </w:tcPr>
          <w:p w14:paraId="34628773" w14:textId="77777777" w:rsidR="00E45705" w:rsidRPr="001B09E6" w:rsidRDefault="00E45705" w:rsidP="00E45705">
            <w:pPr>
              <w:pStyle w:val="TableCellText"/>
              <w:spacing w:before="0" w:after="0"/>
              <w:ind w:left="0" w:right="0"/>
              <w:rPr>
                <w:lang w:eastAsia="en-AU"/>
              </w:rPr>
            </w:pPr>
            <w:r w:rsidRPr="001B09E6">
              <w:rPr>
                <w:lang w:eastAsia="en-AU"/>
              </w:rPr>
              <w:t>8</w:t>
            </w:r>
          </w:p>
        </w:tc>
        <w:tc>
          <w:tcPr>
            <w:tcW w:w="557" w:type="pct"/>
            <w:tcBorders>
              <w:top w:val="nil"/>
              <w:left w:val="nil"/>
              <w:bottom w:val="nil"/>
              <w:right w:val="nil"/>
            </w:tcBorders>
            <w:shd w:val="clear" w:color="auto" w:fill="auto"/>
            <w:vAlign w:val="bottom"/>
            <w:hideMark/>
          </w:tcPr>
          <w:p w14:paraId="42F30B7D" w14:textId="77777777" w:rsidR="00E45705" w:rsidRPr="001B09E6" w:rsidRDefault="00E45705" w:rsidP="00E45705">
            <w:pPr>
              <w:pStyle w:val="TableCellText"/>
              <w:spacing w:before="0" w:after="0"/>
              <w:ind w:left="0" w:right="0"/>
              <w:rPr>
                <w:lang w:eastAsia="en-AU"/>
              </w:rPr>
            </w:pPr>
            <w:r w:rsidRPr="001B09E6">
              <w:rPr>
                <w:lang w:eastAsia="en-AU"/>
              </w:rPr>
              <w:t>65</w:t>
            </w:r>
          </w:p>
        </w:tc>
        <w:tc>
          <w:tcPr>
            <w:tcW w:w="494" w:type="pct"/>
            <w:tcBorders>
              <w:top w:val="nil"/>
              <w:left w:val="nil"/>
              <w:bottom w:val="nil"/>
              <w:right w:val="nil"/>
            </w:tcBorders>
            <w:shd w:val="clear" w:color="auto" w:fill="auto"/>
            <w:vAlign w:val="bottom"/>
            <w:hideMark/>
          </w:tcPr>
          <w:p w14:paraId="010C838B"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nil"/>
              <w:left w:val="nil"/>
              <w:bottom w:val="nil"/>
              <w:right w:val="nil"/>
            </w:tcBorders>
            <w:shd w:val="clear" w:color="auto" w:fill="auto"/>
            <w:vAlign w:val="bottom"/>
            <w:hideMark/>
          </w:tcPr>
          <w:p w14:paraId="581F29C3"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3E91F582" w14:textId="77777777" w:rsidR="00E45705" w:rsidRPr="001B09E6" w:rsidRDefault="00E45705" w:rsidP="00E45705">
            <w:pPr>
              <w:pStyle w:val="TableCellText"/>
              <w:spacing w:before="0" w:after="0"/>
              <w:ind w:left="0" w:right="0"/>
              <w:rPr>
                <w:lang w:eastAsia="en-AU"/>
              </w:rPr>
            </w:pPr>
          </w:p>
        </w:tc>
      </w:tr>
      <w:tr w:rsidR="00E45705" w:rsidRPr="001B09E6" w14:paraId="565A0575" w14:textId="77777777" w:rsidTr="00192ABE">
        <w:trPr>
          <w:trHeight w:val="300"/>
        </w:trPr>
        <w:tc>
          <w:tcPr>
            <w:tcW w:w="1033" w:type="pct"/>
            <w:tcBorders>
              <w:top w:val="nil"/>
              <w:left w:val="nil"/>
              <w:bottom w:val="nil"/>
              <w:right w:val="nil"/>
            </w:tcBorders>
            <w:shd w:val="clear" w:color="auto" w:fill="auto"/>
            <w:vAlign w:val="bottom"/>
            <w:hideMark/>
          </w:tcPr>
          <w:p w14:paraId="6EDB47DF" w14:textId="77777777" w:rsidR="00E45705" w:rsidRPr="001B09E6" w:rsidRDefault="00E45705" w:rsidP="00E45705">
            <w:pPr>
              <w:pStyle w:val="TableCellText"/>
              <w:spacing w:before="0" w:after="0"/>
              <w:ind w:left="0" w:right="0"/>
              <w:rPr>
                <w:lang w:eastAsia="en-AU"/>
              </w:rPr>
            </w:pPr>
            <w:r w:rsidRPr="001B09E6">
              <w:rPr>
                <w:lang w:eastAsia="en-AU"/>
              </w:rPr>
              <w:t>Certificate II</w:t>
            </w:r>
          </w:p>
        </w:tc>
        <w:tc>
          <w:tcPr>
            <w:tcW w:w="683" w:type="pct"/>
            <w:tcBorders>
              <w:top w:val="nil"/>
              <w:left w:val="nil"/>
              <w:bottom w:val="nil"/>
              <w:right w:val="nil"/>
            </w:tcBorders>
            <w:shd w:val="clear" w:color="auto" w:fill="auto"/>
            <w:vAlign w:val="bottom"/>
            <w:hideMark/>
          </w:tcPr>
          <w:p w14:paraId="6D613563" w14:textId="77777777" w:rsidR="00E45705" w:rsidRPr="001B09E6" w:rsidRDefault="00E45705" w:rsidP="00E45705">
            <w:pPr>
              <w:pStyle w:val="TableCellText"/>
              <w:spacing w:before="0" w:after="0"/>
              <w:ind w:left="0" w:right="0"/>
              <w:rPr>
                <w:lang w:eastAsia="en-AU"/>
              </w:rPr>
            </w:pPr>
            <w:r w:rsidRPr="001B09E6">
              <w:rPr>
                <w:lang w:eastAsia="en-AU"/>
              </w:rPr>
              <w:t>6</w:t>
            </w:r>
          </w:p>
        </w:tc>
        <w:tc>
          <w:tcPr>
            <w:tcW w:w="547" w:type="pct"/>
            <w:tcBorders>
              <w:top w:val="nil"/>
              <w:left w:val="nil"/>
              <w:bottom w:val="nil"/>
              <w:right w:val="nil"/>
            </w:tcBorders>
            <w:shd w:val="clear" w:color="auto" w:fill="auto"/>
            <w:vAlign w:val="bottom"/>
            <w:hideMark/>
          </w:tcPr>
          <w:p w14:paraId="454A1A9D" w14:textId="77777777" w:rsidR="00E45705" w:rsidRPr="001B09E6" w:rsidRDefault="00E45705" w:rsidP="00E45705">
            <w:pPr>
              <w:pStyle w:val="TableCellText"/>
              <w:spacing w:before="0" w:after="0"/>
              <w:ind w:left="0" w:right="0"/>
              <w:rPr>
                <w:lang w:eastAsia="en-AU"/>
              </w:rPr>
            </w:pPr>
            <w:r w:rsidRPr="001B09E6">
              <w:rPr>
                <w:lang w:eastAsia="en-AU"/>
              </w:rPr>
              <w:t>23</w:t>
            </w:r>
          </w:p>
        </w:tc>
        <w:tc>
          <w:tcPr>
            <w:tcW w:w="676" w:type="pct"/>
            <w:tcBorders>
              <w:top w:val="nil"/>
              <w:left w:val="nil"/>
              <w:bottom w:val="nil"/>
              <w:right w:val="nil"/>
            </w:tcBorders>
            <w:shd w:val="clear" w:color="auto" w:fill="auto"/>
            <w:vAlign w:val="bottom"/>
            <w:hideMark/>
          </w:tcPr>
          <w:p w14:paraId="46EBD86B" w14:textId="77777777" w:rsidR="00E45705" w:rsidRPr="001B09E6" w:rsidRDefault="00E45705" w:rsidP="00E45705">
            <w:pPr>
              <w:pStyle w:val="TableCellText"/>
              <w:spacing w:before="0" w:after="0"/>
              <w:ind w:left="0" w:right="0"/>
              <w:rPr>
                <w:lang w:eastAsia="en-AU"/>
              </w:rPr>
            </w:pPr>
            <w:r w:rsidRPr="001B09E6">
              <w:rPr>
                <w:lang w:eastAsia="en-AU"/>
              </w:rPr>
              <w:t>11</w:t>
            </w:r>
          </w:p>
        </w:tc>
        <w:tc>
          <w:tcPr>
            <w:tcW w:w="557" w:type="pct"/>
            <w:tcBorders>
              <w:top w:val="nil"/>
              <w:left w:val="nil"/>
              <w:bottom w:val="nil"/>
              <w:right w:val="nil"/>
            </w:tcBorders>
            <w:shd w:val="clear" w:color="auto" w:fill="auto"/>
            <w:vAlign w:val="bottom"/>
            <w:hideMark/>
          </w:tcPr>
          <w:p w14:paraId="60DA637A" w14:textId="77777777" w:rsidR="00E45705" w:rsidRPr="001B09E6" w:rsidRDefault="00E45705" w:rsidP="00E45705">
            <w:pPr>
              <w:pStyle w:val="TableCellText"/>
              <w:spacing w:before="0" w:after="0"/>
              <w:ind w:left="0" w:right="0"/>
              <w:rPr>
                <w:lang w:eastAsia="en-AU"/>
              </w:rPr>
            </w:pPr>
            <w:r w:rsidRPr="001B09E6">
              <w:rPr>
                <w:lang w:eastAsia="en-AU"/>
              </w:rPr>
              <w:t>56</w:t>
            </w:r>
          </w:p>
        </w:tc>
        <w:tc>
          <w:tcPr>
            <w:tcW w:w="494" w:type="pct"/>
            <w:tcBorders>
              <w:top w:val="nil"/>
              <w:left w:val="nil"/>
              <w:bottom w:val="nil"/>
              <w:right w:val="nil"/>
            </w:tcBorders>
            <w:shd w:val="clear" w:color="auto" w:fill="auto"/>
            <w:vAlign w:val="bottom"/>
            <w:hideMark/>
          </w:tcPr>
          <w:p w14:paraId="35271AA9"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nil"/>
              <w:left w:val="nil"/>
              <w:bottom w:val="nil"/>
              <w:right w:val="nil"/>
            </w:tcBorders>
            <w:shd w:val="clear" w:color="auto" w:fill="auto"/>
            <w:vAlign w:val="bottom"/>
            <w:hideMark/>
          </w:tcPr>
          <w:p w14:paraId="383688FB"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1F31D8E1" w14:textId="77777777" w:rsidR="00E45705" w:rsidRPr="001B09E6" w:rsidRDefault="00E45705" w:rsidP="00E45705">
            <w:pPr>
              <w:pStyle w:val="TableCellText"/>
              <w:spacing w:before="0" w:after="0"/>
              <w:ind w:left="0" w:right="0"/>
              <w:rPr>
                <w:lang w:eastAsia="en-AU"/>
              </w:rPr>
            </w:pPr>
          </w:p>
        </w:tc>
      </w:tr>
      <w:tr w:rsidR="00E45705" w:rsidRPr="001B09E6" w14:paraId="74EF0E11" w14:textId="77777777" w:rsidTr="00192ABE">
        <w:trPr>
          <w:trHeight w:val="300"/>
        </w:trPr>
        <w:tc>
          <w:tcPr>
            <w:tcW w:w="1033" w:type="pct"/>
            <w:tcBorders>
              <w:top w:val="nil"/>
              <w:left w:val="nil"/>
              <w:bottom w:val="nil"/>
              <w:right w:val="nil"/>
            </w:tcBorders>
            <w:shd w:val="clear" w:color="auto" w:fill="auto"/>
            <w:vAlign w:val="bottom"/>
            <w:hideMark/>
          </w:tcPr>
          <w:p w14:paraId="56902B8D" w14:textId="77777777" w:rsidR="00E45705" w:rsidRPr="001B09E6" w:rsidRDefault="00E45705" w:rsidP="00E45705">
            <w:pPr>
              <w:pStyle w:val="TableCellText"/>
              <w:spacing w:before="0" w:after="0"/>
              <w:ind w:left="0" w:right="0"/>
              <w:rPr>
                <w:lang w:eastAsia="en-AU"/>
              </w:rPr>
            </w:pPr>
            <w:r w:rsidRPr="001B09E6">
              <w:rPr>
                <w:lang w:eastAsia="en-AU"/>
              </w:rPr>
              <w:t>Certificate I</w:t>
            </w:r>
          </w:p>
        </w:tc>
        <w:tc>
          <w:tcPr>
            <w:tcW w:w="683" w:type="pct"/>
            <w:tcBorders>
              <w:top w:val="nil"/>
              <w:left w:val="nil"/>
              <w:bottom w:val="nil"/>
              <w:right w:val="nil"/>
            </w:tcBorders>
            <w:shd w:val="clear" w:color="auto" w:fill="auto"/>
            <w:vAlign w:val="bottom"/>
            <w:hideMark/>
          </w:tcPr>
          <w:p w14:paraId="73E39616" w14:textId="77777777" w:rsidR="00E45705" w:rsidRPr="001B09E6" w:rsidRDefault="00E45705" w:rsidP="00E45705">
            <w:pPr>
              <w:pStyle w:val="TableCellText"/>
              <w:spacing w:before="0" w:after="0"/>
              <w:ind w:left="0" w:right="0"/>
              <w:rPr>
                <w:lang w:eastAsia="en-AU"/>
              </w:rPr>
            </w:pPr>
            <w:r w:rsidRPr="001B09E6">
              <w:rPr>
                <w:lang w:eastAsia="en-AU"/>
              </w:rPr>
              <w:t>3</w:t>
            </w:r>
          </w:p>
        </w:tc>
        <w:tc>
          <w:tcPr>
            <w:tcW w:w="547" w:type="pct"/>
            <w:tcBorders>
              <w:top w:val="nil"/>
              <w:left w:val="nil"/>
              <w:bottom w:val="nil"/>
              <w:right w:val="nil"/>
            </w:tcBorders>
            <w:shd w:val="clear" w:color="auto" w:fill="auto"/>
            <w:vAlign w:val="bottom"/>
            <w:hideMark/>
          </w:tcPr>
          <w:p w14:paraId="7D01D056" w14:textId="77777777" w:rsidR="00E45705" w:rsidRPr="001B09E6" w:rsidRDefault="00E45705" w:rsidP="00E45705">
            <w:pPr>
              <w:pStyle w:val="TableCellText"/>
              <w:spacing w:before="0" w:after="0"/>
              <w:ind w:left="0" w:right="0"/>
              <w:rPr>
                <w:lang w:eastAsia="en-AU"/>
              </w:rPr>
            </w:pPr>
            <w:r w:rsidRPr="001B09E6">
              <w:rPr>
                <w:lang w:eastAsia="en-AU"/>
              </w:rPr>
              <w:t>18</w:t>
            </w:r>
          </w:p>
        </w:tc>
        <w:tc>
          <w:tcPr>
            <w:tcW w:w="676" w:type="pct"/>
            <w:tcBorders>
              <w:top w:val="nil"/>
              <w:left w:val="nil"/>
              <w:bottom w:val="nil"/>
              <w:right w:val="nil"/>
            </w:tcBorders>
            <w:shd w:val="clear" w:color="auto" w:fill="auto"/>
            <w:vAlign w:val="bottom"/>
            <w:hideMark/>
          </w:tcPr>
          <w:p w14:paraId="49A2674E" w14:textId="77777777" w:rsidR="00E45705" w:rsidRPr="001B09E6" w:rsidRDefault="00E45705" w:rsidP="00E45705">
            <w:pPr>
              <w:pStyle w:val="TableCellText"/>
              <w:spacing w:before="0" w:after="0"/>
              <w:ind w:left="0" w:right="0"/>
              <w:rPr>
                <w:lang w:eastAsia="en-AU"/>
              </w:rPr>
            </w:pPr>
            <w:r w:rsidRPr="001B09E6">
              <w:rPr>
                <w:lang w:eastAsia="en-AU"/>
              </w:rPr>
              <w:t>12</w:t>
            </w:r>
          </w:p>
        </w:tc>
        <w:tc>
          <w:tcPr>
            <w:tcW w:w="557" w:type="pct"/>
            <w:tcBorders>
              <w:top w:val="nil"/>
              <w:left w:val="nil"/>
              <w:bottom w:val="nil"/>
              <w:right w:val="nil"/>
            </w:tcBorders>
            <w:shd w:val="clear" w:color="auto" w:fill="auto"/>
            <w:vAlign w:val="bottom"/>
            <w:hideMark/>
          </w:tcPr>
          <w:p w14:paraId="7662031C" w14:textId="77777777" w:rsidR="00E45705" w:rsidRPr="001B09E6" w:rsidRDefault="00E45705" w:rsidP="00E45705">
            <w:pPr>
              <w:pStyle w:val="TableCellText"/>
              <w:spacing w:before="0" w:after="0"/>
              <w:ind w:left="0" w:right="0"/>
              <w:rPr>
                <w:lang w:eastAsia="en-AU"/>
              </w:rPr>
            </w:pPr>
            <w:r w:rsidRPr="001B09E6">
              <w:rPr>
                <w:lang w:eastAsia="en-AU"/>
              </w:rPr>
              <w:t>63</w:t>
            </w:r>
          </w:p>
        </w:tc>
        <w:tc>
          <w:tcPr>
            <w:tcW w:w="494" w:type="pct"/>
            <w:tcBorders>
              <w:top w:val="nil"/>
              <w:left w:val="nil"/>
              <w:bottom w:val="nil"/>
              <w:right w:val="nil"/>
            </w:tcBorders>
            <w:shd w:val="clear" w:color="auto" w:fill="auto"/>
            <w:vAlign w:val="bottom"/>
            <w:hideMark/>
          </w:tcPr>
          <w:p w14:paraId="291E38F7" w14:textId="77777777" w:rsidR="00E45705" w:rsidRPr="001B09E6" w:rsidRDefault="00E45705" w:rsidP="00E45705">
            <w:pPr>
              <w:pStyle w:val="TableCellText"/>
              <w:spacing w:before="0" w:after="0"/>
              <w:ind w:left="0" w:right="0"/>
              <w:rPr>
                <w:lang w:eastAsia="en-AU"/>
              </w:rPr>
            </w:pPr>
            <w:r w:rsidRPr="001B09E6">
              <w:rPr>
                <w:lang w:eastAsia="en-AU"/>
              </w:rPr>
              <w:t>3</w:t>
            </w:r>
          </w:p>
        </w:tc>
        <w:tc>
          <w:tcPr>
            <w:tcW w:w="592" w:type="pct"/>
            <w:tcBorders>
              <w:top w:val="nil"/>
              <w:left w:val="nil"/>
              <w:bottom w:val="nil"/>
              <w:right w:val="nil"/>
            </w:tcBorders>
            <w:shd w:val="clear" w:color="auto" w:fill="auto"/>
            <w:vAlign w:val="bottom"/>
            <w:hideMark/>
          </w:tcPr>
          <w:p w14:paraId="077C35DF"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432B7332" w14:textId="77777777" w:rsidR="00E45705" w:rsidRPr="001B09E6" w:rsidRDefault="00E45705" w:rsidP="00E45705">
            <w:pPr>
              <w:pStyle w:val="TableCellText"/>
              <w:spacing w:before="0" w:after="0"/>
              <w:ind w:left="0" w:right="0"/>
              <w:rPr>
                <w:lang w:eastAsia="en-AU"/>
              </w:rPr>
            </w:pPr>
          </w:p>
        </w:tc>
      </w:tr>
      <w:tr w:rsidR="00E45705" w:rsidRPr="001B09E6" w14:paraId="7F7472AD" w14:textId="77777777" w:rsidTr="00192ABE">
        <w:trPr>
          <w:trHeight w:val="300"/>
        </w:trPr>
        <w:tc>
          <w:tcPr>
            <w:tcW w:w="1033" w:type="pct"/>
            <w:tcBorders>
              <w:top w:val="nil"/>
              <w:left w:val="nil"/>
              <w:bottom w:val="nil"/>
              <w:right w:val="nil"/>
            </w:tcBorders>
            <w:shd w:val="clear" w:color="auto" w:fill="auto"/>
            <w:vAlign w:val="bottom"/>
            <w:hideMark/>
          </w:tcPr>
          <w:p w14:paraId="11FB9844" w14:textId="77777777" w:rsidR="00E45705" w:rsidRPr="001B09E6" w:rsidRDefault="00E45705" w:rsidP="00E45705">
            <w:pPr>
              <w:pStyle w:val="TableCellText"/>
              <w:spacing w:before="0" w:after="0"/>
              <w:ind w:left="0" w:right="0"/>
              <w:rPr>
                <w:lang w:eastAsia="en-AU"/>
              </w:rPr>
            </w:pPr>
            <w:r w:rsidRPr="001B09E6">
              <w:rPr>
                <w:lang w:eastAsia="en-AU"/>
              </w:rPr>
              <w:t>Other</w:t>
            </w:r>
          </w:p>
        </w:tc>
        <w:tc>
          <w:tcPr>
            <w:tcW w:w="683" w:type="pct"/>
            <w:tcBorders>
              <w:top w:val="nil"/>
              <w:left w:val="nil"/>
              <w:bottom w:val="nil"/>
              <w:right w:val="nil"/>
            </w:tcBorders>
            <w:shd w:val="clear" w:color="auto" w:fill="auto"/>
            <w:vAlign w:val="bottom"/>
            <w:hideMark/>
          </w:tcPr>
          <w:p w14:paraId="7C0D265E" w14:textId="77777777" w:rsidR="00E45705" w:rsidRPr="001B09E6" w:rsidRDefault="00E45705" w:rsidP="00E45705">
            <w:pPr>
              <w:pStyle w:val="TableCellText"/>
              <w:spacing w:before="0" w:after="0"/>
              <w:ind w:left="0" w:right="0"/>
              <w:rPr>
                <w:lang w:eastAsia="en-AU"/>
              </w:rPr>
            </w:pPr>
            <w:r w:rsidRPr="001B09E6">
              <w:rPr>
                <w:lang w:eastAsia="en-AU"/>
              </w:rPr>
              <w:t>9</w:t>
            </w:r>
          </w:p>
        </w:tc>
        <w:tc>
          <w:tcPr>
            <w:tcW w:w="547" w:type="pct"/>
            <w:tcBorders>
              <w:top w:val="nil"/>
              <w:left w:val="nil"/>
              <w:bottom w:val="nil"/>
              <w:right w:val="nil"/>
            </w:tcBorders>
            <w:shd w:val="clear" w:color="auto" w:fill="auto"/>
            <w:vAlign w:val="bottom"/>
            <w:hideMark/>
          </w:tcPr>
          <w:p w14:paraId="1F85D0CC" w14:textId="77777777" w:rsidR="00E45705" w:rsidRPr="001B09E6" w:rsidRDefault="00E45705" w:rsidP="00E45705">
            <w:pPr>
              <w:pStyle w:val="TableCellText"/>
              <w:spacing w:before="0" w:after="0"/>
              <w:ind w:left="0" w:right="0"/>
              <w:rPr>
                <w:lang w:eastAsia="en-AU"/>
              </w:rPr>
            </w:pPr>
            <w:r w:rsidRPr="001B09E6">
              <w:rPr>
                <w:lang w:eastAsia="en-AU"/>
              </w:rPr>
              <w:t>12</w:t>
            </w:r>
          </w:p>
        </w:tc>
        <w:tc>
          <w:tcPr>
            <w:tcW w:w="676" w:type="pct"/>
            <w:tcBorders>
              <w:top w:val="nil"/>
              <w:left w:val="nil"/>
              <w:bottom w:val="nil"/>
              <w:right w:val="nil"/>
            </w:tcBorders>
            <w:shd w:val="clear" w:color="auto" w:fill="auto"/>
            <w:vAlign w:val="bottom"/>
            <w:hideMark/>
          </w:tcPr>
          <w:p w14:paraId="6BA7E445"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57" w:type="pct"/>
            <w:tcBorders>
              <w:top w:val="nil"/>
              <w:left w:val="nil"/>
              <w:bottom w:val="nil"/>
              <w:right w:val="nil"/>
            </w:tcBorders>
            <w:shd w:val="clear" w:color="auto" w:fill="auto"/>
            <w:vAlign w:val="bottom"/>
            <w:hideMark/>
          </w:tcPr>
          <w:p w14:paraId="22ED13D1" w14:textId="77777777" w:rsidR="00E45705" w:rsidRPr="001B09E6" w:rsidRDefault="00E45705" w:rsidP="00E45705">
            <w:pPr>
              <w:pStyle w:val="TableCellText"/>
              <w:spacing w:before="0" w:after="0"/>
              <w:ind w:left="0" w:right="0"/>
              <w:rPr>
                <w:lang w:eastAsia="en-AU"/>
              </w:rPr>
            </w:pPr>
            <w:r w:rsidRPr="001B09E6">
              <w:rPr>
                <w:lang w:eastAsia="en-AU"/>
              </w:rPr>
              <w:t>69</w:t>
            </w:r>
          </w:p>
        </w:tc>
        <w:tc>
          <w:tcPr>
            <w:tcW w:w="494" w:type="pct"/>
            <w:tcBorders>
              <w:top w:val="nil"/>
              <w:left w:val="nil"/>
              <w:bottom w:val="nil"/>
              <w:right w:val="nil"/>
            </w:tcBorders>
            <w:shd w:val="clear" w:color="auto" w:fill="auto"/>
            <w:vAlign w:val="bottom"/>
            <w:hideMark/>
          </w:tcPr>
          <w:p w14:paraId="7C1E105D" w14:textId="77777777" w:rsidR="00E45705" w:rsidRPr="001B09E6" w:rsidRDefault="00E45705" w:rsidP="00E45705">
            <w:pPr>
              <w:pStyle w:val="TableCellText"/>
              <w:spacing w:before="0" w:after="0"/>
              <w:ind w:left="0" w:right="0"/>
              <w:rPr>
                <w:lang w:eastAsia="en-AU"/>
              </w:rPr>
            </w:pPr>
            <w:r w:rsidRPr="001B09E6">
              <w:rPr>
                <w:lang w:eastAsia="en-AU"/>
              </w:rPr>
              <w:t>6</w:t>
            </w:r>
          </w:p>
        </w:tc>
        <w:tc>
          <w:tcPr>
            <w:tcW w:w="592" w:type="pct"/>
            <w:tcBorders>
              <w:top w:val="nil"/>
              <w:left w:val="nil"/>
              <w:bottom w:val="nil"/>
              <w:right w:val="nil"/>
            </w:tcBorders>
            <w:shd w:val="clear" w:color="auto" w:fill="auto"/>
            <w:vAlign w:val="bottom"/>
            <w:hideMark/>
          </w:tcPr>
          <w:p w14:paraId="2866BF04"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08BAC06B" w14:textId="77777777" w:rsidR="00E45705" w:rsidRPr="001B09E6" w:rsidRDefault="00E45705" w:rsidP="00E45705">
            <w:pPr>
              <w:pStyle w:val="TableCellText"/>
              <w:spacing w:before="0" w:after="0"/>
              <w:ind w:left="0" w:right="0"/>
              <w:rPr>
                <w:lang w:eastAsia="en-AU"/>
              </w:rPr>
            </w:pPr>
          </w:p>
        </w:tc>
      </w:tr>
      <w:tr w:rsidR="00E45705" w:rsidRPr="001B09E6" w14:paraId="38B487BB" w14:textId="77777777" w:rsidTr="00192ABE">
        <w:trPr>
          <w:trHeight w:val="465"/>
        </w:trPr>
        <w:tc>
          <w:tcPr>
            <w:tcW w:w="1033" w:type="pct"/>
            <w:tcBorders>
              <w:top w:val="nil"/>
              <w:left w:val="nil"/>
              <w:bottom w:val="nil"/>
              <w:right w:val="nil"/>
            </w:tcBorders>
            <w:shd w:val="clear" w:color="auto" w:fill="auto"/>
            <w:vAlign w:val="bottom"/>
            <w:hideMark/>
          </w:tcPr>
          <w:p w14:paraId="316064B0" w14:textId="77777777" w:rsidR="00E45705" w:rsidRPr="001B09E6" w:rsidRDefault="00E45705" w:rsidP="00E45705">
            <w:pPr>
              <w:pStyle w:val="TableCellText"/>
              <w:spacing w:before="0" w:after="0"/>
              <w:ind w:left="0" w:right="0"/>
              <w:rPr>
                <w:lang w:eastAsia="en-AU"/>
              </w:rPr>
            </w:pPr>
            <w:r w:rsidRPr="001B09E6">
              <w:rPr>
                <w:lang w:eastAsia="en-AU"/>
              </w:rPr>
              <w:t>Statement of Attainment</w:t>
            </w:r>
          </w:p>
        </w:tc>
        <w:tc>
          <w:tcPr>
            <w:tcW w:w="683" w:type="pct"/>
            <w:tcBorders>
              <w:top w:val="nil"/>
              <w:left w:val="nil"/>
              <w:bottom w:val="nil"/>
              <w:right w:val="nil"/>
            </w:tcBorders>
            <w:shd w:val="clear" w:color="auto" w:fill="auto"/>
            <w:vAlign w:val="bottom"/>
            <w:hideMark/>
          </w:tcPr>
          <w:p w14:paraId="5A0387EE" w14:textId="77777777" w:rsidR="00E45705" w:rsidRPr="001B09E6" w:rsidRDefault="00E45705" w:rsidP="00E45705">
            <w:pPr>
              <w:pStyle w:val="TableCellText"/>
              <w:spacing w:before="0" w:after="0"/>
              <w:ind w:left="0" w:right="0"/>
              <w:rPr>
                <w:lang w:eastAsia="en-AU"/>
              </w:rPr>
            </w:pPr>
            <w:r w:rsidRPr="001B09E6">
              <w:rPr>
                <w:lang w:eastAsia="en-AU"/>
              </w:rPr>
              <w:t>8</w:t>
            </w:r>
          </w:p>
        </w:tc>
        <w:tc>
          <w:tcPr>
            <w:tcW w:w="547" w:type="pct"/>
            <w:tcBorders>
              <w:top w:val="nil"/>
              <w:left w:val="nil"/>
              <w:bottom w:val="nil"/>
              <w:right w:val="nil"/>
            </w:tcBorders>
            <w:shd w:val="clear" w:color="auto" w:fill="auto"/>
            <w:vAlign w:val="bottom"/>
            <w:hideMark/>
          </w:tcPr>
          <w:p w14:paraId="5482A70D" w14:textId="77777777" w:rsidR="00E45705" w:rsidRPr="001B09E6" w:rsidRDefault="00E45705" w:rsidP="00E45705">
            <w:pPr>
              <w:pStyle w:val="TableCellText"/>
              <w:spacing w:before="0" w:after="0"/>
              <w:ind w:left="0" w:right="0"/>
              <w:rPr>
                <w:lang w:eastAsia="en-AU"/>
              </w:rPr>
            </w:pPr>
            <w:r w:rsidRPr="001B09E6">
              <w:rPr>
                <w:lang w:eastAsia="en-AU"/>
              </w:rPr>
              <w:t>13</w:t>
            </w:r>
          </w:p>
        </w:tc>
        <w:tc>
          <w:tcPr>
            <w:tcW w:w="676" w:type="pct"/>
            <w:tcBorders>
              <w:top w:val="nil"/>
              <w:left w:val="nil"/>
              <w:bottom w:val="nil"/>
              <w:right w:val="nil"/>
            </w:tcBorders>
            <w:shd w:val="clear" w:color="auto" w:fill="auto"/>
            <w:vAlign w:val="bottom"/>
            <w:hideMark/>
          </w:tcPr>
          <w:p w14:paraId="334F85A6"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57" w:type="pct"/>
            <w:tcBorders>
              <w:top w:val="nil"/>
              <w:left w:val="nil"/>
              <w:bottom w:val="nil"/>
              <w:right w:val="nil"/>
            </w:tcBorders>
            <w:shd w:val="clear" w:color="auto" w:fill="auto"/>
            <w:vAlign w:val="bottom"/>
            <w:hideMark/>
          </w:tcPr>
          <w:p w14:paraId="0CC708AD" w14:textId="77777777" w:rsidR="00E45705" w:rsidRPr="001B09E6" w:rsidRDefault="00E45705" w:rsidP="00E45705">
            <w:pPr>
              <w:pStyle w:val="TableCellText"/>
              <w:spacing w:before="0" w:after="0"/>
              <w:ind w:left="0" w:right="0"/>
              <w:rPr>
                <w:lang w:eastAsia="en-AU"/>
              </w:rPr>
            </w:pPr>
            <w:r w:rsidRPr="001B09E6">
              <w:rPr>
                <w:lang w:eastAsia="en-AU"/>
              </w:rPr>
              <w:t>71</w:t>
            </w:r>
          </w:p>
        </w:tc>
        <w:tc>
          <w:tcPr>
            <w:tcW w:w="494" w:type="pct"/>
            <w:tcBorders>
              <w:top w:val="nil"/>
              <w:left w:val="nil"/>
              <w:bottom w:val="nil"/>
              <w:right w:val="nil"/>
            </w:tcBorders>
            <w:shd w:val="clear" w:color="auto" w:fill="auto"/>
            <w:vAlign w:val="bottom"/>
            <w:hideMark/>
          </w:tcPr>
          <w:p w14:paraId="4AA48061" w14:textId="77777777" w:rsidR="00E45705" w:rsidRPr="001B09E6" w:rsidRDefault="00E45705" w:rsidP="00E45705">
            <w:pPr>
              <w:pStyle w:val="TableCellText"/>
              <w:spacing w:before="0" w:after="0"/>
              <w:ind w:left="0" w:right="0"/>
              <w:rPr>
                <w:lang w:eastAsia="en-AU"/>
              </w:rPr>
            </w:pPr>
            <w:r w:rsidRPr="001B09E6">
              <w:rPr>
                <w:lang w:eastAsia="en-AU"/>
              </w:rPr>
              <w:t>5</w:t>
            </w:r>
          </w:p>
        </w:tc>
        <w:tc>
          <w:tcPr>
            <w:tcW w:w="592" w:type="pct"/>
            <w:tcBorders>
              <w:top w:val="nil"/>
              <w:left w:val="nil"/>
              <w:bottom w:val="nil"/>
              <w:right w:val="nil"/>
            </w:tcBorders>
            <w:shd w:val="clear" w:color="auto" w:fill="auto"/>
            <w:vAlign w:val="bottom"/>
            <w:hideMark/>
          </w:tcPr>
          <w:p w14:paraId="23DDF789"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156E04A2" w14:textId="77777777" w:rsidR="00E45705" w:rsidRPr="001B09E6" w:rsidRDefault="00E45705" w:rsidP="00E45705">
            <w:pPr>
              <w:pStyle w:val="TableCellText"/>
              <w:spacing w:before="0" w:after="0"/>
              <w:ind w:left="0" w:right="0"/>
              <w:rPr>
                <w:lang w:eastAsia="en-AU"/>
              </w:rPr>
            </w:pPr>
          </w:p>
        </w:tc>
      </w:tr>
      <w:tr w:rsidR="00E45705" w:rsidRPr="001B09E6" w14:paraId="15B6F709" w14:textId="77777777" w:rsidTr="00192ABE">
        <w:trPr>
          <w:trHeight w:val="465"/>
        </w:trPr>
        <w:tc>
          <w:tcPr>
            <w:tcW w:w="1033" w:type="pct"/>
            <w:tcBorders>
              <w:top w:val="nil"/>
              <w:left w:val="nil"/>
              <w:bottom w:val="nil"/>
              <w:right w:val="nil"/>
            </w:tcBorders>
            <w:shd w:val="clear" w:color="auto" w:fill="auto"/>
            <w:vAlign w:val="bottom"/>
            <w:hideMark/>
          </w:tcPr>
          <w:p w14:paraId="00C7D25A" w14:textId="77777777" w:rsidR="00E45705" w:rsidRPr="001B09E6" w:rsidRDefault="00E45705" w:rsidP="00E45705">
            <w:pPr>
              <w:pStyle w:val="TableCellText"/>
              <w:spacing w:before="0" w:after="0"/>
              <w:ind w:left="0" w:right="0"/>
              <w:rPr>
                <w:lang w:eastAsia="en-AU"/>
              </w:rPr>
            </w:pPr>
            <w:r w:rsidRPr="001B09E6">
              <w:rPr>
                <w:lang w:eastAsia="en-AU"/>
              </w:rPr>
              <w:t>Subject only enrolment</w:t>
            </w:r>
          </w:p>
        </w:tc>
        <w:tc>
          <w:tcPr>
            <w:tcW w:w="683" w:type="pct"/>
            <w:tcBorders>
              <w:top w:val="nil"/>
              <w:left w:val="nil"/>
              <w:bottom w:val="nil"/>
              <w:right w:val="nil"/>
            </w:tcBorders>
            <w:shd w:val="clear" w:color="auto" w:fill="auto"/>
            <w:vAlign w:val="bottom"/>
            <w:hideMark/>
          </w:tcPr>
          <w:p w14:paraId="0CDD69C4" w14:textId="77777777" w:rsidR="00E45705" w:rsidRPr="001B09E6" w:rsidRDefault="00E45705" w:rsidP="00E45705">
            <w:pPr>
              <w:pStyle w:val="TableCellText"/>
              <w:spacing w:before="0" w:after="0"/>
              <w:ind w:left="0" w:right="0"/>
              <w:rPr>
                <w:lang w:eastAsia="en-AU"/>
              </w:rPr>
            </w:pPr>
            <w:r w:rsidRPr="001B09E6">
              <w:rPr>
                <w:lang w:eastAsia="en-AU"/>
              </w:rPr>
              <w:t>10</w:t>
            </w:r>
          </w:p>
        </w:tc>
        <w:tc>
          <w:tcPr>
            <w:tcW w:w="547" w:type="pct"/>
            <w:tcBorders>
              <w:top w:val="nil"/>
              <w:left w:val="nil"/>
              <w:bottom w:val="nil"/>
              <w:right w:val="nil"/>
            </w:tcBorders>
            <w:shd w:val="clear" w:color="auto" w:fill="auto"/>
            <w:vAlign w:val="bottom"/>
            <w:hideMark/>
          </w:tcPr>
          <w:p w14:paraId="252F37FB" w14:textId="77777777" w:rsidR="00E45705" w:rsidRPr="001B09E6" w:rsidRDefault="00E45705" w:rsidP="00E45705">
            <w:pPr>
              <w:pStyle w:val="TableCellText"/>
              <w:spacing w:before="0" w:after="0"/>
              <w:ind w:left="0" w:right="0"/>
              <w:rPr>
                <w:lang w:eastAsia="en-AU"/>
              </w:rPr>
            </w:pPr>
            <w:r w:rsidRPr="001B09E6">
              <w:rPr>
                <w:lang w:eastAsia="en-AU"/>
              </w:rPr>
              <w:t>17</w:t>
            </w:r>
          </w:p>
        </w:tc>
        <w:tc>
          <w:tcPr>
            <w:tcW w:w="676" w:type="pct"/>
            <w:tcBorders>
              <w:top w:val="nil"/>
              <w:left w:val="nil"/>
              <w:bottom w:val="nil"/>
              <w:right w:val="nil"/>
            </w:tcBorders>
            <w:shd w:val="clear" w:color="auto" w:fill="auto"/>
            <w:vAlign w:val="bottom"/>
            <w:hideMark/>
          </w:tcPr>
          <w:p w14:paraId="1F836ADF"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57" w:type="pct"/>
            <w:tcBorders>
              <w:top w:val="nil"/>
              <w:left w:val="nil"/>
              <w:bottom w:val="nil"/>
              <w:right w:val="nil"/>
            </w:tcBorders>
            <w:shd w:val="clear" w:color="auto" w:fill="auto"/>
            <w:vAlign w:val="bottom"/>
            <w:hideMark/>
          </w:tcPr>
          <w:p w14:paraId="0FA79E35" w14:textId="77777777" w:rsidR="00E45705" w:rsidRPr="001B09E6" w:rsidRDefault="00E45705" w:rsidP="00E45705">
            <w:pPr>
              <w:pStyle w:val="TableCellText"/>
              <w:spacing w:before="0" w:after="0"/>
              <w:ind w:left="0" w:right="0"/>
              <w:rPr>
                <w:lang w:eastAsia="en-AU"/>
              </w:rPr>
            </w:pPr>
            <w:r w:rsidRPr="001B09E6">
              <w:rPr>
                <w:lang w:eastAsia="en-AU"/>
              </w:rPr>
              <w:t>59</w:t>
            </w:r>
          </w:p>
        </w:tc>
        <w:tc>
          <w:tcPr>
            <w:tcW w:w="494" w:type="pct"/>
            <w:tcBorders>
              <w:top w:val="nil"/>
              <w:left w:val="nil"/>
              <w:bottom w:val="nil"/>
              <w:right w:val="nil"/>
            </w:tcBorders>
            <w:shd w:val="clear" w:color="auto" w:fill="auto"/>
            <w:vAlign w:val="bottom"/>
            <w:hideMark/>
          </w:tcPr>
          <w:p w14:paraId="2C6D0107" w14:textId="77777777" w:rsidR="00E45705" w:rsidRPr="001B09E6" w:rsidRDefault="00E45705" w:rsidP="00E45705">
            <w:pPr>
              <w:pStyle w:val="TableCellText"/>
              <w:spacing w:before="0" w:after="0"/>
              <w:ind w:left="0" w:right="0"/>
              <w:rPr>
                <w:lang w:eastAsia="en-AU"/>
              </w:rPr>
            </w:pPr>
            <w:r w:rsidRPr="001B09E6">
              <w:rPr>
                <w:lang w:eastAsia="en-AU"/>
              </w:rPr>
              <w:t>7</w:t>
            </w:r>
          </w:p>
        </w:tc>
        <w:tc>
          <w:tcPr>
            <w:tcW w:w="592" w:type="pct"/>
            <w:tcBorders>
              <w:top w:val="nil"/>
              <w:left w:val="nil"/>
              <w:bottom w:val="nil"/>
              <w:right w:val="nil"/>
            </w:tcBorders>
            <w:shd w:val="clear" w:color="auto" w:fill="auto"/>
            <w:vAlign w:val="bottom"/>
            <w:hideMark/>
          </w:tcPr>
          <w:p w14:paraId="6CCD3A5A"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184477DC" w14:textId="77777777" w:rsidR="00E45705" w:rsidRPr="001B09E6" w:rsidRDefault="00E45705" w:rsidP="00E45705">
            <w:pPr>
              <w:pStyle w:val="TableCellText"/>
              <w:spacing w:before="0" w:after="0"/>
              <w:ind w:left="0" w:right="0"/>
              <w:rPr>
                <w:lang w:eastAsia="en-AU"/>
              </w:rPr>
            </w:pPr>
          </w:p>
        </w:tc>
      </w:tr>
      <w:tr w:rsidR="00E45705" w:rsidRPr="001B09E6" w14:paraId="73833BD5" w14:textId="77777777" w:rsidTr="00192ABE">
        <w:trPr>
          <w:trHeight w:val="300"/>
        </w:trPr>
        <w:tc>
          <w:tcPr>
            <w:tcW w:w="1033" w:type="pct"/>
            <w:tcBorders>
              <w:top w:val="single" w:sz="4" w:space="0" w:color="auto"/>
              <w:left w:val="nil"/>
              <w:bottom w:val="single" w:sz="4" w:space="0" w:color="auto"/>
              <w:right w:val="nil"/>
            </w:tcBorders>
            <w:shd w:val="clear" w:color="auto" w:fill="auto"/>
            <w:vAlign w:val="bottom"/>
            <w:hideMark/>
          </w:tcPr>
          <w:p w14:paraId="272FCC05" w14:textId="77777777" w:rsidR="00E45705" w:rsidRPr="001B09E6" w:rsidRDefault="00E45705" w:rsidP="00E45705">
            <w:pPr>
              <w:pStyle w:val="TableCellText"/>
              <w:spacing w:before="0" w:after="0"/>
              <w:ind w:left="0" w:right="0"/>
              <w:rPr>
                <w:lang w:eastAsia="en-AU"/>
              </w:rPr>
            </w:pPr>
            <w:r w:rsidRPr="001B09E6">
              <w:rPr>
                <w:lang w:eastAsia="en-AU"/>
              </w:rPr>
              <w:t>Total</w:t>
            </w:r>
          </w:p>
        </w:tc>
        <w:tc>
          <w:tcPr>
            <w:tcW w:w="683" w:type="pct"/>
            <w:tcBorders>
              <w:top w:val="single" w:sz="4" w:space="0" w:color="auto"/>
              <w:left w:val="nil"/>
              <w:bottom w:val="single" w:sz="4" w:space="0" w:color="auto"/>
              <w:right w:val="nil"/>
            </w:tcBorders>
            <w:shd w:val="clear" w:color="auto" w:fill="auto"/>
            <w:vAlign w:val="bottom"/>
            <w:hideMark/>
          </w:tcPr>
          <w:p w14:paraId="6FB294AF" w14:textId="77777777" w:rsidR="00E45705" w:rsidRPr="001B09E6" w:rsidRDefault="00E45705" w:rsidP="00E45705">
            <w:pPr>
              <w:pStyle w:val="TableCellText"/>
              <w:spacing w:before="0" w:after="0"/>
              <w:ind w:left="0" w:right="0"/>
              <w:rPr>
                <w:lang w:eastAsia="en-AU"/>
              </w:rPr>
            </w:pPr>
            <w:r w:rsidRPr="001B09E6">
              <w:rPr>
                <w:lang w:eastAsia="en-AU"/>
              </w:rPr>
              <w:t>9</w:t>
            </w:r>
          </w:p>
        </w:tc>
        <w:tc>
          <w:tcPr>
            <w:tcW w:w="547" w:type="pct"/>
            <w:tcBorders>
              <w:top w:val="single" w:sz="4" w:space="0" w:color="auto"/>
              <w:left w:val="nil"/>
              <w:bottom w:val="single" w:sz="4" w:space="0" w:color="auto"/>
              <w:right w:val="nil"/>
            </w:tcBorders>
            <w:shd w:val="clear" w:color="auto" w:fill="auto"/>
            <w:vAlign w:val="bottom"/>
            <w:hideMark/>
          </w:tcPr>
          <w:p w14:paraId="30FEF89C" w14:textId="77777777" w:rsidR="00E45705" w:rsidRPr="001B09E6" w:rsidRDefault="00E45705" w:rsidP="00E45705">
            <w:pPr>
              <w:pStyle w:val="TableCellText"/>
              <w:spacing w:before="0" w:after="0"/>
              <w:ind w:left="0" w:right="0"/>
              <w:rPr>
                <w:lang w:eastAsia="en-AU"/>
              </w:rPr>
            </w:pPr>
            <w:r w:rsidRPr="001B09E6">
              <w:rPr>
                <w:lang w:eastAsia="en-AU"/>
              </w:rPr>
              <w:t>18</w:t>
            </w:r>
          </w:p>
        </w:tc>
        <w:tc>
          <w:tcPr>
            <w:tcW w:w="676" w:type="pct"/>
            <w:tcBorders>
              <w:top w:val="single" w:sz="4" w:space="0" w:color="auto"/>
              <w:left w:val="nil"/>
              <w:bottom w:val="single" w:sz="4" w:space="0" w:color="auto"/>
              <w:right w:val="nil"/>
            </w:tcBorders>
            <w:shd w:val="clear" w:color="auto" w:fill="auto"/>
            <w:vAlign w:val="bottom"/>
            <w:hideMark/>
          </w:tcPr>
          <w:p w14:paraId="4094360A" w14:textId="77777777" w:rsidR="00E45705" w:rsidRPr="001B09E6" w:rsidRDefault="00E45705" w:rsidP="00E45705">
            <w:pPr>
              <w:pStyle w:val="TableCellText"/>
              <w:spacing w:before="0" w:after="0"/>
              <w:ind w:left="0" w:right="0"/>
              <w:rPr>
                <w:lang w:eastAsia="en-AU"/>
              </w:rPr>
            </w:pPr>
            <w:r w:rsidRPr="001B09E6">
              <w:rPr>
                <w:lang w:eastAsia="en-AU"/>
              </w:rPr>
              <w:t>8</w:t>
            </w:r>
          </w:p>
        </w:tc>
        <w:tc>
          <w:tcPr>
            <w:tcW w:w="557" w:type="pct"/>
            <w:tcBorders>
              <w:top w:val="single" w:sz="4" w:space="0" w:color="auto"/>
              <w:left w:val="nil"/>
              <w:bottom w:val="single" w:sz="4" w:space="0" w:color="auto"/>
              <w:right w:val="nil"/>
            </w:tcBorders>
            <w:shd w:val="clear" w:color="auto" w:fill="auto"/>
            <w:vAlign w:val="bottom"/>
            <w:hideMark/>
          </w:tcPr>
          <w:p w14:paraId="10E9EE69" w14:textId="77777777" w:rsidR="00E45705" w:rsidRPr="001B09E6" w:rsidRDefault="00E45705" w:rsidP="00E45705">
            <w:pPr>
              <w:pStyle w:val="TableCellText"/>
              <w:spacing w:before="0" w:after="0"/>
              <w:ind w:left="0" w:right="0"/>
              <w:rPr>
                <w:lang w:eastAsia="en-AU"/>
              </w:rPr>
            </w:pPr>
            <w:r w:rsidRPr="001B09E6">
              <w:rPr>
                <w:lang w:eastAsia="en-AU"/>
              </w:rPr>
              <w:t>61</w:t>
            </w:r>
          </w:p>
        </w:tc>
        <w:tc>
          <w:tcPr>
            <w:tcW w:w="494" w:type="pct"/>
            <w:tcBorders>
              <w:top w:val="single" w:sz="4" w:space="0" w:color="auto"/>
              <w:left w:val="nil"/>
              <w:bottom w:val="single" w:sz="4" w:space="0" w:color="auto"/>
              <w:right w:val="nil"/>
            </w:tcBorders>
            <w:shd w:val="clear" w:color="auto" w:fill="auto"/>
            <w:vAlign w:val="bottom"/>
            <w:hideMark/>
          </w:tcPr>
          <w:p w14:paraId="796BDE46" w14:textId="77777777" w:rsidR="00E45705" w:rsidRPr="001B09E6" w:rsidRDefault="00E45705" w:rsidP="00E45705">
            <w:pPr>
              <w:pStyle w:val="TableCellText"/>
              <w:spacing w:before="0" w:after="0"/>
              <w:ind w:left="0" w:right="0"/>
              <w:rPr>
                <w:lang w:eastAsia="en-AU"/>
              </w:rPr>
            </w:pPr>
            <w:r w:rsidRPr="001B09E6">
              <w:rPr>
                <w:lang w:eastAsia="en-AU"/>
              </w:rPr>
              <w:t>4</w:t>
            </w:r>
          </w:p>
        </w:tc>
        <w:tc>
          <w:tcPr>
            <w:tcW w:w="592" w:type="pct"/>
            <w:tcBorders>
              <w:top w:val="single" w:sz="4" w:space="0" w:color="auto"/>
              <w:left w:val="nil"/>
              <w:bottom w:val="single" w:sz="4" w:space="0" w:color="auto"/>
              <w:right w:val="nil"/>
            </w:tcBorders>
            <w:shd w:val="clear" w:color="auto" w:fill="auto"/>
            <w:vAlign w:val="bottom"/>
            <w:hideMark/>
          </w:tcPr>
          <w:p w14:paraId="3A3B231C" w14:textId="77777777" w:rsidR="00E45705" w:rsidRPr="001B09E6" w:rsidRDefault="00E45705" w:rsidP="00E45705">
            <w:pPr>
              <w:pStyle w:val="TableCellText"/>
              <w:spacing w:before="0" w:after="0"/>
              <w:ind w:left="0" w:right="0"/>
              <w:rPr>
                <w:lang w:eastAsia="en-AU"/>
              </w:rPr>
            </w:pPr>
            <w:r w:rsidRPr="001B09E6">
              <w:rPr>
                <w:lang w:eastAsia="en-AU"/>
              </w:rPr>
              <w:t>100</w:t>
            </w:r>
          </w:p>
        </w:tc>
        <w:tc>
          <w:tcPr>
            <w:tcW w:w="418" w:type="pct"/>
            <w:tcBorders>
              <w:top w:val="nil"/>
              <w:left w:val="nil"/>
              <w:bottom w:val="nil"/>
              <w:right w:val="nil"/>
            </w:tcBorders>
            <w:shd w:val="clear" w:color="auto" w:fill="auto"/>
            <w:noWrap/>
            <w:vAlign w:val="bottom"/>
            <w:hideMark/>
          </w:tcPr>
          <w:p w14:paraId="09BEB06F" w14:textId="77777777" w:rsidR="00E45705" w:rsidRPr="001B09E6" w:rsidRDefault="00E45705" w:rsidP="00E45705">
            <w:pPr>
              <w:pStyle w:val="TableCellText"/>
              <w:spacing w:before="0" w:after="0"/>
              <w:ind w:left="0" w:right="0"/>
              <w:rPr>
                <w:lang w:eastAsia="en-AU"/>
              </w:rPr>
            </w:pPr>
          </w:p>
        </w:tc>
      </w:tr>
      <w:tr w:rsidR="00E45705" w:rsidRPr="001B09E6" w14:paraId="50B56C17" w14:textId="77777777" w:rsidTr="00192ABE">
        <w:trPr>
          <w:trHeight w:val="300"/>
        </w:trPr>
        <w:tc>
          <w:tcPr>
            <w:tcW w:w="2939" w:type="pct"/>
            <w:gridSpan w:val="4"/>
            <w:tcBorders>
              <w:top w:val="nil"/>
              <w:left w:val="nil"/>
              <w:bottom w:val="nil"/>
              <w:right w:val="nil"/>
            </w:tcBorders>
            <w:shd w:val="clear" w:color="auto" w:fill="auto"/>
            <w:noWrap/>
            <w:vAlign w:val="bottom"/>
            <w:hideMark/>
          </w:tcPr>
          <w:p w14:paraId="0C9B4C59" w14:textId="77777777" w:rsidR="00E45705" w:rsidRPr="001B09E6" w:rsidRDefault="00E45705" w:rsidP="00E45705">
            <w:pPr>
              <w:pStyle w:val="Tablenote"/>
              <w:rPr>
                <w:lang w:eastAsia="en-AU"/>
              </w:rPr>
            </w:pPr>
            <w:r w:rsidRPr="001B09E6">
              <w:rPr>
                <w:lang w:eastAsia="en-AU"/>
              </w:rPr>
              <w:t>Source: NCVER's Student Outcomes Survey 2011</w:t>
            </w:r>
          </w:p>
        </w:tc>
        <w:tc>
          <w:tcPr>
            <w:tcW w:w="557" w:type="pct"/>
            <w:tcBorders>
              <w:top w:val="nil"/>
              <w:left w:val="nil"/>
              <w:bottom w:val="nil"/>
              <w:right w:val="nil"/>
            </w:tcBorders>
            <w:shd w:val="clear" w:color="auto" w:fill="auto"/>
            <w:noWrap/>
            <w:vAlign w:val="bottom"/>
            <w:hideMark/>
          </w:tcPr>
          <w:p w14:paraId="3CCCB073" w14:textId="77777777" w:rsidR="00E45705" w:rsidRPr="001B09E6" w:rsidRDefault="00E45705" w:rsidP="00E45705">
            <w:pPr>
              <w:pStyle w:val="Tablenote"/>
              <w:rPr>
                <w:color w:val="000000"/>
                <w:lang w:eastAsia="en-AU"/>
              </w:rPr>
            </w:pPr>
          </w:p>
        </w:tc>
        <w:tc>
          <w:tcPr>
            <w:tcW w:w="494" w:type="pct"/>
            <w:tcBorders>
              <w:top w:val="nil"/>
              <w:left w:val="nil"/>
              <w:bottom w:val="nil"/>
              <w:right w:val="nil"/>
            </w:tcBorders>
            <w:shd w:val="clear" w:color="auto" w:fill="auto"/>
            <w:noWrap/>
            <w:vAlign w:val="bottom"/>
            <w:hideMark/>
          </w:tcPr>
          <w:p w14:paraId="1399F583" w14:textId="77777777" w:rsidR="00E45705" w:rsidRPr="001B09E6" w:rsidRDefault="00E45705" w:rsidP="00E45705">
            <w:pPr>
              <w:pStyle w:val="Tablenote"/>
              <w:rPr>
                <w:color w:val="000000"/>
                <w:lang w:eastAsia="en-AU"/>
              </w:rPr>
            </w:pPr>
          </w:p>
        </w:tc>
        <w:tc>
          <w:tcPr>
            <w:tcW w:w="592" w:type="pct"/>
            <w:tcBorders>
              <w:top w:val="nil"/>
              <w:left w:val="nil"/>
              <w:bottom w:val="nil"/>
              <w:right w:val="nil"/>
            </w:tcBorders>
            <w:shd w:val="clear" w:color="auto" w:fill="auto"/>
            <w:noWrap/>
            <w:vAlign w:val="bottom"/>
            <w:hideMark/>
          </w:tcPr>
          <w:p w14:paraId="146C4BE1" w14:textId="77777777" w:rsidR="00E45705" w:rsidRPr="001B09E6" w:rsidRDefault="00E45705" w:rsidP="00E45705">
            <w:pPr>
              <w:pStyle w:val="Tablenote"/>
              <w:rPr>
                <w:color w:val="000000"/>
                <w:lang w:eastAsia="en-AU"/>
              </w:rPr>
            </w:pPr>
          </w:p>
        </w:tc>
        <w:tc>
          <w:tcPr>
            <w:tcW w:w="418" w:type="pct"/>
            <w:tcBorders>
              <w:top w:val="nil"/>
              <w:left w:val="nil"/>
              <w:bottom w:val="nil"/>
              <w:right w:val="nil"/>
            </w:tcBorders>
            <w:shd w:val="clear" w:color="auto" w:fill="auto"/>
            <w:noWrap/>
            <w:vAlign w:val="bottom"/>
            <w:hideMark/>
          </w:tcPr>
          <w:p w14:paraId="19A7AD70" w14:textId="77777777" w:rsidR="00E45705" w:rsidRPr="001B09E6" w:rsidRDefault="00E45705" w:rsidP="00E45705">
            <w:pPr>
              <w:pStyle w:val="Tablenote"/>
              <w:rPr>
                <w:color w:val="000000"/>
                <w:lang w:eastAsia="en-AU"/>
              </w:rPr>
            </w:pPr>
          </w:p>
        </w:tc>
      </w:tr>
    </w:tbl>
    <w:p w14:paraId="5B00965B" w14:textId="77777777" w:rsidR="00E45705" w:rsidRDefault="00E45705" w:rsidP="00E45705">
      <w:pPr>
        <w:rPr>
          <w:rFonts w:ascii="Arial" w:eastAsia="Times New Roman" w:hAnsi="Arial" w:cs="Arial"/>
          <w:color w:val="000000"/>
          <w:sz w:val="16"/>
          <w:szCs w:val="16"/>
          <w:lang w:eastAsia="en-AU"/>
        </w:rPr>
        <w:sectPr w:rsidR="00E45705" w:rsidSect="00E45705">
          <w:footerReference w:type="default" r:id="rId91"/>
          <w:pgSz w:w="16838" w:h="11899" w:orient="landscape" w:code="9"/>
          <w:pgMar w:top="1134" w:right="1077" w:bottom="1247" w:left="1361" w:header="284" w:footer="1021" w:gutter="0"/>
          <w:cols w:space="708"/>
          <w:docGrid w:linePitch="272"/>
        </w:sectPr>
      </w:pPr>
    </w:p>
    <w:tbl>
      <w:tblPr>
        <w:tblW w:w="7508" w:type="pct"/>
        <w:tblLook w:val="04A0" w:firstRow="1" w:lastRow="0" w:firstColumn="1" w:lastColumn="0" w:noHBand="0" w:noVBand="1"/>
        <w:tblCaption w:val="Table 2.40: Labour force status for the civilian population aged 15-64, 2000-2012 (%) "/>
        <w:tblDescription w:val="Table 2.40: Labour force status for the civilian population aged 15-64, 2000-2012 (%)&#10;"/>
      </w:tblPr>
      <w:tblGrid>
        <w:gridCol w:w="2338"/>
        <w:gridCol w:w="1546"/>
        <w:gridCol w:w="1237"/>
        <w:gridCol w:w="1529"/>
        <w:gridCol w:w="1260"/>
        <w:gridCol w:w="149"/>
        <w:gridCol w:w="645"/>
        <w:gridCol w:w="23"/>
        <w:gridCol w:w="754"/>
        <w:gridCol w:w="19"/>
        <w:gridCol w:w="422"/>
        <w:gridCol w:w="4695"/>
      </w:tblGrid>
      <w:tr w:rsidR="00E45705" w:rsidRPr="001B09E6" w14:paraId="092D5AD1" w14:textId="77777777" w:rsidTr="00E45705">
        <w:trPr>
          <w:gridAfter w:val="1"/>
          <w:wAfter w:w="1670" w:type="pct"/>
          <w:trHeight w:val="300"/>
        </w:trPr>
        <w:tc>
          <w:tcPr>
            <w:tcW w:w="688" w:type="pct"/>
            <w:tcBorders>
              <w:top w:val="nil"/>
              <w:left w:val="nil"/>
              <w:bottom w:val="nil"/>
              <w:right w:val="nil"/>
            </w:tcBorders>
            <w:shd w:val="clear" w:color="auto" w:fill="auto"/>
            <w:noWrap/>
            <w:vAlign w:val="bottom"/>
            <w:hideMark/>
          </w:tcPr>
          <w:p w14:paraId="4094FF65" w14:textId="77777777" w:rsidR="00E45705" w:rsidRPr="001B09E6" w:rsidRDefault="00E45705" w:rsidP="00E45705">
            <w:pPr>
              <w:rPr>
                <w:rFonts w:ascii="Arial" w:eastAsia="Times New Roman" w:hAnsi="Arial" w:cs="Arial"/>
                <w:color w:val="000000"/>
                <w:sz w:val="16"/>
                <w:szCs w:val="16"/>
                <w:lang w:eastAsia="en-AU"/>
              </w:rPr>
            </w:pPr>
          </w:p>
        </w:tc>
        <w:tc>
          <w:tcPr>
            <w:tcW w:w="455" w:type="pct"/>
            <w:tcBorders>
              <w:top w:val="nil"/>
              <w:left w:val="nil"/>
              <w:bottom w:val="nil"/>
              <w:right w:val="nil"/>
            </w:tcBorders>
            <w:shd w:val="clear" w:color="auto" w:fill="auto"/>
            <w:noWrap/>
            <w:vAlign w:val="bottom"/>
            <w:hideMark/>
          </w:tcPr>
          <w:p w14:paraId="2F169378" w14:textId="77777777" w:rsidR="00E45705" w:rsidRPr="001B09E6" w:rsidRDefault="00E45705" w:rsidP="00E45705">
            <w:pPr>
              <w:rPr>
                <w:rFonts w:ascii="Arial" w:eastAsia="Times New Roman" w:hAnsi="Arial" w:cs="Arial"/>
                <w:color w:val="000000"/>
                <w:sz w:val="16"/>
                <w:szCs w:val="16"/>
                <w:lang w:eastAsia="en-AU"/>
              </w:rPr>
            </w:pPr>
          </w:p>
        </w:tc>
        <w:tc>
          <w:tcPr>
            <w:tcW w:w="364" w:type="pct"/>
            <w:tcBorders>
              <w:top w:val="nil"/>
              <w:left w:val="nil"/>
              <w:bottom w:val="nil"/>
              <w:right w:val="nil"/>
            </w:tcBorders>
            <w:shd w:val="clear" w:color="auto" w:fill="auto"/>
            <w:noWrap/>
            <w:vAlign w:val="bottom"/>
            <w:hideMark/>
          </w:tcPr>
          <w:p w14:paraId="10242AE7" w14:textId="77777777" w:rsidR="00E45705" w:rsidRPr="001B09E6" w:rsidRDefault="00E45705" w:rsidP="00E45705">
            <w:pPr>
              <w:rPr>
                <w:rFonts w:ascii="Arial" w:eastAsia="Times New Roman" w:hAnsi="Arial" w:cs="Arial"/>
                <w:color w:val="000000"/>
                <w:sz w:val="16"/>
                <w:szCs w:val="16"/>
                <w:lang w:eastAsia="en-AU"/>
              </w:rPr>
            </w:pPr>
          </w:p>
        </w:tc>
        <w:tc>
          <w:tcPr>
            <w:tcW w:w="450" w:type="pct"/>
            <w:tcBorders>
              <w:top w:val="nil"/>
              <w:left w:val="nil"/>
              <w:bottom w:val="nil"/>
              <w:right w:val="nil"/>
            </w:tcBorders>
            <w:shd w:val="clear" w:color="auto" w:fill="auto"/>
            <w:noWrap/>
            <w:vAlign w:val="bottom"/>
            <w:hideMark/>
          </w:tcPr>
          <w:p w14:paraId="568E9E42" w14:textId="77777777" w:rsidR="00E45705" w:rsidRPr="001B09E6" w:rsidRDefault="00E45705" w:rsidP="00E45705">
            <w:pPr>
              <w:rPr>
                <w:rFonts w:ascii="Arial" w:eastAsia="Times New Roman" w:hAnsi="Arial" w:cs="Arial"/>
                <w:color w:val="000000"/>
                <w:sz w:val="16"/>
                <w:szCs w:val="16"/>
                <w:lang w:eastAsia="en-AU"/>
              </w:rPr>
            </w:pPr>
          </w:p>
        </w:tc>
        <w:tc>
          <w:tcPr>
            <w:tcW w:w="371" w:type="pct"/>
            <w:tcBorders>
              <w:top w:val="nil"/>
              <w:left w:val="nil"/>
              <w:bottom w:val="nil"/>
              <w:right w:val="nil"/>
            </w:tcBorders>
            <w:shd w:val="clear" w:color="auto" w:fill="auto"/>
            <w:noWrap/>
            <w:vAlign w:val="bottom"/>
            <w:hideMark/>
          </w:tcPr>
          <w:p w14:paraId="385A289D" w14:textId="77777777" w:rsidR="00E45705" w:rsidRPr="001B09E6" w:rsidRDefault="00E45705" w:rsidP="00E45705">
            <w:pPr>
              <w:rPr>
                <w:rFonts w:ascii="Arial" w:eastAsia="Times New Roman" w:hAnsi="Arial" w:cs="Arial"/>
                <w:color w:val="000000"/>
                <w:sz w:val="16"/>
                <w:szCs w:val="16"/>
                <w:lang w:eastAsia="en-AU"/>
              </w:rPr>
            </w:pPr>
          </w:p>
        </w:tc>
        <w:tc>
          <w:tcPr>
            <w:tcW w:w="329" w:type="pct"/>
            <w:gridSpan w:val="2"/>
            <w:tcBorders>
              <w:top w:val="nil"/>
              <w:left w:val="nil"/>
              <w:bottom w:val="nil"/>
              <w:right w:val="nil"/>
            </w:tcBorders>
            <w:shd w:val="clear" w:color="auto" w:fill="auto"/>
            <w:noWrap/>
            <w:vAlign w:val="bottom"/>
            <w:hideMark/>
          </w:tcPr>
          <w:p w14:paraId="75D4D251" w14:textId="77777777" w:rsidR="00E45705" w:rsidRPr="001B09E6" w:rsidRDefault="00E45705" w:rsidP="00E45705">
            <w:pPr>
              <w:rPr>
                <w:rFonts w:ascii="Arial" w:eastAsia="Times New Roman" w:hAnsi="Arial" w:cs="Arial"/>
                <w:color w:val="000000"/>
                <w:sz w:val="16"/>
                <w:szCs w:val="16"/>
                <w:lang w:eastAsia="en-AU"/>
              </w:rPr>
            </w:pPr>
          </w:p>
        </w:tc>
        <w:tc>
          <w:tcPr>
            <w:tcW w:w="394" w:type="pct"/>
            <w:gridSpan w:val="2"/>
            <w:tcBorders>
              <w:top w:val="nil"/>
              <w:left w:val="nil"/>
              <w:bottom w:val="nil"/>
              <w:right w:val="nil"/>
            </w:tcBorders>
            <w:shd w:val="clear" w:color="auto" w:fill="auto"/>
            <w:noWrap/>
            <w:vAlign w:val="bottom"/>
            <w:hideMark/>
          </w:tcPr>
          <w:p w14:paraId="009571FA" w14:textId="77777777" w:rsidR="00E45705" w:rsidRPr="001B09E6" w:rsidRDefault="00E45705" w:rsidP="00E45705">
            <w:pPr>
              <w:rPr>
                <w:rFonts w:ascii="Arial" w:eastAsia="Times New Roman" w:hAnsi="Arial" w:cs="Arial"/>
                <w:color w:val="000000"/>
                <w:sz w:val="16"/>
                <w:szCs w:val="16"/>
                <w:lang w:eastAsia="en-AU"/>
              </w:rPr>
            </w:pPr>
          </w:p>
        </w:tc>
        <w:tc>
          <w:tcPr>
            <w:tcW w:w="279" w:type="pct"/>
            <w:gridSpan w:val="2"/>
            <w:tcBorders>
              <w:top w:val="nil"/>
              <w:left w:val="nil"/>
              <w:bottom w:val="nil"/>
              <w:right w:val="nil"/>
            </w:tcBorders>
            <w:shd w:val="clear" w:color="auto" w:fill="auto"/>
            <w:noWrap/>
            <w:vAlign w:val="bottom"/>
            <w:hideMark/>
          </w:tcPr>
          <w:p w14:paraId="004243BD" w14:textId="77777777" w:rsidR="00E45705" w:rsidRPr="001B09E6" w:rsidRDefault="00E45705" w:rsidP="00E45705">
            <w:pPr>
              <w:rPr>
                <w:rFonts w:ascii="Arial" w:eastAsia="Times New Roman" w:hAnsi="Arial" w:cs="Arial"/>
                <w:color w:val="000000"/>
                <w:sz w:val="16"/>
                <w:szCs w:val="16"/>
                <w:lang w:eastAsia="en-AU"/>
              </w:rPr>
            </w:pPr>
          </w:p>
        </w:tc>
      </w:tr>
      <w:tr w:rsidR="00E45705" w:rsidRPr="001B09E6" w14:paraId="072CCC0E" w14:textId="77777777" w:rsidTr="00E45705">
        <w:trPr>
          <w:gridAfter w:val="1"/>
          <w:wAfter w:w="1670" w:type="pct"/>
          <w:trHeight w:val="300"/>
        </w:trPr>
        <w:tc>
          <w:tcPr>
            <w:tcW w:w="2372" w:type="pct"/>
            <w:gridSpan w:val="6"/>
            <w:tcBorders>
              <w:top w:val="nil"/>
              <w:left w:val="nil"/>
              <w:bottom w:val="nil"/>
              <w:right w:val="nil"/>
            </w:tcBorders>
            <w:shd w:val="clear" w:color="auto" w:fill="auto"/>
            <w:noWrap/>
            <w:vAlign w:val="bottom"/>
            <w:hideMark/>
          </w:tcPr>
          <w:p w14:paraId="2C01C8E6" w14:textId="77777777" w:rsidR="00E45705" w:rsidRDefault="00E45705" w:rsidP="00E45705">
            <w:pPr>
              <w:pStyle w:val="Heading3NoNumbering"/>
              <w:rPr>
                <w:lang w:eastAsia="en-AU"/>
              </w:rPr>
            </w:pPr>
          </w:p>
          <w:p w14:paraId="5B84D9C6" w14:textId="77777777" w:rsidR="00E45705" w:rsidRDefault="00E45705" w:rsidP="00E45705">
            <w:pPr>
              <w:pStyle w:val="Heading3NoNumbering"/>
              <w:rPr>
                <w:lang w:eastAsia="en-AU"/>
              </w:rPr>
            </w:pPr>
            <w:r w:rsidRPr="001B09E6">
              <w:rPr>
                <w:lang w:eastAsia="en-AU"/>
              </w:rPr>
              <w:t>Table 2.4</w:t>
            </w:r>
            <w:r>
              <w:rPr>
                <w:lang w:eastAsia="en-AU"/>
              </w:rPr>
              <w:t>0</w:t>
            </w:r>
            <w:r w:rsidRPr="001B09E6">
              <w:rPr>
                <w:lang w:eastAsia="en-AU"/>
              </w:rPr>
              <w:t xml:space="preserve">: </w:t>
            </w:r>
            <w:r>
              <w:rPr>
                <w:lang w:eastAsia="en-AU"/>
              </w:rPr>
              <w:t>Labour force status for the civilian population aged 15-64, 2000-2012 (%)</w:t>
            </w:r>
          </w:p>
          <w:tbl>
            <w:tblPr>
              <w:tblW w:w="63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40"/>
              <w:gridCol w:w="960"/>
              <w:gridCol w:w="960"/>
              <w:gridCol w:w="1102"/>
              <w:gridCol w:w="960"/>
              <w:gridCol w:w="971"/>
            </w:tblGrid>
            <w:tr w:rsidR="00E45705" w:rsidRPr="00C37E19" w14:paraId="0877C025" w14:textId="77777777" w:rsidTr="00E45705">
              <w:trPr>
                <w:trHeight w:val="915"/>
              </w:trPr>
              <w:tc>
                <w:tcPr>
                  <w:tcW w:w="1540" w:type="dxa"/>
                  <w:tcBorders>
                    <w:top w:val="single" w:sz="4" w:space="0" w:color="auto"/>
                    <w:left w:val="nil"/>
                    <w:bottom w:val="single" w:sz="6" w:space="0" w:color="auto"/>
                    <w:right w:val="nil"/>
                  </w:tcBorders>
                  <w:shd w:val="clear" w:color="auto" w:fill="auto"/>
                  <w:vAlign w:val="bottom"/>
                  <w:hideMark/>
                </w:tcPr>
                <w:p w14:paraId="12A35FF1" w14:textId="77777777" w:rsidR="00E45705" w:rsidRPr="00C37E19" w:rsidRDefault="00E45705" w:rsidP="00E45705">
                  <w:pPr>
                    <w:pStyle w:val="TableColumnHeading"/>
                    <w:spacing w:before="0" w:after="0"/>
                    <w:ind w:left="0" w:right="0"/>
                    <w:rPr>
                      <w:lang w:eastAsia="en-AU"/>
                    </w:rPr>
                  </w:pPr>
                </w:p>
              </w:tc>
              <w:tc>
                <w:tcPr>
                  <w:tcW w:w="960" w:type="dxa"/>
                  <w:tcBorders>
                    <w:top w:val="single" w:sz="4" w:space="0" w:color="auto"/>
                    <w:left w:val="nil"/>
                    <w:bottom w:val="single" w:sz="6" w:space="0" w:color="auto"/>
                    <w:right w:val="nil"/>
                  </w:tcBorders>
                  <w:shd w:val="clear" w:color="auto" w:fill="auto"/>
                  <w:vAlign w:val="bottom"/>
                  <w:hideMark/>
                </w:tcPr>
                <w:p w14:paraId="20A46051" w14:textId="77777777" w:rsidR="00E45705" w:rsidRPr="00C37E19" w:rsidRDefault="00E45705" w:rsidP="00E45705">
                  <w:pPr>
                    <w:pStyle w:val="TableColumnHeading"/>
                    <w:spacing w:before="0" w:after="0"/>
                    <w:ind w:left="0" w:right="0"/>
                  </w:pPr>
                  <w:r w:rsidRPr="00C37E19">
                    <w:rPr>
                      <w:szCs w:val="16"/>
                    </w:rPr>
                    <w:t>Employed Full Time 15-64 years</w:t>
                  </w:r>
                </w:p>
              </w:tc>
              <w:tc>
                <w:tcPr>
                  <w:tcW w:w="960" w:type="dxa"/>
                  <w:tcBorders>
                    <w:top w:val="single" w:sz="4" w:space="0" w:color="auto"/>
                    <w:left w:val="nil"/>
                    <w:bottom w:val="single" w:sz="6" w:space="0" w:color="auto"/>
                    <w:right w:val="nil"/>
                  </w:tcBorders>
                  <w:shd w:val="clear" w:color="auto" w:fill="auto"/>
                  <w:vAlign w:val="bottom"/>
                  <w:hideMark/>
                </w:tcPr>
                <w:p w14:paraId="5D0FCD01" w14:textId="77777777" w:rsidR="00E45705" w:rsidRPr="00C37E19" w:rsidRDefault="00E45705" w:rsidP="00E45705">
                  <w:pPr>
                    <w:pStyle w:val="TableColumnHeading"/>
                    <w:spacing w:before="0" w:after="0"/>
                    <w:ind w:left="0" w:right="0"/>
                  </w:pPr>
                  <w:r w:rsidRPr="00C37E19">
                    <w:rPr>
                      <w:szCs w:val="16"/>
                    </w:rPr>
                    <w:t>Employed Part Time 15-64 years</w:t>
                  </w:r>
                </w:p>
              </w:tc>
              <w:tc>
                <w:tcPr>
                  <w:tcW w:w="960" w:type="dxa"/>
                  <w:tcBorders>
                    <w:top w:val="single" w:sz="4" w:space="0" w:color="auto"/>
                    <w:left w:val="nil"/>
                    <w:bottom w:val="single" w:sz="6" w:space="0" w:color="auto"/>
                    <w:right w:val="nil"/>
                  </w:tcBorders>
                  <w:shd w:val="clear" w:color="auto" w:fill="auto"/>
                  <w:vAlign w:val="bottom"/>
                  <w:hideMark/>
                </w:tcPr>
                <w:p w14:paraId="42388770" w14:textId="77777777" w:rsidR="00E45705" w:rsidRPr="00C37E19" w:rsidRDefault="00E45705" w:rsidP="00E45705">
                  <w:pPr>
                    <w:pStyle w:val="TableColumnHeading"/>
                    <w:spacing w:before="0" w:after="0"/>
                    <w:ind w:left="0" w:right="0"/>
                  </w:pPr>
                  <w:r w:rsidRPr="00C37E19">
                    <w:rPr>
                      <w:szCs w:val="16"/>
                    </w:rPr>
                    <w:t>Unemployed 15-64 years</w:t>
                  </w:r>
                </w:p>
              </w:tc>
              <w:tc>
                <w:tcPr>
                  <w:tcW w:w="960" w:type="dxa"/>
                  <w:tcBorders>
                    <w:top w:val="single" w:sz="4" w:space="0" w:color="auto"/>
                    <w:left w:val="nil"/>
                    <w:bottom w:val="single" w:sz="6" w:space="0" w:color="auto"/>
                    <w:right w:val="nil"/>
                  </w:tcBorders>
                  <w:shd w:val="clear" w:color="auto" w:fill="auto"/>
                  <w:vAlign w:val="bottom"/>
                  <w:hideMark/>
                </w:tcPr>
                <w:p w14:paraId="0DB0B8FE" w14:textId="77777777" w:rsidR="00E45705" w:rsidRPr="00C37E19" w:rsidRDefault="00E45705" w:rsidP="00E45705">
                  <w:pPr>
                    <w:pStyle w:val="TableColumnHeading"/>
                    <w:spacing w:before="0" w:after="0"/>
                    <w:ind w:left="0" w:right="0"/>
                  </w:pPr>
                  <w:r w:rsidRPr="00C37E19">
                    <w:rPr>
                      <w:szCs w:val="16"/>
                    </w:rPr>
                    <w:t>Not in the labour force 15-64 years</w:t>
                  </w:r>
                </w:p>
              </w:tc>
              <w:tc>
                <w:tcPr>
                  <w:tcW w:w="960" w:type="dxa"/>
                  <w:tcBorders>
                    <w:top w:val="single" w:sz="4" w:space="0" w:color="auto"/>
                    <w:left w:val="nil"/>
                    <w:bottom w:val="single" w:sz="6" w:space="0" w:color="auto"/>
                    <w:right w:val="nil"/>
                  </w:tcBorders>
                  <w:shd w:val="clear" w:color="auto" w:fill="auto"/>
                  <w:vAlign w:val="bottom"/>
                  <w:hideMark/>
                </w:tcPr>
                <w:p w14:paraId="4FB5B1ED" w14:textId="77777777" w:rsidR="00E45705" w:rsidRPr="00C37E19" w:rsidRDefault="00E45705" w:rsidP="00E45705">
                  <w:pPr>
                    <w:pStyle w:val="TableColumnHeading"/>
                    <w:spacing w:before="0" w:after="0"/>
                    <w:ind w:left="0" w:right="0"/>
                  </w:pPr>
                  <w:r w:rsidRPr="00C37E19">
                    <w:rPr>
                      <w:szCs w:val="16"/>
                    </w:rPr>
                    <w:t>Civilian population 15-64</w:t>
                  </w:r>
                </w:p>
              </w:tc>
            </w:tr>
            <w:tr w:rsidR="00E45705" w:rsidRPr="00C37E19" w14:paraId="5F21BC88" w14:textId="77777777" w:rsidTr="00E45705">
              <w:trPr>
                <w:trHeight w:val="300"/>
              </w:trPr>
              <w:tc>
                <w:tcPr>
                  <w:tcW w:w="1540" w:type="dxa"/>
                  <w:tcBorders>
                    <w:top w:val="single" w:sz="6" w:space="0" w:color="auto"/>
                    <w:left w:val="nil"/>
                    <w:bottom w:val="nil"/>
                    <w:right w:val="nil"/>
                  </w:tcBorders>
                  <w:shd w:val="clear" w:color="auto" w:fill="auto"/>
                  <w:noWrap/>
                  <w:vAlign w:val="bottom"/>
                  <w:hideMark/>
                </w:tcPr>
                <w:p w14:paraId="75130642" w14:textId="77777777" w:rsidR="00E45705" w:rsidRPr="00C37E19" w:rsidRDefault="00E45705" w:rsidP="00E45705">
                  <w:pPr>
                    <w:pStyle w:val="TableCellText"/>
                    <w:spacing w:before="0" w:after="0"/>
                    <w:ind w:left="0" w:right="0"/>
                    <w:rPr>
                      <w:lang w:eastAsia="en-AU"/>
                    </w:rPr>
                  </w:pPr>
                  <w:r w:rsidRPr="00C37E19">
                    <w:rPr>
                      <w:lang w:eastAsia="en-AU"/>
                    </w:rPr>
                    <w:t>2000</w:t>
                  </w:r>
                </w:p>
              </w:tc>
              <w:tc>
                <w:tcPr>
                  <w:tcW w:w="960" w:type="dxa"/>
                  <w:tcBorders>
                    <w:top w:val="single" w:sz="6" w:space="0" w:color="auto"/>
                    <w:left w:val="nil"/>
                    <w:bottom w:val="nil"/>
                    <w:right w:val="nil"/>
                  </w:tcBorders>
                  <w:shd w:val="clear" w:color="auto" w:fill="auto"/>
                  <w:noWrap/>
                  <w:vAlign w:val="bottom"/>
                  <w:hideMark/>
                </w:tcPr>
                <w:p w14:paraId="75E4025E" w14:textId="77777777" w:rsidR="00E45705" w:rsidRPr="00C37E19" w:rsidRDefault="00E45705" w:rsidP="00E45705">
                  <w:pPr>
                    <w:pStyle w:val="TableCellText"/>
                    <w:spacing w:before="0" w:after="0"/>
                    <w:ind w:left="0" w:right="0"/>
                    <w:rPr>
                      <w:lang w:eastAsia="en-AU"/>
                    </w:rPr>
                  </w:pPr>
                  <w:r w:rsidRPr="00C37E19">
                    <w:rPr>
                      <w:lang w:eastAsia="en-AU"/>
                    </w:rPr>
                    <w:t>50.8</w:t>
                  </w:r>
                </w:p>
              </w:tc>
              <w:tc>
                <w:tcPr>
                  <w:tcW w:w="960" w:type="dxa"/>
                  <w:tcBorders>
                    <w:top w:val="single" w:sz="6" w:space="0" w:color="auto"/>
                    <w:left w:val="nil"/>
                    <w:bottom w:val="nil"/>
                    <w:right w:val="nil"/>
                  </w:tcBorders>
                  <w:shd w:val="clear" w:color="auto" w:fill="auto"/>
                  <w:noWrap/>
                  <w:vAlign w:val="bottom"/>
                  <w:hideMark/>
                </w:tcPr>
                <w:p w14:paraId="473BBBAC" w14:textId="77777777" w:rsidR="00E45705" w:rsidRPr="00C37E19" w:rsidRDefault="00E45705" w:rsidP="00E45705">
                  <w:pPr>
                    <w:pStyle w:val="TableCellText"/>
                    <w:spacing w:before="0" w:after="0"/>
                    <w:ind w:left="0" w:right="0"/>
                    <w:rPr>
                      <w:lang w:eastAsia="en-AU"/>
                    </w:rPr>
                  </w:pPr>
                  <w:r w:rsidRPr="00C37E19">
                    <w:rPr>
                      <w:lang w:eastAsia="en-AU"/>
                    </w:rPr>
                    <w:t>18.3</w:t>
                  </w:r>
                </w:p>
              </w:tc>
              <w:tc>
                <w:tcPr>
                  <w:tcW w:w="960" w:type="dxa"/>
                  <w:tcBorders>
                    <w:top w:val="single" w:sz="6" w:space="0" w:color="auto"/>
                    <w:left w:val="nil"/>
                    <w:bottom w:val="nil"/>
                    <w:right w:val="nil"/>
                  </w:tcBorders>
                  <w:shd w:val="clear" w:color="auto" w:fill="auto"/>
                  <w:noWrap/>
                  <w:vAlign w:val="bottom"/>
                  <w:hideMark/>
                </w:tcPr>
                <w:p w14:paraId="599B8223" w14:textId="77777777" w:rsidR="00E45705" w:rsidRPr="00C37E19" w:rsidRDefault="00E45705" w:rsidP="00E45705">
                  <w:pPr>
                    <w:pStyle w:val="TableCellText"/>
                    <w:spacing w:before="0" w:after="0"/>
                    <w:ind w:left="0" w:right="0"/>
                    <w:rPr>
                      <w:lang w:eastAsia="en-AU"/>
                    </w:rPr>
                  </w:pPr>
                  <w:r w:rsidRPr="00C37E19">
                    <w:rPr>
                      <w:lang w:eastAsia="en-AU"/>
                    </w:rPr>
                    <w:t>4.8</w:t>
                  </w:r>
                </w:p>
              </w:tc>
              <w:tc>
                <w:tcPr>
                  <w:tcW w:w="960" w:type="dxa"/>
                  <w:tcBorders>
                    <w:top w:val="single" w:sz="6" w:space="0" w:color="auto"/>
                    <w:left w:val="nil"/>
                    <w:bottom w:val="nil"/>
                    <w:right w:val="nil"/>
                  </w:tcBorders>
                  <w:shd w:val="clear" w:color="auto" w:fill="auto"/>
                  <w:noWrap/>
                  <w:vAlign w:val="bottom"/>
                  <w:hideMark/>
                </w:tcPr>
                <w:p w14:paraId="3DDC4B96" w14:textId="77777777" w:rsidR="00E45705" w:rsidRPr="00C37E19" w:rsidRDefault="00E45705" w:rsidP="00E45705">
                  <w:pPr>
                    <w:pStyle w:val="TableCellText"/>
                    <w:spacing w:before="0" w:after="0"/>
                    <w:ind w:left="0" w:right="0"/>
                    <w:rPr>
                      <w:lang w:eastAsia="en-AU"/>
                    </w:rPr>
                  </w:pPr>
                  <w:r w:rsidRPr="00C37E19">
                    <w:rPr>
                      <w:lang w:eastAsia="en-AU"/>
                    </w:rPr>
                    <w:t>26.1</w:t>
                  </w:r>
                </w:p>
              </w:tc>
              <w:tc>
                <w:tcPr>
                  <w:tcW w:w="960" w:type="dxa"/>
                  <w:tcBorders>
                    <w:top w:val="single" w:sz="6" w:space="0" w:color="auto"/>
                    <w:left w:val="nil"/>
                    <w:bottom w:val="nil"/>
                    <w:right w:val="nil"/>
                  </w:tcBorders>
                  <w:shd w:val="clear" w:color="auto" w:fill="auto"/>
                  <w:noWrap/>
                  <w:vAlign w:val="bottom"/>
                  <w:hideMark/>
                </w:tcPr>
                <w:p w14:paraId="474C8F49"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4177ABCC" w14:textId="77777777" w:rsidTr="00E45705">
              <w:trPr>
                <w:trHeight w:val="300"/>
              </w:trPr>
              <w:tc>
                <w:tcPr>
                  <w:tcW w:w="1540" w:type="dxa"/>
                  <w:tcBorders>
                    <w:top w:val="nil"/>
                    <w:left w:val="nil"/>
                    <w:bottom w:val="nil"/>
                    <w:right w:val="nil"/>
                  </w:tcBorders>
                  <w:shd w:val="clear" w:color="auto" w:fill="auto"/>
                  <w:noWrap/>
                  <w:vAlign w:val="bottom"/>
                  <w:hideMark/>
                </w:tcPr>
                <w:p w14:paraId="2C4AA585" w14:textId="77777777" w:rsidR="00E45705" w:rsidRPr="00C37E19" w:rsidRDefault="00E45705" w:rsidP="00E45705">
                  <w:pPr>
                    <w:pStyle w:val="TableCellText"/>
                    <w:spacing w:before="0" w:after="0"/>
                    <w:ind w:left="0" w:right="0"/>
                    <w:rPr>
                      <w:lang w:eastAsia="en-AU"/>
                    </w:rPr>
                  </w:pPr>
                  <w:r w:rsidRPr="00C37E19">
                    <w:rPr>
                      <w:lang w:eastAsia="en-AU"/>
                    </w:rPr>
                    <w:t>2001</w:t>
                  </w:r>
                </w:p>
              </w:tc>
              <w:tc>
                <w:tcPr>
                  <w:tcW w:w="960" w:type="dxa"/>
                  <w:tcBorders>
                    <w:top w:val="nil"/>
                    <w:left w:val="nil"/>
                    <w:bottom w:val="nil"/>
                    <w:right w:val="nil"/>
                  </w:tcBorders>
                  <w:shd w:val="clear" w:color="auto" w:fill="auto"/>
                  <w:noWrap/>
                  <w:vAlign w:val="bottom"/>
                  <w:hideMark/>
                </w:tcPr>
                <w:p w14:paraId="46BC9950" w14:textId="77777777" w:rsidR="00E45705" w:rsidRPr="00C37E19" w:rsidRDefault="00E45705" w:rsidP="00E45705">
                  <w:pPr>
                    <w:pStyle w:val="TableCellText"/>
                    <w:spacing w:before="0" w:after="0"/>
                    <w:ind w:left="0" w:right="0"/>
                    <w:rPr>
                      <w:lang w:eastAsia="en-AU"/>
                    </w:rPr>
                  </w:pPr>
                  <w:r w:rsidRPr="00C37E19">
                    <w:rPr>
                      <w:lang w:eastAsia="en-AU"/>
                    </w:rPr>
                    <w:t>50.3</w:t>
                  </w:r>
                </w:p>
              </w:tc>
              <w:tc>
                <w:tcPr>
                  <w:tcW w:w="960" w:type="dxa"/>
                  <w:tcBorders>
                    <w:top w:val="nil"/>
                    <w:left w:val="nil"/>
                    <w:bottom w:val="nil"/>
                    <w:right w:val="nil"/>
                  </w:tcBorders>
                  <w:shd w:val="clear" w:color="auto" w:fill="auto"/>
                  <w:noWrap/>
                  <w:vAlign w:val="bottom"/>
                  <w:hideMark/>
                </w:tcPr>
                <w:p w14:paraId="4C525C2B" w14:textId="77777777" w:rsidR="00E45705" w:rsidRPr="00C37E19" w:rsidRDefault="00E45705" w:rsidP="00E45705">
                  <w:pPr>
                    <w:pStyle w:val="TableCellText"/>
                    <w:spacing w:before="0" w:after="0"/>
                    <w:ind w:left="0" w:right="0"/>
                    <w:rPr>
                      <w:lang w:eastAsia="en-AU"/>
                    </w:rPr>
                  </w:pPr>
                  <w:r w:rsidRPr="00C37E19">
                    <w:rPr>
                      <w:lang w:eastAsia="en-AU"/>
                    </w:rPr>
                    <w:t>18.8</w:t>
                  </w:r>
                </w:p>
              </w:tc>
              <w:tc>
                <w:tcPr>
                  <w:tcW w:w="960" w:type="dxa"/>
                  <w:tcBorders>
                    <w:top w:val="nil"/>
                    <w:left w:val="nil"/>
                    <w:bottom w:val="nil"/>
                    <w:right w:val="nil"/>
                  </w:tcBorders>
                  <w:shd w:val="clear" w:color="auto" w:fill="auto"/>
                  <w:noWrap/>
                  <w:vAlign w:val="bottom"/>
                  <w:hideMark/>
                </w:tcPr>
                <w:p w14:paraId="0EA6A9C0" w14:textId="77777777" w:rsidR="00E45705" w:rsidRPr="00C37E19" w:rsidRDefault="00E45705" w:rsidP="00E45705">
                  <w:pPr>
                    <w:pStyle w:val="TableCellText"/>
                    <w:spacing w:before="0" w:after="0"/>
                    <w:ind w:left="0" w:right="0"/>
                    <w:rPr>
                      <w:lang w:eastAsia="en-AU"/>
                    </w:rPr>
                  </w:pPr>
                  <w:r w:rsidRPr="00C37E19">
                    <w:rPr>
                      <w:lang w:eastAsia="en-AU"/>
                    </w:rPr>
                    <w:t>5.2</w:t>
                  </w:r>
                </w:p>
              </w:tc>
              <w:tc>
                <w:tcPr>
                  <w:tcW w:w="960" w:type="dxa"/>
                  <w:tcBorders>
                    <w:top w:val="nil"/>
                    <w:left w:val="nil"/>
                    <w:bottom w:val="nil"/>
                    <w:right w:val="nil"/>
                  </w:tcBorders>
                  <w:shd w:val="clear" w:color="auto" w:fill="auto"/>
                  <w:noWrap/>
                  <w:vAlign w:val="bottom"/>
                  <w:hideMark/>
                </w:tcPr>
                <w:p w14:paraId="2ACAF335" w14:textId="77777777" w:rsidR="00E45705" w:rsidRPr="00C37E19" w:rsidRDefault="00E45705" w:rsidP="00E45705">
                  <w:pPr>
                    <w:pStyle w:val="TableCellText"/>
                    <w:spacing w:before="0" w:after="0"/>
                    <w:ind w:left="0" w:right="0"/>
                    <w:rPr>
                      <w:lang w:eastAsia="en-AU"/>
                    </w:rPr>
                  </w:pPr>
                  <w:r w:rsidRPr="00C37E19">
                    <w:rPr>
                      <w:lang w:eastAsia="en-AU"/>
                    </w:rPr>
                    <w:t>25.8</w:t>
                  </w:r>
                </w:p>
              </w:tc>
              <w:tc>
                <w:tcPr>
                  <w:tcW w:w="960" w:type="dxa"/>
                  <w:tcBorders>
                    <w:top w:val="nil"/>
                    <w:left w:val="nil"/>
                    <w:bottom w:val="nil"/>
                    <w:right w:val="nil"/>
                  </w:tcBorders>
                  <w:shd w:val="clear" w:color="auto" w:fill="auto"/>
                  <w:noWrap/>
                  <w:vAlign w:val="bottom"/>
                  <w:hideMark/>
                </w:tcPr>
                <w:p w14:paraId="46E10488"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4FCE35F2" w14:textId="77777777" w:rsidTr="00E45705">
              <w:trPr>
                <w:trHeight w:val="300"/>
              </w:trPr>
              <w:tc>
                <w:tcPr>
                  <w:tcW w:w="1540" w:type="dxa"/>
                  <w:tcBorders>
                    <w:top w:val="nil"/>
                    <w:left w:val="nil"/>
                    <w:bottom w:val="nil"/>
                    <w:right w:val="nil"/>
                  </w:tcBorders>
                  <w:shd w:val="clear" w:color="auto" w:fill="auto"/>
                  <w:noWrap/>
                  <w:vAlign w:val="bottom"/>
                  <w:hideMark/>
                </w:tcPr>
                <w:p w14:paraId="27069B82" w14:textId="77777777" w:rsidR="00E45705" w:rsidRPr="00C37E19" w:rsidRDefault="00E45705" w:rsidP="00E45705">
                  <w:pPr>
                    <w:pStyle w:val="TableCellText"/>
                    <w:spacing w:before="0" w:after="0"/>
                    <w:ind w:left="0" w:right="0"/>
                    <w:rPr>
                      <w:lang w:eastAsia="en-AU"/>
                    </w:rPr>
                  </w:pPr>
                  <w:r w:rsidRPr="00C37E19">
                    <w:rPr>
                      <w:lang w:eastAsia="en-AU"/>
                    </w:rPr>
                    <w:t>2002</w:t>
                  </w:r>
                </w:p>
              </w:tc>
              <w:tc>
                <w:tcPr>
                  <w:tcW w:w="960" w:type="dxa"/>
                  <w:tcBorders>
                    <w:top w:val="nil"/>
                    <w:left w:val="nil"/>
                    <w:bottom w:val="nil"/>
                    <w:right w:val="nil"/>
                  </w:tcBorders>
                  <w:shd w:val="clear" w:color="auto" w:fill="auto"/>
                  <w:noWrap/>
                  <w:vAlign w:val="bottom"/>
                  <w:hideMark/>
                </w:tcPr>
                <w:p w14:paraId="4388A15E" w14:textId="77777777" w:rsidR="00E45705" w:rsidRPr="00C37E19" w:rsidRDefault="00E45705" w:rsidP="00E45705">
                  <w:pPr>
                    <w:pStyle w:val="TableCellText"/>
                    <w:spacing w:before="0" w:after="0"/>
                    <w:ind w:left="0" w:right="0"/>
                    <w:rPr>
                      <w:lang w:eastAsia="en-AU"/>
                    </w:rPr>
                  </w:pPr>
                  <w:r w:rsidRPr="00C37E19">
                    <w:rPr>
                      <w:lang w:eastAsia="en-AU"/>
                    </w:rPr>
                    <w:t>49.8</w:t>
                  </w:r>
                </w:p>
              </w:tc>
              <w:tc>
                <w:tcPr>
                  <w:tcW w:w="960" w:type="dxa"/>
                  <w:tcBorders>
                    <w:top w:val="nil"/>
                    <w:left w:val="nil"/>
                    <w:bottom w:val="nil"/>
                    <w:right w:val="nil"/>
                  </w:tcBorders>
                  <w:shd w:val="clear" w:color="auto" w:fill="auto"/>
                  <w:noWrap/>
                  <w:vAlign w:val="bottom"/>
                  <w:hideMark/>
                </w:tcPr>
                <w:p w14:paraId="6BA37680" w14:textId="77777777" w:rsidR="00E45705" w:rsidRPr="00C37E19" w:rsidRDefault="00E45705" w:rsidP="00E45705">
                  <w:pPr>
                    <w:pStyle w:val="TableCellText"/>
                    <w:spacing w:before="0" w:after="0"/>
                    <w:ind w:left="0" w:right="0"/>
                    <w:rPr>
                      <w:lang w:eastAsia="en-AU"/>
                    </w:rPr>
                  </w:pPr>
                  <w:r w:rsidRPr="00C37E19">
                    <w:rPr>
                      <w:lang w:eastAsia="en-AU"/>
                    </w:rPr>
                    <w:t>19.2</w:t>
                  </w:r>
                </w:p>
              </w:tc>
              <w:tc>
                <w:tcPr>
                  <w:tcW w:w="960" w:type="dxa"/>
                  <w:tcBorders>
                    <w:top w:val="nil"/>
                    <w:left w:val="nil"/>
                    <w:bottom w:val="nil"/>
                    <w:right w:val="nil"/>
                  </w:tcBorders>
                  <w:shd w:val="clear" w:color="auto" w:fill="auto"/>
                  <w:noWrap/>
                  <w:vAlign w:val="bottom"/>
                  <w:hideMark/>
                </w:tcPr>
                <w:p w14:paraId="79060728" w14:textId="77777777" w:rsidR="00E45705" w:rsidRPr="00C37E19" w:rsidRDefault="00E45705" w:rsidP="00E45705">
                  <w:pPr>
                    <w:pStyle w:val="TableCellText"/>
                    <w:spacing w:before="0" w:after="0"/>
                    <w:ind w:left="0" w:right="0"/>
                    <w:rPr>
                      <w:lang w:eastAsia="en-AU"/>
                    </w:rPr>
                  </w:pPr>
                  <w:r w:rsidRPr="00C37E19">
                    <w:rPr>
                      <w:lang w:eastAsia="en-AU"/>
                    </w:rPr>
                    <w:t>4.8</w:t>
                  </w:r>
                </w:p>
              </w:tc>
              <w:tc>
                <w:tcPr>
                  <w:tcW w:w="960" w:type="dxa"/>
                  <w:tcBorders>
                    <w:top w:val="nil"/>
                    <w:left w:val="nil"/>
                    <w:bottom w:val="nil"/>
                    <w:right w:val="nil"/>
                  </w:tcBorders>
                  <w:shd w:val="clear" w:color="auto" w:fill="auto"/>
                  <w:noWrap/>
                  <w:vAlign w:val="bottom"/>
                  <w:hideMark/>
                </w:tcPr>
                <w:p w14:paraId="774D70B4" w14:textId="77777777" w:rsidR="00E45705" w:rsidRPr="00C37E19" w:rsidRDefault="00E45705" w:rsidP="00E45705">
                  <w:pPr>
                    <w:pStyle w:val="TableCellText"/>
                    <w:spacing w:before="0" w:after="0"/>
                    <w:ind w:left="0" w:right="0"/>
                    <w:rPr>
                      <w:lang w:eastAsia="en-AU"/>
                    </w:rPr>
                  </w:pPr>
                  <w:r w:rsidRPr="00C37E19">
                    <w:rPr>
                      <w:lang w:eastAsia="en-AU"/>
                    </w:rPr>
                    <w:t>26.2</w:t>
                  </w:r>
                </w:p>
              </w:tc>
              <w:tc>
                <w:tcPr>
                  <w:tcW w:w="960" w:type="dxa"/>
                  <w:tcBorders>
                    <w:top w:val="nil"/>
                    <w:left w:val="nil"/>
                    <w:bottom w:val="nil"/>
                    <w:right w:val="nil"/>
                  </w:tcBorders>
                  <w:shd w:val="clear" w:color="auto" w:fill="auto"/>
                  <w:noWrap/>
                  <w:vAlign w:val="bottom"/>
                  <w:hideMark/>
                </w:tcPr>
                <w:p w14:paraId="70E9AE3C"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2295A16F" w14:textId="77777777" w:rsidTr="00E45705">
              <w:trPr>
                <w:trHeight w:val="300"/>
              </w:trPr>
              <w:tc>
                <w:tcPr>
                  <w:tcW w:w="1540" w:type="dxa"/>
                  <w:tcBorders>
                    <w:top w:val="nil"/>
                    <w:left w:val="nil"/>
                    <w:bottom w:val="nil"/>
                    <w:right w:val="nil"/>
                  </w:tcBorders>
                  <w:shd w:val="clear" w:color="auto" w:fill="auto"/>
                  <w:noWrap/>
                  <w:vAlign w:val="bottom"/>
                  <w:hideMark/>
                </w:tcPr>
                <w:p w14:paraId="34F87263" w14:textId="77777777" w:rsidR="00E45705" w:rsidRPr="00C37E19" w:rsidRDefault="00E45705" w:rsidP="00E45705">
                  <w:pPr>
                    <w:pStyle w:val="TableCellText"/>
                    <w:spacing w:before="0" w:after="0"/>
                    <w:ind w:left="0" w:right="0"/>
                    <w:rPr>
                      <w:lang w:eastAsia="en-AU"/>
                    </w:rPr>
                  </w:pPr>
                  <w:r w:rsidRPr="00C37E19">
                    <w:rPr>
                      <w:lang w:eastAsia="en-AU"/>
                    </w:rPr>
                    <w:t>2003</w:t>
                  </w:r>
                </w:p>
              </w:tc>
              <w:tc>
                <w:tcPr>
                  <w:tcW w:w="960" w:type="dxa"/>
                  <w:tcBorders>
                    <w:top w:val="nil"/>
                    <w:left w:val="nil"/>
                    <w:bottom w:val="nil"/>
                    <w:right w:val="nil"/>
                  </w:tcBorders>
                  <w:shd w:val="clear" w:color="auto" w:fill="auto"/>
                  <w:noWrap/>
                  <w:vAlign w:val="bottom"/>
                  <w:hideMark/>
                </w:tcPr>
                <w:p w14:paraId="3A4901E7" w14:textId="77777777" w:rsidR="00E45705" w:rsidRPr="00C37E19" w:rsidRDefault="00E45705" w:rsidP="00E45705">
                  <w:pPr>
                    <w:pStyle w:val="TableCellText"/>
                    <w:spacing w:before="0" w:after="0"/>
                    <w:ind w:left="0" w:right="0"/>
                    <w:rPr>
                      <w:lang w:eastAsia="en-AU"/>
                    </w:rPr>
                  </w:pPr>
                  <w:r w:rsidRPr="00C37E19">
                    <w:rPr>
                      <w:lang w:eastAsia="en-AU"/>
                    </w:rPr>
                    <w:t>49.8</w:t>
                  </w:r>
                </w:p>
              </w:tc>
              <w:tc>
                <w:tcPr>
                  <w:tcW w:w="960" w:type="dxa"/>
                  <w:tcBorders>
                    <w:top w:val="nil"/>
                    <w:left w:val="nil"/>
                    <w:bottom w:val="nil"/>
                    <w:right w:val="nil"/>
                  </w:tcBorders>
                  <w:shd w:val="clear" w:color="auto" w:fill="auto"/>
                  <w:noWrap/>
                  <w:vAlign w:val="bottom"/>
                  <w:hideMark/>
                </w:tcPr>
                <w:p w14:paraId="1DDACEC4" w14:textId="77777777" w:rsidR="00E45705" w:rsidRPr="00C37E19" w:rsidRDefault="00E45705" w:rsidP="00E45705">
                  <w:pPr>
                    <w:pStyle w:val="TableCellText"/>
                    <w:spacing w:before="0" w:after="0"/>
                    <w:ind w:left="0" w:right="0"/>
                    <w:rPr>
                      <w:lang w:eastAsia="en-AU"/>
                    </w:rPr>
                  </w:pPr>
                  <w:r w:rsidRPr="00C37E19">
                    <w:rPr>
                      <w:lang w:eastAsia="en-AU"/>
                    </w:rPr>
                    <w:t>20.1</w:t>
                  </w:r>
                </w:p>
              </w:tc>
              <w:tc>
                <w:tcPr>
                  <w:tcW w:w="960" w:type="dxa"/>
                  <w:tcBorders>
                    <w:top w:val="nil"/>
                    <w:left w:val="nil"/>
                    <w:bottom w:val="nil"/>
                    <w:right w:val="nil"/>
                  </w:tcBorders>
                  <w:shd w:val="clear" w:color="auto" w:fill="auto"/>
                  <w:noWrap/>
                  <w:vAlign w:val="bottom"/>
                  <w:hideMark/>
                </w:tcPr>
                <w:p w14:paraId="6E3AF27E" w14:textId="77777777" w:rsidR="00E45705" w:rsidRPr="00C37E19" w:rsidRDefault="00E45705" w:rsidP="00E45705">
                  <w:pPr>
                    <w:pStyle w:val="TableCellText"/>
                    <w:spacing w:before="0" w:after="0"/>
                    <w:ind w:left="0" w:right="0"/>
                    <w:rPr>
                      <w:lang w:eastAsia="en-AU"/>
                    </w:rPr>
                  </w:pPr>
                  <w:r w:rsidRPr="00C37E19">
                    <w:rPr>
                      <w:lang w:eastAsia="en-AU"/>
                    </w:rPr>
                    <w:t>4.6</w:t>
                  </w:r>
                </w:p>
              </w:tc>
              <w:tc>
                <w:tcPr>
                  <w:tcW w:w="960" w:type="dxa"/>
                  <w:tcBorders>
                    <w:top w:val="nil"/>
                    <w:left w:val="nil"/>
                    <w:bottom w:val="nil"/>
                    <w:right w:val="nil"/>
                  </w:tcBorders>
                  <w:shd w:val="clear" w:color="auto" w:fill="auto"/>
                  <w:noWrap/>
                  <w:vAlign w:val="bottom"/>
                  <w:hideMark/>
                </w:tcPr>
                <w:p w14:paraId="6675BBF0" w14:textId="77777777" w:rsidR="00E45705" w:rsidRPr="00C37E19" w:rsidRDefault="00E45705" w:rsidP="00E45705">
                  <w:pPr>
                    <w:pStyle w:val="TableCellText"/>
                    <w:spacing w:before="0" w:after="0"/>
                    <w:ind w:left="0" w:right="0"/>
                    <w:rPr>
                      <w:lang w:eastAsia="en-AU"/>
                    </w:rPr>
                  </w:pPr>
                  <w:r w:rsidRPr="00C37E19">
                    <w:rPr>
                      <w:lang w:eastAsia="en-AU"/>
                    </w:rPr>
                    <w:t>25.5</w:t>
                  </w:r>
                </w:p>
              </w:tc>
              <w:tc>
                <w:tcPr>
                  <w:tcW w:w="960" w:type="dxa"/>
                  <w:tcBorders>
                    <w:top w:val="nil"/>
                    <w:left w:val="nil"/>
                    <w:bottom w:val="nil"/>
                    <w:right w:val="nil"/>
                  </w:tcBorders>
                  <w:shd w:val="clear" w:color="auto" w:fill="auto"/>
                  <w:noWrap/>
                  <w:vAlign w:val="bottom"/>
                  <w:hideMark/>
                </w:tcPr>
                <w:p w14:paraId="4DB7E33E"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2EA035AE" w14:textId="77777777" w:rsidTr="00E45705">
              <w:trPr>
                <w:trHeight w:val="300"/>
              </w:trPr>
              <w:tc>
                <w:tcPr>
                  <w:tcW w:w="1540" w:type="dxa"/>
                  <w:tcBorders>
                    <w:top w:val="nil"/>
                    <w:left w:val="nil"/>
                    <w:bottom w:val="nil"/>
                    <w:right w:val="nil"/>
                  </w:tcBorders>
                  <w:shd w:val="clear" w:color="auto" w:fill="auto"/>
                  <w:noWrap/>
                  <w:vAlign w:val="bottom"/>
                  <w:hideMark/>
                </w:tcPr>
                <w:p w14:paraId="615EE5FB" w14:textId="77777777" w:rsidR="00E45705" w:rsidRPr="00C37E19" w:rsidRDefault="00E45705" w:rsidP="00E45705">
                  <w:pPr>
                    <w:pStyle w:val="TableCellText"/>
                    <w:spacing w:before="0" w:after="0"/>
                    <w:ind w:left="0" w:right="0"/>
                    <w:rPr>
                      <w:lang w:eastAsia="en-AU"/>
                    </w:rPr>
                  </w:pPr>
                  <w:r w:rsidRPr="00C37E19">
                    <w:rPr>
                      <w:lang w:eastAsia="en-AU"/>
                    </w:rPr>
                    <w:t>2004</w:t>
                  </w:r>
                </w:p>
              </w:tc>
              <w:tc>
                <w:tcPr>
                  <w:tcW w:w="960" w:type="dxa"/>
                  <w:tcBorders>
                    <w:top w:val="nil"/>
                    <w:left w:val="nil"/>
                    <w:bottom w:val="nil"/>
                    <w:right w:val="nil"/>
                  </w:tcBorders>
                  <w:shd w:val="clear" w:color="auto" w:fill="auto"/>
                  <w:noWrap/>
                  <w:vAlign w:val="bottom"/>
                  <w:hideMark/>
                </w:tcPr>
                <w:p w14:paraId="10A9B30A" w14:textId="77777777" w:rsidR="00E45705" w:rsidRPr="00C37E19" w:rsidRDefault="00E45705" w:rsidP="00E45705">
                  <w:pPr>
                    <w:pStyle w:val="TableCellText"/>
                    <w:spacing w:before="0" w:after="0"/>
                    <w:ind w:left="0" w:right="0"/>
                    <w:rPr>
                      <w:lang w:eastAsia="en-AU"/>
                    </w:rPr>
                  </w:pPr>
                  <w:r w:rsidRPr="00C37E19">
                    <w:rPr>
                      <w:lang w:eastAsia="en-AU"/>
                    </w:rPr>
                    <w:t>50.3</w:t>
                  </w:r>
                </w:p>
              </w:tc>
              <w:tc>
                <w:tcPr>
                  <w:tcW w:w="960" w:type="dxa"/>
                  <w:tcBorders>
                    <w:top w:val="nil"/>
                    <w:left w:val="nil"/>
                    <w:bottom w:val="nil"/>
                    <w:right w:val="nil"/>
                  </w:tcBorders>
                  <w:shd w:val="clear" w:color="auto" w:fill="auto"/>
                  <w:noWrap/>
                  <w:vAlign w:val="bottom"/>
                  <w:hideMark/>
                </w:tcPr>
                <w:p w14:paraId="59464CD7" w14:textId="77777777" w:rsidR="00E45705" w:rsidRPr="00C37E19" w:rsidRDefault="00E45705" w:rsidP="00E45705">
                  <w:pPr>
                    <w:pStyle w:val="TableCellText"/>
                    <w:spacing w:before="0" w:after="0"/>
                    <w:ind w:left="0" w:right="0"/>
                    <w:rPr>
                      <w:lang w:eastAsia="en-AU"/>
                    </w:rPr>
                  </w:pPr>
                  <w:r w:rsidRPr="00C37E19">
                    <w:rPr>
                      <w:lang w:eastAsia="en-AU"/>
                    </w:rPr>
                    <w:t>19.9</w:t>
                  </w:r>
                </w:p>
              </w:tc>
              <w:tc>
                <w:tcPr>
                  <w:tcW w:w="960" w:type="dxa"/>
                  <w:tcBorders>
                    <w:top w:val="nil"/>
                    <w:left w:val="nil"/>
                    <w:bottom w:val="nil"/>
                    <w:right w:val="nil"/>
                  </w:tcBorders>
                  <w:shd w:val="clear" w:color="auto" w:fill="auto"/>
                  <w:noWrap/>
                  <w:vAlign w:val="bottom"/>
                  <w:hideMark/>
                </w:tcPr>
                <w:p w14:paraId="78FEB582" w14:textId="77777777" w:rsidR="00E45705" w:rsidRPr="00C37E19" w:rsidRDefault="00E45705" w:rsidP="00E45705">
                  <w:pPr>
                    <w:pStyle w:val="TableCellText"/>
                    <w:spacing w:before="0" w:after="0"/>
                    <w:ind w:left="0" w:right="0"/>
                    <w:rPr>
                      <w:lang w:eastAsia="en-AU"/>
                    </w:rPr>
                  </w:pPr>
                  <w:r w:rsidRPr="00C37E19">
                    <w:rPr>
                      <w:lang w:eastAsia="en-AU"/>
                    </w:rPr>
                    <w:t>4.0</w:t>
                  </w:r>
                </w:p>
              </w:tc>
              <w:tc>
                <w:tcPr>
                  <w:tcW w:w="960" w:type="dxa"/>
                  <w:tcBorders>
                    <w:top w:val="nil"/>
                    <w:left w:val="nil"/>
                    <w:bottom w:val="nil"/>
                    <w:right w:val="nil"/>
                  </w:tcBorders>
                  <w:shd w:val="clear" w:color="auto" w:fill="auto"/>
                  <w:noWrap/>
                  <w:vAlign w:val="bottom"/>
                  <w:hideMark/>
                </w:tcPr>
                <w:p w14:paraId="5E864186" w14:textId="77777777" w:rsidR="00E45705" w:rsidRPr="00C37E19" w:rsidRDefault="00E45705" w:rsidP="00E45705">
                  <w:pPr>
                    <w:pStyle w:val="TableCellText"/>
                    <w:spacing w:before="0" w:after="0"/>
                    <w:ind w:left="0" w:right="0"/>
                    <w:rPr>
                      <w:lang w:eastAsia="en-AU"/>
                    </w:rPr>
                  </w:pPr>
                  <w:r w:rsidRPr="00C37E19">
                    <w:rPr>
                      <w:lang w:eastAsia="en-AU"/>
                    </w:rPr>
                    <w:t>25.7</w:t>
                  </w:r>
                </w:p>
              </w:tc>
              <w:tc>
                <w:tcPr>
                  <w:tcW w:w="960" w:type="dxa"/>
                  <w:tcBorders>
                    <w:top w:val="nil"/>
                    <w:left w:val="nil"/>
                    <w:bottom w:val="nil"/>
                    <w:right w:val="nil"/>
                  </w:tcBorders>
                  <w:shd w:val="clear" w:color="auto" w:fill="auto"/>
                  <w:noWrap/>
                  <w:vAlign w:val="bottom"/>
                  <w:hideMark/>
                </w:tcPr>
                <w:p w14:paraId="5F8C90E9"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11873C63" w14:textId="77777777" w:rsidTr="00E45705">
              <w:trPr>
                <w:trHeight w:val="300"/>
              </w:trPr>
              <w:tc>
                <w:tcPr>
                  <w:tcW w:w="1540" w:type="dxa"/>
                  <w:tcBorders>
                    <w:top w:val="nil"/>
                    <w:left w:val="nil"/>
                    <w:bottom w:val="nil"/>
                    <w:right w:val="nil"/>
                  </w:tcBorders>
                  <w:shd w:val="clear" w:color="auto" w:fill="auto"/>
                  <w:noWrap/>
                  <w:vAlign w:val="bottom"/>
                  <w:hideMark/>
                </w:tcPr>
                <w:p w14:paraId="5338116D" w14:textId="77777777" w:rsidR="00E45705" w:rsidRPr="00C37E19" w:rsidRDefault="00E45705" w:rsidP="00E45705">
                  <w:pPr>
                    <w:pStyle w:val="TableCellText"/>
                    <w:spacing w:before="0" w:after="0"/>
                    <w:ind w:left="0" w:right="0"/>
                    <w:rPr>
                      <w:lang w:eastAsia="en-AU"/>
                    </w:rPr>
                  </w:pPr>
                  <w:r w:rsidRPr="00C37E19">
                    <w:rPr>
                      <w:lang w:eastAsia="en-AU"/>
                    </w:rPr>
                    <w:t>2005</w:t>
                  </w:r>
                </w:p>
              </w:tc>
              <w:tc>
                <w:tcPr>
                  <w:tcW w:w="960" w:type="dxa"/>
                  <w:tcBorders>
                    <w:top w:val="nil"/>
                    <w:left w:val="nil"/>
                    <w:bottom w:val="nil"/>
                    <w:right w:val="nil"/>
                  </w:tcBorders>
                  <w:shd w:val="clear" w:color="auto" w:fill="auto"/>
                  <w:noWrap/>
                  <w:vAlign w:val="bottom"/>
                  <w:hideMark/>
                </w:tcPr>
                <w:p w14:paraId="29016BCC" w14:textId="77777777" w:rsidR="00E45705" w:rsidRPr="00C37E19" w:rsidRDefault="00E45705" w:rsidP="00E45705">
                  <w:pPr>
                    <w:pStyle w:val="TableCellText"/>
                    <w:spacing w:before="0" w:after="0"/>
                    <w:ind w:left="0" w:right="0"/>
                    <w:rPr>
                      <w:lang w:eastAsia="en-AU"/>
                    </w:rPr>
                  </w:pPr>
                  <w:r w:rsidRPr="00C37E19">
                    <w:rPr>
                      <w:lang w:eastAsia="en-AU"/>
                    </w:rPr>
                    <w:t>51.2</w:t>
                  </w:r>
                </w:p>
              </w:tc>
              <w:tc>
                <w:tcPr>
                  <w:tcW w:w="960" w:type="dxa"/>
                  <w:tcBorders>
                    <w:top w:val="nil"/>
                    <w:left w:val="nil"/>
                    <w:bottom w:val="nil"/>
                    <w:right w:val="nil"/>
                  </w:tcBorders>
                  <w:shd w:val="clear" w:color="auto" w:fill="auto"/>
                  <w:noWrap/>
                  <w:vAlign w:val="bottom"/>
                  <w:hideMark/>
                </w:tcPr>
                <w:p w14:paraId="36914BD9" w14:textId="77777777" w:rsidR="00E45705" w:rsidRPr="00C37E19" w:rsidRDefault="00E45705" w:rsidP="00E45705">
                  <w:pPr>
                    <w:pStyle w:val="TableCellText"/>
                    <w:spacing w:before="0" w:after="0"/>
                    <w:ind w:left="0" w:right="0"/>
                    <w:rPr>
                      <w:lang w:eastAsia="en-AU"/>
                    </w:rPr>
                  </w:pPr>
                  <w:r w:rsidRPr="00C37E19">
                    <w:rPr>
                      <w:lang w:eastAsia="en-AU"/>
                    </w:rPr>
                    <w:t>20.3</w:t>
                  </w:r>
                </w:p>
              </w:tc>
              <w:tc>
                <w:tcPr>
                  <w:tcW w:w="960" w:type="dxa"/>
                  <w:tcBorders>
                    <w:top w:val="nil"/>
                    <w:left w:val="nil"/>
                    <w:bottom w:val="nil"/>
                    <w:right w:val="nil"/>
                  </w:tcBorders>
                  <w:shd w:val="clear" w:color="auto" w:fill="auto"/>
                  <w:noWrap/>
                  <w:vAlign w:val="bottom"/>
                  <w:hideMark/>
                </w:tcPr>
                <w:p w14:paraId="7F179C65" w14:textId="77777777" w:rsidR="00E45705" w:rsidRPr="00C37E19" w:rsidRDefault="00E45705" w:rsidP="00E45705">
                  <w:pPr>
                    <w:pStyle w:val="TableCellText"/>
                    <w:spacing w:before="0" w:after="0"/>
                    <w:ind w:left="0" w:right="0"/>
                    <w:rPr>
                      <w:lang w:eastAsia="en-AU"/>
                    </w:rPr>
                  </w:pPr>
                  <w:r w:rsidRPr="00C37E19">
                    <w:rPr>
                      <w:lang w:eastAsia="en-AU"/>
                    </w:rPr>
                    <w:t>3.9</w:t>
                  </w:r>
                </w:p>
              </w:tc>
              <w:tc>
                <w:tcPr>
                  <w:tcW w:w="960" w:type="dxa"/>
                  <w:tcBorders>
                    <w:top w:val="nil"/>
                    <w:left w:val="nil"/>
                    <w:bottom w:val="nil"/>
                    <w:right w:val="nil"/>
                  </w:tcBorders>
                  <w:shd w:val="clear" w:color="auto" w:fill="auto"/>
                  <w:noWrap/>
                  <w:vAlign w:val="bottom"/>
                  <w:hideMark/>
                </w:tcPr>
                <w:p w14:paraId="47D7C35B" w14:textId="77777777" w:rsidR="00E45705" w:rsidRPr="00C37E19" w:rsidRDefault="00E45705" w:rsidP="00E45705">
                  <w:pPr>
                    <w:pStyle w:val="TableCellText"/>
                    <w:spacing w:before="0" w:after="0"/>
                    <w:ind w:left="0" w:right="0"/>
                    <w:rPr>
                      <w:lang w:eastAsia="en-AU"/>
                    </w:rPr>
                  </w:pPr>
                  <w:r w:rsidRPr="00C37E19">
                    <w:rPr>
                      <w:lang w:eastAsia="en-AU"/>
                    </w:rPr>
                    <w:t>24.6</w:t>
                  </w:r>
                </w:p>
              </w:tc>
              <w:tc>
                <w:tcPr>
                  <w:tcW w:w="960" w:type="dxa"/>
                  <w:tcBorders>
                    <w:top w:val="nil"/>
                    <w:left w:val="nil"/>
                    <w:bottom w:val="nil"/>
                    <w:right w:val="nil"/>
                  </w:tcBorders>
                  <w:shd w:val="clear" w:color="auto" w:fill="auto"/>
                  <w:noWrap/>
                  <w:vAlign w:val="bottom"/>
                  <w:hideMark/>
                </w:tcPr>
                <w:p w14:paraId="3B6E4CDB"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78113713" w14:textId="77777777" w:rsidTr="00E45705">
              <w:trPr>
                <w:trHeight w:val="300"/>
              </w:trPr>
              <w:tc>
                <w:tcPr>
                  <w:tcW w:w="1540" w:type="dxa"/>
                  <w:tcBorders>
                    <w:top w:val="nil"/>
                    <w:left w:val="nil"/>
                    <w:bottom w:val="nil"/>
                    <w:right w:val="nil"/>
                  </w:tcBorders>
                  <w:shd w:val="clear" w:color="auto" w:fill="auto"/>
                  <w:noWrap/>
                  <w:vAlign w:val="bottom"/>
                  <w:hideMark/>
                </w:tcPr>
                <w:p w14:paraId="0C2458BE" w14:textId="77777777" w:rsidR="00E45705" w:rsidRPr="00C37E19" w:rsidRDefault="00E45705" w:rsidP="00E45705">
                  <w:pPr>
                    <w:pStyle w:val="TableCellText"/>
                    <w:spacing w:before="0" w:after="0"/>
                    <w:ind w:left="0" w:right="0"/>
                    <w:rPr>
                      <w:lang w:eastAsia="en-AU"/>
                    </w:rPr>
                  </w:pPr>
                  <w:r w:rsidRPr="00C37E19">
                    <w:rPr>
                      <w:lang w:eastAsia="en-AU"/>
                    </w:rPr>
                    <w:t>2006</w:t>
                  </w:r>
                </w:p>
              </w:tc>
              <w:tc>
                <w:tcPr>
                  <w:tcW w:w="960" w:type="dxa"/>
                  <w:tcBorders>
                    <w:top w:val="nil"/>
                    <w:left w:val="nil"/>
                    <w:bottom w:val="nil"/>
                    <w:right w:val="nil"/>
                  </w:tcBorders>
                  <w:shd w:val="clear" w:color="auto" w:fill="auto"/>
                  <w:noWrap/>
                  <w:vAlign w:val="bottom"/>
                  <w:hideMark/>
                </w:tcPr>
                <w:p w14:paraId="696D1C08" w14:textId="77777777" w:rsidR="00E45705" w:rsidRPr="00C37E19" w:rsidRDefault="00E45705" w:rsidP="00E45705">
                  <w:pPr>
                    <w:pStyle w:val="TableCellText"/>
                    <w:spacing w:before="0" w:after="0"/>
                    <w:ind w:left="0" w:right="0"/>
                    <w:rPr>
                      <w:lang w:eastAsia="en-AU"/>
                    </w:rPr>
                  </w:pPr>
                  <w:r w:rsidRPr="00C37E19">
                    <w:rPr>
                      <w:lang w:eastAsia="en-AU"/>
                    </w:rPr>
                    <w:t>51.4</w:t>
                  </w:r>
                </w:p>
              </w:tc>
              <w:tc>
                <w:tcPr>
                  <w:tcW w:w="960" w:type="dxa"/>
                  <w:tcBorders>
                    <w:top w:val="nil"/>
                    <w:left w:val="nil"/>
                    <w:bottom w:val="nil"/>
                    <w:right w:val="nil"/>
                  </w:tcBorders>
                  <w:shd w:val="clear" w:color="auto" w:fill="auto"/>
                  <w:noWrap/>
                  <w:vAlign w:val="bottom"/>
                  <w:hideMark/>
                </w:tcPr>
                <w:p w14:paraId="19D942CA" w14:textId="77777777" w:rsidR="00E45705" w:rsidRPr="00C37E19" w:rsidRDefault="00E45705" w:rsidP="00E45705">
                  <w:pPr>
                    <w:pStyle w:val="TableCellText"/>
                    <w:spacing w:before="0" w:after="0"/>
                    <w:ind w:left="0" w:right="0"/>
                    <w:rPr>
                      <w:lang w:eastAsia="en-AU"/>
                    </w:rPr>
                  </w:pPr>
                  <w:r w:rsidRPr="00C37E19">
                    <w:rPr>
                      <w:lang w:eastAsia="en-AU"/>
                    </w:rPr>
                    <w:t>20.6</w:t>
                  </w:r>
                </w:p>
              </w:tc>
              <w:tc>
                <w:tcPr>
                  <w:tcW w:w="960" w:type="dxa"/>
                  <w:tcBorders>
                    <w:top w:val="nil"/>
                    <w:left w:val="nil"/>
                    <w:bottom w:val="nil"/>
                    <w:right w:val="nil"/>
                  </w:tcBorders>
                  <w:shd w:val="clear" w:color="auto" w:fill="auto"/>
                  <w:noWrap/>
                  <w:vAlign w:val="bottom"/>
                  <w:hideMark/>
                </w:tcPr>
                <w:p w14:paraId="3EE3F7BB" w14:textId="77777777" w:rsidR="00E45705" w:rsidRPr="00C37E19" w:rsidRDefault="00E45705" w:rsidP="00E45705">
                  <w:pPr>
                    <w:pStyle w:val="TableCellText"/>
                    <w:spacing w:before="0" w:after="0"/>
                    <w:ind w:left="0" w:right="0"/>
                    <w:rPr>
                      <w:lang w:eastAsia="en-AU"/>
                    </w:rPr>
                  </w:pPr>
                  <w:r w:rsidRPr="00C37E19">
                    <w:rPr>
                      <w:lang w:eastAsia="en-AU"/>
                    </w:rPr>
                    <w:t>3.7</w:t>
                  </w:r>
                </w:p>
              </w:tc>
              <w:tc>
                <w:tcPr>
                  <w:tcW w:w="960" w:type="dxa"/>
                  <w:tcBorders>
                    <w:top w:val="nil"/>
                    <w:left w:val="nil"/>
                    <w:bottom w:val="nil"/>
                    <w:right w:val="nil"/>
                  </w:tcBorders>
                  <w:shd w:val="clear" w:color="auto" w:fill="auto"/>
                  <w:noWrap/>
                  <w:vAlign w:val="bottom"/>
                  <w:hideMark/>
                </w:tcPr>
                <w:p w14:paraId="4AA38B30" w14:textId="77777777" w:rsidR="00E45705" w:rsidRPr="00C37E19" w:rsidRDefault="00E45705" w:rsidP="00E45705">
                  <w:pPr>
                    <w:pStyle w:val="TableCellText"/>
                    <w:spacing w:before="0" w:after="0"/>
                    <w:ind w:left="0" w:right="0"/>
                    <w:rPr>
                      <w:lang w:eastAsia="en-AU"/>
                    </w:rPr>
                  </w:pPr>
                  <w:r w:rsidRPr="00C37E19">
                    <w:rPr>
                      <w:lang w:eastAsia="en-AU"/>
                    </w:rPr>
                    <w:t>24.3</w:t>
                  </w:r>
                </w:p>
              </w:tc>
              <w:tc>
                <w:tcPr>
                  <w:tcW w:w="960" w:type="dxa"/>
                  <w:tcBorders>
                    <w:top w:val="nil"/>
                    <w:left w:val="nil"/>
                    <w:bottom w:val="nil"/>
                    <w:right w:val="nil"/>
                  </w:tcBorders>
                  <w:shd w:val="clear" w:color="auto" w:fill="auto"/>
                  <w:noWrap/>
                  <w:vAlign w:val="bottom"/>
                  <w:hideMark/>
                </w:tcPr>
                <w:p w14:paraId="7F1F8A7F"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35CD5788" w14:textId="77777777" w:rsidTr="00E45705">
              <w:trPr>
                <w:trHeight w:val="300"/>
              </w:trPr>
              <w:tc>
                <w:tcPr>
                  <w:tcW w:w="1540" w:type="dxa"/>
                  <w:tcBorders>
                    <w:top w:val="nil"/>
                    <w:left w:val="nil"/>
                    <w:bottom w:val="nil"/>
                    <w:right w:val="nil"/>
                  </w:tcBorders>
                  <w:shd w:val="clear" w:color="auto" w:fill="auto"/>
                  <w:noWrap/>
                  <w:vAlign w:val="bottom"/>
                  <w:hideMark/>
                </w:tcPr>
                <w:p w14:paraId="477AC75E" w14:textId="77777777" w:rsidR="00E45705" w:rsidRPr="00C37E19" w:rsidRDefault="00E45705" w:rsidP="00E45705">
                  <w:pPr>
                    <w:pStyle w:val="TableCellText"/>
                    <w:spacing w:before="0" w:after="0"/>
                    <w:ind w:left="0" w:right="0"/>
                    <w:rPr>
                      <w:lang w:eastAsia="en-AU"/>
                    </w:rPr>
                  </w:pPr>
                  <w:r w:rsidRPr="00C37E19">
                    <w:rPr>
                      <w:lang w:eastAsia="en-AU"/>
                    </w:rPr>
                    <w:t>2007</w:t>
                  </w:r>
                </w:p>
              </w:tc>
              <w:tc>
                <w:tcPr>
                  <w:tcW w:w="960" w:type="dxa"/>
                  <w:tcBorders>
                    <w:top w:val="nil"/>
                    <w:left w:val="nil"/>
                    <w:bottom w:val="nil"/>
                    <w:right w:val="nil"/>
                  </w:tcBorders>
                  <w:shd w:val="clear" w:color="auto" w:fill="auto"/>
                  <w:noWrap/>
                  <w:vAlign w:val="bottom"/>
                  <w:hideMark/>
                </w:tcPr>
                <w:p w14:paraId="4C3F378A" w14:textId="77777777" w:rsidR="00E45705" w:rsidRPr="00C37E19" w:rsidRDefault="00E45705" w:rsidP="00E45705">
                  <w:pPr>
                    <w:pStyle w:val="TableCellText"/>
                    <w:spacing w:before="0" w:after="0"/>
                    <w:ind w:left="0" w:right="0"/>
                    <w:rPr>
                      <w:lang w:eastAsia="en-AU"/>
                    </w:rPr>
                  </w:pPr>
                  <w:r w:rsidRPr="00C37E19">
                    <w:rPr>
                      <w:lang w:eastAsia="en-AU"/>
                    </w:rPr>
                    <w:t>52.6</w:t>
                  </w:r>
                </w:p>
              </w:tc>
              <w:tc>
                <w:tcPr>
                  <w:tcW w:w="960" w:type="dxa"/>
                  <w:tcBorders>
                    <w:top w:val="nil"/>
                    <w:left w:val="nil"/>
                    <w:bottom w:val="nil"/>
                    <w:right w:val="nil"/>
                  </w:tcBorders>
                  <w:shd w:val="clear" w:color="auto" w:fill="auto"/>
                  <w:noWrap/>
                  <w:vAlign w:val="bottom"/>
                  <w:hideMark/>
                </w:tcPr>
                <w:p w14:paraId="30429388" w14:textId="77777777" w:rsidR="00E45705" w:rsidRPr="00C37E19" w:rsidRDefault="00E45705" w:rsidP="00E45705">
                  <w:pPr>
                    <w:pStyle w:val="TableCellText"/>
                    <w:spacing w:before="0" w:after="0"/>
                    <w:ind w:left="0" w:right="0"/>
                    <w:rPr>
                      <w:lang w:eastAsia="en-AU"/>
                    </w:rPr>
                  </w:pPr>
                  <w:r w:rsidRPr="00C37E19">
                    <w:rPr>
                      <w:lang w:eastAsia="en-AU"/>
                    </w:rPr>
                    <w:t>20.3</w:t>
                  </w:r>
                </w:p>
              </w:tc>
              <w:tc>
                <w:tcPr>
                  <w:tcW w:w="960" w:type="dxa"/>
                  <w:tcBorders>
                    <w:top w:val="nil"/>
                    <w:left w:val="nil"/>
                    <w:bottom w:val="nil"/>
                    <w:right w:val="nil"/>
                  </w:tcBorders>
                  <w:shd w:val="clear" w:color="auto" w:fill="auto"/>
                  <w:noWrap/>
                  <w:vAlign w:val="bottom"/>
                  <w:hideMark/>
                </w:tcPr>
                <w:p w14:paraId="05229F8D" w14:textId="77777777" w:rsidR="00E45705" w:rsidRPr="00C37E19" w:rsidRDefault="00E45705" w:rsidP="00E45705">
                  <w:pPr>
                    <w:pStyle w:val="TableCellText"/>
                    <w:spacing w:before="0" w:after="0"/>
                    <w:ind w:left="0" w:right="0"/>
                    <w:rPr>
                      <w:lang w:eastAsia="en-AU"/>
                    </w:rPr>
                  </w:pPr>
                  <w:r w:rsidRPr="00C37E19">
                    <w:rPr>
                      <w:lang w:eastAsia="en-AU"/>
                    </w:rPr>
                    <w:t>3.3</w:t>
                  </w:r>
                </w:p>
              </w:tc>
              <w:tc>
                <w:tcPr>
                  <w:tcW w:w="960" w:type="dxa"/>
                  <w:tcBorders>
                    <w:top w:val="nil"/>
                    <w:left w:val="nil"/>
                    <w:bottom w:val="nil"/>
                    <w:right w:val="nil"/>
                  </w:tcBorders>
                  <w:shd w:val="clear" w:color="auto" w:fill="auto"/>
                  <w:noWrap/>
                  <w:vAlign w:val="bottom"/>
                  <w:hideMark/>
                </w:tcPr>
                <w:p w14:paraId="1C4FA137" w14:textId="77777777" w:rsidR="00E45705" w:rsidRPr="00C37E19" w:rsidRDefault="00E45705" w:rsidP="00E45705">
                  <w:pPr>
                    <w:pStyle w:val="TableCellText"/>
                    <w:spacing w:before="0" w:after="0"/>
                    <w:ind w:left="0" w:right="0"/>
                    <w:rPr>
                      <w:lang w:eastAsia="en-AU"/>
                    </w:rPr>
                  </w:pPr>
                  <w:r w:rsidRPr="00C37E19">
                    <w:rPr>
                      <w:lang w:eastAsia="en-AU"/>
                    </w:rPr>
                    <w:t>23.8</w:t>
                  </w:r>
                </w:p>
              </w:tc>
              <w:tc>
                <w:tcPr>
                  <w:tcW w:w="960" w:type="dxa"/>
                  <w:tcBorders>
                    <w:top w:val="nil"/>
                    <w:left w:val="nil"/>
                    <w:bottom w:val="nil"/>
                    <w:right w:val="nil"/>
                  </w:tcBorders>
                  <w:shd w:val="clear" w:color="auto" w:fill="auto"/>
                  <w:noWrap/>
                  <w:vAlign w:val="bottom"/>
                  <w:hideMark/>
                </w:tcPr>
                <w:p w14:paraId="35E88F47"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33091F9B" w14:textId="77777777" w:rsidTr="00E45705">
              <w:trPr>
                <w:trHeight w:val="300"/>
              </w:trPr>
              <w:tc>
                <w:tcPr>
                  <w:tcW w:w="1540" w:type="dxa"/>
                  <w:tcBorders>
                    <w:top w:val="nil"/>
                    <w:left w:val="nil"/>
                    <w:bottom w:val="nil"/>
                    <w:right w:val="nil"/>
                  </w:tcBorders>
                  <w:shd w:val="clear" w:color="auto" w:fill="auto"/>
                  <w:noWrap/>
                  <w:vAlign w:val="bottom"/>
                  <w:hideMark/>
                </w:tcPr>
                <w:p w14:paraId="21A3D3DA" w14:textId="77777777" w:rsidR="00E45705" w:rsidRPr="00C37E19" w:rsidRDefault="00E45705" w:rsidP="00E45705">
                  <w:pPr>
                    <w:pStyle w:val="TableCellText"/>
                    <w:spacing w:before="0" w:after="0"/>
                    <w:ind w:left="0" w:right="0"/>
                    <w:rPr>
                      <w:lang w:eastAsia="en-AU"/>
                    </w:rPr>
                  </w:pPr>
                  <w:r w:rsidRPr="00C37E19">
                    <w:rPr>
                      <w:lang w:eastAsia="en-AU"/>
                    </w:rPr>
                    <w:t>2008</w:t>
                  </w:r>
                </w:p>
              </w:tc>
              <w:tc>
                <w:tcPr>
                  <w:tcW w:w="960" w:type="dxa"/>
                  <w:tcBorders>
                    <w:top w:val="nil"/>
                    <w:left w:val="nil"/>
                    <w:bottom w:val="nil"/>
                    <w:right w:val="nil"/>
                  </w:tcBorders>
                  <w:shd w:val="clear" w:color="auto" w:fill="auto"/>
                  <w:noWrap/>
                  <w:vAlign w:val="bottom"/>
                  <w:hideMark/>
                </w:tcPr>
                <w:p w14:paraId="250304B3" w14:textId="77777777" w:rsidR="00E45705" w:rsidRPr="00C37E19" w:rsidRDefault="00E45705" w:rsidP="00E45705">
                  <w:pPr>
                    <w:pStyle w:val="TableCellText"/>
                    <w:spacing w:before="0" w:after="0"/>
                    <w:ind w:left="0" w:right="0"/>
                    <w:rPr>
                      <w:lang w:eastAsia="en-AU"/>
                    </w:rPr>
                  </w:pPr>
                  <w:r w:rsidRPr="00C37E19">
                    <w:rPr>
                      <w:lang w:eastAsia="en-AU"/>
                    </w:rPr>
                    <w:t>52.5</w:t>
                  </w:r>
                </w:p>
              </w:tc>
              <w:tc>
                <w:tcPr>
                  <w:tcW w:w="960" w:type="dxa"/>
                  <w:tcBorders>
                    <w:top w:val="nil"/>
                    <w:left w:val="nil"/>
                    <w:bottom w:val="nil"/>
                    <w:right w:val="nil"/>
                  </w:tcBorders>
                  <w:shd w:val="clear" w:color="auto" w:fill="auto"/>
                  <w:noWrap/>
                  <w:vAlign w:val="bottom"/>
                  <w:hideMark/>
                </w:tcPr>
                <w:p w14:paraId="7FD80AD5" w14:textId="77777777" w:rsidR="00E45705" w:rsidRPr="00C37E19" w:rsidRDefault="00E45705" w:rsidP="00E45705">
                  <w:pPr>
                    <w:pStyle w:val="TableCellText"/>
                    <w:spacing w:before="0" w:after="0"/>
                    <w:ind w:left="0" w:right="0"/>
                    <w:rPr>
                      <w:lang w:eastAsia="en-AU"/>
                    </w:rPr>
                  </w:pPr>
                  <w:r w:rsidRPr="00C37E19">
                    <w:rPr>
                      <w:lang w:eastAsia="en-AU"/>
                    </w:rPr>
                    <w:t>20.7</w:t>
                  </w:r>
                </w:p>
              </w:tc>
              <w:tc>
                <w:tcPr>
                  <w:tcW w:w="960" w:type="dxa"/>
                  <w:tcBorders>
                    <w:top w:val="nil"/>
                    <w:left w:val="nil"/>
                    <w:bottom w:val="nil"/>
                    <w:right w:val="nil"/>
                  </w:tcBorders>
                  <w:shd w:val="clear" w:color="auto" w:fill="auto"/>
                  <w:noWrap/>
                  <w:vAlign w:val="bottom"/>
                  <w:hideMark/>
                </w:tcPr>
                <w:p w14:paraId="1E249C58" w14:textId="77777777" w:rsidR="00E45705" w:rsidRPr="00C37E19" w:rsidRDefault="00E45705" w:rsidP="00E45705">
                  <w:pPr>
                    <w:pStyle w:val="TableCellText"/>
                    <w:spacing w:before="0" w:after="0"/>
                    <w:ind w:left="0" w:right="0"/>
                    <w:rPr>
                      <w:lang w:eastAsia="en-AU"/>
                    </w:rPr>
                  </w:pPr>
                  <w:r w:rsidRPr="00C37E19">
                    <w:rPr>
                      <w:lang w:eastAsia="en-AU"/>
                    </w:rPr>
                    <w:t>3.4</w:t>
                  </w:r>
                </w:p>
              </w:tc>
              <w:tc>
                <w:tcPr>
                  <w:tcW w:w="960" w:type="dxa"/>
                  <w:tcBorders>
                    <w:top w:val="nil"/>
                    <w:left w:val="nil"/>
                    <w:bottom w:val="nil"/>
                    <w:right w:val="nil"/>
                  </w:tcBorders>
                  <w:shd w:val="clear" w:color="auto" w:fill="auto"/>
                  <w:noWrap/>
                  <w:vAlign w:val="bottom"/>
                  <w:hideMark/>
                </w:tcPr>
                <w:p w14:paraId="7D8EA552" w14:textId="77777777" w:rsidR="00E45705" w:rsidRPr="00C37E19" w:rsidRDefault="00E45705" w:rsidP="00E45705">
                  <w:pPr>
                    <w:pStyle w:val="TableCellText"/>
                    <w:spacing w:before="0" w:after="0"/>
                    <w:ind w:left="0" w:right="0"/>
                    <w:rPr>
                      <w:lang w:eastAsia="en-AU"/>
                    </w:rPr>
                  </w:pPr>
                  <w:r w:rsidRPr="00C37E19">
                    <w:rPr>
                      <w:lang w:eastAsia="en-AU"/>
                    </w:rPr>
                    <w:t>23.5</w:t>
                  </w:r>
                </w:p>
              </w:tc>
              <w:tc>
                <w:tcPr>
                  <w:tcW w:w="960" w:type="dxa"/>
                  <w:tcBorders>
                    <w:top w:val="nil"/>
                    <w:left w:val="nil"/>
                    <w:bottom w:val="nil"/>
                    <w:right w:val="nil"/>
                  </w:tcBorders>
                  <w:shd w:val="clear" w:color="auto" w:fill="auto"/>
                  <w:noWrap/>
                  <w:vAlign w:val="bottom"/>
                  <w:hideMark/>
                </w:tcPr>
                <w:p w14:paraId="64693452"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1861A8EA" w14:textId="77777777" w:rsidTr="00E45705">
              <w:trPr>
                <w:trHeight w:val="300"/>
              </w:trPr>
              <w:tc>
                <w:tcPr>
                  <w:tcW w:w="1540" w:type="dxa"/>
                  <w:tcBorders>
                    <w:top w:val="nil"/>
                    <w:left w:val="nil"/>
                    <w:bottom w:val="nil"/>
                    <w:right w:val="nil"/>
                  </w:tcBorders>
                  <w:shd w:val="clear" w:color="auto" w:fill="auto"/>
                  <w:noWrap/>
                  <w:vAlign w:val="bottom"/>
                  <w:hideMark/>
                </w:tcPr>
                <w:p w14:paraId="000E53C8" w14:textId="77777777" w:rsidR="00E45705" w:rsidRPr="00C37E19" w:rsidRDefault="00E45705" w:rsidP="00E45705">
                  <w:pPr>
                    <w:pStyle w:val="TableCellText"/>
                    <w:spacing w:before="0" w:after="0"/>
                    <w:ind w:left="0" w:right="0"/>
                    <w:rPr>
                      <w:lang w:eastAsia="en-AU"/>
                    </w:rPr>
                  </w:pPr>
                  <w:r w:rsidRPr="00C37E19">
                    <w:rPr>
                      <w:lang w:eastAsia="en-AU"/>
                    </w:rPr>
                    <w:t>2009</w:t>
                  </w:r>
                </w:p>
              </w:tc>
              <w:tc>
                <w:tcPr>
                  <w:tcW w:w="960" w:type="dxa"/>
                  <w:tcBorders>
                    <w:top w:val="nil"/>
                    <w:left w:val="nil"/>
                    <w:bottom w:val="nil"/>
                    <w:right w:val="nil"/>
                  </w:tcBorders>
                  <w:shd w:val="clear" w:color="auto" w:fill="auto"/>
                  <w:noWrap/>
                  <w:vAlign w:val="bottom"/>
                  <w:hideMark/>
                </w:tcPr>
                <w:p w14:paraId="40B0C44C" w14:textId="77777777" w:rsidR="00E45705" w:rsidRPr="00C37E19" w:rsidRDefault="00E45705" w:rsidP="00E45705">
                  <w:pPr>
                    <w:pStyle w:val="TableCellText"/>
                    <w:spacing w:before="0" w:after="0"/>
                    <w:ind w:left="0" w:right="0"/>
                    <w:rPr>
                      <w:lang w:eastAsia="en-AU"/>
                    </w:rPr>
                  </w:pPr>
                  <w:r w:rsidRPr="00C37E19">
                    <w:rPr>
                      <w:lang w:eastAsia="en-AU"/>
                    </w:rPr>
                    <w:t>51.2</w:t>
                  </w:r>
                </w:p>
              </w:tc>
              <w:tc>
                <w:tcPr>
                  <w:tcW w:w="960" w:type="dxa"/>
                  <w:tcBorders>
                    <w:top w:val="nil"/>
                    <w:left w:val="nil"/>
                    <w:bottom w:val="nil"/>
                    <w:right w:val="nil"/>
                  </w:tcBorders>
                  <w:shd w:val="clear" w:color="auto" w:fill="auto"/>
                  <w:noWrap/>
                  <w:vAlign w:val="bottom"/>
                  <w:hideMark/>
                </w:tcPr>
                <w:p w14:paraId="58676AA1" w14:textId="77777777" w:rsidR="00E45705" w:rsidRPr="00C37E19" w:rsidRDefault="00E45705" w:rsidP="00E45705">
                  <w:pPr>
                    <w:pStyle w:val="TableCellText"/>
                    <w:spacing w:before="0" w:after="0"/>
                    <w:ind w:left="0" w:right="0"/>
                    <w:rPr>
                      <w:lang w:eastAsia="en-AU"/>
                    </w:rPr>
                  </w:pPr>
                  <w:r w:rsidRPr="00C37E19">
                    <w:rPr>
                      <w:lang w:eastAsia="en-AU"/>
                    </w:rPr>
                    <w:t>20.9</w:t>
                  </w:r>
                </w:p>
              </w:tc>
              <w:tc>
                <w:tcPr>
                  <w:tcW w:w="960" w:type="dxa"/>
                  <w:tcBorders>
                    <w:top w:val="nil"/>
                    <w:left w:val="nil"/>
                    <w:bottom w:val="nil"/>
                    <w:right w:val="nil"/>
                  </w:tcBorders>
                  <w:shd w:val="clear" w:color="auto" w:fill="auto"/>
                  <w:noWrap/>
                  <w:vAlign w:val="bottom"/>
                  <w:hideMark/>
                </w:tcPr>
                <w:p w14:paraId="127293DC" w14:textId="77777777" w:rsidR="00E45705" w:rsidRPr="00C37E19" w:rsidRDefault="00E45705" w:rsidP="00E45705">
                  <w:pPr>
                    <w:pStyle w:val="TableCellText"/>
                    <w:spacing w:before="0" w:after="0"/>
                    <w:ind w:left="0" w:right="0"/>
                    <w:rPr>
                      <w:lang w:eastAsia="en-AU"/>
                    </w:rPr>
                  </w:pPr>
                  <w:r w:rsidRPr="00C37E19">
                    <w:rPr>
                      <w:lang w:eastAsia="en-AU"/>
                    </w:rPr>
                    <w:t>4.6</w:t>
                  </w:r>
                </w:p>
              </w:tc>
              <w:tc>
                <w:tcPr>
                  <w:tcW w:w="960" w:type="dxa"/>
                  <w:tcBorders>
                    <w:top w:val="nil"/>
                    <w:left w:val="nil"/>
                    <w:bottom w:val="nil"/>
                    <w:right w:val="nil"/>
                  </w:tcBorders>
                  <w:shd w:val="clear" w:color="auto" w:fill="auto"/>
                  <w:noWrap/>
                  <w:vAlign w:val="bottom"/>
                  <w:hideMark/>
                </w:tcPr>
                <w:p w14:paraId="509F0B94" w14:textId="77777777" w:rsidR="00E45705" w:rsidRPr="00C37E19" w:rsidRDefault="00E45705" w:rsidP="00E45705">
                  <w:pPr>
                    <w:pStyle w:val="TableCellText"/>
                    <w:spacing w:before="0" w:after="0"/>
                    <w:ind w:left="0" w:right="0"/>
                    <w:rPr>
                      <w:lang w:eastAsia="en-AU"/>
                    </w:rPr>
                  </w:pPr>
                  <w:r w:rsidRPr="00C37E19">
                    <w:rPr>
                      <w:lang w:eastAsia="en-AU"/>
                    </w:rPr>
                    <w:t>23.3</w:t>
                  </w:r>
                </w:p>
              </w:tc>
              <w:tc>
                <w:tcPr>
                  <w:tcW w:w="960" w:type="dxa"/>
                  <w:tcBorders>
                    <w:top w:val="nil"/>
                    <w:left w:val="nil"/>
                    <w:bottom w:val="nil"/>
                    <w:right w:val="nil"/>
                  </w:tcBorders>
                  <w:shd w:val="clear" w:color="auto" w:fill="auto"/>
                  <w:noWrap/>
                  <w:vAlign w:val="bottom"/>
                  <w:hideMark/>
                </w:tcPr>
                <w:p w14:paraId="008C1080"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55A59D35" w14:textId="77777777" w:rsidTr="00E45705">
              <w:trPr>
                <w:trHeight w:val="300"/>
              </w:trPr>
              <w:tc>
                <w:tcPr>
                  <w:tcW w:w="1540" w:type="dxa"/>
                  <w:tcBorders>
                    <w:top w:val="nil"/>
                    <w:left w:val="nil"/>
                    <w:bottom w:val="nil"/>
                    <w:right w:val="nil"/>
                  </w:tcBorders>
                  <w:shd w:val="clear" w:color="auto" w:fill="auto"/>
                  <w:noWrap/>
                  <w:vAlign w:val="bottom"/>
                  <w:hideMark/>
                </w:tcPr>
                <w:p w14:paraId="7599C524" w14:textId="77777777" w:rsidR="00E45705" w:rsidRPr="00C37E19" w:rsidRDefault="00E45705" w:rsidP="00E45705">
                  <w:pPr>
                    <w:pStyle w:val="TableCellText"/>
                    <w:spacing w:before="0" w:after="0"/>
                    <w:ind w:left="0" w:right="0"/>
                    <w:rPr>
                      <w:lang w:eastAsia="en-AU"/>
                    </w:rPr>
                  </w:pPr>
                  <w:r w:rsidRPr="00C37E19">
                    <w:rPr>
                      <w:lang w:eastAsia="en-AU"/>
                    </w:rPr>
                    <w:t>2010</w:t>
                  </w:r>
                </w:p>
              </w:tc>
              <w:tc>
                <w:tcPr>
                  <w:tcW w:w="960" w:type="dxa"/>
                  <w:tcBorders>
                    <w:top w:val="nil"/>
                    <w:left w:val="nil"/>
                    <w:bottom w:val="nil"/>
                    <w:right w:val="nil"/>
                  </w:tcBorders>
                  <w:shd w:val="clear" w:color="auto" w:fill="auto"/>
                  <w:noWrap/>
                  <w:vAlign w:val="bottom"/>
                  <w:hideMark/>
                </w:tcPr>
                <w:p w14:paraId="272CDAE5" w14:textId="77777777" w:rsidR="00E45705" w:rsidRPr="00C37E19" w:rsidRDefault="00E45705" w:rsidP="00E45705">
                  <w:pPr>
                    <w:pStyle w:val="TableCellText"/>
                    <w:spacing w:before="0" w:after="0"/>
                    <w:ind w:left="0" w:right="0"/>
                    <w:rPr>
                      <w:lang w:eastAsia="en-AU"/>
                    </w:rPr>
                  </w:pPr>
                  <w:r w:rsidRPr="00C37E19">
                    <w:rPr>
                      <w:lang w:eastAsia="en-AU"/>
                    </w:rPr>
                    <w:t>51.0</w:t>
                  </w:r>
                </w:p>
              </w:tc>
              <w:tc>
                <w:tcPr>
                  <w:tcW w:w="960" w:type="dxa"/>
                  <w:tcBorders>
                    <w:top w:val="nil"/>
                    <w:left w:val="nil"/>
                    <w:bottom w:val="nil"/>
                    <w:right w:val="nil"/>
                  </w:tcBorders>
                  <w:shd w:val="clear" w:color="auto" w:fill="auto"/>
                  <w:noWrap/>
                  <w:vAlign w:val="bottom"/>
                  <w:hideMark/>
                </w:tcPr>
                <w:p w14:paraId="7ED65921" w14:textId="77777777" w:rsidR="00E45705" w:rsidRPr="00C37E19" w:rsidRDefault="00E45705" w:rsidP="00E45705">
                  <w:pPr>
                    <w:pStyle w:val="TableCellText"/>
                    <w:spacing w:before="0" w:after="0"/>
                    <w:ind w:left="0" w:right="0"/>
                    <w:rPr>
                      <w:lang w:eastAsia="en-AU"/>
                    </w:rPr>
                  </w:pPr>
                  <w:r w:rsidRPr="00C37E19">
                    <w:rPr>
                      <w:lang w:eastAsia="en-AU"/>
                    </w:rPr>
                    <w:t>21.0</w:t>
                  </w:r>
                </w:p>
              </w:tc>
              <w:tc>
                <w:tcPr>
                  <w:tcW w:w="960" w:type="dxa"/>
                  <w:tcBorders>
                    <w:top w:val="nil"/>
                    <w:left w:val="nil"/>
                    <w:bottom w:val="nil"/>
                    <w:right w:val="nil"/>
                  </w:tcBorders>
                  <w:shd w:val="clear" w:color="auto" w:fill="auto"/>
                  <w:noWrap/>
                  <w:vAlign w:val="bottom"/>
                  <w:hideMark/>
                </w:tcPr>
                <w:p w14:paraId="0026544F" w14:textId="77777777" w:rsidR="00E45705" w:rsidRPr="00C37E19" w:rsidRDefault="00E45705" w:rsidP="00E45705">
                  <w:pPr>
                    <w:pStyle w:val="TableCellText"/>
                    <w:spacing w:before="0" w:after="0"/>
                    <w:ind w:left="0" w:right="0"/>
                    <w:rPr>
                      <w:lang w:eastAsia="en-AU"/>
                    </w:rPr>
                  </w:pPr>
                  <w:r w:rsidRPr="00C37E19">
                    <w:rPr>
                      <w:lang w:eastAsia="en-AU"/>
                    </w:rPr>
                    <w:t>4.1</w:t>
                  </w:r>
                </w:p>
              </w:tc>
              <w:tc>
                <w:tcPr>
                  <w:tcW w:w="960" w:type="dxa"/>
                  <w:tcBorders>
                    <w:top w:val="nil"/>
                    <w:left w:val="nil"/>
                    <w:bottom w:val="nil"/>
                    <w:right w:val="nil"/>
                  </w:tcBorders>
                  <w:shd w:val="clear" w:color="auto" w:fill="auto"/>
                  <w:noWrap/>
                  <w:vAlign w:val="bottom"/>
                  <w:hideMark/>
                </w:tcPr>
                <w:p w14:paraId="597CFDFD" w14:textId="77777777" w:rsidR="00E45705" w:rsidRPr="00C37E19" w:rsidRDefault="00E45705" w:rsidP="00E45705">
                  <w:pPr>
                    <w:pStyle w:val="TableCellText"/>
                    <w:spacing w:before="0" w:after="0"/>
                    <w:ind w:left="0" w:right="0"/>
                    <w:rPr>
                      <w:lang w:eastAsia="en-AU"/>
                    </w:rPr>
                  </w:pPr>
                  <w:r w:rsidRPr="00C37E19">
                    <w:rPr>
                      <w:lang w:eastAsia="en-AU"/>
                    </w:rPr>
                    <w:t>23.9</w:t>
                  </w:r>
                </w:p>
              </w:tc>
              <w:tc>
                <w:tcPr>
                  <w:tcW w:w="960" w:type="dxa"/>
                  <w:tcBorders>
                    <w:top w:val="nil"/>
                    <w:left w:val="nil"/>
                    <w:bottom w:val="nil"/>
                    <w:right w:val="nil"/>
                  </w:tcBorders>
                  <w:shd w:val="clear" w:color="auto" w:fill="auto"/>
                  <w:noWrap/>
                  <w:vAlign w:val="bottom"/>
                  <w:hideMark/>
                </w:tcPr>
                <w:p w14:paraId="2B28C1F5"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5BDB8D16" w14:textId="77777777" w:rsidTr="00E45705">
              <w:trPr>
                <w:trHeight w:val="300"/>
              </w:trPr>
              <w:tc>
                <w:tcPr>
                  <w:tcW w:w="1540" w:type="dxa"/>
                  <w:tcBorders>
                    <w:top w:val="nil"/>
                    <w:left w:val="nil"/>
                    <w:bottom w:val="nil"/>
                    <w:right w:val="nil"/>
                  </w:tcBorders>
                  <w:shd w:val="clear" w:color="auto" w:fill="auto"/>
                  <w:noWrap/>
                  <w:vAlign w:val="bottom"/>
                  <w:hideMark/>
                </w:tcPr>
                <w:p w14:paraId="4D8CE5DA" w14:textId="77777777" w:rsidR="00E45705" w:rsidRPr="00C37E19" w:rsidRDefault="00E45705" w:rsidP="00E45705">
                  <w:pPr>
                    <w:pStyle w:val="TableCellText"/>
                    <w:spacing w:before="0" w:after="0"/>
                    <w:ind w:left="0" w:right="0"/>
                    <w:rPr>
                      <w:lang w:eastAsia="en-AU"/>
                    </w:rPr>
                  </w:pPr>
                  <w:r w:rsidRPr="00C37E19">
                    <w:rPr>
                      <w:lang w:eastAsia="en-AU"/>
                    </w:rPr>
                    <w:t>2011</w:t>
                  </w:r>
                </w:p>
              </w:tc>
              <w:tc>
                <w:tcPr>
                  <w:tcW w:w="960" w:type="dxa"/>
                  <w:tcBorders>
                    <w:top w:val="nil"/>
                    <w:left w:val="nil"/>
                    <w:bottom w:val="nil"/>
                    <w:right w:val="nil"/>
                  </w:tcBorders>
                  <w:shd w:val="clear" w:color="auto" w:fill="auto"/>
                  <w:noWrap/>
                  <w:vAlign w:val="bottom"/>
                  <w:hideMark/>
                </w:tcPr>
                <w:p w14:paraId="315AAFBE" w14:textId="77777777" w:rsidR="00E45705" w:rsidRPr="00C37E19" w:rsidRDefault="00E45705" w:rsidP="00E45705">
                  <w:pPr>
                    <w:pStyle w:val="TableCellText"/>
                    <w:spacing w:before="0" w:after="0"/>
                    <w:ind w:left="0" w:right="0"/>
                    <w:rPr>
                      <w:lang w:eastAsia="en-AU"/>
                    </w:rPr>
                  </w:pPr>
                  <w:r w:rsidRPr="00C37E19">
                    <w:rPr>
                      <w:lang w:eastAsia="en-AU"/>
                    </w:rPr>
                    <w:t>51.4</w:t>
                  </w:r>
                </w:p>
              </w:tc>
              <w:tc>
                <w:tcPr>
                  <w:tcW w:w="960" w:type="dxa"/>
                  <w:tcBorders>
                    <w:top w:val="nil"/>
                    <w:left w:val="nil"/>
                    <w:bottom w:val="nil"/>
                    <w:right w:val="nil"/>
                  </w:tcBorders>
                  <w:shd w:val="clear" w:color="auto" w:fill="auto"/>
                  <w:noWrap/>
                  <w:vAlign w:val="bottom"/>
                  <w:hideMark/>
                </w:tcPr>
                <w:p w14:paraId="7F14D3CD" w14:textId="77777777" w:rsidR="00E45705" w:rsidRPr="00C37E19" w:rsidRDefault="00E45705" w:rsidP="00E45705">
                  <w:pPr>
                    <w:pStyle w:val="TableCellText"/>
                    <w:spacing w:before="0" w:after="0"/>
                    <w:ind w:left="0" w:right="0"/>
                    <w:rPr>
                      <w:lang w:eastAsia="en-AU"/>
                    </w:rPr>
                  </w:pPr>
                  <w:r w:rsidRPr="00C37E19">
                    <w:rPr>
                      <w:lang w:eastAsia="en-AU"/>
                    </w:rPr>
                    <w:t>21.4</w:t>
                  </w:r>
                </w:p>
              </w:tc>
              <w:tc>
                <w:tcPr>
                  <w:tcW w:w="960" w:type="dxa"/>
                  <w:tcBorders>
                    <w:top w:val="nil"/>
                    <w:left w:val="nil"/>
                    <w:bottom w:val="nil"/>
                    <w:right w:val="nil"/>
                  </w:tcBorders>
                  <w:shd w:val="clear" w:color="auto" w:fill="auto"/>
                  <w:noWrap/>
                  <w:vAlign w:val="bottom"/>
                  <w:hideMark/>
                </w:tcPr>
                <w:p w14:paraId="5D0E6020" w14:textId="77777777" w:rsidR="00E45705" w:rsidRPr="00C37E19" w:rsidRDefault="00E45705" w:rsidP="00E45705">
                  <w:pPr>
                    <w:pStyle w:val="TableCellText"/>
                    <w:spacing w:before="0" w:after="0"/>
                    <w:ind w:left="0" w:right="0"/>
                    <w:rPr>
                      <w:lang w:eastAsia="en-AU"/>
                    </w:rPr>
                  </w:pPr>
                  <w:r w:rsidRPr="00C37E19">
                    <w:rPr>
                      <w:lang w:eastAsia="en-AU"/>
                    </w:rPr>
                    <w:t>3.9</w:t>
                  </w:r>
                </w:p>
              </w:tc>
              <w:tc>
                <w:tcPr>
                  <w:tcW w:w="960" w:type="dxa"/>
                  <w:tcBorders>
                    <w:top w:val="nil"/>
                    <w:left w:val="nil"/>
                    <w:bottom w:val="nil"/>
                    <w:right w:val="nil"/>
                  </w:tcBorders>
                  <w:shd w:val="clear" w:color="auto" w:fill="auto"/>
                  <w:noWrap/>
                  <w:vAlign w:val="bottom"/>
                  <w:hideMark/>
                </w:tcPr>
                <w:p w14:paraId="0B8A80D2" w14:textId="77777777" w:rsidR="00E45705" w:rsidRPr="00C37E19" w:rsidRDefault="00E45705" w:rsidP="00E45705">
                  <w:pPr>
                    <w:pStyle w:val="TableCellText"/>
                    <w:spacing w:before="0" w:after="0"/>
                    <w:ind w:left="0" w:right="0"/>
                    <w:rPr>
                      <w:lang w:eastAsia="en-AU"/>
                    </w:rPr>
                  </w:pPr>
                  <w:r w:rsidRPr="00C37E19">
                    <w:rPr>
                      <w:lang w:eastAsia="en-AU"/>
                    </w:rPr>
                    <w:t>23.3</w:t>
                  </w:r>
                </w:p>
              </w:tc>
              <w:tc>
                <w:tcPr>
                  <w:tcW w:w="960" w:type="dxa"/>
                  <w:tcBorders>
                    <w:top w:val="nil"/>
                    <w:left w:val="nil"/>
                    <w:bottom w:val="nil"/>
                    <w:right w:val="nil"/>
                  </w:tcBorders>
                  <w:shd w:val="clear" w:color="auto" w:fill="auto"/>
                  <w:noWrap/>
                  <w:vAlign w:val="bottom"/>
                  <w:hideMark/>
                </w:tcPr>
                <w:p w14:paraId="5B7CBFEB" w14:textId="77777777" w:rsidR="00E45705" w:rsidRPr="00C37E19" w:rsidRDefault="00E45705" w:rsidP="00E45705">
                  <w:pPr>
                    <w:pStyle w:val="TableCellText"/>
                    <w:spacing w:before="0" w:after="0"/>
                    <w:ind w:left="0" w:right="0"/>
                    <w:rPr>
                      <w:lang w:eastAsia="en-AU"/>
                    </w:rPr>
                  </w:pPr>
                  <w:r w:rsidRPr="00C37E19">
                    <w:rPr>
                      <w:lang w:eastAsia="en-AU"/>
                    </w:rPr>
                    <w:t>100.0</w:t>
                  </w:r>
                </w:p>
              </w:tc>
            </w:tr>
            <w:tr w:rsidR="00E45705" w:rsidRPr="00C37E19" w14:paraId="3521A24F" w14:textId="77777777" w:rsidTr="00E45705">
              <w:trPr>
                <w:trHeight w:val="300"/>
              </w:trPr>
              <w:tc>
                <w:tcPr>
                  <w:tcW w:w="1540" w:type="dxa"/>
                  <w:tcBorders>
                    <w:top w:val="nil"/>
                    <w:left w:val="nil"/>
                    <w:bottom w:val="single" w:sz="4" w:space="0" w:color="auto"/>
                    <w:right w:val="nil"/>
                  </w:tcBorders>
                  <w:shd w:val="clear" w:color="auto" w:fill="auto"/>
                  <w:noWrap/>
                  <w:vAlign w:val="bottom"/>
                  <w:hideMark/>
                </w:tcPr>
                <w:p w14:paraId="10C0625B" w14:textId="77777777" w:rsidR="00E45705" w:rsidRPr="00C37E19" w:rsidRDefault="00E45705" w:rsidP="00E45705">
                  <w:pPr>
                    <w:pStyle w:val="TableCellText"/>
                    <w:spacing w:before="0" w:after="0"/>
                    <w:ind w:left="0" w:right="0"/>
                    <w:rPr>
                      <w:lang w:eastAsia="en-AU"/>
                    </w:rPr>
                  </w:pPr>
                  <w:r w:rsidRPr="00C37E19">
                    <w:rPr>
                      <w:lang w:eastAsia="en-AU"/>
                    </w:rPr>
                    <w:t>2012</w:t>
                  </w:r>
                </w:p>
              </w:tc>
              <w:tc>
                <w:tcPr>
                  <w:tcW w:w="960" w:type="dxa"/>
                  <w:tcBorders>
                    <w:top w:val="nil"/>
                    <w:left w:val="nil"/>
                    <w:bottom w:val="single" w:sz="4" w:space="0" w:color="auto"/>
                    <w:right w:val="nil"/>
                  </w:tcBorders>
                  <w:shd w:val="clear" w:color="auto" w:fill="auto"/>
                  <w:noWrap/>
                  <w:vAlign w:val="bottom"/>
                  <w:hideMark/>
                </w:tcPr>
                <w:p w14:paraId="3F89FCF9" w14:textId="77777777" w:rsidR="00E45705" w:rsidRPr="00C37E19" w:rsidRDefault="00E45705" w:rsidP="00E45705">
                  <w:pPr>
                    <w:pStyle w:val="TableCellText"/>
                    <w:spacing w:before="0" w:after="0"/>
                    <w:ind w:left="0" w:right="0"/>
                    <w:rPr>
                      <w:lang w:eastAsia="en-AU"/>
                    </w:rPr>
                  </w:pPr>
                  <w:r w:rsidRPr="00C37E19">
                    <w:rPr>
                      <w:lang w:eastAsia="en-AU"/>
                    </w:rPr>
                    <w:t>51.4</w:t>
                  </w:r>
                </w:p>
              </w:tc>
              <w:tc>
                <w:tcPr>
                  <w:tcW w:w="960" w:type="dxa"/>
                  <w:tcBorders>
                    <w:top w:val="nil"/>
                    <w:left w:val="nil"/>
                    <w:bottom w:val="single" w:sz="4" w:space="0" w:color="auto"/>
                    <w:right w:val="nil"/>
                  </w:tcBorders>
                  <w:shd w:val="clear" w:color="auto" w:fill="auto"/>
                  <w:noWrap/>
                  <w:vAlign w:val="bottom"/>
                  <w:hideMark/>
                </w:tcPr>
                <w:p w14:paraId="2BBAB3FA" w14:textId="77777777" w:rsidR="00E45705" w:rsidRPr="00C37E19" w:rsidRDefault="00E45705" w:rsidP="00E45705">
                  <w:pPr>
                    <w:pStyle w:val="TableCellText"/>
                    <w:spacing w:before="0" w:after="0"/>
                    <w:ind w:left="0" w:right="0"/>
                    <w:rPr>
                      <w:lang w:eastAsia="en-AU"/>
                    </w:rPr>
                  </w:pPr>
                  <w:r w:rsidRPr="00C37E19">
                    <w:rPr>
                      <w:lang w:eastAsia="en-AU"/>
                    </w:rPr>
                    <w:t>21.2</w:t>
                  </w:r>
                </w:p>
              </w:tc>
              <w:tc>
                <w:tcPr>
                  <w:tcW w:w="960" w:type="dxa"/>
                  <w:tcBorders>
                    <w:top w:val="nil"/>
                    <w:left w:val="nil"/>
                    <w:bottom w:val="single" w:sz="4" w:space="0" w:color="auto"/>
                    <w:right w:val="nil"/>
                  </w:tcBorders>
                  <w:shd w:val="clear" w:color="auto" w:fill="auto"/>
                  <w:noWrap/>
                  <w:vAlign w:val="bottom"/>
                  <w:hideMark/>
                </w:tcPr>
                <w:p w14:paraId="3497374B" w14:textId="77777777" w:rsidR="00E45705" w:rsidRPr="00C37E19" w:rsidRDefault="00E45705" w:rsidP="00E45705">
                  <w:pPr>
                    <w:pStyle w:val="TableCellText"/>
                    <w:spacing w:before="0" w:after="0"/>
                    <w:ind w:left="0" w:right="0"/>
                    <w:rPr>
                      <w:lang w:eastAsia="en-AU"/>
                    </w:rPr>
                  </w:pPr>
                  <w:r w:rsidRPr="00C37E19">
                    <w:rPr>
                      <w:lang w:eastAsia="en-AU"/>
                    </w:rPr>
                    <w:t>4.1</w:t>
                  </w:r>
                </w:p>
              </w:tc>
              <w:tc>
                <w:tcPr>
                  <w:tcW w:w="960" w:type="dxa"/>
                  <w:tcBorders>
                    <w:top w:val="nil"/>
                    <w:left w:val="nil"/>
                    <w:bottom w:val="single" w:sz="4" w:space="0" w:color="auto"/>
                    <w:right w:val="nil"/>
                  </w:tcBorders>
                  <w:shd w:val="clear" w:color="auto" w:fill="auto"/>
                  <w:noWrap/>
                  <w:vAlign w:val="bottom"/>
                  <w:hideMark/>
                </w:tcPr>
                <w:p w14:paraId="2830F7F0" w14:textId="77777777" w:rsidR="00E45705" w:rsidRPr="00C37E19" w:rsidRDefault="00E45705" w:rsidP="00E45705">
                  <w:pPr>
                    <w:pStyle w:val="TableCellText"/>
                    <w:spacing w:before="0" w:after="0"/>
                    <w:ind w:left="0" w:right="0"/>
                    <w:rPr>
                      <w:lang w:eastAsia="en-AU"/>
                    </w:rPr>
                  </w:pPr>
                  <w:r w:rsidRPr="00C37E19">
                    <w:rPr>
                      <w:lang w:eastAsia="en-AU"/>
                    </w:rPr>
                    <w:t>23.3</w:t>
                  </w:r>
                </w:p>
              </w:tc>
              <w:tc>
                <w:tcPr>
                  <w:tcW w:w="960" w:type="dxa"/>
                  <w:tcBorders>
                    <w:top w:val="nil"/>
                    <w:left w:val="nil"/>
                    <w:bottom w:val="single" w:sz="4" w:space="0" w:color="auto"/>
                    <w:right w:val="nil"/>
                  </w:tcBorders>
                  <w:shd w:val="clear" w:color="auto" w:fill="auto"/>
                  <w:noWrap/>
                  <w:vAlign w:val="bottom"/>
                  <w:hideMark/>
                </w:tcPr>
                <w:p w14:paraId="79A474CC" w14:textId="77777777" w:rsidR="00E45705" w:rsidRPr="00C37E19" w:rsidRDefault="00E45705" w:rsidP="00E45705">
                  <w:pPr>
                    <w:pStyle w:val="TableCellText"/>
                    <w:spacing w:before="0" w:after="0"/>
                    <w:ind w:left="0" w:right="0"/>
                    <w:rPr>
                      <w:lang w:eastAsia="en-AU"/>
                    </w:rPr>
                  </w:pPr>
                  <w:r w:rsidRPr="00C37E19">
                    <w:rPr>
                      <w:lang w:eastAsia="en-AU"/>
                    </w:rPr>
                    <w:t>100.0</w:t>
                  </w:r>
                </w:p>
              </w:tc>
            </w:tr>
          </w:tbl>
          <w:p w14:paraId="665C6F43" w14:textId="77777777" w:rsidR="00E45705" w:rsidRPr="00C37E19" w:rsidRDefault="00E45705" w:rsidP="00E45705">
            <w:pPr>
              <w:pStyle w:val="BodyText"/>
              <w:rPr>
                <w:lang w:eastAsia="en-AU"/>
              </w:rPr>
            </w:pPr>
          </w:p>
        </w:tc>
        <w:tc>
          <w:tcPr>
            <w:tcW w:w="318" w:type="pct"/>
            <w:gridSpan w:val="2"/>
            <w:tcBorders>
              <w:top w:val="nil"/>
              <w:left w:val="nil"/>
              <w:bottom w:val="nil"/>
              <w:right w:val="nil"/>
            </w:tcBorders>
            <w:shd w:val="clear" w:color="auto" w:fill="auto"/>
            <w:noWrap/>
            <w:vAlign w:val="bottom"/>
            <w:hideMark/>
          </w:tcPr>
          <w:p w14:paraId="032550E2" w14:textId="77777777" w:rsidR="00E45705" w:rsidRPr="001B09E6" w:rsidRDefault="00E45705" w:rsidP="00E45705">
            <w:pPr>
              <w:pStyle w:val="Heading3NoNumbering"/>
              <w:rPr>
                <w:lang w:eastAsia="en-AU"/>
              </w:rPr>
            </w:pPr>
          </w:p>
        </w:tc>
        <w:tc>
          <w:tcPr>
            <w:tcW w:w="396" w:type="pct"/>
            <w:gridSpan w:val="2"/>
            <w:tcBorders>
              <w:top w:val="nil"/>
              <w:left w:val="nil"/>
              <w:bottom w:val="nil"/>
              <w:right w:val="nil"/>
            </w:tcBorders>
            <w:shd w:val="clear" w:color="auto" w:fill="auto"/>
            <w:noWrap/>
            <w:vAlign w:val="bottom"/>
            <w:hideMark/>
          </w:tcPr>
          <w:p w14:paraId="499CA506" w14:textId="77777777" w:rsidR="00E45705" w:rsidRPr="001B09E6" w:rsidRDefault="00E45705" w:rsidP="00E45705">
            <w:pPr>
              <w:pStyle w:val="Heading3NoNumbering"/>
              <w:rPr>
                <w:lang w:eastAsia="en-AU"/>
              </w:rPr>
            </w:pPr>
          </w:p>
        </w:tc>
        <w:tc>
          <w:tcPr>
            <w:tcW w:w="244" w:type="pct"/>
            <w:tcBorders>
              <w:top w:val="nil"/>
              <w:left w:val="nil"/>
              <w:bottom w:val="nil"/>
              <w:right w:val="nil"/>
            </w:tcBorders>
            <w:shd w:val="clear" w:color="auto" w:fill="auto"/>
            <w:noWrap/>
            <w:vAlign w:val="bottom"/>
            <w:hideMark/>
          </w:tcPr>
          <w:p w14:paraId="1973B67E" w14:textId="77777777" w:rsidR="00E45705" w:rsidRPr="001B09E6" w:rsidRDefault="00E45705" w:rsidP="00E45705">
            <w:pPr>
              <w:pStyle w:val="Heading3NoNumbering"/>
              <w:rPr>
                <w:lang w:eastAsia="en-AU"/>
              </w:rPr>
            </w:pPr>
          </w:p>
        </w:tc>
      </w:tr>
      <w:tr w:rsidR="00E45705" w:rsidRPr="001B09E6" w14:paraId="0A0E73F0" w14:textId="77777777" w:rsidTr="00E45705">
        <w:trPr>
          <w:trHeight w:val="300"/>
        </w:trPr>
        <w:tc>
          <w:tcPr>
            <w:tcW w:w="5000" w:type="pct"/>
            <w:gridSpan w:val="12"/>
            <w:tcBorders>
              <w:top w:val="nil"/>
              <w:left w:val="nil"/>
              <w:bottom w:val="nil"/>
              <w:right w:val="nil"/>
            </w:tcBorders>
            <w:shd w:val="clear" w:color="auto" w:fill="auto"/>
            <w:noWrap/>
            <w:vAlign w:val="bottom"/>
            <w:hideMark/>
          </w:tcPr>
          <w:p w14:paraId="5C9CE51D" w14:textId="77777777" w:rsidR="00E45705" w:rsidRPr="001B09E6" w:rsidRDefault="00E45705" w:rsidP="00E45705">
            <w:pPr>
              <w:pStyle w:val="Tablenote"/>
              <w:rPr>
                <w:lang w:eastAsia="en-AU"/>
              </w:rPr>
            </w:pPr>
            <w:r w:rsidRPr="001B09E6">
              <w:rPr>
                <w:lang w:eastAsia="en-AU"/>
              </w:rPr>
              <w:t>Source: ABS labour force statistics, cat. no. 6291.0.55.01, table 03a</w:t>
            </w:r>
          </w:p>
        </w:tc>
      </w:tr>
    </w:tbl>
    <w:p w14:paraId="67826EF7" w14:textId="77777777" w:rsidR="00E45705" w:rsidRPr="008265AC" w:rsidRDefault="00E45705" w:rsidP="00E45705">
      <w:pPr>
        <w:pStyle w:val="Heading1NoNumbering"/>
      </w:pPr>
      <w:bookmarkStart w:id="225" w:name="_Toc219347276"/>
      <w:r>
        <w:t>Appendix 3: Stakeholder engagement</w:t>
      </w:r>
      <w:bookmarkEnd w:id="225"/>
    </w:p>
    <w:p w14:paraId="11E7DD17" w14:textId="77777777" w:rsidR="00EE46D9" w:rsidRDefault="00E45705" w:rsidP="00E45705">
      <w:pPr>
        <w:pStyle w:val="BodyText"/>
      </w:pPr>
      <w:r>
        <w:t xml:space="preserve">Throughout the evaluation, dandolo </w:t>
      </w:r>
      <w:r w:rsidR="00EE46D9">
        <w:t xml:space="preserve">partners </w:t>
      </w:r>
      <w:r>
        <w:t>gained invaluable insight into the NP through engagement with a large number and broad range of stakeholders across the Australian and State and Territory governments, including education regional offices, schools and public VET providers, non-government education authorities, Youth Connection and Partnership Broker service providers, community and youth organisations, business and industry representatives and young people.</w:t>
      </w:r>
      <w:r w:rsidR="00EE46D9">
        <w:t xml:space="preserve"> The following table shows the number of stakeholders consulted in each group. </w:t>
      </w:r>
    </w:p>
    <w:tbl>
      <w:tblPr>
        <w:tblStyle w:val="DandoloTableCentred"/>
        <w:tblW w:w="0" w:type="auto"/>
        <w:tblLook w:val="04A0" w:firstRow="1" w:lastRow="0" w:firstColumn="1" w:lastColumn="0" w:noHBand="0" w:noVBand="1"/>
        <w:tblCaption w:val="Stakeholders consulted by group"/>
        <w:tblDescription w:val="Stakeholders consulted by group"/>
      </w:tblPr>
      <w:tblGrid>
        <w:gridCol w:w="4820"/>
        <w:gridCol w:w="2693"/>
      </w:tblGrid>
      <w:tr w:rsidR="005D326E" w:rsidRPr="005D326E" w14:paraId="29303734" w14:textId="77777777" w:rsidTr="0051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719694A" w14:textId="77777777" w:rsidR="005D326E" w:rsidRPr="005D326E" w:rsidRDefault="005D326E" w:rsidP="00E45705">
            <w:pPr>
              <w:pStyle w:val="BodyText"/>
            </w:pPr>
            <w:r w:rsidRPr="005D326E">
              <w:t>Stakeholder group</w:t>
            </w:r>
          </w:p>
        </w:tc>
        <w:tc>
          <w:tcPr>
            <w:tcW w:w="2693" w:type="dxa"/>
          </w:tcPr>
          <w:p w14:paraId="74E8FC9E" w14:textId="77777777" w:rsidR="005D326E" w:rsidRPr="005D326E" w:rsidRDefault="005D326E" w:rsidP="00E45705">
            <w:pPr>
              <w:pStyle w:val="BodyText"/>
              <w:cnfStyle w:val="100000000000" w:firstRow="1" w:lastRow="0" w:firstColumn="0" w:lastColumn="0" w:oddVBand="0" w:evenVBand="0" w:oddHBand="0" w:evenHBand="0" w:firstRowFirstColumn="0" w:firstRowLastColumn="0" w:lastRowFirstColumn="0" w:lastRowLastColumn="0"/>
              <w:rPr>
                <w:b/>
              </w:rPr>
            </w:pPr>
            <w:r w:rsidRPr="005D326E">
              <w:rPr>
                <w:b/>
              </w:rPr>
              <w:t>Number of stakeholders consulted</w:t>
            </w:r>
          </w:p>
        </w:tc>
      </w:tr>
      <w:tr w:rsidR="005D326E" w14:paraId="07C90F04" w14:textId="77777777" w:rsidTr="0051408C">
        <w:tc>
          <w:tcPr>
            <w:cnfStyle w:val="001000000000" w:firstRow="0" w:lastRow="0" w:firstColumn="1" w:lastColumn="0" w:oddVBand="0" w:evenVBand="0" w:oddHBand="0" w:evenHBand="0" w:firstRowFirstColumn="0" w:firstRowLastColumn="0" w:lastRowFirstColumn="0" w:lastRowLastColumn="0"/>
            <w:tcW w:w="4820" w:type="dxa"/>
          </w:tcPr>
          <w:p w14:paraId="39C29ED5" w14:textId="77777777" w:rsidR="005D326E" w:rsidRDefault="009C7403" w:rsidP="00E45705">
            <w:pPr>
              <w:pStyle w:val="BodyText"/>
            </w:pPr>
            <w:r>
              <w:t>Australian Government</w:t>
            </w:r>
          </w:p>
        </w:tc>
        <w:tc>
          <w:tcPr>
            <w:tcW w:w="2693" w:type="dxa"/>
          </w:tcPr>
          <w:p w14:paraId="7A541C27" w14:textId="77777777" w:rsidR="005D326E" w:rsidRDefault="009C7403" w:rsidP="00E45705">
            <w:pPr>
              <w:pStyle w:val="BodyText"/>
              <w:cnfStyle w:val="000000000000" w:firstRow="0" w:lastRow="0" w:firstColumn="0" w:lastColumn="0" w:oddVBand="0" w:evenVBand="0" w:oddHBand="0" w:evenHBand="0" w:firstRowFirstColumn="0" w:firstRowLastColumn="0" w:lastRowFirstColumn="0" w:lastRowLastColumn="0"/>
            </w:pPr>
            <w:r>
              <w:t>20</w:t>
            </w:r>
          </w:p>
        </w:tc>
      </w:tr>
      <w:tr w:rsidR="005D326E" w14:paraId="596C7023" w14:textId="77777777" w:rsidTr="0051408C">
        <w:tc>
          <w:tcPr>
            <w:cnfStyle w:val="001000000000" w:firstRow="0" w:lastRow="0" w:firstColumn="1" w:lastColumn="0" w:oddVBand="0" w:evenVBand="0" w:oddHBand="0" w:evenHBand="0" w:firstRowFirstColumn="0" w:firstRowLastColumn="0" w:lastRowFirstColumn="0" w:lastRowLastColumn="0"/>
            <w:tcW w:w="4820" w:type="dxa"/>
          </w:tcPr>
          <w:p w14:paraId="4751AFE5" w14:textId="77777777" w:rsidR="005D326E" w:rsidRDefault="009C7403" w:rsidP="00E45705">
            <w:pPr>
              <w:pStyle w:val="BodyText"/>
            </w:pPr>
            <w:r>
              <w:t>State and Territory governments</w:t>
            </w:r>
          </w:p>
        </w:tc>
        <w:tc>
          <w:tcPr>
            <w:tcW w:w="2693" w:type="dxa"/>
          </w:tcPr>
          <w:p w14:paraId="23D5BAD0" w14:textId="77777777" w:rsidR="005D326E" w:rsidRDefault="009C7403" w:rsidP="00E45705">
            <w:pPr>
              <w:pStyle w:val="BodyText"/>
              <w:cnfStyle w:val="000000000000" w:firstRow="0" w:lastRow="0" w:firstColumn="0" w:lastColumn="0" w:oddVBand="0" w:evenVBand="0" w:oddHBand="0" w:evenHBand="0" w:firstRowFirstColumn="0" w:firstRowLastColumn="0" w:lastRowFirstColumn="0" w:lastRowLastColumn="0"/>
            </w:pPr>
            <w:r>
              <w:t>19</w:t>
            </w:r>
          </w:p>
        </w:tc>
      </w:tr>
      <w:tr w:rsidR="005D326E" w14:paraId="49457E5D" w14:textId="77777777" w:rsidTr="0051408C">
        <w:tc>
          <w:tcPr>
            <w:cnfStyle w:val="001000000000" w:firstRow="0" w:lastRow="0" w:firstColumn="1" w:lastColumn="0" w:oddVBand="0" w:evenVBand="0" w:oddHBand="0" w:evenHBand="0" w:firstRowFirstColumn="0" w:firstRowLastColumn="0" w:lastRowFirstColumn="0" w:lastRowLastColumn="0"/>
            <w:tcW w:w="4820" w:type="dxa"/>
          </w:tcPr>
          <w:p w14:paraId="3016DFDC" w14:textId="77777777" w:rsidR="005D326E" w:rsidRDefault="009C7403" w:rsidP="00E45705">
            <w:pPr>
              <w:pStyle w:val="BodyText"/>
            </w:pPr>
            <w:r>
              <w:t>Youth Connections and Partnership Brokers service providers</w:t>
            </w:r>
          </w:p>
        </w:tc>
        <w:tc>
          <w:tcPr>
            <w:tcW w:w="2693" w:type="dxa"/>
          </w:tcPr>
          <w:p w14:paraId="7896B909" w14:textId="77777777" w:rsidR="005D326E" w:rsidRDefault="0051408C" w:rsidP="00E45705">
            <w:pPr>
              <w:pStyle w:val="BodyText"/>
              <w:cnfStyle w:val="000000000000" w:firstRow="0" w:lastRow="0" w:firstColumn="0" w:lastColumn="0" w:oddVBand="0" w:evenVBand="0" w:oddHBand="0" w:evenHBand="0" w:firstRowFirstColumn="0" w:firstRowLastColumn="0" w:lastRowFirstColumn="0" w:lastRowLastColumn="0"/>
            </w:pPr>
            <w:r>
              <w:t>43</w:t>
            </w:r>
          </w:p>
        </w:tc>
      </w:tr>
      <w:tr w:rsidR="005D326E" w14:paraId="707B305E" w14:textId="77777777" w:rsidTr="0051408C">
        <w:tc>
          <w:tcPr>
            <w:cnfStyle w:val="001000000000" w:firstRow="0" w:lastRow="0" w:firstColumn="1" w:lastColumn="0" w:oddVBand="0" w:evenVBand="0" w:oddHBand="0" w:evenHBand="0" w:firstRowFirstColumn="0" w:firstRowLastColumn="0" w:lastRowFirstColumn="0" w:lastRowLastColumn="0"/>
            <w:tcW w:w="4820" w:type="dxa"/>
          </w:tcPr>
          <w:p w14:paraId="0A0D8570" w14:textId="77777777" w:rsidR="005D326E" w:rsidRDefault="0051408C" w:rsidP="00E45705">
            <w:pPr>
              <w:pStyle w:val="BodyText"/>
            </w:pPr>
            <w:r>
              <w:t>Community and youth sector</w:t>
            </w:r>
          </w:p>
        </w:tc>
        <w:tc>
          <w:tcPr>
            <w:tcW w:w="2693" w:type="dxa"/>
          </w:tcPr>
          <w:p w14:paraId="43C4D063" w14:textId="77777777" w:rsidR="005D326E" w:rsidRDefault="0051408C" w:rsidP="00E45705">
            <w:pPr>
              <w:pStyle w:val="BodyText"/>
              <w:cnfStyle w:val="000000000000" w:firstRow="0" w:lastRow="0" w:firstColumn="0" w:lastColumn="0" w:oddVBand="0" w:evenVBand="0" w:oddHBand="0" w:evenHBand="0" w:firstRowFirstColumn="0" w:firstRowLastColumn="0" w:lastRowFirstColumn="0" w:lastRowLastColumn="0"/>
            </w:pPr>
            <w:r>
              <w:t>10</w:t>
            </w:r>
          </w:p>
        </w:tc>
      </w:tr>
      <w:tr w:rsidR="005D326E" w14:paraId="69CFE0DA" w14:textId="77777777" w:rsidTr="0051408C">
        <w:tc>
          <w:tcPr>
            <w:cnfStyle w:val="001000000000" w:firstRow="0" w:lastRow="0" w:firstColumn="1" w:lastColumn="0" w:oddVBand="0" w:evenVBand="0" w:oddHBand="0" w:evenHBand="0" w:firstRowFirstColumn="0" w:firstRowLastColumn="0" w:lastRowFirstColumn="0" w:lastRowLastColumn="0"/>
            <w:tcW w:w="4820" w:type="dxa"/>
          </w:tcPr>
          <w:p w14:paraId="40FB6E26" w14:textId="77777777" w:rsidR="005D326E" w:rsidRDefault="0051408C" w:rsidP="00E45705">
            <w:pPr>
              <w:pStyle w:val="BodyText"/>
            </w:pPr>
            <w:r>
              <w:t>Business and industry sector</w:t>
            </w:r>
          </w:p>
        </w:tc>
        <w:tc>
          <w:tcPr>
            <w:tcW w:w="2693" w:type="dxa"/>
          </w:tcPr>
          <w:p w14:paraId="08BD8625" w14:textId="77777777" w:rsidR="005D326E" w:rsidRDefault="0051408C" w:rsidP="00E45705">
            <w:pPr>
              <w:pStyle w:val="BodyText"/>
              <w:cnfStyle w:val="000000000000" w:firstRow="0" w:lastRow="0" w:firstColumn="0" w:lastColumn="0" w:oddVBand="0" w:evenVBand="0" w:oddHBand="0" w:evenHBand="0" w:firstRowFirstColumn="0" w:firstRowLastColumn="0" w:lastRowFirstColumn="0" w:lastRowLastColumn="0"/>
            </w:pPr>
            <w:r>
              <w:t>3</w:t>
            </w:r>
          </w:p>
        </w:tc>
      </w:tr>
      <w:tr w:rsidR="005D326E" w14:paraId="0F07038C" w14:textId="77777777" w:rsidTr="0051408C">
        <w:tc>
          <w:tcPr>
            <w:cnfStyle w:val="001000000000" w:firstRow="0" w:lastRow="0" w:firstColumn="1" w:lastColumn="0" w:oddVBand="0" w:evenVBand="0" w:oddHBand="0" w:evenHBand="0" w:firstRowFirstColumn="0" w:firstRowLastColumn="0" w:lastRowFirstColumn="0" w:lastRowLastColumn="0"/>
            <w:tcW w:w="4820" w:type="dxa"/>
          </w:tcPr>
          <w:p w14:paraId="66F1F9DD" w14:textId="77777777" w:rsidR="005D326E" w:rsidRDefault="0051408C" w:rsidP="00E45705">
            <w:pPr>
              <w:pStyle w:val="BodyText"/>
            </w:pPr>
            <w:r>
              <w:t>Education and training sector</w:t>
            </w:r>
          </w:p>
        </w:tc>
        <w:tc>
          <w:tcPr>
            <w:tcW w:w="2693" w:type="dxa"/>
          </w:tcPr>
          <w:p w14:paraId="6C0B77FD" w14:textId="77777777" w:rsidR="005D326E" w:rsidRDefault="0051408C" w:rsidP="00E45705">
            <w:pPr>
              <w:pStyle w:val="BodyText"/>
              <w:cnfStyle w:val="000000000000" w:firstRow="0" w:lastRow="0" w:firstColumn="0" w:lastColumn="0" w:oddVBand="0" w:evenVBand="0" w:oddHBand="0" w:evenHBand="0" w:firstRowFirstColumn="0" w:firstRowLastColumn="0" w:lastRowFirstColumn="0" w:lastRowLastColumn="0"/>
            </w:pPr>
            <w:r>
              <w:t>10</w:t>
            </w:r>
          </w:p>
        </w:tc>
      </w:tr>
      <w:tr w:rsidR="0051408C" w14:paraId="51F0AC38" w14:textId="77777777" w:rsidTr="0051408C">
        <w:tc>
          <w:tcPr>
            <w:cnfStyle w:val="001000000000" w:firstRow="0" w:lastRow="0" w:firstColumn="1" w:lastColumn="0" w:oddVBand="0" w:evenVBand="0" w:oddHBand="0" w:evenHBand="0" w:firstRowFirstColumn="0" w:firstRowLastColumn="0" w:lastRowFirstColumn="0" w:lastRowLastColumn="0"/>
            <w:tcW w:w="4820" w:type="dxa"/>
          </w:tcPr>
          <w:p w14:paraId="1B1FD539" w14:textId="77777777" w:rsidR="0051408C" w:rsidRDefault="0051408C" w:rsidP="00E45705">
            <w:pPr>
              <w:pStyle w:val="BodyText"/>
            </w:pPr>
            <w:r>
              <w:t>TOTAL</w:t>
            </w:r>
          </w:p>
        </w:tc>
        <w:tc>
          <w:tcPr>
            <w:tcW w:w="2693" w:type="dxa"/>
          </w:tcPr>
          <w:p w14:paraId="2F43AA80" w14:textId="77777777" w:rsidR="0051408C" w:rsidRPr="0051408C" w:rsidRDefault="0051408C" w:rsidP="00E45705">
            <w:pPr>
              <w:pStyle w:val="BodyText"/>
              <w:cnfStyle w:val="000000000000" w:firstRow="0" w:lastRow="0" w:firstColumn="0" w:lastColumn="0" w:oddVBand="0" w:evenVBand="0" w:oddHBand="0" w:evenHBand="0" w:firstRowFirstColumn="0" w:firstRowLastColumn="0" w:lastRowFirstColumn="0" w:lastRowLastColumn="0"/>
              <w:rPr>
                <w:b/>
              </w:rPr>
            </w:pPr>
            <w:r>
              <w:rPr>
                <w:b/>
              </w:rPr>
              <w:t>105</w:t>
            </w:r>
          </w:p>
        </w:tc>
      </w:tr>
    </w:tbl>
    <w:p w14:paraId="190BB145" w14:textId="77777777" w:rsidR="00E45705" w:rsidRDefault="00EE46D9" w:rsidP="00E45705">
      <w:pPr>
        <w:pStyle w:val="BodyText"/>
      </w:pPr>
      <w:r>
        <w:t>dandolo partners appreciates the input of all stakeholders consulted to the evaluation.</w:t>
      </w:r>
    </w:p>
    <w:p w14:paraId="709C5E22" w14:textId="77777777" w:rsidR="00534368" w:rsidRPr="00534368" w:rsidRDefault="00534368" w:rsidP="0061433F">
      <w:pPr>
        <w:pStyle w:val="BodyText"/>
      </w:pPr>
    </w:p>
    <w:sectPr w:rsidR="00534368" w:rsidRPr="00534368" w:rsidSect="005F0B31">
      <w:pgSz w:w="11899" w:h="16838" w:code="9"/>
      <w:pgMar w:top="1077" w:right="1247" w:bottom="1361" w:left="1134" w:header="284" w:footer="1021"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E8126" w14:textId="77777777" w:rsidR="00F45E64" w:rsidRDefault="00F45E64" w:rsidP="009A2B36">
      <w:r>
        <w:separator/>
      </w:r>
    </w:p>
  </w:endnote>
  <w:endnote w:type="continuationSeparator" w:id="0">
    <w:p w14:paraId="35B2ACD1" w14:textId="77777777" w:rsidR="00F45E64" w:rsidRDefault="00F45E64" w:rsidP="009A2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9BCC4" w14:textId="77777777" w:rsidR="00F45E64" w:rsidRDefault="00F45E64" w:rsidP="0077150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09AB67D3" w14:textId="77777777" w:rsidR="00F45E64" w:rsidRDefault="00F45E64" w:rsidP="007715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8D028" w14:textId="77777777" w:rsidR="00F45E64" w:rsidRPr="003E3454" w:rsidRDefault="00F45E64" w:rsidP="0077150A">
    <w:pPr>
      <w:pStyle w:val="Footer"/>
    </w:pPr>
    <w:r w:rsidRPr="00041CEE">
      <w:rPr>
        <w:rStyle w:val="xLowered"/>
        <w:noProof/>
        <w:lang w:eastAsia="en-AU"/>
      </w:rPr>
      <w:drawing>
        <wp:inline distT="0" distB="0" distL="0" distR="0" wp14:anchorId="5A4EC912" wp14:editId="1B84956D">
          <wp:extent cx="593425" cy="90220"/>
          <wp:effectExtent l="0" t="0" r="0"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r w:rsidRPr="00F573D2">
      <w:t xml:space="preserve">© </w:t>
    </w:r>
    <w:r>
      <w:t>dandolopartners,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243" w:tblpY="14917"/>
      <w:tblW w:w="5000" w:type="pct"/>
      <w:tblCellMar>
        <w:bottom w:w="652" w:type="dxa"/>
      </w:tblCellMar>
      <w:tblLook w:val="04A0" w:firstRow="1" w:lastRow="0" w:firstColumn="1" w:lastColumn="0" w:noHBand="0" w:noVBand="1"/>
    </w:tblPr>
    <w:tblGrid>
      <w:gridCol w:w="9734"/>
    </w:tblGrid>
    <w:tr w:rsidR="00F45E64" w14:paraId="4694CBF5" w14:textId="77777777" w:rsidTr="004B3DB5">
      <w:tc>
        <w:tcPr>
          <w:tcW w:w="5000" w:type="pct"/>
        </w:tcPr>
        <w:p w14:paraId="5AC63A15" w14:textId="77777777" w:rsidR="00F45E64" w:rsidRPr="009A6B4D" w:rsidRDefault="00F45E64" w:rsidP="004B3DB5">
          <w:pPr>
            <w:pStyle w:val="Address"/>
          </w:pPr>
          <w:r w:rsidRPr="009A6B4D">
            <w:t>L</w:t>
          </w:r>
          <w:r>
            <w:t>evel 1, 155</w:t>
          </w:r>
          <w:r w:rsidRPr="009A6B4D">
            <w:t xml:space="preserve"> Queen Street, Melbourne 3000 Victoria</w:t>
          </w:r>
        </w:p>
        <w:p w14:paraId="01AF0C4D" w14:textId="77777777" w:rsidR="00F45E64" w:rsidRPr="009A6B4D" w:rsidRDefault="00F45E64" w:rsidP="004B3DB5">
          <w:pPr>
            <w:pStyle w:val="Address"/>
          </w:pPr>
          <w:r w:rsidRPr="009A6B4D">
            <w:t xml:space="preserve">T: +61 3 9211 0015  F: +61 3 </w:t>
          </w:r>
          <w:r>
            <w:t>9949 9768</w:t>
          </w:r>
          <w:r w:rsidRPr="009A6B4D">
            <w:t xml:space="preserve">  E: enquiries@dandolo.com.au</w:t>
          </w:r>
        </w:p>
        <w:p w14:paraId="3377A331" w14:textId="77777777" w:rsidR="00F45E64" w:rsidRPr="009A6B4D" w:rsidRDefault="00F45E64" w:rsidP="004B3DB5">
          <w:pPr>
            <w:pStyle w:val="Address"/>
            <w:rPr>
              <w:rStyle w:val="DandolaRed"/>
              <w:color w:val="000000"/>
            </w:rPr>
          </w:pPr>
          <w:r w:rsidRPr="009A6B4D">
            <w:rPr>
              <w:rStyle w:val="DandolaRed"/>
            </w:rPr>
            <w:t>www.dandolo.com.au</w:t>
          </w:r>
        </w:p>
        <w:p w14:paraId="0FBC51A4" w14:textId="77777777" w:rsidR="00F45E64" w:rsidRPr="009A6B4D" w:rsidRDefault="00F45E64" w:rsidP="004B3DB5">
          <w:pPr>
            <w:pStyle w:val="Address"/>
          </w:pPr>
          <w:r w:rsidRPr="009A6B4D">
            <w:t>ABN 48 757 017 061</w:t>
          </w:r>
        </w:p>
      </w:tc>
    </w:tr>
  </w:tbl>
  <w:p w14:paraId="55614580" w14:textId="77777777" w:rsidR="00F45E64" w:rsidRPr="00AC476C" w:rsidRDefault="00F45E64" w:rsidP="000C00C9">
    <w:pPr>
      <w:pStyle w:val="Address"/>
    </w:pPr>
    <w:r>
      <w:rPr>
        <w:noProof/>
        <w:lang w:eastAsia="en-AU"/>
      </w:rPr>
      <w:drawing>
        <wp:anchor distT="0" distB="0" distL="114300" distR="114300" simplePos="0" relativeHeight="251662336" behindDoc="1" locked="0" layoutInCell="1" allowOverlap="1" wp14:anchorId="0263C573" wp14:editId="489A73F7">
          <wp:simplePos x="0" y="0"/>
          <wp:positionH relativeFrom="page">
            <wp:posOffset>2999105</wp:posOffset>
          </wp:positionH>
          <wp:positionV relativeFrom="page">
            <wp:posOffset>8781415</wp:posOffset>
          </wp:positionV>
          <wp:extent cx="1524000" cy="24765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noProof/>
        <w:lang w:eastAsia="en-AU"/>
      </w:rPr>
      <mc:AlternateContent>
        <mc:Choice Requires="wps">
          <w:drawing>
            <wp:anchor distT="4294967295" distB="4294967295" distL="114300" distR="114300" simplePos="0" relativeHeight="251661312" behindDoc="1" locked="1" layoutInCell="1" allowOverlap="1" wp14:anchorId="685FA47F" wp14:editId="38367DD8">
              <wp:simplePos x="0" y="0"/>
              <wp:positionH relativeFrom="page">
                <wp:posOffset>3589655</wp:posOffset>
              </wp:positionH>
              <wp:positionV relativeFrom="page">
                <wp:posOffset>9258299</wp:posOffset>
              </wp:positionV>
              <wp:extent cx="360045" cy="0"/>
              <wp:effectExtent l="0" t="0" r="20955" b="2540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3C3C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6" o:spid="_x0000_s1026" type="#_x0000_t32" style="position:absolute;margin-left:282.65pt;margin-top:729pt;width:28.35pt;height:0;z-index:-251655168;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" strokecolor="#3c3c3b">
              <w10:wrap anchorx="page" anchory="page"/>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BBF06" w14:textId="77777777" w:rsidR="00F45E64" w:rsidRDefault="00F45E64" w:rsidP="004335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1C2ACF" w14:textId="77777777" w:rsidR="00F45E64" w:rsidRDefault="00F45E64" w:rsidP="001E3415">
    <w:pPr>
      <w:pStyle w:val="Footer"/>
      <w:ind w:right="360"/>
      <w:rPr>
        <w:rStyle w:val="PageNumber"/>
      </w:rPr>
    </w:pPr>
  </w:p>
  <w:p w14:paraId="03A33B0B" w14:textId="77777777" w:rsidR="00F45E64" w:rsidRDefault="00F45E64" w:rsidP="007715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B2786" w14:textId="77777777" w:rsidR="00F45E64" w:rsidRDefault="00F45E64" w:rsidP="004335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7D12">
      <w:rPr>
        <w:rStyle w:val="PageNumber"/>
        <w:noProof/>
      </w:rPr>
      <w:t>17</w:t>
    </w:r>
    <w:r>
      <w:rPr>
        <w:rStyle w:val="PageNumber"/>
      </w:rPr>
      <w:fldChar w:fldCharType="end"/>
    </w:r>
  </w:p>
  <w:p w14:paraId="62683AEF" w14:textId="77777777" w:rsidR="00F45E64" w:rsidRPr="001E3415" w:rsidRDefault="00F45E64" w:rsidP="001E3415">
    <w:pPr>
      <w:pStyle w:val="Footer"/>
      <w:ind w:right="360"/>
    </w:pPr>
    <w:r w:rsidRPr="00041CEE">
      <w:rPr>
        <w:rStyle w:val="xLowered"/>
        <w:noProof/>
        <w:lang w:eastAsia="en-AU"/>
      </w:rPr>
      <w:drawing>
        <wp:inline distT="0" distB="0" distL="0" distR="0" wp14:anchorId="1D869BEA" wp14:editId="50182EAF">
          <wp:extent cx="593425" cy="90220"/>
          <wp:effectExtent l="0" t="0" r="0" b="508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r w:rsidR="001D7D12">
      <w:fldChar w:fldCharType="begin"/>
    </w:r>
    <w:r w:rsidR="001D7D12">
      <w:instrText xml:space="preserve"> STYLEREF  Title  \* MERGEFORMAT </w:instrText>
    </w:r>
    <w:r w:rsidR="001D7D12">
      <w:fldChar w:fldCharType="separate"/>
    </w:r>
    <w:r w:rsidR="001D7D12">
      <w:rPr>
        <w:noProof/>
      </w:rPr>
      <w:t>Second Interim Evaluation of the National Partnership on Youth Attainment and Transitions</w:t>
    </w:r>
    <w:r w:rsidR="001D7D12">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center" w:tblpYSpec="bottom"/>
      <w:tblW w:w="5000" w:type="pct"/>
      <w:jc w:val="center"/>
      <w:tblCellMar>
        <w:bottom w:w="652" w:type="dxa"/>
      </w:tblCellMar>
      <w:tblLook w:val="04A0" w:firstRow="1" w:lastRow="0" w:firstColumn="1" w:lastColumn="0" w:noHBand="0" w:noVBand="1"/>
    </w:tblPr>
    <w:tblGrid>
      <w:gridCol w:w="9734"/>
    </w:tblGrid>
    <w:tr w:rsidR="00F45E64" w14:paraId="5E300FD2" w14:textId="77777777" w:rsidTr="00D6197F">
      <w:trPr>
        <w:jc w:val="center"/>
      </w:trPr>
      <w:tc>
        <w:tcPr>
          <w:tcW w:w="5000" w:type="pct"/>
        </w:tcPr>
        <w:p w14:paraId="54392E0E" w14:textId="77777777" w:rsidR="00F45E64" w:rsidRPr="009A6B4D" w:rsidRDefault="00F45E64" w:rsidP="009A6B4D">
          <w:pPr>
            <w:pStyle w:val="Address"/>
          </w:pPr>
          <w:r w:rsidRPr="009A6B4D">
            <w:t>L</w:t>
          </w:r>
          <w:r>
            <w:t>evel 1, 155</w:t>
          </w:r>
          <w:r w:rsidRPr="009A6B4D">
            <w:t xml:space="preserve"> Queen Street, Melbourne 3000 Victoria</w:t>
          </w:r>
        </w:p>
        <w:p w14:paraId="30A8A8C7" w14:textId="77777777" w:rsidR="00F45E64" w:rsidRPr="009A6B4D" w:rsidRDefault="00F45E64" w:rsidP="009A6B4D">
          <w:pPr>
            <w:pStyle w:val="Address"/>
          </w:pPr>
          <w:r w:rsidRPr="009A6B4D">
            <w:t xml:space="preserve">T: +61 3 9211 0015  F: +61 3 </w:t>
          </w:r>
          <w:r>
            <w:t>9949 9768</w:t>
          </w:r>
          <w:r w:rsidRPr="009A6B4D">
            <w:t xml:space="preserve">  E: enquiries@dandolo.com.au</w:t>
          </w:r>
        </w:p>
        <w:p w14:paraId="515F9E07" w14:textId="77777777" w:rsidR="00F45E64" w:rsidRPr="009A6B4D" w:rsidRDefault="00F45E64" w:rsidP="009A6B4D">
          <w:pPr>
            <w:pStyle w:val="Address"/>
            <w:rPr>
              <w:rStyle w:val="DandolaRed"/>
              <w:color w:val="000000"/>
            </w:rPr>
          </w:pPr>
          <w:r w:rsidRPr="009A6B4D">
            <w:rPr>
              <w:rStyle w:val="DandolaRed"/>
            </w:rPr>
            <w:t>www.dandolo.com.au</w:t>
          </w:r>
        </w:p>
        <w:p w14:paraId="5C3E542C" w14:textId="77777777" w:rsidR="00F45E64" w:rsidRPr="009A6B4D" w:rsidRDefault="00F45E64" w:rsidP="009A6B4D">
          <w:pPr>
            <w:pStyle w:val="Address"/>
          </w:pPr>
          <w:r w:rsidRPr="009A6B4D">
            <w:t>ABN 48 757 017 061</w:t>
          </w:r>
        </w:p>
      </w:tc>
    </w:tr>
  </w:tbl>
  <w:p w14:paraId="74DBE472" w14:textId="77777777" w:rsidR="00F45E64" w:rsidRPr="00AC476C" w:rsidRDefault="00F45E64" w:rsidP="000C00C9">
    <w:pPr>
      <w:pStyle w:val="Address"/>
    </w:pPr>
    <w:r>
      <w:rPr>
        <w:noProof/>
        <w:lang w:eastAsia="en-AU"/>
      </w:rPr>
      <w:drawing>
        <wp:anchor distT="0" distB="0" distL="114300" distR="114300" simplePos="0" relativeHeight="251673600" behindDoc="1" locked="0" layoutInCell="1" allowOverlap="1" wp14:anchorId="4AC3BEC6" wp14:editId="527A8B8B">
          <wp:simplePos x="0" y="0"/>
          <wp:positionH relativeFrom="page">
            <wp:posOffset>2999105</wp:posOffset>
          </wp:positionH>
          <wp:positionV relativeFrom="page">
            <wp:posOffset>8781415</wp:posOffset>
          </wp:positionV>
          <wp:extent cx="1524000" cy="24765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noProof/>
        <w:lang w:eastAsia="en-AU"/>
      </w:rPr>
      <mc:AlternateContent>
        <mc:Choice Requires="wps">
          <w:drawing>
            <wp:anchor distT="4294967295" distB="4294967295" distL="114300" distR="114300" simplePos="0" relativeHeight="251672576" behindDoc="1" locked="1" layoutInCell="1" allowOverlap="1" wp14:anchorId="424836A0" wp14:editId="67647DE0">
              <wp:simplePos x="0" y="0"/>
              <wp:positionH relativeFrom="page">
                <wp:posOffset>3589655</wp:posOffset>
              </wp:positionH>
              <wp:positionV relativeFrom="page">
                <wp:posOffset>9258299</wp:posOffset>
              </wp:positionV>
              <wp:extent cx="360045" cy="0"/>
              <wp:effectExtent l="0" t="0" r="20955" b="2540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3C3C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6" o:spid="_x0000_s1026" type="#_x0000_t32" style="position:absolute;margin-left:282.65pt;margin-top:729pt;width:28.35pt;height:0;z-index:-251643904;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" strokecolor="#3c3c3b">
              <w10:wrap anchorx="page" anchory="page"/>
              <w10:anchorlock/>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AD908" w14:textId="77777777" w:rsidR="00F45E64" w:rsidRPr="00A8387D" w:rsidRDefault="00F45E64" w:rsidP="00A8387D">
    <w:pPr>
      <w:pStyle w:val="PageNumbering"/>
      <w:framePr w:wrap="around"/>
    </w:pPr>
    <w:r w:rsidRPr="00D11AC9">
      <w:fldChar w:fldCharType="begin"/>
    </w:r>
    <w:r w:rsidRPr="00D11AC9">
      <w:instrText xml:space="preserve"> </w:instrText>
    </w:r>
    <w:r w:rsidRPr="008464F1">
      <w:instrText>PAGE \# "00"</w:instrText>
    </w:r>
    <w:r w:rsidRPr="00D11AC9">
      <w:instrText xml:space="preserve"> </w:instrText>
    </w:r>
    <w:r w:rsidRPr="00D11AC9">
      <w:fldChar w:fldCharType="separate"/>
    </w:r>
    <w:r w:rsidR="001D7D12">
      <w:rPr>
        <w:noProof/>
      </w:rPr>
      <w:t>101</w:t>
    </w:r>
    <w:r w:rsidRPr="00D11AC9">
      <w:fldChar w:fldCharType="end"/>
    </w:r>
  </w:p>
  <w:p w14:paraId="2AE4E1F9" w14:textId="77777777" w:rsidR="00F45E64" w:rsidRPr="003E3454" w:rsidRDefault="00F45E64" w:rsidP="0077150A">
    <w:pPr>
      <w:pStyle w:val="Footer"/>
    </w:pPr>
    <w:r w:rsidRPr="00041CEE">
      <w:rPr>
        <w:rStyle w:val="xLowered"/>
        <w:noProof/>
        <w:lang w:eastAsia="en-AU"/>
      </w:rPr>
      <w:drawing>
        <wp:inline distT="0" distB="0" distL="0" distR="0" wp14:anchorId="153DEDD8" wp14:editId="03DA276D">
          <wp:extent cx="593425" cy="9022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r w:rsidR="001D7D12">
      <w:fldChar w:fldCharType="begin"/>
    </w:r>
    <w:r w:rsidR="001D7D12">
      <w:instrText xml:space="preserve"> STYLEREF  Title  \* MERGEFORMAT </w:instrText>
    </w:r>
    <w:r w:rsidR="001D7D12">
      <w:fldChar w:fldCharType="separate"/>
    </w:r>
    <w:r w:rsidR="001D7D12">
      <w:rPr>
        <w:noProof/>
      </w:rPr>
      <w:t>Second Interim Evaluation of the National Partnership on Youth Attainment and Transitions</w:t>
    </w:r>
    <w:r w:rsidR="001D7D12">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6FAD0" w14:textId="77777777" w:rsidR="00F45E64" w:rsidRPr="00A8387D" w:rsidRDefault="00F45E64" w:rsidP="00A8387D">
    <w:pPr>
      <w:pStyle w:val="PageNumbering"/>
      <w:framePr w:wrap="around"/>
    </w:pPr>
    <w:r w:rsidRPr="00D11AC9">
      <w:fldChar w:fldCharType="begin"/>
    </w:r>
    <w:r w:rsidRPr="00D11AC9">
      <w:instrText xml:space="preserve"> </w:instrText>
    </w:r>
    <w:r w:rsidRPr="008464F1">
      <w:instrText>PAGE \# "00"</w:instrText>
    </w:r>
    <w:r w:rsidRPr="00D11AC9">
      <w:instrText xml:space="preserve"> </w:instrText>
    </w:r>
    <w:r w:rsidRPr="00D11AC9">
      <w:fldChar w:fldCharType="separate"/>
    </w:r>
    <w:r w:rsidR="001D7D12">
      <w:rPr>
        <w:noProof/>
      </w:rPr>
      <w:t>110</w:t>
    </w:r>
    <w:r w:rsidRPr="00D11AC9">
      <w:fldChar w:fldCharType="end"/>
    </w:r>
  </w:p>
  <w:p w14:paraId="7110DF6B" w14:textId="77777777" w:rsidR="00F45E64" w:rsidRPr="003E3454" w:rsidRDefault="00F45E64" w:rsidP="0077150A">
    <w:pPr>
      <w:pStyle w:val="Footer"/>
    </w:pPr>
    <w:r w:rsidRPr="00041CEE">
      <w:rPr>
        <w:rStyle w:val="xLowered"/>
        <w:noProof/>
        <w:lang w:eastAsia="en-AU"/>
      </w:rPr>
      <w:drawing>
        <wp:inline distT="0" distB="0" distL="0" distR="0" wp14:anchorId="63273DAA" wp14:editId="73757E05">
          <wp:extent cx="593425" cy="90220"/>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t>Interim Evaluation of the National Partnership on Youth Attainment and Transitions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BFA1F" w14:textId="77777777" w:rsidR="00F45E64" w:rsidRPr="00A8387D" w:rsidRDefault="00F45E64" w:rsidP="00A8387D">
    <w:pPr>
      <w:pStyle w:val="PageNumbering"/>
      <w:framePr w:wrap="around"/>
    </w:pPr>
    <w:r w:rsidRPr="00D11AC9">
      <w:fldChar w:fldCharType="begin"/>
    </w:r>
    <w:r w:rsidRPr="00D11AC9">
      <w:instrText xml:space="preserve"> </w:instrText>
    </w:r>
    <w:r w:rsidRPr="008464F1">
      <w:instrText>PAGE \# "00"</w:instrText>
    </w:r>
    <w:r w:rsidRPr="00D11AC9">
      <w:instrText xml:space="preserve"> </w:instrText>
    </w:r>
    <w:r w:rsidRPr="00D11AC9">
      <w:fldChar w:fldCharType="separate"/>
    </w:r>
    <w:r w:rsidR="00FB590A">
      <w:rPr>
        <w:noProof/>
      </w:rPr>
      <w:t>151</w:t>
    </w:r>
    <w:r w:rsidRPr="00D11AC9">
      <w:fldChar w:fldCharType="end"/>
    </w:r>
  </w:p>
  <w:p w14:paraId="72974E2D" w14:textId="77777777" w:rsidR="00F45E64" w:rsidRPr="003E3454" w:rsidRDefault="00F45E64" w:rsidP="0077150A">
    <w:pPr>
      <w:pStyle w:val="Footer"/>
    </w:pPr>
    <w:r w:rsidRPr="00041CEE">
      <w:rPr>
        <w:rStyle w:val="xLowered"/>
        <w:noProof/>
        <w:lang w:eastAsia="en-AU"/>
      </w:rPr>
      <w:drawing>
        <wp:inline distT="0" distB="0" distL="0" distR="0" wp14:anchorId="7D7068CB" wp14:editId="5C713200">
          <wp:extent cx="593425" cy="90220"/>
          <wp:effectExtent l="1905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t>Interim Evaluation of the National Partnership on Youth Attainment and Transitions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82DC3" w14:textId="77777777" w:rsidR="00F45E64" w:rsidRPr="00635840" w:rsidRDefault="00F45E64" w:rsidP="00635840">
      <w:pPr>
        <w:spacing w:before="120"/>
        <w:rPr>
          <w:color w:val="7F7F7F" w:themeColor="text1" w:themeTint="80"/>
          <w:sz w:val="12"/>
          <w:szCs w:val="12"/>
        </w:rPr>
      </w:pPr>
    </w:p>
  </w:footnote>
  <w:footnote w:type="continuationSeparator" w:id="0">
    <w:p w14:paraId="466DDCC5" w14:textId="77777777" w:rsidR="00F45E64" w:rsidRDefault="00F45E64" w:rsidP="009A2B36">
      <w:r>
        <w:continuationSeparator/>
      </w:r>
    </w:p>
  </w:footnote>
  <w:footnote w:id="1">
    <w:p w14:paraId="7D980662" w14:textId="77777777" w:rsidR="00F45E64" w:rsidRPr="00356DEE" w:rsidRDefault="00F45E64" w:rsidP="00A75FA6">
      <w:pPr>
        <w:pStyle w:val="FootnoteText"/>
        <w:rPr>
          <w:lang w:val="en-US"/>
        </w:rPr>
      </w:pPr>
      <w:r>
        <w:rPr>
          <w:rStyle w:val="FootnoteReference"/>
        </w:rPr>
        <w:footnoteRef/>
      </w:r>
      <w:r>
        <w:t xml:space="preserve"> </w:t>
      </w:r>
      <w:r>
        <w:rPr>
          <w:lang w:val="en-US"/>
        </w:rPr>
        <w:t xml:space="preserve">Council of Australian Governments (2009), </w:t>
      </w:r>
      <w:r>
        <w:rPr>
          <w:i/>
          <w:lang w:val="en-US"/>
        </w:rPr>
        <w:t>National Partnership Agreement on Youth Attainment and Transitions</w:t>
      </w:r>
      <w:r>
        <w:rPr>
          <w:lang w:val="en-US"/>
        </w:rPr>
        <w:t>.</w:t>
      </w:r>
    </w:p>
  </w:footnote>
  <w:footnote w:id="2">
    <w:p w14:paraId="4C39DC61" w14:textId="77777777" w:rsidR="00F45E64" w:rsidRPr="00511201" w:rsidRDefault="00F45E64" w:rsidP="00A75FA6">
      <w:pPr>
        <w:pStyle w:val="FootnoteText"/>
        <w:rPr>
          <w:lang w:val="en-US"/>
        </w:rPr>
      </w:pPr>
      <w:r>
        <w:rPr>
          <w:rStyle w:val="FootnoteReference"/>
        </w:rPr>
        <w:footnoteRef/>
      </w:r>
      <w:r>
        <w:t xml:space="preserve"> </w:t>
      </w:r>
      <w:r w:rsidRPr="00511201">
        <w:rPr>
          <w:lang w:val="en-US"/>
        </w:rPr>
        <w:t>National Career Development</w:t>
      </w:r>
      <w:r>
        <w:rPr>
          <w:lang w:val="en-US"/>
        </w:rPr>
        <w:t xml:space="preserve"> </w:t>
      </w:r>
      <w:r w:rsidRPr="00511201">
        <w:rPr>
          <w:lang w:val="en-US"/>
        </w:rPr>
        <w:t>progress has been slower than originally anticipated</w:t>
      </w:r>
      <w:r>
        <w:rPr>
          <w:lang w:val="en-US"/>
        </w:rPr>
        <w:t>,</w:t>
      </w:r>
      <w:r w:rsidRPr="00511201">
        <w:rPr>
          <w:lang w:val="en-US"/>
        </w:rPr>
        <w:t xml:space="preserve"> but a Green Paper on options for a national strategy was released for public consultation in June</w:t>
      </w:r>
      <w:r>
        <w:rPr>
          <w:lang w:val="en-US"/>
        </w:rPr>
        <w:t xml:space="preserve"> 2012.</w:t>
      </w:r>
    </w:p>
  </w:footnote>
  <w:footnote w:id="3">
    <w:p w14:paraId="62C85BF7" w14:textId="77777777" w:rsidR="00F45E64" w:rsidRPr="0049553F" w:rsidRDefault="00F45E64" w:rsidP="00A75FA6">
      <w:pPr>
        <w:pStyle w:val="FootnoteText"/>
        <w:rPr>
          <w:lang w:val="en-US"/>
        </w:rPr>
      </w:pPr>
      <w:r>
        <w:rPr>
          <w:rStyle w:val="FootnoteReference"/>
        </w:rPr>
        <w:footnoteRef/>
      </w:r>
      <w:r>
        <w:t xml:space="preserve"> </w:t>
      </w:r>
      <w:r w:rsidRPr="0049553F">
        <w:t>Between 2008 and 2009</w:t>
      </w:r>
      <w:r>
        <w:t>,</w:t>
      </w:r>
      <w:r w:rsidRPr="0049553F">
        <w:t xml:space="preserve"> the proportion of 15</w:t>
      </w:r>
      <w:r>
        <w:t>–</w:t>
      </w:r>
      <w:r w:rsidRPr="0049553F">
        <w:t>24</w:t>
      </w:r>
      <w:r>
        <w:t>-</w:t>
      </w:r>
      <w:r w:rsidRPr="0049553F">
        <w:t>year</w:t>
      </w:r>
      <w:r>
        <w:t>-</w:t>
      </w:r>
      <w:r w:rsidRPr="0049553F">
        <w:t xml:space="preserve">olds not fully engaged in </w:t>
      </w:r>
      <w:r>
        <w:t>employment, education or training (NEET)</w:t>
      </w:r>
      <w:r w:rsidRPr="0049553F">
        <w:t xml:space="preserve"> rose by around </w:t>
      </w:r>
      <w:r>
        <w:t>3</w:t>
      </w:r>
      <w:r w:rsidRPr="0049553F">
        <w:t xml:space="preserve"> percentage points following the </w:t>
      </w:r>
      <w:r>
        <w:t>global financial crisis (</w:t>
      </w:r>
      <w:r w:rsidRPr="0049553F">
        <w:t>GFC</w:t>
      </w:r>
      <w:r>
        <w:t>)</w:t>
      </w:r>
      <w:r w:rsidRPr="0049553F">
        <w:t xml:space="preserve"> and has still not returned to pre-GFC levels, even though for 15</w:t>
      </w:r>
      <w:r>
        <w:t>–</w:t>
      </w:r>
      <w:r w:rsidRPr="0049553F">
        <w:t>19</w:t>
      </w:r>
      <w:r>
        <w:t>-</w:t>
      </w:r>
      <w:r w:rsidRPr="0049553F">
        <w:t>year</w:t>
      </w:r>
      <w:r>
        <w:t>-</w:t>
      </w:r>
      <w:r w:rsidRPr="0049553F">
        <w:t>olds</w:t>
      </w:r>
      <w:r>
        <w:t>,</w:t>
      </w:r>
      <w:r w:rsidRPr="0049553F">
        <w:t xml:space="preserve"> the size of the group has been decreasing</w:t>
      </w:r>
      <w:r>
        <w:t>.</w:t>
      </w:r>
    </w:p>
  </w:footnote>
  <w:footnote w:id="4">
    <w:p w14:paraId="3B7CEDB2" w14:textId="77777777" w:rsidR="00F45E64" w:rsidRPr="00517665" w:rsidRDefault="00F45E64">
      <w:pPr>
        <w:pStyle w:val="FootnoteText"/>
      </w:pPr>
      <w:r>
        <w:rPr>
          <w:rStyle w:val="FootnoteReference"/>
        </w:rPr>
        <w:footnoteRef/>
      </w:r>
      <w:r>
        <w:t xml:space="preserve"> In this report “</w:t>
      </w:r>
      <w:r>
        <w:rPr>
          <w:lang w:val="en-US"/>
        </w:rPr>
        <w:t xml:space="preserve">inactive young people” refers to those not in full-time education and not in the labour market . The term “not in employment, education or training “(NEET) refers to young people neither in employment nor in education. Inactive young people is a larger group than the NEET group. This report uses NEET and disengaged interchangeably. </w:t>
      </w:r>
    </w:p>
  </w:footnote>
  <w:footnote w:id="5">
    <w:p w14:paraId="42B78CC5" w14:textId="77777777" w:rsidR="00F45E64" w:rsidRPr="001206CC" w:rsidRDefault="00F45E64" w:rsidP="00A75FA6">
      <w:pPr>
        <w:pStyle w:val="FootnoteText"/>
        <w:rPr>
          <w:sz w:val="18"/>
          <w:szCs w:val="18"/>
          <w:lang w:val="en-US"/>
        </w:rPr>
      </w:pPr>
      <w:r w:rsidRPr="00E45705">
        <w:rPr>
          <w:rStyle w:val="FootnoteReference"/>
          <w:szCs w:val="12"/>
        </w:rPr>
        <w:footnoteRef/>
      </w:r>
      <w:r w:rsidRPr="00E45705">
        <w:rPr>
          <w:szCs w:val="12"/>
        </w:rPr>
        <w:t xml:space="preserve"> </w:t>
      </w:r>
      <w:r w:rsidRPr="00E45705">
        <w:rPr>
          <w:szCs w:val="12"/>
          <w:lang w:val="en-US"/>
        </w:rPr>
        <w:t>This is federal expense for the use of goods and services and associated transfer payments by the Australian Government in the conduct of its own general government activities.</w:t>
      </w:r>
    </w:p>
  </w:footnote>
  <w:footnote w:id="6">
    <w:p w14:paraId="16A049DF" w14:textId="77777777" w:rsidR="00F45E64" w:rsidRPr="00B324AB" w:rsidRDefault="00F45E64" w:rsidP="00A75FA6">
      <w:pPr>
        <w:pStyle w:val="FootnoteText"/>
        <w:rPr>
          <w:lang w:val="en-US"/>
        </w:rPr>
      </w:pPr>
      <w:r>
        <w:rPr>
          <w:rStyle w:val="FootnoteReference"/>
        </w:rPr>
        <w:footnoteRef/>
      </w:r>
      <w:r>
        <w:t xml:space="preserve"> </w:t>
      </w:r>
      <w:r>
        <w:rPr>
          <w:lang w:val="en-US"/>
        </w:rPr>
        <w:t>DEEWR, in conjunction with the States and Territories through the YAT Multilateral Working Group, is currently seeking advice on an appropriate baseline for this target.</w:t>
      </w:r>
    </w:p>
  </w:footnote>
  <w:footnote w:id="7">
    <w:p w14:paraId="1E3E9D7F" w14:textId="77777777" w:rsidR="00F45E64" w:rsidRPr="001438EC" w:rsidRDefault="00F45E64" w:rsidP="00725FC6">
      <w:pPr>
        <w:pStyle w:val="FootnoteText"/>
        <w:rPr>
          <w:lang w:val="en-US"/>
        </w:rPr>
      </w:pPr>
      <w:r>
        <w:rPr>
          <w:rStyle w:val="FootnoteReference"/>
        </w:rPr>
        <w:footnoteRef/>
      </w:r>
      <w:r>
        <w:t xml:space="preserve"> </w:t>
      </w:r>
      <w:r>
        <w:rPr>
          <w:lang w:val="en-US"/>
        </w:rPr>
        <w:t xml:space="preserve">Council of Australian Governments Reform Council (2011) </w:t>
      </w:r>
      <w:r w:rsidRPr="00B324AB">
        <w:rPr>
          <w:i/>
          <w:lang w:val="en-US"/>
        </w:rPr>
        <w:t xml:space="preserve">National Partnership Agreement on Youth Attainment and Transitions: </w:t>
      </w:r>
      <w:r w:rsidRPr="0004613B">
        <w:rPr>
          <w:i/>
          <w:lang w:val="en-US"/>
        </w:rPr>
        <w:t>Participation Target Assessment Report</w:t>
      </w:r>
      <w:r>
        <w:rPr>
          <w:lang w:val="en-US"/>
        </w:rPr>
        <w:t xml:space="preserve">, p. 10. </w:t>
      </w:r>
    </w:p>
  </w:footnote>
  <w:footnote w:id="8">
    <w:p w14:paraId="632CCE6D" w14:textId="77777777" w:rsidR="00F45E64" w:rsidRPr="00E45705" w:rsidRDefault="00F45E64">
      <w:pPr>
        <w:pStyle w:val="FootnoteText"/>
        <w:rPr>
          <w:lang w:val="en-US"/>
        </w:rPr>
      </w:pPr>
      <w:r>
        <w:rPr>
          <w:rStyle w:val="FootnoteReference"/>
        </w:rPr>
        <w:footnoteRef/>
      </w:r>
      <w:r>
        <w:t xml:space="preserve"> </w:t>
      </w:r>
      <w:r>
        <w:rPr>
          <w:lang w:val="en-US"/>
        </w:rPr>
        <w:t xml:space="preserve">dandolo partners 2012, </w:t>
      </w:r>
      <w:r>
        <w:rPr>
          <w:i/>
          <w:lang w:val="en-US"/>
        </w:rPr>
        <w:t>Interim Evaluation of the National Partnership on Youth Attainment and Transitions” A Report for the Department of Education, Employment and Workplace Relations</w:t>
      </w:r>
      <w:r>
        <w:rPr>
          <w:lang w:val="en-US"/>
        </w:rPr>
        <w:t>.</w:t>
      </w:r>
    </w:p>
  </w:footnote>
  <w:footnote w:id="9">
    <w:p w14:paraId="48F81BC4" w14:textId="77777777" w:rsidR="00F45E64" w:rsidRDefault="00F45E64" w:rsidP="00C71C32">
      <w:pPr>
        <w:pStyle w:val="FootnoteText"/>
      </w:pPr>
      <w:r>
        <w:rPr>
          <w:rStyle w:val="FootnoteReference"/>
        </w:rPr>
        <w:footnoteRef/>
      </w:r>
      <w:r>
        <w:t xml:space="preserve"> Note that this excludes VET qualifications attained through private providers, unless via publicly funded places.</w:t>
      </w:r>
    </w:p>
  </w:footnote>
  <w:footnote w:id="10">
    <w:p w14:paraId="714E04D1" w14:textId="77777777" w:rsidR="00F45E64" w:rsidRPr="00B84C92" w:rsidRDefault="00F45E64">
      <w:pPr>
        <w:pStyle w:val="FootnoteText"/>
      </w:pPr>
      <w:r>
        <w:rPr>
          <w:rStyle w:val="FootnoteReference"/>
        </w:rPr>
        <w:footnoteRef/>
      </w:r>
      <w:r>
        <w:t xml:space="preserve"> </w:t>
      </w:r>
      <w:r w:rsidRPr="00B84C92">
        <w:t>For VET in Schools attainment data there is a considerable time lag to publication of the data.  Data for 2010 VET in Schools attainment should be available in December 2012</w:t>
      </w:r>
      <w:r>
        <w:t>.</w:t>
      </w:r>
    </w:p>
  </w:footnote>
  <w:footnote w:id="11">
    <w:p w14:paraId="591BC53A" w14:textId="77777777" w:rsidR="00F45E64" w:rsidRDefault="00F45E64" w:rsidP="00C71C32">
      <w:pPr>
        <w:pStyle w:val="FootnoteText"/>
      </w:pPr>
      <w:r>
        <w:rPr>
          <w:rStyle w:val="FootnoteReference"/>
        </w:rPr>
        <w:footnoteRef/>
      </w:r>
      <w:r>
        <w:t xml:space="preserve"> However the identification of Indigenous youth in schools by ABS has improved over the period.</w:t>
      </w:r>
    </w:p>
  </w:footnote>
  <w:footnote w:id="12">
    <w:p w14:paraId="196A334A" w14:textId="77777777" w:rsidR="00F45E64" w:rsidRPr="00951EDC" w:rsidRDefault="00F45E64" w:rsidP="008B11F2">
      <w:pPr>
        <w:pStyle w:val="FootnoteText"/>
        <w:rPr>
          <w:lang w:val="en-US"/>
        </w:rPr>
      </w:pPr>
      <w:r>
        <w:rPr>
          <w:rStyle w:val="FootnoteReference"/>
        </w:rPr>
        <w:footnoteRef/>
      </w:r>
      <w:r>
        <w:t xml:space="preserve"> In this report “</w:t>
      </w:r>
      <w:r>
        <w:rPr>
          <w:lang w:val="en-US"/>
        </w:rPr>
        <w:t>inactive young people” refers to those not in full-time education and not in the labour market . The term “not in employment, education or training “(NEET) refers to young people neither in employment nor in education. Inactive young people is a larger group than the NEET group. This report uses NEET and disengaged interchangeably.</w:t>
      </w:r>
    </w:p>
  </w:footnote>
  <w:footnote w:id="13">
    <w:p w14:paraId="1A3E62F8" w14:textId="77777777" w:rsidR="00F45E64" w:rsidRDefault="00F45E64" w:rsidP="00C71C32">
      <w:pPr>
        <w:pStyle w:val="FootnoteText"/>
      </w:pPr>
      <w:r>
        <w:rPr>
          <w:rStyle w:val="FootnoteReference"/>
        </w:rPr>
        <w:footnoteRef/>
      </w:r>
      <w:r>
        <w:t xml:space="preserve"> In other words, neither employed nor unemployed.</w:t>
      </w:r>
    </w:p>
  </w:footnote>
  <w:footnote w:id="14">
    <w:p w14:paraId="666789B3" w14:textId="77777777" w:rsidR="00F45E64" w:rsidRDefault="00F45E64" w:rsidP="00C71C32">
      <w:pPr>
        <w:pStyle w:val="FootnoteText"/>
      </w:pPr>
      <w:r>
        <w:rPr>
          <w:rStyle w:val="FootnoteReference"/>
        </w:rPr>
        <w:footnoteRef/>
      </w:r>
      <w:r>
        <w:t xml:space="preserve"> From 249,600 in August 2008 to 187,900 in August 2011; s</w:t>
      </w:r>
      <w:r w:rsidRPr="004F59C8">
        <w:t xml:space="preserve">ource: </w:t>
      </w:r>
      <w:r>
        <w:t xml:space="preserve">ABS, </w:t>
      </w:r>
      <w:r w:rsidRPr="004F59C8">
        <w:rPr>
          <w:i/>
        </w:rPr>
        <w:t>Labour Force, Australia, Detailed –-Electronic Delivery</w:t>
      </w:r>
      <w:r w:rsidRPr="004F59C8">
        <w:t>, Table 03b</w:t>
      </w:r>
      <w:r>
        <w:t>:</w:t>
      </w:r>
      <w:r w:rsidRPr="004F59C8">
        <w:t xml:space="preserve"> Labour force status for 15</w:t>
      </w:r>
      <w:r>
        <w:t>–</w:t>
      </w:r>
      <w:r w:rsidRPr="004F59C8">
        <w:t>19</w:t>
      </w:r>
      <w:r>
        <w:t>-year-old</w:t>
      </w:r>
      <w:r w:rsidRPr="004F59C8">
        <w:t>s by educational attendance, age and sex</w:t>
      </w:r>
      <w:r>
        <w:t xml:space="preserve">, </w:t>
      </w:r>
      <w:r w:rsidRPr="004F59C8">
        <w:t>6291.0.55.001</w:t>
      </w:r>
      <w:r>
        <w:t>.</w:t>
      </w:r>
    </w:p>
  </w:footnote>
  <w:footnote w:id="15">
    <w:p w14:paraId="2D1A8E6A" w14:textId="77777777" w:rsidR="00F45E64" w:rsidRDefault="00F45E64" w:rsidP="00C71C32">
      <w:pPr>
        <w:pStyle w:val="FootnoteText"/>
      </w:pPr>
      <w:r>
        <w:rPr>
          <w:rStyle w:val="FootnoteReference"/>
        </w:rPr>
        <w:footnoteRef/>
      </w:r>
      <w:r>
        <w:t xml:space="preserve"> Although the comparison base is slightly different, i.e. for 15-24-year-olds we are looking at those not in full-time education whereas for 15-64-year-olds we are looking at the entire civilian population for this age group (as full-time education could not be netted out here). </w:t>
      </w:r>
    </w:p>
  </w:footnote>
  <w:footnote w:id="16">
    <w:p w14:paraId="6ED6520B" w14:textId="77777777" w:rsidR="00F45E64" w:rsidRPr="00E45705" w:rsidRDefault="00F45E64">
      <w:pPr>
        <w:pStyle w:val="FootnoteText"/>
        <w:rPr>
          <w:lang w:val="en-US"/>
        </w:rPr>
      </w:pPr>
      <w:r>
        <w:rPr>
          <w:rStyle w:val="FootnoteReference"/>
        </w:rPr>
        <w:footnoteRef/>
      </w:r>
      <w:r>
        <w:t xml:space="preserve"> </w:t>
      </w:r>
      <w:r>
        <w:rPr>
          <w:lang w:val="en-US"/>
        </w:rPr>
        <w:t>This data is subject to revision in November 2012.</w:t>
      </w:r>
    </w:p>
  </w:footnote>
  <w:footnote w:id="17">
    <w:p w14:paraId="2F167286" w14:textId="77777777" w:rsidR="00F45E64" w:rsidRPr="0009557C" w:rsidRDefault="00F45E64" w:rsidP="00C71C32">
      <w:pPr>
        <w:pStyle w:val="FootnoteText"/>
        <w:ind w:left="284" w:hanging="284"/>
        <w:rPr>
          <w:lang w:val="en-US"/>
        </w:rPr>
      </w:pPr>
      <w:r>
        <w:rPr>
          <w:rStyle w:val="FootnoteReference"/>
        </w:rPr>
        <w:footnoteRef/>
      </w:r>
      <w:r>
        <w:t xml:space="preserve"> </w:t>
      </w:r>
      <w:r>
        <w:rPr>
          <w:lang w:val="en-US"/>
        </w:rPr>
        <w:tab/>
        <w:t>In employment or in education and training at or above Certificate III level.</w:t>
      </w:r>
    </w:p>
  </w:footnote>
  <w:footnote w:id="18">
    <w:p w14:paraId="0B344258" w14:textId="77777777" w:rsidR="00F45E64" w:rsidRPr="00DB4B78" w:rsidRDefault="00F45E64" w:rsidP="00497DBB">
      <w:pPr>
        <w:pStyle w:val="FootnoteText"/>
        <w:rPr>
          <w:lang w:val="en-US"/>
        </w:rPr>
      </w:pPr>
      <w:r>
        <w:rPr>
          <w:rStyle w:val="FootnoteReference"/>
        </w:rPr>
        <w:footnoteRef/>
      </w:r>
      <w:r>
        <w:t xml:space="preserve"> </w:t>
      </w:r>
      <w:r>
        <w:rPr>
          <w:lang w:val="en-US"/>
        </w:rPr>
        <w:t xml:space="preserve">Council of Australian Governments (2009), </w:t>
      </w:r>
      <w:r>
        <w:rPr>
          <w:i/>
          <w:lang w:val="en-US"/>
        </w:rPr>
        <w:t>National Partnership Agreement on Youth Attainment and Transitions</w:t>
      </w:r>
      <w:r>
        <w:rPr>
          <w:lang w:val="en-US"/>
        </w:rPr>
        <w:t>.</w:t>
      </w:r>
    </w:p>
  </w:footnote>
  <w:footnote w:id="19">
    <w:p w14:paraId="6EE1DE44" w14:textId="77777777" w:rsidR="00F45E64" w:rsidRPr="00A55B03" w:rsidRDefault="00F45E64" w:rsidP="00497DBB">
      <w:pPr>
        <w:pStyle w:val="FootnoteText"/>
      </w:pPr>
      <w:r>
        <w:rPr>
          <w:rStyle w:val="FootnoteReference"/>
        </w:rPr>
        <w:footnoteRef/>
      </w:r>
      <w:r>
        <w:t xml:space="preserve"> Note that the figures quoted in this section of the report are from the State and Territory Youth Attainment and Transitions Annual Reports (May 2012).</w:t>
      </w:r>
    </w:p>
  </w:footnote>
  <w:footnote w:id="20">
    <w:p w14:paraId="6A18CEA9" w14:textId="77777777" w:rsidR="00F45E64" w:rsidRPr="00990B39" w:rsidRDefault="00F45E64" w:rsidP="00497DBB">
      <w:pPr>
        <w:pStyle w:val="FootnoteText"/>
        <w:jc w:val="both"/>
      </w:pPr>
      <w:r>
        <w:rPr>
          <w:rStyle w:val="FootnoteReference"/>
        </w:rPr>
        <w:footnoteRef/>
      </w:r>
      <w:r>
        <w:t xml:space="preserve"> </w:t>
      </w:r>
      <w:r w:rsidRPr="00990B39">
        <w:t>Ideally an assessment of the effectiveness of the MEAST element of the NP would highlight the key differences between States and Territories in program design and rollout and how these have affected outcomes. This approach would allow for an assessment of the relative effectiveness of the different interventions. It would require a common dataset on program outcomes across the jurisdictions which currently does not exist, and a comparison of differences between jurisdictions which is beyond the scope of this evaluation (see Section 1.3.1). Consequently, this assessment focuses on common areas of achievement and outstanding challenges.</w:t>
      </w:r>
    </w:p>
  </w:footnote>
  <w:footnote w:id="21">
    <w:p w14:paraId="54BD2241" w14:textId="77777777" w:rsidR="00F45E64" w:rsidRPr="0005108D" w:rsidRDefault="00F45E64" w:rsidP="00497DBB">
      <w:pPr>
        <w:pStyle w:val="FootnoteText"/>
        <w:jc w:val="both"/>
        <w:rPr>
          <w:lang w:val="en-US"/>
        </w:rPr>
      </w:pPr>
      <w:r>
        <w:rPr>
          <w:rStyle w:val="FootnoteReference"/>
        </w:rPr>
        <w:footnoteRef/>
      </w:r>
      <w:r>
        <w:t xml:space="preserve"> </w:t>
      </w:r>
      <w:r>
        <w:rPr>
          <w:lang w:val="en-US"/>
        </w:rPr>
        <w:t xml:space="preserve">Some States and Territories planned for initiatives to be bound by the NP timeframe and expected that they would not continue after this time, for example, the research projects into </w:t>
      </w:r>
      <w:r w:rsidRPr="0005108D">
        <w:t>factors which impact upon student participation, attainment and transitions</w:t>
      </w:r>
      <w:r>
        <w:rPr>
          <w:lang w:val="en-US"/>
        </w:rPr>
        <w:t xml:space="preserve"> undertaken in SA. The findings of this and other similar projects will be used to inform current and future policy and program changes.</w:t>
      </w:r>
    </w:p>
  </w:footnote>
  <w:footnote w:id="22">
    <w:p w14:paraId="76D7F0ED" w14:textId="77777777" w:rsidR="00F45E64" w:rsidRPr="00A569D7" w:rsidRDefault="00F45E64" w:rsidP="00497DBB">
      <w:pPr>
        <w:pStyle w:val="FootnoteText"/>
        <w:rPr>
          <w:lang w:val="en-US"/>
        </w:rPr>
      </w:pPr>
      <w:r>
        <w:rPr>
          <w:rStyle w:val="FootnoteReference"/>
        </w:rPr>
        <w:footnoteRef/>
      </w:r>
      <w:r>
        <w:t xml:space="preserve"> </w:t>
      </w:r>
      <w:r>
        <w:rPr>
          <w:lang w:val="en-US"/>
        </w:rPr>
        <w:t xml:space="preserve">Detail on comparative </w:t>
      </w:r>
      <w:r w:rsidRPr="00110A13">
        <w:rPr>
          <w:lang w:val="en-US"/>
        </w:rPr>
        <w:t xml:space="preserve">data is provided in </w:t>
      </w:r>
      <w:r>
        <w:rPr>
          <w:lang w:val="en-US"/>
        </w:rPr>
        <w:t xml:space="preserve">the </w:t>
      </w:r>
      <w:r w:rsidRPr="00697134">
        <w:rPr>
          <w:i/>
          <w:lang w:val="en-US"/>
        </w:rPr>
        <w:t xml:space="preserve">Partnership Brokers Program National Outcomes Report </w:t>
      </w:r>
      <w:r w:rsidRPr="00724EA0">
        <w:rPr>
          <w:lang w:val="en-US"/>
        </w:rPr>
        <w:t>(April 2012)</w:t>
      </w:r>
      <w:r>
        <w:rPr>
          <w:lang w:val="en-US"/>
        </w:rPr>
        <w:t>,</w:t>
      </w:r>
      <w:r w:rsidRPr="00724EA0">
        <w:rPr>
          <w:lang w:val="en-US"/>
        </w:rPr>
        <w:t xml:space="preserve"> </w:t>
      </w:r>
      <w:r w:rsidRPr="00A569D7">
        <w:rPr>
          <w:bCs/>
          <w:lang w:val="en-US"/>
        </w:rPr>
        <w:t>available at</w:t>
      </w:r>
      <w:r>
        <w:rPr>
          <w:bCs/>
          <w:lang w:val="en-US"/>
        </w:rPr>
        <w:t xml:space="preserve"> &lt;</w:t>
      </w:r>
      <w:r w:rsidRPr="009C7403">
        <w:rPr>
          <w:bCs/>
          <w:lang w:val="en-US"/>
        </w:rPr>
        <w:t>http://www.deewr.gov.au/youth/youthattainmentandtransitions/pages/sbcpb.aspx</w:t>
      </w:r>
      <w:r>
        <w:rPr>
          <w:bCs/>
          <w:lang w:val="en-US"/>
        </w:rPr>
        <w:t>&gt;. Note: This does not include PBs in Victoria that operate under the Victorian Government’s Local Learning and Employment Network reporting framework.</w:t>
      </w:r>
    </w:p>
  </w:footnote>
  <w:footnote w:id="23">
    <w:p w14:paraId="5542A1B7" w14:textId="77777777" w:rsidR="00F45E64" w:rsidRPr="00E45705" w:rsidRDefault="00F45E64">
      <w:pPr>
        <w:pStyle w:val="FootnoteText"/>
        <w:rPr>
          <w:lang w:val="en-US"/>
        </w:rPr>
      </w:pPr>
      <w:r>
        <w:rPr>
          <w:rStyle w:val="FootnoteReference"/>
        </w:rPr>
        <w:footnoteRef/>
      </w:r>
      <w:r>
        <w:t xml:space="preserve"> </w:t>
      </w:r>
      <w:r>
        <w:rPr>
          <w:lang w:val="en-US"/>
        </w:rPr>
        <w:t>In Victoria, the PB program is delivered through the Local Learning and Employment Network which are managed by the Victorian Government.</w:t>
      </w:r>
    </w:p>
  </w:footnote>
  <w:footnote w:id="24">
    <w:p w14:paraId="7842DFCA" w14:textId="77777777" w:rsidR="00F45E64" w:rsidRPr="00BF076A" w:rsidRDefault="00F45E64" w:rsidP="00497DBB">
      <w:pPr>
        <w:pStyle w:val="FootnoteText"/>
        <w:rPr>
          <w:lang w:val="en-US"/>
        </w:rPr>
      </w:pPr>
      <w:r>
        <w:rPr>
          <w:rStyle w:val="FootnoteReference"/>
        </w:rPr>
        <w:footnoteRef/>
      </w:r>
      <w:r>
        <w:t xml:space="preserve"> Individual support services provided between 1 January 2010 and 31 August 2012. </w:t>
      </w:r>
      <w:r>
        <w:rPr>
          <w:lang w:val="en-US"/>
        </w:rPr>
        <w:t xml:space="preserve">More young people have participated in the program through outreach and re-engagement activities. </w:t>
      </w:r>
    </w:p>
  </w:footnote>
  <w:footnote w:id="25">
    <w:p w14:paraId="38904151" w14:textId="77777777" w:rsidR="00F45E64" w:rsidRPr="00500F90" w:rsidRDefault="00F45E64" w:rsidP="00497DBB">
      <w:pPr>
        <w:pStyle w:val="FootnoteText"/>
        <w:jc w:val="both"/>
        <w:rPr>
          <w:lang w:val="en-US"/>
        </w:rPr>
      </w:pPr>
      <w:r>
        <w:rPr>
          <w:rStyle w:val="FootnoteReference"/>
        </w:rPr>
        <w:footnoteRef/>
      </w:r>
      <w:r>
        <w:t xml:space="preserve"> </w:t>
      </w:r>
      <w:r w:rsidRPr="00E0544A">
        <w:rPr>
          <w:lang w:val="en-US"/>
        </w:rPr>
        <w:t xml:space="preserve">Barrett, Anna (2012) </w:t>
      </w:r>
      <w:r w:rsidRPr="00E0544A">
        <w:rPr>
          <w:i/>
          <w:lang w:val="en-US"/>
        </w:rPr>
        <w:t>Building Relationships</w:t>
      </w:r>
      <w:r>
        <w:rPr>
          <w:i/>
          <w:lang w:val="en-US"/>
        </w:rPr>
        <w:t xml:space="preserve"> for Better Outcomes</w:t>
      </w:r>
      <w:r>
        <w:rPr>
          <w:lang w:val="en-US"/>
        </w:rPr>
        <w:t>, ‘Peninsula Youth Connections evaluation, Stage 2 report’, Brotherhood of St Laurence, &lt;</w:t>
      </w:r>
      <w:r w:rsidRPr="009C7403">
        <w:rPr>
          <w:lang w:val="en-US"/>
        </w:rPr>
        <w:t>http://www.bsl.org.au/pdfs/Barrett_Building_relationships_for_better_outcomes_PYC_Stage_2_evaluation_report_2012.pdf</w:t>
      </w:r>
      <w:r>
        <w:rPr>
          <w:lang w:val="en-US"/>
        </w:rPr>
        <w:t>&gt;. Peninsula Youth Connections provides services to young people in the Frankston Mornington Peninsula region of Victoria.</w:t>
      </w:r>
    </w:p>
  </w:footnote>
  <w:footnote w:id="26">
    <w:p w14:paraId="1126A0DD" w14:textId="77777777" w:rsidR="00F45E64" w:rsidRPr="00B60E0E" w:rsidRDefault="00F45E64" w:rsidP="00497DBB">
      <w:pPr>
        <w:pStyle w:val="FootnoteText"/>
        <w:rPr>
          <w:lang w:val="en-US"/>
        </w:rPr>
      </w:pPr>
      <w:r>
        <w:rPr>
          <w:rStyle w:val="FootnoteReference"/>
        </w:rPr>
        <w:footnoteRef/>
      </w:r>
      <w:r>
        <w:t xml:space="preserve"> </w:t>
      </w:r>
      <w:r>
        <w:rPr>
          <w:lang w:val="en-US"/>
        </w:rPr>
        <w:t>To exit the program participants are required to be engaged in education, training and/or employment for a continuous 13 week period. This indicates that the combined minimum period of engagement achieved is closer to six months.</w:t>
      </w:r>
    </w:p>
  </w:footnote>
  <w:footnote w:id="27">
    <w:p w14:paraId="11F5E8FF" w14:textId="77777777" w:rsidR="00F45E64" w:rsidRPr="000B22B8" w:rsidRDefault="00F45E64" w:rsidP="00497DBB">
      <w:pPr>
        <w:pStyle w:val="FootnoteText"/>
        <w:jc w:val="both"/>
        <w:rPr>
          <w:lang w:val="en-US"/>
        </w:rPr>
      </w:pPr>
      <w:r>
        <w:rPr>
          <w:rStyle w:val="FootnoteReference"/>
        </w:rPr>
        <w:footnoteRef/>
      </w:r>
      <w:r>
        <w:t xml:space="preserve"> </w:t>
      </w:r>
      <w:r>
        <w:rPr>
          <w:lang w:val="en-US"/>
        </w:rPr>
        <w:t>These responses reflect the views of 63 per cent of a sample of service providers that report they know the locations of their clients six months after achieving a final outcome (completing the program).</w:t>
      </w:r>
    </w:p>
  </w:footnote>
  <w:footnote w:id="28">
    <w:p w14:paraId="21F846A5" w14:textId="77777777" w:rsidR="00F45E64" w:rsidRPr="002A2FD4" w:rsidRDefault="00F45E64" w:rsidP="00497DBB">
      <w:pPr>
        <w:pStyle w:val="FootnoteText"/>
        <w:rPr>
          <w:lang w:val="en-US"/>
        </w:rPr>
      </w:pPr>
      <w:r>
        <w:rPr>
          <w:rStyle w:val="FootnoteReference"/>
        </w:rPr>
        <w:footnoteRef/>
      </w:r>
      <w:r>
        <w:t xml:space="preserve"> Tomyn, A. &amp; Norrish, J. (2012) </w:t>
      </w:r>
      <w:r>
        <w:rPr>
          <w:i/>
        </w:rPr>
        <w:t>Youth Connections Subjective Wellbeing Report</w:t>
      </w:r>
      <w:r>
        <w:t>, RMIT University, commissioned by DEEWR, p.57.</w:t>
      </w:r>
    </w:p>
  </w:footnote>
  <w:footnote w:id="29">
    <w:p w14:paraId="4CBAF0C5" w14:textId="77777777" w:rsidR="00F45E64" w:rsidRPr="00A65F53" w:rsidRDefault="00F45E64" w:rsidP="008B224A">
      <w:pPr>
        <w:pStyle w:val="FootnoteText"/>
        <w:rPr>
          <w:lang w:val="en-US"/>
        </w:rPr>
      </w:pPr>
      <w:r>
        <w:rPr>
          <w:rStyle w:val="FootnoteReference"/>
        </w:rPr>
        <w:footnoteRef/>
      </w:r>
      <w:r>
        <w:t xml:space="preserve"> </w:t>
      </w:r>
      <w:r>
        <w:rPr>
          <w:lang w:val="en-US"/>
        </w:rPr>
        <w:t>The respondents represent a high percentage of young people who were identified as having a lower risk of depression, and therefore the results should be treated as indicative only.</w:t>
      </w:r>
    </w:p>
  </w:footnote>
  <w:footnote w:id="30">
    <w:p w14:paraId="3AB3A4B0" w14:textId="77777777" w:rsidR="00F45E64" w:rsidRPr="0091140A" w:rsidRDefault="00F45E64" w:rsidP="00497DBB">
      <w:pPr>
        <w:pStyle w:val="FootnoteText"/>
        <w:rPr>
          <w:lang w:val="en-US"/>
        </w:rPr>
      </w:pPr>
      <w:r>
        <w:rPr>
          <w:rStyle w:val="FootnoteReference"/>
        </w:rPr>
        <w:footnoteRef/>
      </w:r>
      <w:r>
        <w:t xml:space="preserve"> </w:t>
      </w:r>
      <w:r w:rsidRPr="00916E38">
        <w:t>dandolo</w:t>
      </w:r>
      <w:r>
        <w:t>partners</w:t>
      </w:r>
      <w:r w:rsidRPr="00916E38">
        <w:t xml:space="preserve"> survey of Y</w:t>
      </w:r>
      <w:r>
        <w:t>C</w:t>
      </w:r>
      <w:r w:rsidRPr="00916E38">
        <w:t xml:space="preserve"> service providers</w:t>
      </w:r>
      <w:r>
        <w:t xml:space="preserve"> (</w:t>
      </w:r>
      <w:r w:rsidRPr="00916E38">
        <w:t>2012</w:t>
      </w:r>
      <w:r>
        <w:t>)</w:t>
      </w:r>
      <w:r>
        <w:rPr>
          <w:lang w:val="en-US"/>
        </w:rPr>
        <w:t>.</w:t>
      </w:r>
    </w:p>
  </w:footnote>
  <w:footnote w:id="31">
    <w:p w14:paraId="18C1B5BA" w14:textId="77777777" w:rsidR="00F45E64" w:rsidRPr="00445C1B" w:rsidRDefault="00F45E64" w:rsidP="00497DBB">
      <w:pPr>
        <w:pStyle w:val="FootnoteText"/>
        <w:rPr>
          <w:lang w:val="en-US"/>
        </w:rPr>
      </w:pPr>
      <w:r>
        <w:rPr>
          <w:rStyle w:val="FootnoteReference"/>
        </w:rPr>
        <w:footnoteRef/>
      </w:r>
      <w:r>
        <w:t xml:space="preserve"> </w:t>
      </w:r>
      <w:r w:rsidRPr="00916E38">
        <w:t>dandolo</w:t>
      </w:r>
      <w:r>
        <w:t>partners</w:t>
      </w:r>
      <w:r w:rsidRPr="00916E38">
        <w:t xml:space="preserve"> survey of Y</w:t>
      </w:r>
      <w:r>
        <w:t>C</w:t>
      </w:r>
      <w:r w:rsidRPr="00916E38">
        <w:t xml:space="preserve"> service providers</w:t>
      </w:r>
      <w:r>
        <w:t xml:space="preserve"> (</w:t>
      </w:r>
      <w:r w:rsidRPr="00916E38">
        <w:t>2012</w:t>
      </w:r>
      <w:r>
        <w:t>)</w:t>
      </w:r>
      <w:r>
        <w:rPr>
          <w:lang w:val="en-US"/>
        </w:rPr>
        <w:t>.</w:t>
      </w:r>
    </w:p>
  </w:footnote>
  <w:footnote w:id="32">
    <w:p w14:paraId="5A65667A" w14:textId="77777777" w:rsidR="00F45E64" w:rsidRPr="00BE4CFA" w:rsidRDefault="00F45E64" w:rsidP="00497DBB">
      <w:pPr>
        <w:pStyle w:val="FootnoteText"/>
        <w:rPr>
          <w:lang w:val="en-US"/>
        </w:rPr>
      </w:pPr>
      <w:r>
        <w:rPr>
          <w:rStyle w:val="FootnoteReference"/>
        </w:rPr>
        <w:footnoteRef/>
      </w:r>
      <w:r>
        <w:t xml:space="preserve"> </w:t>
      </w:r>
      <w:r>
        <w:rPr>
          <w:lang w:val="en-US"/>
        </w:rPr>
        <w:t xml:space="preserve">DEEWR (September 2011) </w:t>
      </w:r>
      <w:r>
        <w:rPr>
          <w:i/>
          <w:lang w:val="en-US"/>
        </w:rPr>
        <w:t>Youth Connections Program Guidelines</w:t>
      </w:r>
      <w:r>
        <w:rPr>
          <w:lang w:val="en-US"/>
        </w:rPr>
        <w:t xml:space="preserve">, </w:t>
      </w:r>
      <w:r w:rsidRPr="00E2202B">
        <w:t>http://www.deewr.gov.au/Youth/YouthAttainmentandTransitions/Documents/YCGuidelines.pdf</w:t>
      </w:r>
    </w:p>
  </w:footnote>
  <w:footnote w:id="33">
    <w:p w14:paraId="7F194237" w14:textId="77777777" w:rsidR="00F45E64" w:rsidRDefault="00F45E64" w:rsidP="00497DBB">
      <w:pPr>
        <w:pStyle w:val="FootnoteText"/>
        <w:jc w:val="both"/>
      </w:pPr>
      <w:r>
        <w:rPr>
          <w:rStyle w:val="FootnoteReference"/>
        </w:rPr>
        <w:footnoteRef/>
      </w:r>
      <w:r>
        <w:t xml:space="preserve"> While it seems clear that the changes in educational participation observable since 2010 are not primarily a function of the impact of the GFC, it should be pointed out that they have also coincided with the introduction of the NP on low SES schools. This has some aims that are similar to those of the National Partnership on Youth Attainment and Transitions, and it has in part targeted groups at risk of leaving school early. However, its scope is wider than the age group of the National Partnership on Youth Attainment and Transitions, and at this stage it is not possible to separately judge any impact that it might have had upon participation by 15–19-year-olds.</w:t>
      </w:r>
    </w:p>
  </w:footnote>
  <w:footnote w:id="34">
    <w:p w14:paraId="070E2767" w14:textId="77777777" w:rsidR="00F45E64" w:rsidRPr="00E45705" w:rsidRDefault="00F45E64">
      <w:pPr>
        <w:pStyle w:val="FootnoteText"/>
        <w:rPr>
          <w:lang w:val="en-US"/>
        </w:rPr>
      </w:pPr>
      <w:r>
        <w:rPr>
          <w:rStyle w:val="FootnoteReference"/>
        </w:rPr>
        <w:footnoteRef/>
      </w:r>
      <w:r>
        <w:t xml:space="preserve"> </w:t>
      </w:r>
      <w:r w:rsidRPr="009F2D31">
        <w:t>Customers, in receipt of Youth Allowance, who are 21 years of age and under who are not full-time students or Australian Apprentices.</w:t>
      </w:r>
    </w:p>
  </w:footnote>
  <w:footnote w:id="35">
    <w:p w14:paraId="450A51CA" w14:textId="77777777" w:rsidR="00F45E64" w:rsidRDefault="00F45E64" w:rsidP="00497DBB">
      <w:pPr>
        <w:pStyle w:val="FootnoteText"/>
      </w:pPr>
      <w:r>
        <w:rPr>
          <w:rStyle w:val="FootnoteReference"/>
        </w:rPr>
        <w:footnoteRef/>
      </w:r>
      <w:r>
        <w:t xml:space="preserve"> Middleton, S. et al. (2005) </w:t>
      </w:r>
      <w:r w:rsidRPr="006E51E4">
        <w:rPr>
          <w:i/>
        </w:rPr>
        <w:t>Evaluation of Education Maintenance Allowance Pilots: Young People Aged 16 to 19 Years. Final Report of the Quantitative Evaluation</w:t>
      </w:r>
      <w:r>
        <w:t>, Department for Education and Skills, Research Report RR678.</w:t>
      </w:r>
    </w:p>
  </w:footnote>
  <w:footnote w:id="36">
    <w:p w14:paraId="37F09524" w14:textId="77777777" w:rsidR="00F45E64" w:rsidRPr="00201BB4" w:rsidRDefault="00F45E64" w:rsidP="006E1CDF">
      <w:pPr>
        <w:pStyle w:val="FootnoteText"/>
        <w:spacing w:after="0"/>
      </w:pPr>
      <w:r>
        <w:rPr>
          <w:rStyle w:val="FootnoteReference"/>
        </w:rPr>
        <w:footnoteRef/>
      </w:r>
      <w:r>
        <w:t xml:space="preserve"> </w:t>
      </w:r>
      <w:r w:rsidRPr="001D4B92">
        <w:t xml:space="preserve">Socio-Economic Indexes for Areas (SEIFA) </w:t>
      </w:r>
      <w:r>
        <w:t>allows the ranking of regions/areas by</w:t>
      </w:r>
      <w:r w:rsidRPr="001D4B92">
        <w:t xml:space="preserve"> </w:t>
      </w:r>
      <w:r>
        <w:t xml:space="preserve">the </w:t>
      </w:r>
      <w:r w:rsidRPr="001D4B92">
        <w:t>level of social and ec</w:t>
      </w:r>
      <w:r>
        <w:t>onomic wellbeing.</w:t>
      </w:r>
    </w:p>
  </w:footnote>
  <w:footnote w:id="37">
    <w:p w14:paraId="239648FE" w14:textId="77777777" w:rsidR="00F45E64" w:rsidRPr="006E1CDF" w:rsidRDefault="00F45E64" w:rsidP="00497DBB">
      <w:pPr>
        <w:pStyle w:val="Tablenote"/>
        <w:rPr>
          <w:sz w:val="12"/>
          <w:szCs w:val="12"/>
        </w:rPr>
      </w:pPr>
      <w:r w:rsidRPr="006E1CDF">
        <w:rPr>
          <w:rStyle w:val="FootnoteReference"/>
          <w:sz w:val="12"/>
          <w:szCs w:val="12"/>
        </w:rPr>
        <w:footnoteRef/>
      </w:r>
      <w:r w:rsidRPr="006E1CDF">
        <w:rPr>
          <w:sz w:val="12"/>
          <w:szCs w:val="12"/>
        </w:rPr>
        <w:t xml:space="preserve"> DEEWR (2012) </w:t>
      </w:r>
      <w:r w:rsidRPr="006E1CDF">
        <w:rPr>
          <w:i/>
          <w:sz w:val="12"/>
          <w:szCs w:val="12"/>
        </w:rPr>
        <w:t>YATMIS Program Reporting</w:t>
      </w:r>
      <w:r w:rsidRPr="006E1CDF">
        <w:rPr>
          <w:sz w:val="12"/>
          <w:szCs w:val="12"/>
        </w:rPr>
        <w:t>.</w:t>
      </w:r>
    </w:p>
  </w:footnote>
  <w:footnote w:id="38">
    <w:p w14:paraId="577AF39E" w14:textId="77777777" w:rsidR="00F45E64" w:rsidRPr="0019647A" w:rsidRDefault="00F45E64" w:rsidP="00497DBB">
      <w:pPr>
        <w:pStyle w:val="FootnoteText"/>
        <w:rPr>
          <w:lang w:val="en-US"/>
        </w:rPr>
      </w:pPr>
      <w:r>
        <w:rPr>
          <w:rStyle w:val="FootnoteReference"/>
        </w:rPr>
        <w:footnoteRef/>
      </w:r>
      <w:r>
        <w:t xml:space="preserve"> </w:t>
      </w:r>
      <w:r w:rsidRPr="00916E38">
        <w:t>dandolo</w:t>
      </w:r>
      <w:r>
        <w:t>partners</w:t>
      </w:r>
      <w:r w:rsidRPr="00916E38">
        <w:t xml:space="preserve"> survey of Y</w:t>
      </w:r>
      <w:r>
        <w:t>C</w:t>
      </w:r>
      <w:r w:rsidRPr="00916E38">
        <w:t xml:space="preserve"> service providers </w:t>
      </w:r>
      <w:r>
        <w:t>(</w:t>
      </w:r>
      <w:r w:rsidRPr="00916E38">
        <w:t>2012</w:t>
      </w:r>
      <w:r>
        <w:t>)</w:t>
      </w:r>
      <w:r>
        <w:rPr>
          <w:lang w:val="en-US"/>
        </w:rPr>
        <w:t xml:space="preserve"> and interviews with YC stakeholders.</w:t>
      </w:r>
    </w:p>
  </w:footnote>
  <w:footnote w:id="39">
    <w:p w14:paraId="22E0C8D8" w14:textId="77777777" w:rsidR="00F45E64" w:rsidRPr="00F027FB" w:rsidRDefault="00F45E64" w:rsidP="00497DBB">
      <w:pPr>
        <w:pStyle w:val="FootnoteText"/>
        <w:rPr>
          <w:lang w:val="en-US"/>
        </w:rPr>
      </w:pPr>
      <w:r>
        <w:rPr>
          <w:rStyle w:val="FootnoteReference"/>
        </w:rPr>
        <w:footnoteRef/>
      </w:r>
      <w:r>
        <w:t xml:space="preserve"> </w:t>
      </w:r>
      <w:r>
        <w:rPr>
          <w:lang w:val="en-US"/>
        </w:rPr>
        <w:t xml:space="preserve">Unemployed or not in the labour market and not engaged in education. Source: ABS (May 2012) </w:t>
      </w:r>
      <w:r>
        <w:rPr>
          <w:i/>
          <w:lang w:val="en-US"/>
        </w:rPr>
        <w:t>Labour Force Survey</w:t>
      </w:r>
      <w:r>
        <w:rPr>
          <w:lang w:val="en-US"/>
        </w:rPr>
        <w:t>.</w:t>
      </w:r>
    </w:p>
  </w:footnote>
  <w:footnote w:id="40">
    <w:p w14:paraId="2485D525" w14:textId="77777777" w:rsidR="00F45E64" w:rsidRPr="00A816D2" w:rsidRDefault="00F45E64" w:rsidP="00497DBB">
      <w:pPr>
        <w:pStyle w:val="FootnoteText"/>
        <w:ind w:left="567" w:hanging="567"/>
        <w:rPr>
          <w:lang w:val="en-US"/>
        </w:rPr>
      </w:pPr>
      <w:r>
        <w:rPr>
          <w:rStyle w:val="FootnoteReference"/>
        </w:rPr>
        <w:footnoteRef/>
      </w:r>
      <w:r>
        <w:t xml:space="preserve"> </w:t>
      </w:r>
      <w:r>
        <w:rPr>
          <w:lang w:val="en-US"/>
        </w:rPr>
        <w:tab/>
        <w:t xml:space="preserve">DEEWR, 2012, </w:t>
      </w:r>
      <w:r>
        <w:rPr>
          <w:i/>
          <w:lang w:val="en-US"/>
        </w:rPr>
        <w:t>National Career Development Strategy: Green Paper</w:t>
      </w:r>
      <w:r w:rsidRPr="00A816D2">
        <w:rPr>
          <w:i/>
          <w:lang w:val="en-US"/>
        </w:rPr>
        <w:t>,</w:t>
      </w:r>
      <w:r w:rsidRPr="00A816D2">
        <w:rPr>
          <w:iCs/>
          <w:lang w:val="en-US"/>
        </w:rPr>
        <w:t xml:space="preserve"> (http://www.deewr.gov.au/Youth/Pages/NCDSGreenPaper.aspx</w:t>
      </w:r>
      <w:r>
        <w:rPr>
          <w:iCs/>
          <w:lang w:val="en-US"/>
        </w:rPr>
        <w:t>.</w:t>
      </w:r>
    </w:p>
  </w:footnote>
  <w:footnote w:id="41">
    <w:p w14:paraId="3D4EBBA4" w14:textId="77777777" w:rsidR="00F45E64" w:rsidRPr="00E45705" w:rsidRDefault="00F45E64" w:rsidP="00497DBB">
      <w:pPr>
        <w:pStyle w:val="FootnoteText"/>
        <w:rPr>
          <w:i/>
        </w:rPr>
      </w:pPr>
      <w:r w:rsidRPr="00CA21FB">
        <w:rPr>
          <w:rStyle w:val="FootnoteReference"/>
        </w:rPr>
        <w:footnoteRef/>
      </w:r>
      <w:r>
        <w:t xml:space="preserve"> The Treasury (2012), </w:t>
      </w:r>
      <w:r>
        <w:rPr>
          <w:i/>
        </w:rPr>
        <w:t>A Short Guide to Reviewing National Partnerships</w:t>
      </w:r>
      <w:r>
        <w:t>, &lt;</w:t>
      </w:r>
      <w:r w:rsidRPr="00E96517">
        <w:t>http://www.federalfinancialrelations.gov.au/content/guidelines/Short-Guide_review.pdf</w:t>
      </w:r>
      <w:r>
        <w:t>&gt;..</w:t>
      </w:r>
    </w:p>
  </w:footnote>
  <w:footnote w:id="42">
    <w:p w14:paraId="10815C32" w14:textId="77777777" w:rsidR="00F45E64" w:rsidRPr="00F027FB" w:rsidRDefault="00F45E64" w:rsidP="00497DBB">
      <w:pPr>
        <w:pStyle w:val="FootnoteText"/>
        <w:rPr>
          <w:i/>
          <w:lang w:val="en-US"/>
        </w:rPr>
      </w:pPr>
      <w:r>
        <w:rPr>
          <w:rStyle w:val="FootnoteReference"/>
        </w:rPr>
        <w:footnoteRef/>
      </w:r>
      <w:r>
        <w:t xml:space="preserve"> </w:t>
      </w:r>
      <w:r>
        <w:rPr>
          <w:lang w:val="en-US"/>
        </w:rPr>
        <w:t xml:space="preserve">This estimation is based on the approximate number of young people who are disengaged or at risk of disengaging and who receive individual support services annually (30,000), and the number of 15–19-year-olds who are disengaged (unemployed or not in the labour market and not engaged in education – 115,000 at May 2012). This is a conservative estimate, as it excludes young people who are at risk of disengaging (i.e., those who are at school and are contemplating leaving). Source: ABS (2012) </w:t>
      </w:r>
      <w:r>
        <w:rPr>
          <w:i/>
          <w:lang w:val="en-US"/>
        </w:rPr>
        <w:t>Labour Force Survey</w:t>
      </w:r>
      <w:r w:rsidRPr="00F027FB">
        <w:rPr>
          <w:lang w:val="en-US"/>
        </w:rPr>
        <w:t>.</w:t>
      </w:r>
    </w:p>
  </w:footnote>
  <w:footnote w:id="43">
    <w:p w14:paraId="4DBAA6EE" w14:textId="77777777" w:rsidR="00F45E64" w:rsidRPr="00A2727E" w:rsidRDefault="00F45E64" w:rsidP="00497DBB">
      <w:pPr>
        <w:pStyle w:val="FootnoteText"/>
        <w:jc w:val="both"/>
        <w:rPr>
          <w:lang w:val="en-US"/>
        </w:rPr>
      </w:pPr>
      <w:r>
        <w:rPr>
          <w:rStyle w:val="FootnoteReference"/>
        </w:rPr>
        <w:footnoteRef/>
      </w:r>
      <w:r>
        <w:t xml:space="preserve"> </w:t>
      </w:r>
      <w:r>
        <w:rPr>
          <w:lang w:val="en-US"/>
        </w:rPr>
        <w:t xml:space="preserve">In designing future services for disengaged young people NSW Government’s Independent Employment Adviser Program warrants consideration. This program provides industry grounded career advice, case management, work experience/placement and employment brokerage for young people at risk of disengaging.  To date the program has delivered a positive outcome for 92 per cent of young people that have participated, through re-engagement with school, TAFE or employment. Source: NSW Government (2012), </w:t>
      </w:r>
      <w:r w:rsidRPr="00BA6ED5">
        <w:rPr>
          <w:i/>
        </w:rPr>
        <w:t>Youth Attainment and Transitions Annual Report.</w:t>
      </w:r>
    </w:p>
  </w:footnote>
  <w:footnote w:id="44">
    <w:p w14:paraId="0CA2DE38" w14:textId="77777777" w:rsidR="00F45E64" w:rsidRPr="008A413E" w:rsidRDefault="00F45E64" w:rsidP="00F935CF">
      <w:pPr>
        <w:pStyle w:val="FootnoteText"/>
      </w:pPr>
      <w:r w:rsidRPr="000D7DD1">
        <w:rPr>
          <w:rStyle w:val="FootnoteReference"/>
        </w:rPr>
        <w:footnoteRef/>
      </w:r>
      <w:r w:rsidRPr="000D7DD1">
        <w:t xml:space="preserve"> </w:t>
      </w:r>
      <w:r w:rsidRPr="000D7DD1">
        <w:rPr>
          <w:lang w:val="en-US"/>
        </w:rPr>
        <w:t>Some content in this part of the report was originally published in</w:t>
      </w:r>
      <w:r>
        <w:rPr>
          <w:lang w:val="en-US"/>
        </w:rPr>
        <w:t>:</w:t>
      </w:r>
      <w:r w:rsidRPr="000D7DD1">
        <w:rPr>
          <w:lang w:val="en-US"/>
        </w:rPr>
        <w:t xml:space="preserve"> </w:t>
      </w:r>
      <w:r w:rsidRPr="000D7DD1">
        <w:t xml:space="preserve">Professor Richard Sweet </w:t>
      </w:r>
      <w:r>
        <w:t>(</w:t>
      </w:r>
      <w:r w:rsidRPr="000D7DD1">
        <w:t>2012</w:t>
      </w:r>
      <w:r>
        <w:t>)</w:t>
      </w:r>
      <w:r w:rsidRPr="000D7DD1">
        <w:rPr>
          <w:i/>
          <w:iCs/>
        </w:rPr>
        <w:t xml:space="preserve"> A Curate's Egg: Good Practice in School-to-Work Transitions</w:t>
      </w:r>
      <w:r w:rsidRPr="009C02C9">
        <w:t xml:space="preserve">, </w:t>
      </w:r>
      <w:r w:rsidRPr="0020796E">
        <w:t>c</w:t>
      </w:r>
      <w:r w:rsidRPr="000D7DD1">
        <w:t>ommissioned by the COAG Reform Council, Good Practice in Youth Transitions National Conference, 16–17 August 2012.</w:t>
      </w:r>
    </w:p>
  </w:footnote>
  <w:footnote w:id="45">
    <w:p w14:paraId="5F33B115" w14:textId="77777777" w:rsidR="00F45E64" w:rsidRPr="00343B79" w:rsidRDefault="00F45E64" w:rsidP="00F935CF">
      <w:pPr>
        <w:pStyle w:val="FootnoteText"/>
        <w:jc w:val="both"/>
      </w:pPr>
      <w:r w:rsidRPr="00B11A36">
        <w:rPr>
          <w:vertAlign w:val="superscript"/>
        </w:rPr>
        <w:footnoteRef/>
      </w:r>
      <w:r w:rsidRPr="00B11A36">
        <w:rPr>
          <w:vertAlign w:val="superscript"/>
        </w:rPr>
        <w:t xml:space="preserve"> </w:t>
      </w:r>
      <w:r w:rsidRPr="00343B79">
        <w:t xml:space="preserve">OECD (2011) </w:t>
      </w:r>
      <w:r w:rsidRPr="009C02C9">
        <w:rPr>
          <w:i/>
        </w:rPr>
        <w:t>Education at a Glance</w:t>
      </w:r>
      <w:r w:rsidRPr="00343B79">
        <w:t>, Table A7.4a, Chart A7.4, Table A8.1, Table A9.1 and Chart A9.5.</w:t>
      </w:r>
    </w:p>
  </w:footnote>
  <w:footnote w:id="46">
    <w:p w14:paraId="5D1D48F2" w14:textId="77777777" w:rsidR="00F45E64" w:rsidRPr="00E45705" w:rsidRDefault="00F45E64">
      <w:pPr>
        <w:pStyle w:val="FootnoteText"/>
        <w:rPr>
          <w:lang w:val="en-US"/>
        </w:rPr>
      </w:pPr>
      <w:r>
        <w:rPr>
          <w:rStyle w:val="FootnoteReference"/>
        </w:rPr>
        <w:footnoteRef/>
      </w:r>
      <w:r>
        <w:t xml:space="preserve"> </w:t>
      </w:r>
      <w:r>
        <w:rPr>
          <w:lang w:val="en-US"/>
        </w:rPr>
        <w:t>The private rate of return is calculated based on a comparison of the direct cost of education and foregone earnings (total cost) with the gross earnings benefits, income tax effect, social contribution effect, transfers effect and unemployment effect (total benefits).</w:t>
      </w:r>
    </w:p>
  </w:footnote>
  <w:footnote w:id="47">
    <w:p w14:paraId="47844F58" w14:textId="77777777" w:rsidR="00F45E64" w:rsidRPr="00E45705" w:rsidRDefault="00F45E64">
      <w:pPr>
        <w:pStyle w:val="FootnoteText"/>
        <w:rPr>
          <w:lang w:val="en-US"/>
        </w:rPr>
      </w:pPr>
      <w:r>
        <w:rPr>
          <w:rStyle w:val="FootnoteReference"/>
        </w:rPr>
        <w:footnoteRef/>
      </w:r>
      <w:r>
        <w:t xml:space="preserve"> </w:t>
      </w:r>
      <w:r>
        <w:rPr>
          <w:lang w:val="en-US"/>
        </w:rPr>
        <w:t>The public rate of return is calculated based on a comparison of the direct cost of education and foregone taxes on earnings (total cost) with the income tax eddect, social contribution effect, transfers effect and unemployment effect (total benefits).</w:t>
      </w:r>
    </w:p>
  </w:footnote>
  <w:footnote w:id="48">
    <w:p w14:paraId="39E4BE3B" w14:textId="77777777" w:rsidR="00F45E64" w:rsidRPr="00343B79" w:rsidRDefault="00F45E64" w:rsidP="00F935CF">
      <w:pPr>
        <w:pStyle w:val="FootnoteText"/>
        <w:jc w:val="both"/>
      </w:pPr>
      <w:r w:rsidRPr="00343B79">
        <w:rPr>
          <w:rStyle w:val="FootnoteReference"/>
        </w:rPr>
        <w:footnoteRef/>
      </w:r>
      <w:r w:rsidRPr="00343B79">
        <w:t xml:space="preserve"> In other words</w:t>
      </w:r>
      <w:r>
        <w:t>,</w:t>
      </w:r>
      <w:r w:rsidRPr="00343B79">
        <w:t xml:space="preserve"> taking into account those who complete Year 12 or the equivalent in the years after leaving school.</w:t>
      </w:r>
    </w:p>
  </w:footnote>
  <w:footnote w:id="49">
    <w:p w14:paraId="1762C06B" w14:textId="77777777" w:rsidR="00F45E64" w:rsidRPr="00343B79" w:rsidRDefault="00F45E64" w:rsidP="00F935CF">
      <w:pPr>
        <w:pStyle w:val="FootnoteText"/>
        <w:jc w:val="both"/>
      </w:pPr>
      <w:r w:rsidRPr="00343B79">
        <w:rPr>
          <w:rStyle w:val="FootnoteReference"/>
        </w:rPr>
        <w:footnoteRef/>
      </w:r>
      <w:r w:rsidRPr="00343B79">
        <w:t xml:space="preserve"> Access Economics (2005) </w:t>
      </w:r>
      <w:r w:rsidRPr="00343B79">
        <w:rPr>
          <w:i/>
        </w:rPr>
        <w:t>The Economic Benefit of Increased Participation in Education and Training</w:t>
      </w:r>
      <w:r>
        <w:t>, Dusseldorf</w:t>
      </w:r>
      <w:r w:rsidRPr="00343B79">
        <w:t xml:space="preserve"> Skills Forum, Sydney.</w:t>
      </w:r>
    </w:p>
  </w:footnote>
  <w:footnote w:id="50">
    <w:p w14:paraId="427C7A53" w14:textId="77777777" w:rsidR="00F45E64" w:rsidRPr="00343B79" w:rsidRDefault="00F45E64" w:rsidP="00F935CF">
      <w:pPr>
        <w:pStyle w:val="FootnoteText"/>
        <w:jc w:val="both"/>
      </w:pPr>
      <w:r w:rsidRPr="00343B79">
        <w:rPr>
          <w:rStyle w:val="FootnoteReference"/>
        </w:rPr>
        <w:footnoteRef/>
      </w:r>
      <w:r w:rsidRPr="00343B79">
        <w:t xml:space="preserve"> Leigh, A. (2007) </w:t>
      </w:r>
      <w:r>
        <w:t>‘</w:t>
      </w:r>
      <w:r w:rsidRPr="00343B79">
        <w:t>Returns to education in Australia</w:t>
      </w:r>
      <w:r>
        <w:t>’</w:t>
      </w:r>
      <w:r w:rsidRPr="00343B79">
        <w:t>,</w:t>
      </w:r>
      <w:r w:rsidRPr="00952643">
        <w:t xml:space="preserve"> </w:t>
      </w:r>
      <w:r w:rsidRPr="009C02C9">
        <w:t>Discussion Paper</w:t>
      </w:r>
      <w:r w:rsidRPr="00952643">
        <w:t xml:space="preserve"> </w:t>
      </w:r>
      <w:r w:rsidRPr="00343B79">
        <w:t>No. 561, Centre for Economic Policy Research, Australian National University.</w:t>
      </w:r>
    </w:p>
  </w:footnote>
  <w:footnote w:id="51">
    <w:p w14:paraId="3C6D977F" w14:textId="77777777" w:rsidR="00F45E64" w:rsidRPr="00343B79" w:rsidRDefault="00F45E64" w:rsidP="00F935CF">
      <w:pPr>
        <w:pStyle w:val="FootnoteText"/>
        <w:jc w:val="both"/>
      </w:pPr>
      <w:r w:rsidRPr="00343B79">
        <w:rPr>
          <w:rStyle w:val="FootnoteReference"/>
        </w:rPr>
        <w:footnoteRef/>
      </w:r>
      <w:r w:rsidRPr="00343B79">
        <w:t xml:space="preserve"> Schuller, T. </w:t>
      </w:r>
      <w:r>
        <w:t>&amp;</w:t>
      </w:r>
      <w:r w:rsidRPr="00343B79">
        <w:t xml:space="preserve"> Desjardins, R. (2007) </w:t>
      </w:r>
      <w:r w:rsidRPr="00343B79">
        <w:rPr>
          <w:i/>
        </w:rPr>
        <w:t>Understanding the Social Outcomes of Learning</w:t>
      </w:r>
      <w:r w:rsidRPr="00343B79">
        <w:t>, OECD/CERI.</w:t>
      </w:r>
    </w:p>
  </w:footnote>
  <w:footnote w:id="52">
    <w:p w14:paraId="5359B8B4" w14:textId="77777777" w:rsidR="00F45E64" w:rsidRPr="003422AB" w:rsidRDefault="00F45E64" w:rsidP="00F935CF">
      <w:pPr>
        <w:pStyle w:val="FootnoteText"/>
        <w:rPr>
          <w:lang w:val="en-US"/>
        </w:rPr>
      </w:pPr>
      <w:r>
        <w:rPr>
          <w:rStyle w:val="FootnoteReference"/>
        </w:rPr>
        <w:footnoteRef/>
      </w:r>
      <w:r>
        <w:t xml:space="preserve"> </w:t>
      </w:r>
      <w:r>
        <w:rPr>
          <w:lang w:val="en-US"/>
        </w:rPr>
        <w:t xml:space="preserve">ABS (2011) </w:t>
      </w:r>
      <w:r w:rsidRPr="0030704B">
        <w:rPr>
          <w:i/>
          <w:lang w:val="en-US"/>
        </w:rPr>
        <w:t>National Schools Statistics Collection</w:t>
      </w:r>
      <w:r>
        <w:rPr>
          <w:lang w:val="en-US"/>
        </w:rPr>
        <w:t>.</w:t>
      </w:r>
    </w:p>
  </w:footnote>
  <w:footnote w:id="53">
    <w:p w14:paraId="340FBBDD" w14:textId="77777777" w:rsidR="00F45E64" w:rsidRPr="0030704B" w:rsidRDefault="00F45E64" w:rsidP="00F935CF">
      <w:pPr>
        <w:pStyle w:val="FootnoteText"/>
        <w:rPr>
          <w:lang w:val="en-US"/>
        </w:rPr>
      </w:pPr>
      <w:r>
        <w:rPr>
          <w:rStyle w:val="FootnoteReference"/>
        </w:rPr>
        <w:footnoteRef/>
      </w:r>
      <w:r>
        <w:t xml:space="preserve"> </w:t>
      </w:r>
      <w:r>
        <w:rPr>
          <w:lang w:val="en-US"/>
        </w:rPr>
        <w:t xml:space="preserve">NCVER (2012) </w:t>
      </w:r>
      <w:r w:rsidRPr="0030704B">
        <w:rPr>
          <w:i/>
          <w:lang w:val="en-US"/>
        </w:rPr>
        <w:t>Students and Courses</w:t>
      </w:r>
      <w:r>
        <w:rPr>
          <w:lang w:val="en-US"/>
        </w:rPr>
        <w:t>,.</w:t>
      </w:r>
    </w:p>
  </w:footnote>
  <w:footnote w:id="54">
    <w:p w14:paraId="5AA6EB65" w14:textId="77777777" w:rsidR="00F45E64" w:rsidRPr="006E1CDF" w:rsidRDefault="00F45E64" w:rsidP="00F935CF">
      <w:pPr>
        <w:pStyle w:val="FootnoteText"/>
        <w:rPr>
          <w:szCs w:val="12"/>
        </w:rPr>
      </w:pPr>
      <w:r w:rsidRPr="006E1CDF">
        <w:rPr>
          <w:rStyle w:val="FootnoteReference"/>
          <w:szCs w:val="12"/>
        </w:rPr>
        <w:footnoteRef/>
      </w:r>
      <w:r w:rsidRPr="006E1CDF">
        <w:rPr>
          <w:szCs w:val="12"/>
        </w:rPr>
        <w:t xml:space="preserve"> Longitudinal Surveys of Australian Youth (LSAY) data shows that of those who had completed Year 12 or a Certificate III by the age of 24 in 2009, 92 per cent had done so by the age of 18; by the age of 24, 82 per cent had completed Year 12 and 90 per cent had completed Year 12 or Certificate III or higher; see http://www.lsay.edu.au/cohort/1998/2.html</w:t>
      </w:r>
    </w:p>
  </w:footnote>
  <w:footnote w:id="55">
    <w:p w14:paraId="50A160ED" w14:textId="77777777" w:rsidR="00F45E64" w:rsidRPr="00601B58" w:rsidRDefault="00F45E64" w:rsidP="00F935CF">
      <w:pPr>
        <w:pStyle w:val="FootnoteText"/>
        <w:rPr>
          <w:lang w:val="en-US"/>
        </w:rPr>
      </w:pPr>
      <w:r>
        <w:rPr>
          <w:rStyle w:val="FootnoteReference"/>
        </w:rPr>
        <w:footnoteRef/>
      </w:r>
      <w:r>
        <w:t xml:space="preserve"> </w:t>
      </w:r>
      <w:r w:rsidRPr="00601B58">
        <w:t>The disability support pension is the largest category, accounting for nearly a third of all inactive 15</w:t>
      </w:r>
      <w:r>
        <w:t>–</w:t>
      </w:r>
      <w:r w:rsidRPr="00601B58">
        <w:t>19</w:t>
      </w:r>
      <w:r>
        <w:t>-year-old</w:t>
      </w:r>
      <w:r w:rsidRPr="00601B58">
        <w:t>s. Another large group receives single parent payments, and small numbers receive other forms of income support.</w:t>
      </w:r>
    </w:p>
  </w:footnote>
  <w:footnote w:id="56">
    <w:p w14:paraId="5A1038C4" w14:textId="77777777" w:rsidR="00F45E64" w:rsidRDefault="00F45E64" w:rsidP="00F935CF">
      <w:pPr>
        <w:pStyle w:val="FootnoteText"/>
      </w:pPr>
      <w:r>
        <w:rPr>
          <w:rStyle w:val="FootnoteReference"/>
        </w:rPr>
        <w:footnoteRef/>
      </w:r>
      <w:r>
        <w:t xml:space="preserve"> ABS (2011) </w:t>
      </w:r>
      <w:r w:rsidRPr="00086538">
        <w:rPr>
          <w:i/>
        </w:rPr>
        <w:t>Education and Work Australia</w:t>
      </w:r>
      <w:r>
        <w:t>, Table 17.</w:t>
      </w:r>
    </w:p>
  </w:footnote>
  <w:footnote w:id="57">
    <w:p w14:paraId="3B5E9AC9" w14:textId="77777777" w:rsidR="00F45E64" w:rsidRPr="006E1CDF" w:rsidRDefault="00F45E64" w:rsidP="00F935CF">
      <w:pPr>
        <w:pStyle w:val="FootnoteText"/>
        <w:jc w:val="both"/>
        <w:rPr>
          <w:szCs w:val="12"/>
        </w:rPr>
      </w:pPr>
      <w:r w:rsidRPr="006E1CDF">
        <w:rPr>
          <w:rStyle w:val="FootnoteReference"/>
          <w:szCs w:val="12"/>
        </w:rPr>
        <w:footnoteRef/>
      </w:r>
      <w:r w:rsidRPr="006E1CDF">
        <w:rPr>
          <w:szCs w:val="12"/>
        </w:rPr>
        <w:t xml:space="preserve"> For evidence of the link between these variables and transition outcomes, see: OECD (2000) </w:t>
      </w:r>
      <w:r w:rsidRPr="006E1CDF">
        <w:rPr>
          <w:i/>
          <w:szCs w:val="12"/>
        </w:rPr>
        <w:t>From Initial Education to Working Life: Making the Transition Work</w:t>
      </w:r>
      <w:r w:rsidRPr="006E1CDF">
        <w:rPr>
          <w:szCs w:val="12"/>
        </w:rPr>
        <w:t xml:space="preserve">, Paris; Raffe, D. (2008) ‘The concept of transition system’, </w:t>
      </w:r>
      <w:r w:rsidRPr="006E1CDF">
        <w:rPr>
          <w:i/>
          <w:szCs w:val="12"/>
        </w:rPr>
        <w:t>Journal of Education and Work</w:t>
      </w:r>
      <w:r w:rsidRPr="006E1CDF">
        <w:rPr>
          <w:szCs w:val="12"/>
        </w:rPr>
        <w:t xml:space="preserve">, Vol. 4 (1), pp. 277–96; and Sweet, R. (2009) </w:t>
      </w:r>
      <w:r w:rsidRPr="006E1CDF">
        <w:rPr>
          <w:i/>
          <w:szCs w:val="12"/>
        </w:rPr>
        <w:t>Factors Influencing Youth Transitions: a Review of the Evidence</w:t>
      </w:r>
      <w:r w:rsidRPr="006E1CDF">
        <w:rPr>
          <w:szCs w:val="12"/>
        </w:rPr>
        <w:t>, Victorian Department of Education and Early Childhood Development. It should be noted that other factors known to be related to transition outcomes, such as young people’s personal qualities and institutional arrangements within education, are difficult to measure, and even if measurable, do not have comparable international data available.</w:t>
      </w:r>
    </w:p>
  </w:footnote>
  <w:footnote w:id="58">
    <w:p w14:paraId="3764D3DB" w14:textId="77777777" w:rsidR="00F45E64" w:rsidRPr="006E1CDF" w:rsidRDefault="00F45E64" w:rsidP="00F935CF">
      <w:pPr>
        <w:pStyle w:val="Tablenote"/>
        <w:rPr>
          <w:sz w:val="12"/>
          <w:szCs w:val="12"/>
        </w:rPr>
      </w:pPr>
      <w:r w:rsidRPr="006E1CDF">
        <w:rPr>
          <w:rStyle w:val="FootnoteReference"/>
          <w:sz w:val="12"/>
          <w:szCs w:val="12"/>
        </w:rPr>
        <w:footnoteRef/>
      </w:r>
      <w:r w:rsidRPr="006E1CDF">
        <w:rPr>
          <w:sz w:val="12"/>
          <w:szCs w:val="12"/>
        </w:rPr>
        <w:t xml:space="preserve"> Australian data, like the data for other countries, follow the standard international convention in treating Certificate III qualifications as the equivalent of Year 12, but not Certificate II qualifications, which are classified as lower secondary qualifications.</w:t>
      </w:r>
    </w:p>
  </w:footnote>
  <w:footnote w:id="59">
    <w:p w14:paraId="3220534C" w14:textId="77777777" w:rsidR="00F45E64" w:rsidRPr="00343B79" w:rsidRDefault="00F45E64" w:rsidP="00F935CF">
      <w:pPr>
        <w:pStyle w:val="Tablenote"/>
        <w:spacing w:after="0"/>
      </w:pPr>
      <w:r w:rsidRPr="006E1CDF">
        <w:rPr>
          <w:rStyle w:val="FootnoteReference"/>
          <w:sz w:val="12"/>
          <w:szCs w:val="12"/>
        </w:rPr>
        <w:footnoteRef/>
      </w:r>
      <w:r w:rsidRPr="006E1CDF">
        <w:rPr>
          <w:sz w:val="12"/>
          <w:szCs w:val="12"/>
        </w:rPr>
        <w:t xml:space="preserve"> The OECD does not normally publish either this indicator or the previous upper secondary attainment indicator for 20–24-year-olds or 25–29-year-olds, due to the relatively later average ages at which these qualifications are typically completed in some OECD countries.</w:t>
      </w:r>
    </w:p>
  </w:footnote>
  <w:footnote w:id="60">
    <w:p w14:paraId="1D28632D" w14:textId="77777777" w:rsidR="00F45E64" w:rsidRPr="00AA1689" w:rsidRDefault="00F45E64" w:rsidP="00F935CF">
      <w:pPr>
        <w:pStyle w:val="FootnoteText"/>
        <w:rPr>
          <w:lang w:val="en-US"/>
        </w:rPr>
      </w:pPr>
      <w:r>
        <w:rPr>
          <w:rStyle w:val="FootnoteReference"/>
        </w:rPr>
        <w:footnoteRef/>
      </w:r>
      <w:r>
        <w:t xml:space="preserve"> </w:t>
      </w:r>
      <w:r>
        <w:rPr>
          <w:lang w:val="en-US"/>
        </w:rPr>
        <w:t>Based on the transition predictor variables listed.</w:t>
      </w:r>
    </w:p>
  </w:footnote>
  <w:footnote w:id="61">
    <w:p w14:paraId="317183A6" w14:textId="77777777" w:rsidR="00F45E64" w:rsidRPr="00467D59" w:rsidRDefault="00F45E64" w:rsidP="00F935CF">
      <w:pPr>
        <w:pStyle w:val="FootnoteText"/>
      </w:pPr>
      <w:r>
        <w:rPr>
          <w:rStyle w:val="FootnoteReference"/>
        </w:rPr>
        <w:footnoteRef/>
      </w:r>
      <w:r>
        <w:t xml:space="preserve"> </w:t>
      </w:r>
      <w:r>
        <w:rPr>
          <w:lang w:val="en-US"/>
        </w:rPr>
        <w:t xml:space="preserve">A full description of the methodology and supporting data underpinning this analysis is included in </w:t>
      </w:r>
      <w:r w:rsidRPr="00467D59">
        <w:t>Professor Richard Sweet, 2012</w:t>
      </w:r>
      <w:r w:rsidRPr="00467D59">
        <w:rPr>
          <w:i/>
          <w:iCs/>
        </w:rPr>
        <w:t>, A Curate's Egg: Good Practice in School-to-Work Transitions, </w:t>
      </w:r>
      <w:r w:rsidRPr="00467D59">
        <w:t>commissioned by the COAG Reform Council, Good Practice in Youth Transitions National Conference, 16–17 August 2012.</w:t>
      </w:r>
    </w:p>
  </w:footnote>
  <w:footnote w:id="62">
    <w:p w14:paraId="6AD44A06" w14:textId="77777777" w:rsidR="00F45E64" w:rsidRPr="00FC61C1" w:rsidRDefault="00F45E64" w:rsidP="00167F13">
      <w:pPr>
        <w:pStyle w:val="FootnoteText"/>
        <w:rPr>
          <w:lang w:val="en-US"/>
        </w:rPr>
      </w:pPr>
      <w:r>
        <w:rPr>
          <w:rStyle w:val="FootnoteReference"/>
        </w:rPr>
        <w:footnoteRef/>
      </w:r>
      <w:r>
        <w:t xml:space="preserve"> </w:t>
      </w:r>
      <w:r>
        <w:rPr>
          <w:lang w:val="en-US"/>
        </w:rPr>
        <w:t>Flexible learning focuses on providing learners with increased choice and personalisation in terms of when, where and how they learn.</w:t>
      </w:r>
    </w:p>
  </w:footnote>
  <w:footnote w:id="63">
    <w:p w14:paraId="6D28B666" w14:textId="77777777" w:rsidR="00F45E64" w:rsidRPr="00390883" w:rsidRDefault="00F45E64" w:rsidP="00F935CF">
      <w:pPr>
        <w:pStyle w:val="FootnoteText"/>
        <w:rPr>
          <w:lang w:val="en-US"/>
        </w:rPr>
      </w:pPr>
      <w:r>
        <w:rPr>
          <w:rStyle w:val="FootnoteReference"/>
        </w:rPr>
        <w:footnoteRef/>
      </w:r>
      <w:r>
        <w:t xml:space="preserve"> </w:t>
      </w:r>
      <w:r w:rsidRPr="00553021">
        <w:rPr>
          <w:lang w:val="en-US"/>
        </w:rPr>
        <w:t>DEEWR</w:t>
      </w:r>
      <w:r>
        <w:rPr>
          <w:lang w:val="en-US"/>
        </w:rPr>
        <w:t xml:space="preserve"> (2011)</w:t>
      </w:r>
      <w:r w:rsidRPr="00553021">
        <w:rPr>
          <w:lang w:val="en-US"/>
        </w:rPr>
        <w:t xml:space="preserve"> </w:t>
      </w:r>
      <w:r w:rsidRPr="00553021">
        <w:rPr>
          <w:i/>
          <w:lang w:val="en-US"/>
        </w:rPr>
        <w:t>Review of Funding for Schooling: Final Report</w:t>
      </w:r>
      <w:r w:rsidRPr="00553021">
        <w:rPr>
          <w:lang w:val="en-US"/>
        </w:rPr>
        <w:t xml:space="preserve">, </w:t>
      </w:r>
      <w:r w:rsidRPr="009C02C9">
        <w:t>http://www.deewr.gov.au/Schooling/ReviewofFunding/Documents/Review-of-Funding-for-Schooling-Final-Report-Dec-2011.pdf</w:t>
      </w:r>
    </w:p>
  </w:footnote>
  <w:footnote w:id="64">
    <w:p w14:paraId="4DEA4863" w14:textId="77777777" w:rsidR="00F45E64" w:rsidRPr="000D2C0E" w:rsidRDefault="00F45E64" w:rsidP="00F935CF">
      <w:pPr>
        <w:pStyle w:val="FootnoteText"/>
        <w:rPr>
          <w:lang w:val="en-US"/>
        </w:rPr>
      </w:pPr>
      <w:r>
        <w:rPr>
          <w:rStyle w:val="FootnoteReference"/>
        </w:rPr>
        <w:footnoteRef/>
      </w:r>
      <w:r>
        <w:t xml:space="preserve"> </w:t>
      </w:r>
      <w:r>
        <w:rPr>
          <w:lang w:val="en-US"/>
        </w:rPr>
        <w:t>This is the approach currently in place in Victoria through the Youth Partnerships initiative.</w:t>
      </w:r>
    </w:p>
  </w:footnote>
  <w:footnote w:id="65">
    <w:p w14:paraId="2FE7D602" w14:textId="77777777" w:rsidR="00F45E64" w:rsidRPr="00A73D66" w:rsidRDefault="00F45E64" w:rsidP="00F935CF">
      <w:pPr>
        <w:pStyle w:val="FootnoteText"/>
        <w:rPr>
          <w:lang w:val="en-US"/>
        </w:rPr>
      </w:pPr>
      <w:r>
        <w:rPr>
          <w:rStyle w:val="FootnoteReference"/>
        </w:rPr>
        <w:footnoteRef/>
      </w:r>
      <w:r>
        <w:t xml:space="preserve"> </w:t>
      </w:r>
      <w:r w:rsidRPr="00BF364C">
        <w:rPr>
          <w:lang w:val="en-US"/>
        </w:rPr>
        <w:t>Ministerial Council on Education, Early Childhood Development and Youth Affairs</w:t>
      </w:r>
      <w:r>
        <w:rPr>
          <w:lang w:val="en-US"/>
        </w:rPr>
        <w:t xml:space="preserve"> (2008)</w:t>
      </w:r>
      <w:r w:rsidRPr="00BF364C">
        <w:rPr>
          <w:lang w:val="en-US"/>
        </w:rPr>
        <w:t xml:space="preserve"> </w:t>
      </w:r>
      <w:r w:rsidRPr="00BF364C">
        <w:rPr>
          <w:i/>
          <w:lang w:val="en-US"/>
        </w:rPr>
        <w:t>Melbourne Declaration on Educational Goals for Young Australians</w:t>
      </w:r>
      <w:r w:rsidRPr="00BF364C">
        <w:rPr>
          <w:lang w:val="en-US"/>
        </w:rPr>
        <w:t xml:space="preserve">, </w:t>
      </w:r>
      <w:r w:rsidRPr="00BC6F89">
        <w:t>http://www.mceecdya.edu.au/verve/_resources/national_declaration_on_the_educational_goals_for_young_australians.pdf</w:t>
      </w:r>
      <w:r>
        <w:rPr>
          <w:lang w:val="en-US"/>
        </w:rPr>
        <w:t>;</w:t>
      </w:r>
      <w:r w:rsidRPr="00BF364C">
        <w:rPr>
          <w:lang w:val="en-US"/>
        </w:rPr>
        <w:t xml:space="preserve"> Council of Australian Governments</w:t>
      </w:r>
      <w:r>
        <w:rPr>
          <w:lang w:val="en-US"/>
        </w:rPr>
        <w:t xml:space="preserve"> (2008)</w:t>
      </w:r>
      <w:r w:rsidRPr="00BF364C">
        <w:rPr>
          <w:lang w:val="en-US"/>
        </w:rPr>
        <w:t xml:space="preserve"> </w:t>
      </w:r>
      <w:r w:rsidRPr="00BF364C">
        <w:rPr>
          <w:i/>
          <w:lang w:val="en-US"/>
        </w:rPr>
        <w:t>National Education Agreement</w:t>
      </w:r>
      <w:r w:rsidRPr="00BF364C">
        <w:rPr>
          <w:lang w:val="en-US"/>
        </w:rPr>
        <w:t xml:space="preserve">, </w:t>
      </w:r>
      <w:r w:rsidRPr="00BC6F89">
        <w:t>http://www.federalfinancialrelations.gov.au/content/national_agreements/education/NE_Agreement_20120821.pdf</w:t>
      </w:r>
    </w:p>
  </w:footnote>
  <w:footnote w:id="66">
    <w:p w14:paraId="6C09CE9C" w14:textId="77777777" w:rsidR="00F45E64" w:rsidRPr="00AE0F87" w:rsidRDefault="00F45E64" w:rsidP="00F935CF">
      <w:pPr>
        <w:pStyle w:val="FootnoteText"/>
        <w:jc w:val="both"/>
      </w:pPr>
      <w:r w:rsidRPr="00AE0F87">
        <w:rPr>
          <w:rStyle w:val="FootnoteReference"/>
        </w:rPr>
        <w:footnoteRef/>
      </w:r>
      <w:r w:rsidRPr="00AE0F87">
        <w:t xml:space="preserve"> OECD (2000) </w:t>
      </w:r>
      <w:r w:rsidRPr="00AE0F87">
        <w:rPr>
          <w:i/>
        </w:rPr>
        <w:t>From Initial Education to Working Life: Making the Transition Work</w:t>
      </w:r>
      <w:r w:rsidRPr="00AE0F87">
        <w:t>, Paris, pp. 107</w:t>
      </w:r>
      <w:r>
        <w:t>–</w:t>
      </w:r>
      <w:r w:rsidRPr="00AE0F87">
        <w:t xml:space="preserve">15; OECD (2008) </w:t>
      </w:r>
      <w:r w:rsidRPr="00AE0F87">
        <w:rPr>
          <w:i/>
        </w:rPr>
        <w:t>Jobs for Youth: Netherlands</w:t>
      </w:r>
      <w:r w:rsidRPr="00AE0F87">
        <w:t>, Paris, pp. 81</w:t>
      </w:r>
      <w:r>
        <w:t>–</w:t>
      </w:r>
      <w:r w:rsidRPr="00AE0F87">
        <w:t>5</w:t>
      </w:r>
      <w:r>
        <w:t>,</w:t>
      </w:r>
      <w:r w:rsidRPr="00AE0F87">
        <w:t xml:space="preserve"> 119</w:t>
      </w:r>
      <w:r>
        <w:t>–</w:t>
      </w:r>
      <w:r w:rsidRPr="00AE0F87">
        <w:t>42.</w:t>
      </w:r>
    </w:p>
  </w:footnote>
  <w:footnote w:id="67">
    <w:p w14:paraId="4F48263D" w14:textId="77777777" w:rsidR="00F45E64" w:rsidRPr="0080154D" w:rsidRDefault="00F45E64" w:rsidP="00F935CF">
      <w:pPr>
        <w:pStyle w:val="FootnoteText"/>
        <w:rPr>
          <w:lang w:val="en-US"/>
        </w:rPr>
      </w:pPr>
      <w:r>
        <w:rPr>
          <w:rStyle w:val="FootnoteReference"/>
        </w:rPr>
        <w:footnoteRef/>
      </w:r>
      <w:r>
        <w:t xml:space="preserve"> </w:t>
      </w:r>
      <w:r>
        <w:rPr>
          <w:lang w:val="en-US"/>
        </w:rPr>
        <w:t>The action plan underpinning the Declaration is due to expire in 2012.</w:t>
      </w:r>
    </w:p>
  </w:footnote>
  <w:footnote w:id="68">
    <w:p w14:paraId="1DEFDDD6" w14:textId="77777777" w:rsidR="00F45E64" w:rsidRPr="006E1CDF" w:rsidRDefault="00F45E64" w:rsidP="00F935CF">
      <w:pPr>
        <w:pStyle w:val="Tablenote"/>
        <w:rPr>
          <w:rFonts w:asciiTheme="majorHAnsi" w:hAnsiTheme="majorHAnsi"/>
          <w:sz w:val="12"/>
          <w:szCs w:val="12"/>
        </w:rPr>
      </w:pPr>
      <w:r w:rsidRPr="006E1CDF">
        <w:rPr>
          <w:rStyle w:val="FootnoteReference"/>
          <w:rFonts w:asciiTheme="majorHAnsi" w:hAnsiTheme="majorHAnsi"/>
          <w:sz w:val="12"/>
          <w:szCs w:val="12"/>
        </w:rPr>
        <w:footnoteRef/>
      </w:r>
      <w:r w:rsidRPr="006E1CDF">
        <w:rPr>
          <w:rFonts w:asciiTheme="majorHAnsi" w:hAnsiTheme="majorHAnsi"/>
          <w:sz w:val="12"/>
          <w:szCs w:val="12"/>
        </w:rPr>
        <w:t xml:space="preserve"> dandolopartners (2012) </w:t>
      </w:r>
      <w:r w:rsidRPr="006E1CDF">
        <w:rPr>
          <w:rFonts w:asciiTheme="majorHAnsi" w:hAnsiTheme="majorHAnsi"/>
          <w:i/>
          <w:sz w:val="12"/>
          <w:szCs w:val="12"/>
        </w:rPr>
        <w:t>Evaluation of the National Partnership on Youth Attainment and Transition – Interim Findings</w:t>
      </w:r>
      <w:r w:rsidRPr="006E1CDF">
        <w:rPr>
          <w:rFonts w:asciiTheme="majorHAnsi" w:hAnsiTheme="majorHAnsi"/>
          <w:sz w:val="12"/>
          <w:szCs w:val="12"/>
        </w:rPr>
        <w:t xml:space="preserve">, 2 April, pp. 182–3, </w:t>
      </w:r>
      <w:r>
        <w:rPr>
          <w:rFonts w:asciiTheme="majorHAnsi" w:hAnsiTheme="majorHAnsi"/>
          <w:sz w:val="12"/>
          <w:szCs w:val="12"/>
        </w:rPr>
        <w:t>&lt;</w:t>
      </w:r>
      <w:r w:rsidRPr="006E1CDF">
        <w:rPr>
          <w:rFonts w:asciiTheme="majorHAnsi" w:hAnsiTheme="majorHAnsi"/>
          <w:sz w:val="12"/>
          <w:szCs w:val="12"/>
        </w:rPr>
        <w:t>http://www.deewr.gov.au/Youth/YouthAttainmentandTransitions/Documents/InterimEvaluationReport_Accessible.pdf</w:t>
      </w:r>
      <w:r>
        <w:rPr>
          <w:rFonts w:asciiTheme="majorHAnsi" w:hAnsiTheme="majorHAnsi"/>
          <w:sz w:val="12"/>
          <w:szCs w:val="12"/>
        </w:rPr>
        <w:t>&gt;.</w:t>
      </w:r>
    </w:p>
  </w:footnote>
  <w:footnote w:id="69">
    <w:p w14:paraId="161E0EE5" w14:textId="77777777" w:rsidR="00F45E64" w:rsidRPr="00BB000C" w:rsidRDefault="00F45E64" w:rsidP="00F935CF">
      <w:pPr>
        <w:pStyle w:val="FootnoteText"/>
      </w:pPr>
      <w:r w:rsidRPr="005C5858">
        <w:rPr>
          <w:rStyle w:val="FootnoteReference"/>
        </w:rPr>
        <w:footnoteRef/>
      </w:r>
      <w:r w:rsidRPr="005C5858">
        <w:t xml:space="preserve"> Leadership examples include improving connections between schools or colleges and their communities (including employers), </w:t>
      </w:r>
      <w:r>
        <w:t xml:space="preserve">and </w:t>
      </w:r>
      <w:r w:rsidRPr="005C5858">
        <w:t xml:space="preserve">ensuring </w:t>
      </w:r>
      <w:r>
        <w:t xml:space="preserve">that </w:t>
      </w:r>
      <w:r w:rsidRPr="005C5858">
        <w:rPr>
          <w:lang w:val="en-US"/>
        </w:rPr>
        <w:t>resources and inclusive environments are in place to meet the needs of re-engaged young people.</w:t>
      </w:r>
    </w:p>
  </w:footnote>
  <w:footnote w:id="70">
    <w:p w14:paraId="1A2E2ADB" w14:textId="77777777" w:rsidR="00F45E64" w:rsidRPr="005C0D4B" w:rsidRDefault="00F45E64" w:rsidP="00F935CF">
      <w:pPr>
        <w:pStyle w:val="FootnoteText"/>
        <w:rPr>
          <w:lang w:val="en-US"/>
        </w:rPr>
      </w:pPr>
      <w:r>
        <w:rPr>
          <w:rStyle w:val="FootnoteReference"/>
        </w:rPr>
        <w:footnoteRef/>
      </w:r>
      <w:r>
        <w:rPr>
          <w:lang w:val="en-US"/>
        </w:rPr>
        <w:t xml:space="preserve"> This refers to changes introduced as part of The Compact with Young Australians.</w:t>
      </w:r>
    </w:p>
  </w:footnote>
  <w:footnote w:id="71">
    <w:p w14:paraId="782EC7DB" w14:textId="77777777" w:rsidR="00F45E64" w:rsidRPr="00E45705" w:rsidRDefault="00F45E64">
      <w:pPr>
        <w:pStyle w:val="FootnoteText"/>
        <w:rPr>
          <w:lang w:val="en-US"/>
        </w:rPr>
      </w:pPr>
      <w:r>
        <w:rPr>
          <w:rStyle w:val="FootnoteReference"/>
        </w:rPr>
        <w:footnoteRef/>
      </w:r>
      <w:r>
        <w:t xml:space="preserve"> </w:t>
      </w:r>
      <w:r w:rsidRPr="00343B79">
        <w:t xml:space="preserve">Leigh, A. (2007) </w:t>
      </w:r>
      <w:r>
        <w:t>‘</w:t>
      </w:r>
      <w:r w:rsidRPr="00343B79">
        <w:t>Returns to education in Australia</w:t>
      </w:r>
      <w:r>
        <w:t>’</w:t>
      </w:r>
      <w:r w:rsidRPr="00343B79">
        <w:t>,</w:t>
      </w:r>
      <w:r w:rsidRPr="00952643">
        <w:t xml:space="preserve"> </w:t>
      </w:r>
      <w:r w:rsidRPr="009C02C9">
        <w:t>Discussion Paper</w:t>
      </w:r>
      <w:r w:rsidRPr="00952643">
        <w:t xml:space="preserve"> </w:t>
      </w:r>
      <w:r w:rsidRPr="00343B79">
        <w:t>No. 561, Centre for Economic Policy Research, Australian National University</w:t>
      </w:r>
      <w:r>
        <w:t>.</w:t>
      </w:r>
    </w:p>
  </w:footnote>
  <w:footnote w:id="72">
    <w:p w14:paraId="35B61485" w14:textId="77777777" w:rsidR="00F45E64" w:rsidRPr="00343B79" w:rsidRDefault="00F45E64" w:rsidP="00F935CF">
      <w:pPr>
        <w:pStyle w:val="FootnoteText"/>
        <w:jc w:val="both"/>
      </w:pPr>
      <w:r w:rsidRPr="00343B79">
        <w:rPr>
          <w:rStyle w:val="FootnoteReference"/>
        </w:rPr>
        <w:footnoteRef/>
      </w:r>
      <w:r w:rsidRPr="00343B79">
        <w:t xml:space="preserve"> Schuller, T. </w:t>
      </w:r>
      <w:r>
        <w:t>&amp;</w:t>
      </w:r>
      <w:r w:rsidRPr="00343B79">
        <w:t xml:space="preserve"> Desjardins, R. (2007) </w:t>
      </w:r>
      <w:r w:rsidRPr="00343B79">
        <w:rPr>
          <w:i/>
        </w:rPr>
        <w:t>Understanding the Social Outcomes of Learning</w:t>
      </w:r>
      <w:r w:rsidRPr="00343B79">
        <w:t>, OECD/CERI.</w:t>
      </w:r>
    </w:p>
  </w:footnote>
  <w:footnote w:id="73">
    <w:p w14:paraId="253E04D0" w14:textId="77777777" w:rsidR="00F45E64" w:rsidRPr="00E45705" w:rsidRDefault="00F45E64">
      <w:pPr>
        <w:pStyle w:val="FootnoteText"/>
        <w:rPr>
          <w:lang w:val="en-US"/>
        </w:rPr>
      </w:pPr>
      <w:r>
        <w:rPr>
          <w:rStyle w:val="FootnoteReference"/>
        </w:rPr>
        <w:footnoteRef/>
      </w:r>
      <w:r>
        <w:t xml:space="preserve"> </w:t>
      </w:r>
      <w:r>
        <w:rPr>
          <w:lang w:val="en-US"/>
        </w:rPr>
        <w:t>The Australian Government currently invests in this area through the School Business Community Partnership Brokers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B69C4" w14:textId="77777777" w:rsidR="00F45E64" w:rsidRDefault="00F45E64">
    <w:pPr>
      <w:pStyle w:val="Header"/>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B3FC6" w14:textId="77777777" w:rsidR="00F45E64" w:rsidRDefault="00F45E64" w:rsidP="00D55815">
    <w:pPr>
      <w:pStyle w:val="Header"/>
      <w:tabs>
        <w:tab w:val="clear" w:pos="4320"/>
        <w:tab w:val="clear" w:pos="8640"/>
        <w:tab w:val="left" w:pos="3540"/>
      </w:tabs>
    </w:pPr>
    <w:r>
      <w:rPr>
        <w:noProof/>
        <w:lang w:eastAsia="en-AU"/>
      </w:rPr>
      <mc:AlternateContent>
        <mc:Choice Requires="wpg">
          <w:drawing>
            <wp:anchor distT="0" distB="0" distL="114300" distR="114300" simplePos="0" relativeHeight="251664384" behindDoc="1" locked="1" layoutInCell="1" allowOverlap="1" wp14:anchorId="486540ED" wp14:editId="6F78A521">
              <wp:simplePos x="0" y="0"/>
              <wp:positionH relativeFrom="page">
                <wp:posOffset>0</wp:posOffset>
              </wp:positionH>
              <wp:positionV relativeFrom="page">
                <wp:posOffset>0</wp:posOffset>
              </wp:positionV>
              <wp:extent cx="7560310" cy="8201025"/>
              <wp:effectExtent l="0" t="0" r="0" b="3175"/>
              <wp:wrapNone/>
              <wp:docPr id="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201025"/>
                        <a:chOff x="0" y="0"/>
                        <a:chExt cx="11906" cy="12915"/>
                      </a:xfrm>
                    </wpg:grpSpPr>
                    <wps:wsp>
                      <wps:cNvPr id="3" name="AutoShape 29"/>
                      <wps:cNvSpPr>
                        <a:spLocks noChangeArrowheads="1" noTextEdit="1"/>
                      </wps:cNvSpPr>
                      <wps:spPr bwMode="auto">
                        <a:xfrm>
                          <a:off x="0" y="0"/>
                          <a:ext cx="11906" cy="1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0"/>
                      <wps:cNvSpPr>
                        <a:spLocks noChangeArrowheads="1"/>
                      </wps:cNvSpPr>
                      <wps:spPr bwMode="auto">
                        <a:xfrm>
                          <a:off x="0" y="0"/>
                          <a:ext cx="11906" cy="12915"/>
                        </a:xfrm>
                        <a:prstGeom prst="rect">
                          <a:avLst/>
                        </a:prstGeom>
                        <a:solidFill>
                          <a:srgbClr val="E4E5E3"/>
                        </a:solidFill>
                        <a:ln>
                          <a:noFill/>
                        </a:ln>
                        <a:effectLst/>
                        <a:extLst>
                          <a:ext uri="{91240B29-F687-4F45-9708-019B960494DF}">
                            <a14:hiddenLine xmlns:a14="http://schemas.microsoft.com/office/drawing/2010/main" w="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33"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5" y="10894"/>
                          <a:ext cx="9667" cy="10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8" o:spid="_x0000_s1026" style="position:absolute;margin-left:0;margin-top:0;width:595.3pt;height:645.75pt;z-index:-251652096;mso-position-horizontal-relative:page;mso-position-vertical-relative:page" coordsize="11906,129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">
              <v:rect id="AutoShape 29" o:spid="_x0000_s1027" style="position:absolute;width:11906;height:12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djywwAA&#10;ANoAAAAPAAAAZHJzL2Rvd25yZXYueG1sRI9Ba8JAFITvgv9heUIvoptWk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jdjywwAAANoAAAAPAAAAAAAAAAAAAAAAAJcCAABkcnMvZG93&#10;bnJldi54bWxQSwUGAAAAAAQABAD1AAAAhwMAAAAA&#10;" filled="f" stroked="f">
                <o:lock v:ext="edit" text="t"/>
              </v:rect>
              <v:rect id="Rectangle 30" o:spid="_x0000_s1028" style="position:absolute;width:11906;height:12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HZkwQAA&#10;ANsAAAAPAAAAZHJzL2Rvd25yZXYueG1sRI/RisIwFETfBf8hXME3TVVYtGsUFUTfdtV+wN3mblu2&#10;uSlJ1NavNwuCj8PMnGGW69bU4kbOV5YVTMYJCOLc6ooLBdllP5qD8AFZY22ZFHTkYb3q95aYanvn&#10;E93OoRARwj5FBWUITSqlz0sy6Me2IY7er3UGQ5SukNrhPcJNLadJ8iENVhwXSmxoV1L+d74aBd+H&#10;omGuNjJb8FfX/Wyzx8wlSg0H7eYTRKA2vMOv9lErmE3h/0v8AXL1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rh2ZMEAAADbAAAADwAAAAAAAAAAAAAAAACXAgAAZHJzL2Rvd25y&#10;ZXYueG1sUEsFBgAAAAAEAAQA9QAAAIUDAAAAAA==&#10;" fillcolor="#e4e5e3" stroked="f" strokecolor="#4a7ebb" strokeweight="0">
                <v:shadow opacity="22938f" offset="0,26939emu"/>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1045;top:10894;width:9667;height:10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10;p8DGAAAA2wAAAA8AAABkcnMvZG93bnJldi54bWxEj0FrwkAUhO+C/2F5Qi9SN60gNbqKiNVeKjUt&#10;FW/P7DMJZt/G7Fbjv+8KgsdhZr5hxtPGlOJMtSssK3jpRSCIU6sLzhT8fL8/v4FwHlljaZkUXMnB&#10;dNJujTHW9sIbOic+EwHCLkYFufdVLKVLczLoerYiDt7B1gZ9kHUmdY2XADelfI2igTRYcFjIsaJ5&#10;Tukx+TMK9pXdDn9nu6K7TL4+F6tmceL1UamnTjMbgfDU+Ef43v7QCvp9uH0JP0BO/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v+nwMYAAADbAAAADwAAAAAAAAAAAAAAAACc&#10;AgAAZHJzL2Rvd25yZXYueG1sUEsFBgAAAAAEAAQA9wAAAI8DAAAAAA==&#10;">
                <v:imagedata r:id="rId2" o:title=""/>
              </v:shape>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1A08F" w14:textId="77777777" w:rsidR="00F45E64" w:rsidRDefault="00F45E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24D20" w14:textId="77777777" w:rsidR="00F45E64" w:rsidRDefault="00F45E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22268" w14:textId="77777777" w:rsidR="00F45E64" w:rsidRDefault="00F45E64" w:rsidP="00D55815">
    <w:pPr>
      <w:pStyle w:val="Header"/>
      <w:tabs>
        <w:tab w:val="clear" w:pos="4320"/>
        <w:tab w:val="clear" w:pos="8640"/>
        <w:tab w:val="left" w:pos="35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39715" w14:textId="77777777" w:rsidR="00F45E64" w:rsidRDefault="00F45E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02DE2" w14:textId="77777777" w:rsidR="00F45E64" w:rsidRDefault="00F45E6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80C82" w14:textId="77777777" w:rsidR="00F45E64" w:rsidRDefault="00F45E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DFA8222"/>
    <w:lvl w:ilvl="0">
      <w:start w:val="1"/>
      <w:numFmt w:val="bullet"/>
      <w:pStyle w:val="ListBullet"/>
      <w:lvlText w:val=""/>
      <w:lvlJc w:val="left"/>
      <w:pPr>
        <w:tabs>
          <w:tab w:val="num" w:pos="643"/>
        </w:tabs>
        <w:ind w:left="643" w:hanging="360"/>
      </w:pPr>
      <w:rPr>
        <w:rFonts w:ascii="Symbol" w:hAnsi="Symbol" w:hint="default"/>
      </w:rPr>
    </w:lvl>
  </w:abstractNum>
  <w:abstractNum w:abstractNumId="1">
    <w:nsid w:val="025C3ACD"/>
    <w:multiLevelType w:val="hybridMultilevel"/>
    <w:tmpl w:val="6EBC896A"/>
    <w:lvl w:ilvl="0" w:tplc="61D49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3324C3B"/>
    <w:multiLevelType w:val="multilevel"/>
    <w:tmpl w:val="24BC980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40D09CC"/>
    <w:multiLevelType w:val="hybridMultilevel"/>
    <w:tmpl w:val="2330320A"/>
    <w:lvl w:ilvl="0" w:tplc="29C02318">
      <w:start w:val="1"/>
      <w:numFmt w:val="bullet"/>
      <w:lvlText w:val="•"/>
      <w:lvlJc w:val="left"/>
      <w:pPr>
        <w:tabs>
          <w:tab w:val="num" w:pos="720"/>
        </w:tabs>
        <w:ind w:left="720" w:hanging="360"/>
      </w:pPr>
      <w:rPr>
        <w:rFonts w:ascii="Arial" w:hAnsi="Arial" w:hint="default"/>
      </w:rPr>
    </w:lvl>
    <w:lvl w:ilvl="1" w:tplc="B91043AA" w:tentative="1">
      <w:start w:val="1"/>
      <w:numFmt w:val="bullet"/>
      <w:lvlText w:val="•"/>
      <w:lvlJc w:val="left"/>
      <w:pPr>
        <w:tabs>
          <w:tab w:val="num" w:pos="1440"/>
        </w:tabs>
        <w:ind w:left="1440" w:hanging="360"/>
      </w:pPr>
      <w:rPr>
        <w:rFonts w:ascii="Arial" w:hAnsi="Arial" w:hint="default"/>
      </w:rPr>
    </w:lvl>
    <w:lvl w:ilvl="2" w:tplc="3522C184" w:tentative="1">
      <w:start w:val="1"/>
      <w:numFmt w:val="bullet"/>
      <w:lvlText w:val="•"/>
      <w:lvlJc w:val="left"/>
      <w:pPr>
        <w:tabs>
          <w:tab w:val="num" w:pos="2160"/>
        </w:tabs>
        <w:ind w:left="2160" w:hanging="360"/>
      </w:pPr>
      <w:rPr>
        <w:rFonts w:ascii="Arial" w:hAnsi="Arial" w:hint="default"/>
      </w:rPr>
    </w:lvl>
    <w:lvl w:ilvl="3" w:tplc="914C9556" w:tentative="1">
      <w:start w:val="1"/>
      <w:numFmt w:val="bullet"/>
      <w:lvlText w:val="•"/>
      <w:lvlJc w:val="left"/>
      <w:pPr>
        <w:tabs>
          <w:tab w:val="num" w:pos="2880"/>
        </w:tabs>
        <w:ind w:left="2880" w:hanging="360"/>
      </w:pPr>
      <w:rPr>
        <w:rFonts w:ascii="Arial" w:hAnsi="Arial" w:hint="default"/>
      </w:rPr>
    </w:lvl>
    <w:lvl w:ilvl="4" w:tplc="762E3A04" w:tentative="1">
      <w:start w:val="1"/>
      <w:numFmt w:val="bullet"/>
      <w:lvlText w:val="•"/>
      <w:lvlJc w:val="left"/>
      <w:pPr>
        <w:tabs>
          <w:tab w:val="num" w:pos="3600"/>
        </w:tabs>
        <w:ind w:left="3600" w:hanging="360"/>
      </w:pPr>
      <w:rPr>
        <w:rFonts w:ascii="Arial" w:hAnsi="Arial" w:hint="default"/>
      </w:rPr>
    </w:lvl>
    <w:lvl w:ilvl="5" w:tplc="FE28F27E" w:tentative="1">
      <w:start w:val="1"/>
      <w:numFmt w:val="bullet"/>
      <w:lvlText w:val="•"/>
      <w:lvlJc w:val="left"/>
      <w:pPr>
        <w:tabs>
          <w:tab w:val="num" w:pos="4320"/>
        </w:tabs>
        <w:ind w:left="4320" w:hanging="360"/>
      </w:pPr>
      <w:rPr>
        <w:rFonts w:ascii="Arial" w:hAnsi="Arial" w:hint="default"/>
      </w:rPr>
    </w:lvl>
    <w:lvl w:ilvl="6" w:tplc="6F044424" w:tentative="1">
      <w:start w:val="1"/>
      <w:numFmt w:val="bullet"/>
      <w:lvlText w:val="•"/>
      <w:lvlJc w:val="left"/>
      <w:pPr>
        <w:tabs>
          <w:tab w:val="num" w:pos="5040"/>
        </w:tabs>
        <w:ind w:left="5040" w:hanging="360"/>
      </w:pPr>
      <w:rPr>
        <w:rFonts w:ascii="Arial" w:hAnsi="Arial" w:hint="default"/>
      </w:rPr>
    </w:lvl>
    <w:lvl w:ilvl="7" w:tplc="851CFA26" w:tentative="1">
      <w:start w:val="1"/>
      <w:numFmt w:val="bullet"/>
      <w:lvlText w:val="•"/>
      <w:lvlJc w:val="left"/>
      <w:pPr>
        <w:tabs>
          <w:tab w:val="num" w:pos="5760"/>
        </w:tabs>
        <w:ind w:left="5760" w:hanging="360"/>
      </w:pPr>
      <w:rPr>
        <w:rFonts w:ascii="Arial" w:hAnsi="Arial" w:hint="default"/>
      </w:rPr>
    </w:lvl>
    <w:lvl w:ilvl="8" w:tplc="3ED4DDC0" w:tentative="1">
      <w:start w:val="1"/>
      <w:numFmt w:val="bullet"/>
      <w:lvlText w:val="•"/>
      <w:lvlJc w:val="left"/>
      <w:pPr>
        <w:tabs>
          <w:tab w:val="num" w:pos="6480"/>
        </w:tabs>
        <w:ind w:left="6480" w:hanging="360"/>
      </w:pPr>
      <w:rPr>
        <w:rFonts w:ascii="Arial" w:hAnsi="Arial" w:hint="default"/>
      </w:rPr>
    </w:lvl>
  </w:abstractNum>
  <w:abstractNum w:abstractNumId="4">
    <w:nsid w:val="0DB1710F"/>
    <w:multiLevelType w:val="multilevel"/>
    <w:tmpl w:val="88049AF8"/>
    <w:styleLink w:val="NotesSourceList"/>
    <w:lvl w:ilvl="0">
      <w:start w:val="1"/>
      <w:numFmt w:val="none"/>
      <w:pStyle w:val="NotesSource"/>
      <w:suff w:val="nothing"/>
      <w:lvlText w:val=""/>
      <w:lvlJc w:val="left"/>
      <w:pPr>
        <w:ind w:left="0" w:firstLine="0"/>
      </w:pPr>
      <w:rPr>
        <w:rFonts w:hint="default"/>
      </w:rPr>
    </w:lvl>
    <w:lvl w:ilvl="1">
      <w:start w:val="1"/>
      <w:numFmt w:val="decimal"/>
      <w:pStyle w:val="NotesSource-Numberedlist"/>
      <w:lvlText w:val="%2."/>
      <w:lvlJc w:val="left"/>
      <w:pPr>
        <w:ind w:left="340" w:hanging="34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nsid w:val="0EA50813"/>
    <w:multiLevelType w:val="hybridMultilevel"/>
    <w:tmpl w:val="EE3E4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651513"/>
    <w:multiLevelType w:val="multilevel"/>
    <w:tmpl w:val="6A860650"/>
    <w:name w:val="Headings"/>
    <w:lvl w:ilvl="0">
      <w:start w:val="1"/>
      <w:numFmt w:val="decimal"/>
      <w:pStyle w:val="Heading1"/>
      <w:lvlText w:val="%1"/>
      <w:lvlJc w:val="left"/>
      <w:pPr>
        <w:tabs>
          <w:tab w:val="num" w:pos="851"/>
        </w:tabs>
        <w:ind w:left="851" w:hanging="851"/>
      </w:pPr>
      <w:rPr>
        <w:rFonts w:ascii="Arial Narrow" w:hAnsi="Arial Narrow" w:hint="default"/>
        <w:b w:val="0"/>
        <w:i w:val="0"/>
        <w:color w:val="931B2F"/>
        <w:sz w:val="12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ind w:left="2880" w:hanging="2880"/>
      </w:pPr>
      <w:rPr>
        <w:rFonts w:hint="default"/>
      </w:rPr>
    </w:lvl>
    <w:lvl w:ilvl="4">
      <w:start w:val="1"/>
      <w:numFmt w:val="none"/>
      <w:lvlText w:val=""/>
      <w:lvlJc w:val="left"/>
      <w:pPr>
        <w:ind w:left="3600" w:hanging="360"/>
      </w:pPr>
      <w:rPr>
        <w:rFonts w:hint="default"/>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7">
    <w:nsid w:val="1CC32571"/>
    <w:multiLevelType w:val="hybridMultilevel"/>
    <w:tmpl w:val="3118BC0A"/>
    <w:lvl w:ilvl="0" w:tplc="7FF8C034">
      <w:start w:val="1"/>
      <w:numFmt w:val="bullet"/>
      <w:pStyle w:val="Listbullet2indented"/>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D56105"/>
    <w:multiLevelType w:val="hybridMultilevel"/>
    <w:tmpl w:val="637E3722"/>
    <w:lvl w:ilvl="0" w:tplc="19EA8A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690E9C"/>
    <w:multiLevelType w:val="hybridMultilevel"/>
    <w:tmpl w:val="4B36CC24"/>
    <w:lvl w:ilvl="0" w:tplc="4CE2EF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E9B5D27"/>
    <w:multiLevelType w:val="hybridMultilevel"/>
    <w:tmpl w:val="F4FC1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969EB"/>
    <w:multiLevelType w:val="hybridMultilevel"/>
    <w:tmpl w:val="3EA46DCC"/>
    <w:lvl w:ilvl="0" w:tplc="AC8631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65A7889"/>
    <w:multiLevelType w:val="hybridMultilevel"/>
    <w:tmpl w:val="DB4688A6"/>
    <w:lvl w:ilvl="0" w:tplc="19EA8A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8F4A37"/>
    <w:multiLevelType w:val="hybridMultilevel"/>
    <w:tmpl w:val="B5089A14"/>
    <w:lvl w:ilvl="0" w:tplc="8300120C">
      <w:start w:val="1"/>
      <w:numFmt w:val="bullet"/>
      <w:lvlText w:val="•"/>
      <w:lvlJc w:val="left"/>
      <w:pPr>
        <w:tabs>
          <w:tab w:val="num" w:pos="360"/>
        </w:tabs>
        <w:ind w:left="360" w:hanging="360"/>
      </w:pPr>
      <w:rPr>
        <w:rFonts w:ascii="Arial" w:hAnsi="Arial" w:hint="default"/>
      </w:rPr>
    </w:lvl>
    <w:lvl w:ilvl="1" w:tplc="9EB4D262" w:tentative="1">
      <w:start w:val="1"/>
      <w:numFmt w:val="bullet"/>
      <w:lvlText w:val="•"/>
      <w:lvlJc w:val="left"/>
      <w:pPr>
        <w:tabs>
          <w:tab w:val="num" w:pos="1080"/>
        </w:tabs>
        <w:ind w:left="1080" w:hanging="360"/>
      </w:pPr>
      <w:rPr>
        <w:rFonts w:ascii="Arial" w:hAnsi="Arial" w:hint="default"/>
      </w:rPr>
    </w:lvl>
    <w:lvl w:ilvl="2" w:tplc="8960CC4C" w:tentative="1">
      <w:start w:val="1"/>
      <w:numFmt w:val="bullet"/>
      <w:lvlText w:val="•"/>
      <w:lvlJc w:val="left"/>
      <w:pPr>
        <w:tabs>
          <w:tab w:val="num" w:pos="1800"/>
        </w:tabs>
        <w:ind w:left="1800" w:hanging="360"/>
      </w:pPr>
      <w:rPr>
        <w:rFonts w:ascii="Arial" w:hAnsi="Arial" w:hint="default"/>
      </w:rPr>
    </w:lvl>
    <w:lvl w:ilvl="3" w:tplc="04E03F7A" w:tentative="1">
      <w:start w:val="1"/>
      <w:numFmt w:val="bullet"/>
      <w:lvlText w:val="•"/>
      <w:lvlJc w:val="left"/>
      <w:pPr>
        <w:tabs>
          <w:tab w:val="num" w:pos="2520"/>
        </w:tabs>
        <w:ind w:left="2520" w:hanging="360"/>
      </w:pPr>
      <w:rPr>
        <w:rFonts w:ascii="Arial" w:hAnsi="Arial" w:hint="default"/>
      </w:rPr>
    </w:lvl>
    <w:lvl w:ilvl="4" w:tplc="924E679E" w:tentative="1">
      <w:start w:val="1"/>
      <w:numFmt w:val="bullet"/>
      <w:lvlText w:val="•"/>
      <w:lvlJc w:val="left"/>
      <w:pPr>
        <w:tabs>
          <w:tab w:val="num" w:pos="3240"/>
        </w:tabs>
        <w:ind w:left="3240" w:hanging="360"/>
      </w:pPr>
      <w:rPr>
        <w:rFonts w:ascii="Arial" w:hAnsi="Arial" w:hint="default"/>
      </w:rPr>
    </w:lvl>
    <w:lvl w:ilvl="5" w:tplc="8F3ED16E" w:tentative="1">
      <w:start w:val="1"/>
      <w:numFmt w:val="bullet"/>
      <w:lvlText w:val="•"/>
      <w:lvlJc w:val="left"/>
      <w:pPr>
        <w:tabs>
          <w:tab w:val="num" w:pos="3960"/>
        </w:tabs>
        <w:ind w:left="3960" w:hanging="360"/>
      </w:pPr>
      <w:rPr>
        <w:rFonts w:ascii="Arial" w:hAnsi="Arial" w:hint="default"/>
      </w:rPr>
    </w:lvl>
    <w:lvl w:ilvl="6" w:tplc="0CB8714C" w:tentative="1">
      <w:start w:val="1"/>
      <w:numFmt w:val="bullet"/>
      <w:lvlText w:val="•"/>
      <w:lvlJc w:val="left"/>
      <w:pPr>
        <w:tabs>
          <w:tab w:val="num" w:pos="4680"/>
        </w:tabs>
        <w:ind w:left="4680" w:hanging="360"/>
      </w:pPr>
      <w:rPr>
        <w:rFonts w:ascii="Arial" w:hAnsi="Arial" w:hint="default"/>
      </w:rPr>
    </w:lvl>
    <w:lvl w:ilvl="7" w:tplc="E5FEF6DE" w:tentative="1">
      <w:start w:val="1"/>
      <w:numFmt w:val="bullet"/>
      <w:lvlText w:val="•"/>
      <w:lvlJc w:val="left"/>
      <w:pPr>
        <w:tabs>
          <w:tab w:val="num" w:pos="5400"/>
        </w:tabs>
        <w:ind w:left="5400" w:hanging="360"/>
      </w:pPr>
      <w:rPr>
        <w:rFonts w:ascii="Arial" w:hAnsi="Arial" w:hint="default"/>
      </w:rPr>
    </w:lvl>
    <w:lvl w:ilvl="8" w:tplc="6D04BF9E" w:tentative="1">
      <w:start w:val="1"/>
      <w:numFmt w:val="bullet"/>
      <w:lvlText w:val="•"/>
      <w:lvlJc w:val="left"/>
      <w:pPr>
        <w:tabs>
          <w:tab w:val="num" w:pos="6120"/>
        </w:tabs>
        <w:ind w:left="6120" w:hanging="360"/>
      </w:pPr>
      <w:rPr>
        <w:rFonts w:ascii="Arial" w:hAnsi="Arial" w:hint="default"/>
      </w:rPr>
    </w:lvl>
  </w:abstractNum>
  <w:abstractNum w:abstractNumId="14">
    <w:nsid w:val="28D3632A"/>
    <w:multiLevelType w:val="hybridMultilevel"/>
    <w:tmpl w:val="037273AC"/>
    <w:lvl w:ilvl="0" w:tplc="7FCC1C00">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7C2CD4"/>
    <w:multiLevelType w:val="hybridMultilevel"/>
    <w:tmpl w:val="07B28B64"/>
    <w:lvl w:ilvl="0" w:tplc="19EA8A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46423D5"/>
    <w:multiLevelType w:val="hybridMultilevel"/>
    <w:tmpl w:val="CBA8A9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2A571B"/>
    <w:multiLevelType w:val="multilevel"/>
    <w:tmpl w:val="EF2CF90E"/>
    <w:name w:val="Bullets2"/>
    <w:lvl w:ilvl="0">
      <w:start w:val="1"/>
      <w:numFmt w:val="decimal"/>
      <w:pStyle w:val="ListNumber"/>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color w:val="auto"/>
      </w:rPr>
    </w:lvl>
    <w:lvl w:ilvl="2">
      <w:start w:val="1"/>
      <w:numFmt w:val="bullet"/>
      <w:lvlText w:val=""/>
      <w:lvlJc w:val="left"/>
      <w:pPr>
        <w:tabs>
          <w:tab w:val="num" w:pos="1134"/>
        </w:tabs>
        <w:ind w:left="1134" w:hanging="227"/>
      </w:pPr>
      <w:rPr>
        <w:rFonts w:ascii="Symbol" w:hAnsi="Symbo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355D5E21"/>
    <w:multiLevelType w:val="hybridMultilevel"/>
    <w:tmpl w:val="D1C4CBCC"/>
    <w:lvl w:ilvl="0" w:tplc="7FCC1C00">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hint="default"/>
      </w:rPr>
    </w:lvl>
    <w:lvl w:ilvl="2" w:tplc="04090005">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36813BD7"/>
    <w:multiLevelType w:val="hybridMultilevel"/>
    <w:tmpl w:val="8C14421E"/>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5811A4A"/>
    <w:multiLevelType w:val="hybridMultilevel"/>
    <w:tmpl w:val="66D21F24"/>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nsid w:val="4BC913D3"/>
    <w:multiLevelType w:val="hybridMultilevel"/>
    <w:tmpl w:val="564E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0D554E"/>
    <w:multiLevelType w:val="hybridMultilevel"/>
    <w:tmpl w:val="81F64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0B3F64"/>
    <w:multiLevelType w:val="hybridMultilevel"/>
    <w:tmpl w:val="D84688BC"/>
    <w:lvl w:ilvl="0" w:tplc="05DE8A7A">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4">
    <w:nsid w:val="4E862619"/>
    <w:multiLevelType w:val="hybridMultilevel"/>
    <w:tmpl w:val="87DA57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ECE7CCC"/>
    <w:multiLevelType w:val="hybridMultilevel"/>
    <w:tmpl w:val="CCE4D2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01F0DFD"/>
    <w:multiLevelType w:val="hybridMultilevel"/>
    <w:tmpl w:val="B288B338"/>
    <w:lvl w:ilvl="0" w:tplc="476C7A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0EB038F"/>
    <w:multiLevelType w:val="hybridMultilevel"/>
    <w:tmpl w:val="A6FC81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F006ED"/>
    <w:multiLevelType w:val="hybridMultilevel"/>
    <w:tmpl w:val="D99E1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B8B23D6"/>
    <w:multiLevelType w:val="hybridMultilevel"/>
    <w:tmpl w:val="F258CCC2"/>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61FD7742"/>
    <w:multiLevelType w:val="hybridMultilevel"/>
    <w:tmpl w:val="F1863C4C"/>
    <w:lvl w:ilvl="0" w:tplc="19EA8A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7F15AF0"/>
    <w:multiLevelType w:val="hybridMultilevel"/>
    <w:tmpl w:val="D164645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2">
    <w:nsid w:val="6B433A2C"/>
    <w:multiLevelType w:val="hybridMultilevel"/>
    <w:tmpl w:val="F3BE716A"/>
    <w:lvl w:ilvl="0" w:tplc="7460E5F8">
      <w:start w:val="1"/>
      <w:numFmt w:val="bullet"/>
      <w:lvlText w:val="•"/>
      <w:lvlJc w:val="left"/>
      <w:pPr>
        <w:tabs>
          <w:tab w:val="num" w:pos="360"/>
        </w:tabs>
        <w:ind w:left="360" w:hanging="360"/>
      </w:pPr>
      <w:rPr>
        <w:rFonts w:ascii="Arial" w:hAnsi="Arial" w:hint="default"/>
      </w:rPr>
    </w:lvl>
    <w:lvl w:ilvl="1" w:tplc="14100600" w:tentative="1">
      <w:start w:val="1"/>
      <w:numFmt w:val="bullet"/>
      <w:lvlText w:val="•"/>
      <w:lvlJc w:val="left"/>
      <w:pPr>
        <w:tabs>
          <w:tab w:val="num" w:pos="1080"/>
        </w:tabs>
        <w:ind w:left="1080" w:hanging="360"/>
      </w:pPr>
      <w:rPr>
        <w:rFonts w:ascii="Arial" w:hAnsi="Arial" w:hint="default"/>
      </w:rPr>
    </w:lvl>
    <w:lvl w:ilvl="2" w:tplc="A5FC1CCA" w:tentative="1">
      <w:start w:val="1"/>
      <w:numFmt w:val="bullet"/>
      <w:lvlText w:val="•"/>
      <w:lvlJc w:val="left"/>
      <w:pPr>
        <w:tabs>
          <w:tab w:val="num" w:pos="1800"/>
        </w:tabs>
        <w:ind w:left="1800" w:hanging="360"/>
      </w:pPr>
      <w:rPr>
        <w:rFonts w:ascii="Arial" w:hAnsi="Arial" w:hint="default"/>
      </w:rPr>
    </w:lvl>
    <w:lvl w:ilvl="3" w:tplc="D104FC42" w:tentative="1">
      <w:start w:val="1"/>
      <w:numFmt w:val="bullet"/>
      <w:lvlText w:val="•"/>
      <w:lvlJc w:val="left"/>
      <w:pPr>
        <w:tabs>
          <w:tab w:val="num" w:pos="2520"/>
        </w:tabs>
        <w:ind w:left="2520" w:hanging="360"/>
      </w:pPr>
      <w:rPr>
        <w:rFonts w:ascii="Arial" w:hAnsi="Arial" w:hint="default"/>
      </w:rPr>
    </w:lvl>
    <w:lvl w:ilvl="4" w:tplc="1C1E0C7A" w:tentative="1">
      <w:start w:val="1"/>
      <w:numFmt w:val="bullet"/>
      <w:lvlText w:val="•"/>
      <w:lvlJc w:val="left"/>
      <w:pPr>
        <w:tabs>
          <w:tab w:val="num" w:pos="3240"/>
        </w:tabs>
        <w:ind w:left="3240" w:hanging="360"/>
      </w:pPr>
      <w:rPr>
        <w:rFonts w:ascii="Arial" w:hAnsi="Arial" w:hint="default"/>
      </w:rPr>
    </w:lvl>
    <w:lvl w:ilvl="5" w:tplc="DFEE4934" w:tentative="1">
      <w:start w:val="1"/>
      <w:numFmt w:val="bullet"/>
      <w:lvlText w:val="•"/>
      <w:lvlJc w:val="left"/>
      <w:pPr>
        <w:tabs>
          <w:tab w:val="num" w:pos="3960"/>
        </w:tabs>
        <w:ind w:left="3960" w:hanging="360"/>
      </w:pPr>
      <w:rPr>
        <w:rFonts w:ascii="Arial" w:hAnsi="Arial" w:hint="default"/>
      </w:rPr>
    </w:lvl>
    <w:lvl w:ilvl="6" w:tplc="DC44B0A4" w:tentative="1">
      <w:start w:val="1"/>
      <w:numFmt w:val="bullet"/>
      <w:lvlText w:val="•"/>
      <w:lvlJc w:val="left"/>
      <w:pPr>
        <w:tabs>
          <w:tab w:val="num" w:pos="4680"/>
        </w:tabs>
        <w:ind w:left="4680" w:hanging="360"/>
      </w:pPr>
      <w:rPr>
        <w:rFonts w:ascii="Arial" w:hAnsi="Arial" w:hint="default"/>
      </w:rPr>
    </w:lvl>
    <w:lvl w:ilvl="7" w:tplc="335245EE" w:tentative="1">
      <w:start w:val="1"/>
      <w:numFmt w:val="bullet"/>
      <w:lvlText w:val="•"/>
      <w:lvlJc w:val="left"/>
      <w:pPr>
        <w:tabs>
          <w:tab w:val="num" w:pos="5400"/>
        </w:tabs>
        <w:ind w:left="5400" w:hanging="360"/>
      </w:pPr>
      <w:rPr>
        <w:rFonts w:ascii="Arial" w:hAnsi="Arial" w:hint="default"/>
      </w:rPr>
    </w:lvl>
    <w:lvl w:ilvl="8" w:tplc="13E800C4" w:tentative="1">
      <w:start w:val="1"/>
      <w:numFmt w:val="bullet"/>
      <w:lvlText w:val="•"/>
      <w:lvlJc w:val="left"/>
      <w:pPr>
        <w:tabs>
          <w:tab w:val="num" w:pos="6120"/>
        </w:tabs>
        <w:ind w:left="6120" w:hanging="360"/>
      </w:pPr>
      <w:rPr>
        <w:rFonts w:ascii="Arial" w:hAnsi="Arial" w:hint="default"/>
      </w:rPr>
    </w:lvl>
  </w:abstractNum>
  <w:abstractNum w:abstractNumId="33">
    <w:nsid w:val="6C3735DA"/>
    <w:multiLevelType w:val="hybridMultilevel"/>
    <w:tmpl w:val="4B568314"/>
    <w:lvl w:ilvl="0" w:tplc="FA6451C4">
      <w:start w:val="1"/>
      <w:numFmt w:val="bullet"/>
      <w:lvlText w:val="•"/>
      <w:lvlJc w:val="left"/>
      <w:pPr>
        <w:tabs>
          <w:tab w:val="num" w:pos="360"/>
        </w:tabs>
        <w:ind w:left="360" w:hanging="360"/>
      </w:pPr>
      <w:rPr>
        <w:rFonts w:ascii="Arial" w:hAnsi="Arial" w:hint="default"/>
      </w:rPr>
    </w:lvl>
    <w:lvl w:ilvl="1" w:tplc="3E8037C8" w:tentative="1">
      <w:start w:val="1"/>
      <w:numFmt w:val="bullet"/>
      <w:lvlText w:val="•"/>
      <w:lvlJc w:val="left"/>
      <w:pPr>
        <w:tabs>
          <w:tab w:val="num" w:pos="1080"/>
        </w:tabs>
        <w:ind w:left="1080" w:hanging="360"/>
      </w:pPr>
      <w:rPr>
        <w:rFonts w:ascii="Arial" w:hAnsi="Arial" w:hint="default"/>
      </w:rPr>
    </w:lvl>
    <w:lvl w:ilvl="2" w:tplc="567652E0" w:tentative="1">
      <w:start w:val="1"/>
      <w:numFmt w:val="bullet"/>
      <w:lvlText w:val="•"/>
      <w:lvlJc w:val="left"/>
      <w:pPr>
        <w:tabs>
          <w:tab w:val="num" w:pos="1800"/>
        </w:tabs>
        <w:ind w:left="1800" w:hanging="360"/>
      </w:pPr>
      <w:rPr>
        <w:rFonts w:ascii="Arial" w:hAnsi="Arial" w:hint="default"/>
      </w:rPr>
    </w:lvl>
    <w:lvl w:ilvl="3" w:tplc="C290BDA4" w:tentative="1">
      <w:start w:val="1"/>
      <w:numFmt w:val="bullet"/>
      <w:lvlText w:val="•"/>
      <w:lvlJc w:val="left"/>
      <w:pPr>
        <w:tabs>
          <w:tab w:val="num" w:pos="2520"/>
        </w:tabs>
        <w:ind w:left="2520" w:hanging="360"/>
      </w:pPr>
      <w:rPr>
        <w:rFonts w:ascii="Arial" w:hAnsi="Arial" w:hint="default"/>
      </w:rPr>
    </w:lvl>
    <w:lvl w:ilvl="4" w:tplc="E2766E80" w:tentative="1">
      <w:start w:val="1"/>
      <w:numFmt w:val="bullet"/>
      <w:lvlText w:val="•"/>
      <w:lvlJc w:val="left"/>
      <w:pPr>
        <w:tabs>
          <w:tab w:val="num" w:pos="3240"/>
        </w:tabs>
        <w:ind w:left="3240" w:hanging="360"/>
      </w:pPr>
      <w:rPr>
        <w:rFonts w:ascii="Arial" w:hAnsi="Arial" w:hint="default"/>
      </w:rPr>
    </w:lvl>
    <w:lvl w:ilvl="5" w:tplc="BF500292" w:tentative="1">
      <w:start w:val="1"/>
      <w:numFmt w:val="bullet"/>
      <w:lvlText w:val="•"/>
      <w:lvlJc w:val="left"/>
      <w:pPr>
        <w:tabs>
          <w:tab w:val="num" w:pos="3960"/>
        </w:tabs>
        <w:ind w:left="3960" w:hanging="360"/>
      </w:pPr>
      <w:rPr>
        <w:rFonts w:ascii="Arial" w:hAnsi="Arial" w:hint="default"/>
      </w:rPr>
    </w:lvl>
    <w:lvl w:ilvl="6" w:tplc="13C6E22E" w:tentative="1">
      <w:start w:val="1"/>
      <w:numFmt w:val="bullet"/>
      <w:lvlText w:val="•"/>
      <w:lvlJc w:val="left"/>
      <w:pPr>
        <w:tabs>
          <w:tab w:val="num" w:pos="4680"/>
        </w:tabs>
        <w:ind w:left="4680" w:hanging="360"/>
      </w:pPr>
      <w:rPr>
        <w:rFonts w:ascii="Arial" w:hAnsi="Arial" w:hint="default"/>
      </w:rPr>
    </w:lvl>
    <w:lvl w:ilvl="7" w:tplc="973C75AE" w:tentative="1">
      <w:start w:val="1"/>
      <w:numFmt w:val="bullet"/>
      <w:lvlText w:val="•"/>
      <w:lvlJc w:val="left"/>
      <w:pPr>
        <w:tabs>
          <w:tab w:val="num" w:pos="5400"/>
        </w:tabs>
        <w:ind w:left="5400" w:hanging="360"/>
      </w:pPr>
      <w:rPr>
        <w:rFonts w:ascii="Arial" w:hAnsi="Arial" w:hint="default"/>
      </w:rPr>
    </w:lvl>
    <w:lvl w:ilvl="8" w:tplc="F28EDBC4" w:tentative="1">
      <w:start w:val="1"/>
      <w:numFmt w:val="bullet"/>
      <w:lvlText w:val="•"/>
      <w:lvlJc w:val="left"/>
      <w:pPr>
        <w:tabs>
          <w:tab w:val="num" w:pos="6120"/>
        </w:tabs>
        <w:ind w:left="6120" w:hanging="360"/>
      </w:pPr>
      <w:rPr>
        <w:rFonts w:ascii="Arial" w:hAnsi="Arial" w:hint="default"/>
      </w:rPr>
    </w:lvl>
  </w:abstractNum>
  <w:abstractNum w:abstractNumId="34">
    <w:nsid w:val="706E077C"/>
    <w:multiLevelType w:val="hybridMultilevel"/>
    <w:tmpl w:val="922AF926"/>
    <w:lvl w:ilvl="0" w:tplc="D6180786">
      <w:start w:val="1"/>
      <w:numFmt w:val="bullet"/>
      <w:lvlText w:val="•"/>
      <w:lvlJc w:val="left"/>
      <w:pPr>
        <w:tabs>
          <w:tab w:val="num" w:pos="720"/>
        </w:tabs>
        <w:ind w:left="720" w:hanging="360"/>
      </w:pPr>
      <w:rPr>
        <w:rFonts w:ascii="Arial" w:hAnsi="Arial" w:hint="default"/>
      </w:rPr>
    </w:lvl>
    <w:lvl w:ilvl="1" w:tplc="F956E142">
      <w:numFmt w:val="bullet"/>
      <w:lvlText w:val="•"/>
      <w:lvlJc w:val="left"/>
      <w:pPr>
        <w:tabs>
          <w:tab w:val="num" w:pos="1440"/>
        </w:tabs>
        <w:ind w:left="1440" w:hanging="360"/>
      </w:pPr>
      <w:rPr>
        <w:rFonts w:ascii="Arial" w:hAnsi="Arial" w:hint="default"/>
      </w:rPr>
    </w:lvl>
    <w:lvl w:ilvl="2" w:tplc="2340C0A6" w:tentative="1">
      <w:start w:val="1"/>
      <w:numFmt w:val="bullet"/>
      <w:lvlText w:val="•"/>
      <w:lvlJc w:val="left"/>
      <w:pPr>
        <w:tabs>
          <w:tab w:val="num" w:pos="2160"/>
        </w:tabs>
        <w:ind w:left="2160" w:hanging="360"/>
      </w:pPr>
      <w:rPr>
        <w:rFonts w:ascii="Arial" w:hAnsi="Arial" w:hint="default"/>
      </w:rPr>
    </w:lvl>
    <w:lvl w:ilvl="3" w:tplc="13F6208A" w:tentative="1">
      <w:start w:val="1"/>
      <w:numFmt w:val="bullet"/>
      <w:lvlText w:val="•"/>
      <w:lvlJc w:val="left"/>
      <w:pPr>
        <w:tabs>
          <w:tab w:val="num" w:pos="2880"/>
        </w:tabs>
        <w:ind w:left="2880" w:hanging="360"/>
      </w:pPr>
      <w:rPr>
        <w:rFonts w:ascii="Arial" w:hAnsi="Arial" w:hint="default"/>
      </w:rPr>
    </w:lvl>
    <w:lvl w:ilvl="4" w:tplc="BEDEBBB6" w:tentative="1">
      <w:start w:val="1"/>
      <w:numFmt w:val="bullet"/>
      <w:lvlText w:val="•"/>
      <w:lvlJc w:val="left"/>
      <w:pPr>
        <w:tabs>
          <w:tab w:val="num" w:pos="3600"/>
        </w:tabs>
        <w:ind w:left="3600" w:hanging="360"/>
      </w:pPr>
      <w:rPr>
        <w:rFonts w:ascii="Arial" w:hAnsi="Arial" w:hint="default"/>
      </w:rPr>
    </w:lvl>
    <w:lvl w:ilvl="5" w:tplc="E3643544" w:tentative="1">
      <w:start w:val="1"/>
      <w:numFmt w:val="bullet"/>
      <w:lvlText w:val="•"/>
      <w:lvlJc w:val="left"/>
      <w:pPr>
        <w:tabs>
          <w:tab w:val="num" w:pos="4320"/>
        </w:tabs>
        <w:ind w:left="4320" w:hanging="360"/>
      </w:pPr>
      <w:rPr>
        <w:rFonts w:ascii="Arial" w:hAnsi="Arial" w:hint="default"/>
      </w:rPr>
    </w:lvl>
    <w:lvl w:ilvl="6" w:tplc="E7A41B3E" w:tentative="1">
      <w:start w:val="1"/>
      <w:numFmt w:val="bullet"/>
      <w:lvlText w:val="•"/>
      <w:lvlJc w:val="left"/>
      <w:pPr>
        <w:tabs>
          <w:tab w:val="num" w:pos="5040"/>
        </w:tabs>
        <w:ind w:left="5040" w:hanging="360"/>
      </w:pPr>
      <w:rPr>
        <w:rFonts w:ascii="Arial" w:hAnsi="Arial" w:hint="default"/>
      </w:rPr>
    </w:lvl>
    <w:lvl w:ilvl="7" w:tplc="71FC47BA" w:tentative="1">
      <w:start w:val="1"/>
      <w:numFmt w:val="bullet"/>
      <w:lvlText w:val="•"/>
      <w:lvlJc w:val="left"/>
      <w:pPr>
        <w:tabs>
          <w:tab w:val="num" w:pos="5760"/>
        </w:tabs>
        <w:ind w:left="5760" w:hanging="360"/>
      </w:pPr>
      <w:rPr>
        <w:rFonts w:ascii="Arial" w:hAnsi="Arial" w:hint="default"/>
      </w:rPr>
    </w:lvl>
    <w:lvl w:ilvl="8" w:tplc="3E604C28" w:tentative="1">
      <w:start w:val="1"/>
      <w:numFmt w:val="bullet"/>
      <w:lvlText w:val="•"/>
      <w:lvlJc w:val="left"/>
      <w:pPr>
        <w:tabs>
          <w:tab w:val="num" w:pos="6480"/>
        </w:tabs>
        <w:ind w:left="6480" w:hanging="360"/>
      </w:pPr>
      <w:rPr>
        <w:rFonts w:ascii="Arial" w:hAnsi="Arial" w:hint="default"/>
      </w:rPr>
    </w:lvl>
  </w:abstractNum>
  <w:abstractNum w:abstractNumId="35">
    <w:nsid w:val="722B2D98"/>
    <w:multiLevelType w:val="multilevel"/>
    <w:tmpl w:val="C92AF664"/>
    <w:lvl w:ilvl="0">
      <w:start w:val="1"/>
      <w:numFmt w:val="bullet"/>
      <w:pStyle w:val="Listdash"/>
      <w:lvlText w:val=""/>
      <w:lvlJc w:val="left"/>
      <w:pPr>
        <w:ind w:left="927" w:hanging="360"/>
      </w:pPr>
      <w:rPr>
        <w:rFonts w:ascii="Symbol" w:hAnsi="Symbol" w:hint="default"/>
        <w:position w:val="2"/>
        <w:sz w:val="16"/>
      </w:rPr>
    </w:lvl>
    <w:lvl w:ilvl="1">
      <w:start w:val="1"/>
      <w:numFmt w:val="bullet"/>
      <w:lvlText w:val=""/>
      <w:lvlJc w:val="left"/>
      <w:pPr>
        <w:tabs>
          <w:tab w:val="num" w:pos="680"/>
        </w:tabs>
        <w:ind w:left="680" w:hanging="340"/>
      </w:pPr>
      <w:rPr>
        <w:rFonts w:ascii="Symbol" w:hAnsi="Symbol" w:hint="default"/>
        <w:color w:val="auto"/>
      </w:rPr>
    </w:lvl>
    <w:lvl w:ilvl="2">
      <w:start w:val="1"/>
      <w:numFmt w:val="bullet"/>
      <w:lvlText w:val=""/>
      <w:lvlJc w:val="left"/>
      <w:pPr>
        <w:tabs>
          <w:tab w:val="num" w:pos="1021"/>
        </w:tabs>
        <w:ind w:left="1021" w:hanging="341"/>
      </w:pPr>
      <w:rPr>
        <w:rFonts w:ascii="Symbol" w:hAnsi="Symbol" w:hint="default"/>
        <w:color w:val="auto"/>
        <w:position w:val="2"/>
        <w:sz w:val="12"/>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36">
    <w:nsid w:val="73B0096F"/>
    <w:multiLevelType w:val="hybridMultilevel"/>
    <w:tmpl w:val="0DF259A4"/>
    <w:lvl w:ilvl="0" w:tplc="5C160D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B7039E"/>
    <w:multiLevelType w:val="hybridMultilevel"/>
    <w:tmpl w:val="EABEFB5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8">
    <w:nsid w:val="7AC956F6"/>
    <w:multiLevelType w:val="hybridMultilevel"/>
    <w:tmpl w:val="A71EDC4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7D131870"/>
    <w:multiLevelType w:val="hybridMultilevel"/>
    <w:tmpl w:val="0C069E4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6"/>
  </w:num>
  <w:num w:numId="2">
    <w:abstractNumId w:val="35"/>
  </w:num>
  <w:num w:numId="3">
    <w:abstractNumId w:val="17"/>
  </w:num>
  <w:num w:numId="4">
    <w:abstractNumId w:val="35"/>
  </w:num>
  <w:num w:numId="5">
    <w:abstractNumId w:val="7"/>
  </w:num>
  <w:num w:numId="6">
    <w:abstractNumId w:val="22"/>
  </w:num>
  <w:num w:numId="7">
    <w:abstractNumId w:val="36"/>
  </w:num>
  <w:num w:numId="8">
    <w:abstractNumId w:val="21"/>
  </w:num>
  <w:num w:numId="9">
    <w:abstractNumId w:val="4"/>
  </w:num>
  <w:num w:numId="10">
    <w:abstractNumId w:val="37"/>
  </w:num>
  <w:num w:numId="11">
    <w:abstractNumId w:val="31"/>
  </w:num>
  <w:num w:numId="12">
    <w:abstractNumId w:val="0"/>
  </w:num>
  <w:num w:numId="13">
    <w:abstractNumId w:val="32"/>
  </w:num>
  <w:num w:numId="14">
    <w:abstractNumId w:val="13"/>
  </w:num>
  <w:num w:numId="15">
    <w:abstractNumId w:val="33"/>
  </w:num>
  <w:num w:numId="16">
    <w:abstractNumId w:val="10"/>
  </w:num>
  <w:num w:numId="17">
    <w:abstractNumId w:val="34"/>
  </w:num>
  <w:num w:numId="18">
    <w:abstractNumId w:val="23"/>
  </w:num>
  <w:num w:numId="19">
    <w:abstractNumId w:val="9"/>
  </w:num>
  <w:num w:numId="20">
    <w:abstractNumId w:val="1"/>
  </w:num>
  <w:num w:numId="21">
    <w:abstractNumId w:val="11"/>
  </w:num>
  <w:num w:numId="22">
    <w:abstractNumId w:val="26"/>
  </w:num>
  <w:num w:numId="23">
    <w:abstractNumId w:val="3"/>
  </w:num>
  <w:num w:numId="24">
    <w:abstractNumId w:val="28"/>
  </w:num>
  <w:num w:numId="25">
    <w:abstractNumId w:val="8"/>
  </w:num>
  <w:num w:numId="26">
    <w:abstractNumId w:val="12"/>
  </w:num>
  <w:num w:numId="27">
    <w:abstractNumId w:val="15"/>
  </w:num>
  <w:num w:numId="28">
    <w:abstractNumId w:val="30"/>
  </w:num>
  <w:num w:numId="29">
    <w:abstractNumId w:val="18"/>
  </w:num>
  <w:num w:numId="30">
    <w:abstractNumId w:val="27"/>
  </w:num>
  <w:num w:numId="31">
    <w:abstractNumId w:val="19"/>
  </w:num>
  <w:num w:numId="32">
    <w:abstractNumId w:val="25"/>
  </w:num>
  <w:num w:numId="33">
    <w:abstractNumId w:val="5"/>
  </w:num>
  <w:num w:numId="34">
    <w:abstractNumId w:val="39"/>
  </w:num>
  <w:num w:numId="35">
    <w:abstractNumId w:val="20"/>
  </w:num>
  <w:num w:numId="36">
    <w:abstractNumId w:val="38"/>
  </w:num>
  <w:num w:numId="37">
    <w:abstractNumId w:val="16"/>
  </w:num>
  <w:num w:numId="38">
    <w:abstractNumId w:val="29"/>
  </w:num>
  <w:num w:numId="39">
    <w:abstractNumId w:val="24"/>
  </w:num>
  <w:num w:numId="40">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DDF"/>
    <w:rsid w:val="00013521"/>
    <w:rsid w:val="00022691"/>
    <w:rsid w:val="0002487A"/>
    <w:rsid w:val="0003272C"/>
    <w:rsid w:val="00040E86"/>
    <w:rsid w:val="00041CEE"/>
    <w:rsid w:val="000437FD"/>
    <w:rsid w:val="00045FC6"/>
    <w:rsid w:val="000463BC"/>
    <w:rsid w:val="00046F77"/>
    <w:rsid w:val="000629F8"/>
    <w:rsid w:val="000651E4"/>
    <w:rsid w:val="00071547"/>
    <w:rsid w:val="0008552F"/>
    <w:rsid w:val="000912FB"/>
    <w:rsid w:val="0009289B"/>
    <w:rsid w:val="00094149"/>
    <w:rsid w:val="00095CAD"/>
    <w:rsid w:val="000969D8"/>
    <w:rsid w:val="0009795E"/>
    <w:rsid w:val="000A31CF"/>
    <w:rsid w:val="000A4BC9"/>
    <w:rsid w:val="000B1203"/>
    <w:rsid w:val="000B37B8"/>
    <w:rsid w:val="000B4F33"/>
    <w:rsid w:val="000B5B34"/>
    <w:rsid w:val="000C00C9"/>
    <w:rsid w:val="000C29CF"/>
    <w:rsid w:val="000D0812"/>
    <w:rsid w:val="000D344C"/>
    <w:rsid w:val="001029A2"/>
    <w:rsid w:val="00105EC3"/>
    <w:rsid w:val="00106D8D"/>
    <w:rsid w:val="001213DB"/>
    <w:rsid w:val="00123153"/>
    <w:rsid w:val="001426F1"/>
    <w:rsid w:val="00144631"/>
    <w:rsid w:val="001448D1"/>
    <w:rsid w:val="001452A1"/>
    <w:rsid w:val="0015206E"/>
    <w:rsid w:val="00152AFD"/>
    <w:rsid w:val="00160B4A"/>
    <w:rsid w:val="0016235D"/>
    <w:rsid w:val="00167F13"/>
    <w:rsid w:val="00170FE6"/>
    <w:rsid w:val="0017257F"/>
    <w:rsid w:val="00173AEC"/>
    <w:rsid w:val="001741C3"/>
    <w:rsid w:val="00192ABE"/>
    <w:rsid w:val="001937E2"/>
    <w:rsid w:val="001A1484"/>
    <w:rsid w:val="001A4E5D"/>
    <w:rsid w:val="001A6F82"/>
    <w:rsid w:val="001B6A5D"/>
    <w:rsid w:val="001C2185"/>
    <w:rsid w:val="001D30E8"/>
    <w:rsid w:val="001D432B"/>
    <w:rsid w:val="001D776E"/>
    <w:rsid w:val="001D7D12"/>
    <w:rsid w:val="001E3415"/>
    <w:rsid w:val="001F1EA0"/>
    <w:rsid w:val="001F4B3E"/>
    <w:rsid w:val="001F4C3C"/>
    <w:rsid w:val="001F5C77"/>
    <w:rsid w:val="001F7883"/>
    <w:rsid w:val="00206941"/>
    <w:rsid w:val="0020696A"/>
    <w:rsid w:val="00211477"/>
    <w:rsid w:val="002118CD"/>
    <w:rsid w:val="002157C2"/>
    <w:rsid w:val="002165CB"/>
    <w:rsid w:val="00223EC6"/>
    <w:rsid w:val="00234412"/>
    <w:rsid w:val="002405F9"/>
    <w:rsid w:val="00247D47"/>
    <w:rsid w:val="00251421"/>
    <w:rsid w:val="00255F9D"/>
    <w:rsid w:val="00263310"/>
    <w:rsid w:val="00264FB1"/>
    <w:rsid w:val="002675BF"/>
    <w:rsid w:val="00271047"/>
    <w:rsid w:val="00274E8B"/>
    <w:rsid w:val="002848D6"/>
    <w:rsid w:val="00286D25"/>
    <w:rsid w:val="0029318A"/>
    <w:rsid w:val="002932FA"/>
    <w:rsid w:val="002A4178"/>
    <w:rsid w:val="002B0310"/>
    <w:rsid w:val="002B14E7"/>
    <w:rsid w:val="002B5948"/>
    <w:rsid w:val="002B5B4E"/>
    <w:rsid w:val="002B71D9"/>
    <w:rsid w:val="002C40B8"/>
    <w:rsid w:val="002C7C8A"/>
    <w:rsid w:val="002D1057"/>
    <w:rsid w:val="002D4D9C"/>
    <w:rsid w:val="002D64B8"/>
    <w:rsid w:val="002E0407"/>
    <w:rsid w:val="002E1886"/>
    <w:rsid w:val="002E635C"/>
    <w:rsid w:val="002E71F6"/>
    <w:rsid w:val="002F1AF5"/>
    <w:rsid w:val="00302F1D"/>
    <w:rsid w:val="00305692"/>
    <w:rsid w:val="00306B54"/>
    <w:rsid w:val="00320649"/>
    <w:rsid w:val="0032077A"/>
    <w:rsid w:val="00322B0D"/>
    <w:rsid w:val="00325CE1"/>
    <w:rsid w:val="00326575"/>
    <w:rsid w:val="003269EE"/>
    <w:rsid w:val="003269FA"/>
    <w:rsid w:val="00326E3B"/>
    <w:rsid w:val="003317D4"/>
    <w:rsid w:val="00332FE8"/>
    <w:rsid w:val="003356D8"/>
    <w:rsid w:val="00340438"/>
    <w:rsid w:val="003408F3"/>
    <w:rsid w:val="003419E1"/>
    <w:rsid w:val="00347C77"/>
    <w:rsid w:val="0035466C"/>
    <w:rsid w:val="00356B01"/>
    <w:rsid w:val="00360540"/>
    <w:rsid w:val="00362219"/>
    <w:rsid w:val="00363295"/>
    <w:rsid w:val="003722DC"/>
    <w:rsid w:val="0037579C"/>
    <w:rsid w:val="00375AEC"/>
    <w:rsid w:val="00381051"/>
    <w:rsid w:val="003857A8"/>
    <w:rsid w:val="003862E1"/>
    <w:rsid w:val="00386E77"/>
    <w:rsid w:val="003915DF"/>
    <w:rsid w:val="00391FEF"/>
    <w:rsid w:val="003920BC"/>
    <w:rsid w:val="00392395"/>
    <w:rsid w:val="00395BC6"/>
    <w:rsid w:val="003B1914"/>
    <w:rsid w:val="003D4EAF"/>
    <w:rsid w:val="003D541D"/>
    <w:rsid w:val="003D57B1"/>
    <w:rsid w:val="003F43DC"/>
    <w:rsid w:val="003F55B7"/>
    <w:rsid w:val="003F57F0"/>
    <w:rsid w:val="003F7775"/>
    <w:rsid w:val="00414C79"/>
    <w:rsid w:val="00414DA1"/>
    <w:rsid w:val="00417EED"/>
    <w:rsid w:val="004249AD"/>
    <w:rsid w:val="0043354D"/>
    <w:rsid w:val="0043727B"/>
    <w:rsid w:val="00441120"/>
    <w:rsid w:val="00445B3C"/>
    <w:rsid w:val="00445D7E"/>
    <w:rsid w:val="00461519"/>
    <w:rsid w:val="00480F40"/>
    <w:rsid w:val="00491343"/>
    <w:rsid w:val="0049187A"/>
    <w:rsid w:val="004925CF"/>
    <w:rsid w:val="00492EEE"/>
    <w:rsid w:val="00497DBB"/>
    <w:rsid w:val="004A07CD"/>
    <w:rsid w:val="004A3D04"/>
    <w:rsid w:val="004A5D94"/>
    <w:rsid w:val="004A65A1"/>
    <w:rsid w:val="004A7DCF"/>
    <w:rsid w:val="004B29A0"/>
    <w:rsid w:val="004B3DB5"/>
    <w:rsid w:val="004B5489"/>
    <w:rsid w:val="004C14FD"/>
    <w:rsid w:val="004D3160"/>
    <w:rsid w:val="004D363C"/>
    <w:rsid w:val="004D69B2"/>
    <w:rsid w:val="004E2AD1"/>
    <w:rsid w:val="004F6B13"/>
    <w:rsid w:val="005027DA"/>
    <w:rsid w:val="005032A8"/>
    <w:rsid w:val="0051129C"/>
    <w:rsid w:val="0051408C"/>
    <w:rsid w:val="00517036"/>
    <w:rsid w:val="00517665"/>
    <w:rsid w:val="00520FB3"/>
    <w:rsid w:val="00525C08"/>
    <w:rsid w:val="00534368"/>
    <w:rsid w:val="005415A9"/>
    <w:rsid w:val="005446CB"/>
    <w:rsid w:val="0054534F"/>
    <w:rsid w:val="005478F2"/>
    <w:rsid w:val="00550818"/>
    <w:rsid w:val="00550848"/>
    <w:rsid w:val="00551250"/>
    <w:rsid w:val="00555A34"/>
    <w:rsid w:val="00557997"/>
    <w:rsid w:val="0056511F"/>
    <w:rsid w:val="00565C27"/>
    <w:rsid w:val="00577CB2"/>
    <w:rsid w:val="00597BCB"/>
    <w:rsid w:val="005A73EF"/>
    <w:rsid w:val="005A7ED1"/>
    <w:rsid w:val="005B5F38"/>
    <w:rsid w:val="005B6DCC"/>
    <w:rsid w:val="005C4490"/>
    <w:rsid w:val="005C53F3"/>
    <w:rsid w:val="005D01D7"/>
    <w:rsid w:val="005D0B1C"/>
    <w:rsid w:val="005D2178"/>
    <w:rsid w:val="005D326E"/>
    <w:rsid w:val="005E2F21"/>
    <w:rsid w:val="005F0B31"/>
    <w:rsid w:val="005F27D6"/>
    <w:rsid w:val="005F5EA1"/>
    <w:rsid w:val="00602127"/>
    <w:rsid w:val="006073CB"/>
    <w:rsid w:val="006122F9"/>
    <w:rsid w:val="0061433F"/>
    <w:rsid w:val="0061592A"/>
    <w:rsid w:val="00615D00"/>
    <w:rsid w:val="0061732D"/>
    <w:rsid w:val="00620011"/>
    <w:rsid w:val="006230C2"/>
    <w:rsid w:val="0063292D"/>
    <w:rsid w:val="00635840"/>
    <w:rsid w:val="0064140A"/>
    <w:rsid w:val="00644AA6"/>
    <w:rsid w:val="0064612F"/>
    <w:rsid w:val="0065797C"/>
    <w:rsid w:val="00666C65"/>
    <w:rsid w:val="00673492"/>
    <w:rsid w:val="00683E99"/>
    <w:rsid w:val="006A1DF9"/>
    <w:rsid w:val="006A1F2F"/>
    <w:rsid w:val="006A31AE"/>
    <w:rsid w:val="006A65D5"/>
    <w:rsid w:val="006B62BE"/>
    <w:rsid w:val="006C443B"/>
    <w:rsid w:val="006C5A30"/>
    <w:rsid w:val="006C5B71"/>
    <w:rsid w:val="006D717A"/>
    <w:rsid w:val="006E15CD"/>
    <w:rsid w:val="006E18F0"/>
    <w:rsid w:val="006E1CB8"/>
    <w:rsid w:val="006E1CDF"/>
    <w:rsid w:val="006F4312"/>
    <w:rsid w:val="006F5206"/>
    <w:rsid w:val="006F5BE4"/>
    <w:rsid w:val="006F7D7B"/>
    <w:rsid w:val="00704680"/>
    <w:rsid w:val="00715899"/>
    <w:rsid w:val="00720D9A"/>
    <w:rsid w:val="00720EBF"/>
    <w:rsid w:val="00721886"/>
    <w:rsid w:val="0072468D"/>
    <w:rsid w:val="00725FC6"/>
    <w:rsid w:val="00727B8D"/>
    <w:rsid w:val="00731CF7"/>
    <w:rsid w:val="00732B83"/>
    <w:rsid w:val="00736214"/>
    <w:rsid w:val="007363FB"/>
    <w:rsid w:val="007425A8"/>
    <w:rsid w:val="00742782"/>
    <w:rsid w:val="0076287B"/>
    <w:rsid w:val="0076464D"/>
    <w:rsid w:val="0077150A"/>
    <w:rsid w:val="00771D16"/>
    <w:rsid w:val="00780237"/>
    <w:rsid w:val="007823C6"/>
    <w:rsid w:val="0078774D"/>
    <w:rsid w:val="007A0927"/>
    <w:rsid w:val="007A5C40"/>
    <w:rsid w:val="007B6663"/>
    <w:rsid w:val="007C0892"/>
    <w:rsid w:val="007C1CDE"/>
    <w:rsid w:val="007C7654"/>
    <w:rsid w:val="007D055E"/>
    <w:rsid w:val="007D0D4B"/>
    <w:rsid w:val="007D4FD0"/>
    <w:rsid w:val="007D79D5"/>
    <w:rsid w:val="007F1DA3"/>
    <w:rsid w:val="00800810"/>
    <w:rsid w:val="0080560A"/>
    <w:rsid w:val="00811916"/>
    <w:rsid w:val="00811E2B"/>
    <w:rsid w:val="00820764"/>
    <w:rsid w:val="00824B57"/>
    <w:rsid w:val="008265AC"/>
    <w:rsid w:val="00827DBB"/>
    <w:rsid w:val="00830EF8"/>
    <w:rsid w:val="00833019"/>
    <w:rsid w:val="00843471"/>
    <w:rsid w:val="00844EC0"/>
    <w:rsid w:val="008464F1"/>
    <w:rsid w:val="00850C8F"/>
    <w:rsid w:val="00856FA9"/>
    <w:rsid w:val="0086217E"/>
    <w:rsid w:val="00866B5A"/>
    <w:rsid w:val="00870B93"/>
    <w:rsid w:val="00872FDF"/>
    <w:rsid w:val="008824E9"/>
    <w:rsid w:val="00883164"/>
    <w:rsid w:val="008860EA"/>
    <w:rsid w:val="0089136D"/>
    <w:rsid w:val="00893C49"/>
    <w:rsid w:val="008A1364"/>
    <w:rsid w:val="008B11F2"/>
    <w:rsid w:val="008B224A"/>
    <w:rsid w:val="008B48B2"/>
    <w:rsid w:val="008C55E8"/>
    <w:rsid w:val="008D10E1"/>
    <w:rsid w:val="008E58DC"/>
    <w:rsid w:val="008F5333"/>
    <w:rsid w:val="008F5A89"/>
    <w:rsid w:val="008F5B6E"/>
    <w:rsid w:val="00901920"/>
    <w:rsid w:val="00904144"/>
    <w:rsid w:val="00904502"/>
    <w:rsid w:val="00911162"/>
    <w:rsid w:val="00914E9C"/>
    <w:rsid w:val="00915892"/>
    <w:rsid w:val="00924B93"/>
    <w:rsid w:val="0093082E"/>
    <w:rsid w:val="0093471A"/>
    <w:rsid w:val="00935868"/>
    <w:rsid w:val="00936513"/>
    <w:rsid w:val="00937BD7"/>
    <w:rsid w:val="00940EA9"/>
    <w:rsid w:val="00941EB8"/>
    <w:rsid w:val="00951C96"/>
    <w:rsid w:val="00951FF5"/>
    <w:rsid w:val="00964FDF"/>
    <w:rsid w:val="009655AF"/>
    <w:rsid w:val="0097010E"/>
    <w:rsid w:val="009701AD"/>
    <w:rsid w:val="00971EE0"/>
    <w:rsid w:val="009859B6"/>
    <w:rsid w:val="00990C8A"/>
    <w:rsid w:val="00990D16"/>
    <w:rsid w:val="00996BEB"/>
    <w:rsid w:val="009A2B36"/>
    <w:rsid w:val="009A2DC8"/>
    <w:rsid w:val="009A4E96"/>
    <w:rsid w:val="009A62AD"/>
    <w:rsid w:val="009A6B4D"/>
    <w:rsid w:val="009B06AC"/>
    <w:rsid w:val="009C1D37"/>
    <w:rsid w:val="009C33CD"/>
    <w:rsid w:val="009C50B4"/>
    <w:rsid w:val="009C5289"/>
    <w:rsid w:val="009C7285"/>
    <w:rsid w:val="009C7403"/>
    <w:rsid w:val="009D0566"/>
    <w:rsid w:val="009D22D6"/>
    <w:rsid w:val="009D2BDA"/>
    <w:rsid w:val="009D79DE"/>
    <w:rsid w:val="009E28F7"/>
    <w:rsid w:val="009F0607"/>
    <w:rsid w:val="009F2D31"/>
    <w:rsid w:val="00A01453"/>
    <w:rsid w:val="00A022FF"/>
    <w:rsid w:val="00A14BF0"/>
    <w:rsid w:val="00A1557C"/>
    <w:rsid w:val="00A20353"/>
    <w:rsid w:val="00A325BB"/>
    <w:rsid w:val="00A3547E"/>
    <w:rsid w:val="00A40633"/>
    <w:rsid w:val="00A4385B"/>
    <w:rsid w:val="00A45863"/>
    <w:rsid w:val="00A5381D"/>
    <w:rsid w:val="00A653BF"/>
    <w:rsid w:val="00A72DEF"/>
    <w:rsid w:val="00A75FA6"/>
    <w:rsid w:val="00A76CFC"/>
    <w:rsid w:val="00A8387D"/>
    <w:rsid w:val="00A838B4"/>
    <w:rsid w:val="00A866EB"/>
    <w:rsid w:val="00A912A6"/>
    <w:rsid w:val="00A94C60"/>
    <w:rsid w:val="00A951C1"/>
    <w:rsid w:val="00AA101C"/>
    <w:rsid w:val="00AA1BD7"/>
    <w:rsid w:val="00AA23D4"/>
    <w:rsid w:val="00AA334D"/>
    <w:rsid w:val="00AA5EDC"/>
    <w:rsid w:val="00AB0E90"/>
    <w:rsid w:val="00AB268B"/>
    <w:rsid w:val="00AB4F68"/>
    <w:rsid w:val="00AC476C"/>
    <w:rsid w:val="00AD0A48"/>
    <w:rsid w:val="00AD234A"/>
    <w:rsid w:val="00AD2F54"/>
    <w:rsid w:val="00AD574F"/>
    <w:rsid w:val="00AE0C2B"/>
    <w:rsid w:val="00AE3199"/>
    <w:rsid w:val="00AE54C1"/>
    <w:rsid w:val="00AF26AB"/>
    <w:rsid w:val="00AF4309"/>
    <w:rsid w:val="00AF7A05"/>
    <w:rsid w:val="00AF7B5B"/>
    <w:rsid w:val="00B024BA"/>
    <w:rsid w:val="00B06B11"/>
    <w:rsid w:val="00B071BF"/>
    <w:rsid w:val="00B110A9"/>
    <w:rsid w:val="00B14F8B"/>
    <w:rsid w:val="00B1522A"/>
    <w:rsid w:val="00B26C63"/>
    <w:rsid w:val="00B27EDE"/>
    <w:rsid w:val="00B312B0"/>
    <w:rsid w:val="00B31858"/>
    <w:rsid w:val="00B36A33"/>
    <w:rsid w:val="00B37C0C"/>
    <w:rsid w:val="00B41322"/>
    <w:rsid w:val="00B50AD4"/>
    <w:rsid w:val="00B50F0E"/>
    <w:rsid w:val="00B51525"/>
    <w:rsid w:val="00B5276A"/>
    <w:rsid w:val="00B53FB2"/>
    <w:rsid w:val="00B54B60"/>
    <w:rsid w:val="00B55FD4"/>
    <w:rsid w:val="00B57A74"/>
    <w:rsid w:val="00B6456F"/>
    <w:rsid w:val="00B65AD3"/>
    <w:rsid w:val="00B67F51"/>
    <w:rsid w:val="00B73837"/>
    <w:rsid w:val="00B73CB6"/>
    <w:rsid w:val="00B75671"/>
    <w:rsid w:val="00B75CE0"/>
    <w:rsid w:val="00B76DDF"/>
    <w:rsid w:val="00B84C92"/>
    <w:rsid w:val="00B91BF1"/>
    <w:rsid w:val="00B94D6A"/>
    <w:rsid w:val="00BA3B26"/>
    <w:rsid w:val="00BB389C"/>
    <w:rsid w:val="00BC1E71"/>
    <w:rsid w:val="00BC25E1"/>
    <w:rsid w:val="00BC4835"/>
    <w:rsid w:val="00BC5229"/>
    <w:rsid w:val="00BD1330"/>
    <w:rsid w:val="00BD3FBC"/>
    <w:rsid w:val="00BD5144"/>
    <w:rsid w:val="00BD5EE1"/>
    <w:rsid w:val="00BE49AC"/>
    <w:rsid w:val="00BF1F38"/>
    <w:rsid w:val="00BF6CF1"/>
    <w:rsid w:val="00C005C8"/>
    <w:rsid w:val="00C0097E"/>
    <w:rsid w:val="00C03A24"/>
    <w:rsid w:val="00C048E6"/>
    <w:rsid w:val="00C0798E"/>
    <w:rsid w:val="00C22183"/>
    <w:rsid w:val="00C25BF1"/>
    <w:rsid w:val="00C267D6"/>
    <w:rsid w:val="00C31E7C"/>
    <w:rsid w:val="00C32FCA"/>
    <w:rsid w:val="00C4486C"/>
    <w:rsid w:val="00C44BF6"/>
    <w:rsid w:val="00C54AC4"/>
    <w:rsid w:val="00C574E5"/>
    <w:rsid w:val="00C605C7"/>
    <w:rsid w:val="00C622A3"/>
    <w:rsid w:val="00C70E9A"/>
    <w:rsid w:val="00C71B90"/>
    <w:rsid w:val="00C71C32"/>
    <w:rsid w:val="00C72A5D"/>
    <w:rsid w:val="00C74C40"/>
    <w:rsid w:val="00C90A89"/>
    <w:rsid w:val="00C95EFB"/>
    <w:rsid w:val="00CA43D5"/>
    <w:rsid w:val="00CA4863"/>
    <w:rsid w:val="00CA4B1F"/>
    <w:rsid w:val="00CB35C8"/>
    <w:rsid w:val="00CB48A2"/>
    <w:rsid w:val="00CB64C3"/>
    <w:rsid w:val="00CC366C"/>
    <w:rsid w:val="00CC5DCF"/>
    <w:rsid w:val="00CE044E"/>
    <w:rsid w:val="00CE3192"/>
    <w:rsid w:val="00CE49C9"/>
    <w:rsid w:val="00CE55D7"/>
    <w:rsid w:val="00D07F55"/>
    <w:rsid w:val="00D10E6E"/>
    <w:rsid w:val="00D11AC9"/>
    <w:rsid w:val="00D15DCC"/>
    <w:rsid w:val="00D2145F"/>
    <w:rsid w:val="00D24257"/>
    <w:rsid w:val="00D26525"/>
    <w:rsid w:val="00D27F55"/>
    <w:rsid w:val="00D3068B"/>
    <w:rsid w:val="00D3752E"/>
    <w:rsid w:val="00D408EA"/>
    <w:rsid w:val="00D416AD"/>
    <w:rsid w:val="00D439F8"/>
    <w:rsid w:val="00D47069"/>
    <w:rsid w:val="00D54A32"/>
    <w:rsid w:val="00D55815"/>
    <w:rsid w:val="00D57147"/>
    <w:rsid w:val="00D6197F"/>
    <w:rsid w:val="00D6327F"/>
    <w:rsid w:val="00D67A72"/>
    <w:rsid w:val="00D72B5C"/>
    <w:rsid w:val="00D7555F"/>
    <w:rsid w:val="00D76B69"/>
    <w:rsid w:val="00D82D61"/>
    <w:rsid w:val="00D85614"/>
    <w:rsid w:val="00D861C4"/>
    <w:rsid w:val="00D954C1"/>
    <w:rsid w:val="00D97215"/>
    <w:rsid w:val="00DA1FC4"/>
    <w:rsid w:val="00DA50C9"/>
    <w:rsid w:val="00DA770A"/>
    <w:rsid w:val="00DA78FA"/>
    <w:rsid w:val="00DB3480"/>
    <w:rsid w:val="00DB7D08"/>
    <w:rsid w:val="00DC0CF5"/>
    <w:rsid w:val="00DC1538"/>
    <w:rsid w:val="00DC2BD3"/>
    <w:rsid w:val="00DC60F6"/>
    <w:rsid w:val="00DC72F5"/>
    <w:rsid w:val="00DD422C"/>
    <w:rsid w:val="00DD47E8"/>
    <w:rsid w:val="00DD6707"/>
    <w:rsid w:val="00DE2957"/>
    <w:rsid w:val="00DE3F5B"/>
    <w:rsid w:val="00DF0FF7"/>
    <w:rsid w:val="00DF1CCA"/>
    <w:rsid w:val="00DF1FB2"/>
    <w:rsid w:val="00DF791C"/>
    <w:rsid w:val="00DF79FC"/>
    <w:rsid w:val="00E115DB"/>
    <w:rsid w:val="00E12BB8"/>
    <w:rsid w:val="00E221BD"/>
    <w:rsid w:val="00E2755A"/>
    <w:rsid w:val="00E277E3"/>
    <w:rsid w:val="00E43896"/>
    <w:rsid w:val="00E45705"/>
    <w:rsid w:val="00E477F3"/>
    <w:rsid w:val="00E47932"/>
    <w:rsid w:val="00E51BDC"/>
    <w:rsid w:val="00E66FB6"/>
    <w:rsid w:val="00E8342B"/>
    <w:rsid w:val="00E9321B"/>
    <w:rsid w:val="00E93D02"/>
    <w:rsid w:val="00E96517"/>
    <w:rsid w:val="00EA215F"/>
    <w:rsid w:val="00EA58E3"/>
    <w:rsid w:val="00EB332C"/>
    <w:rsid w:val="00EB33B3"/>
    <w:rsid w:val="00EC1D76"/>
    <w:rsid w:val="00EC31CE"/>
    <w:rsid w:val="00EC341E"/>
    <w:rsid w:val="00ED2B78"/>
    <w:rsid w:val="00ED73C4"/>
    <w:rsid w:val="00EE27AD"/>
    <w:rsid w:val="00EE46D9"/>
    <w:rsid w:val="00EE46E1"/>
    <w:rsid w:val="00EF1095"/>
    <w:rsid w:val="00F013AC"/>
    <w:rsid w:val="00F03D56"/>
    <w:rsid w:val="00F063FE"/>
    <w:rsid w:val="00F06CAD"/>
    <w:rsid w:val="00F10040"/>
    <w:rsid w:val="00F12649"/>
    <w:rsid w:val="00F134B6"/>
    <w:rsid w:val="00F148B3"/>
    <w:rsid w:val="00F2390E"/>
    <w:rsid w:val="00F25666"/>
    <w:rsid w:val="00F3336F"/>
    <w:rsid w:val="00F34DCA"/>
    <w:rsid w:val="00F35FB3"/>
    <w:rsid w:val="00F41465"/>
    <w:rsid w:val="00F45E64"/>
    <w:rsid w:val="00F467AD"/>
    <w:rsid w:val="00F47977"/>
    <w:rsid w:val="00F52943"/>
    <w:rsid w:val="00F55773"/>
    <w:rsid w:val="00F573D2"/>
    <w:rsid w:val="00F61884"/>
    <w:rsid w:val="00F620EF"/>
    <w:rsid w:val="00F64206"/>
    <w:rsid w:val="00F72B53"/>
    <w:rsid w:val="00F74501"/>
    <w:rsid w:val="00F82A25"/>
    <w:rsid w:val="00F90664"/>
    <w:rsid w:val="00F90738"/>
    <w:rsid w:val="00F91790"/>
    <w:rsid w:val="00F935CF"/>
    <w:rsid w:val="00F973AD"/>
    <w:rsid w:val="00FB040D"/>
    <w:rsid w:val="00FB139B"/>
    <w:rsid w:val="00FB590A"/>
    <w:rsid w:val="00FB5D74"/>
    <w:rsid w:val="00FB7A5C"/>
    <w:rsid w:val="00FC40CD"/>
    <w:rsid w:val="00FC7F6A"/>
    <w:rsid w:val="00FD1762"/>
    <w:rsid w:val="00FE1547"/>
    <w:rsid w:val="00FE2CF3"/>
    <w:rsid w:val="00FF4B2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19929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Cambria" w:hAnsi="Arial Narrow" w:cs="Times New Roman"/>
        <w:lang w:val="en-AU" w:eastAsia="en-US" w:bidi="ar-SA"/>
      </w:rPr>
    </w:rPrDefault>
    <w:pPrDefault>
      <w:pPr>
        <w:spacing w:line="380" w:lineRule="atLeast"/>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semiHidden="1" w:unhideWhenUsed="1"/>
    <w:lsdException w:name="header" w:uiPriority="99"/>
    <w:lsdException w:name="annotation reference" w:semiHidden="1" w:unhideWhenUsed="1"/>
    <w:lsdException w:name="List Bullet" w:qFormat="1"/>
    <w:lsdException w:name="Title" w:qFormat="1"/>
    <w:lsdException w:name="Closing" w:semiHidden="1"/>
    <w:lsdException w:name="Body Text"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Emphasis" w:uiPriority="20" w:qFormat="1"/>
    <w:lsdException w:name="Normal (Web)" w:uiPriority="99"/>
    <w:lsdException w:name="annotation subject" w:semiHidden="1" w:unhideWhenUsed="1"/>
    <w:lsdException w:name="No List" w:uiPriority="99"/>
    <w:lsdException w:name="Revision" w:uiPriority="99"/>
    <w:lsdException w:name="List Paragraph" w:uiPriority="34" w:qFormat="1"/>
    <w:lsdException w:name="Book Title" w:semiHidden="1"/>
    <w:lsdException w:name="Bibliography" w:semiHidden="1" w:unhideWhenUsed="1"/>
  </w:latentStyles>
  <w:style w:type="paragraph" w:default="1" w:styleId="Normal">
    <w:name w:val="Normal"/>
    <w:rsid w:val="00936513"/>
    <w:pPr>
      <w:spacing w:line="240" w:lineRule="auto"/>
    </w:pPr>
  </w:style>
  <w:style w:type="paragraph" w:styleId="Heading1">
    <w:name w:val="heading 1"/>
    <w:basedOn w:val="Normal"/>
    <w:next w:val="BodyText"/>
    <w:link w:val="Heading1Char"/>
    <w:qFormat/>
    <w:rsid w:val="002D1057"/>
    <w:pPr>
      <w:keepNext/>
      <w:pageBreakBefore/>
      <w:numPr>
        <w:numId w:val="1"/>
      </w:numPr>
      <w:spacing w:before="200" w:after="400" w:line="360" w:lineRule="auto"/>
      <w:outlineLvl w:val="0"/>
    </w:pPr>
    <w:rPr>
      <w:bCs/>
      <w:color w:val="931B2F"/>
      <w:spacing w:val="2"/>
      <w:sz w:val="54"/>
      <w:szCs w:val="32"/>
    </w:rPr>
  </w:style>
  <w:style w:type="paragraph" w:styleId="Heading2">
    <w:name w:val="heading 2"/>
    <w:basedOn w:val="Normal"/>
    <w:next w:val="BodyText"/>
    <w:link w:val="Heading2Char"/>
    <w:qFormat/>
    <w:rsid w:val="00CB48A2"/>
    <w:pPr>
      <w:keepNext/>
      <w:keepLines/>
      <w:numPr>
        <w:ilvl w:val="1"/>
        <w:numId w:val="1"/>
      </w:numPr>
      <w:spacing w:before="360" w:after="280" w:line="360" w:lineRule="exact"/>
      <w:jc w:val="both"/>
      <w:outlineLvl w:val="1"/>
    </w:pPr>
    <w:rPr>
      <w:rFonts w:eastAsiaTheme="majorEastAsia" w:cstheme="majorBidi"/>
      <w:bCs/>
      <w:color w:val="931B2F"/>
      <w:sz w:val="32"/>
      <w:szCs w:val="26"/>
    </w:rPr>
  </w:style>
  <w:style w:type="paragraph" w:styleId="Heading3">
    <w:name w:val="heading 3"/>
    <w:basedOn w:val="Normal"/>
    <w:next w:val="BodyText"/>
    <w:link w:val="Heading3Char"/>
    <w:qFormat/>
    <w:rsid w:val="002165CB"/>
    <w:pPr>
      <w:keepNext/>
      <w:keepLines/>
      <w:numPr>
        <w:ilvl w:val="2"/>
        <w:numId w:val="1"/>
      </w:numPr>
      <w:spacing w:before="460" w:after="180" w:line="360" w:lineRule="exact"/>
      <w:outlineLvl w:val="2"/>
    </w:pPr>
    <w:rPr>
      <w:rFonts w:eastAsiaTheme="majorEastAsia" w:cstheme="majorBidi"/>
      <w:b/>
      <w:bCs/>
      <w:color w:val="808080"/>
      <w:sz w:val="24"/>
    </w:rPr>
  </w:style>
  <w:style w:type="paragraph" w:styleId="Heading4">
    <w:name w:val="heading 4"/>
    <w:basedOn w:val="Normal"/>
    <w:next w:val="BodyText"/>
    <w:link w:val="Heading4Char"/>
    <w:qFormat/>
    <w:rsid w:val="001F7883"/>
    <w:pPr>
      <w:keepNext/>
      <w:keepLines/>
      <w:spacing w:before="200" w:after="180"/>
      <w:jc w:val="both"/>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1057"/>
    <w:rPr>
      <w:bCs/>
      <w:color w:val="931B2F"/>
      <w:spacing w:val="2"/>
      <w:sz w:val="54"/>
      <w:szCs w:val="32"/>
    </w:rPr>
  </w:style>
  <w:style w:type="paragraph" w:customStyle="1" w:styleId="PageNumbering">
    <w:name w:val="Page Numbering"/>
    <w:basedOn w:val="Footer"/>
    <w:rsid w:val="00A8387D"/>
    <w:pPr>
      <w:framePr w:w="2098" w:h="1219" w:hRule="exact" w:hSpace="181" w:wrap="around" w:vAnchor="page" w:hAnchor="page" w:xAlign="right" w:yAlign="bottom"/>
      <w:ind w:left="0" w:right="1191" w:hanging="56"/>
      <w:jc w:val="right"/>
    </w:pPr>
    <w:rPr>
      <w:szCs w:val="16"/>
    </w:rPr>
  </w:style>
  <w:style w:type="paragraph" w:styleId="Footer">
    <w:name w:val="footer"/>
    <w:basedOn w:val="Normal"/>
    <w:link w:val="FooterChar"/>
    <w:rsid w:val="0077150A"/>
    <w:pPr>
      <w:tabs>
        <w:tab w:val="left" w:pos="1077"/>
        <w:tab w:val="center" w:pos="4320"/>
        <w:tab w:val="right" w:pos="8640"/>
      </w:tabs>
      <w:ind w:left="1105" w:hanging="1077"/>
    </w:pPr>
    <w:rPr>
      <w:color w:val="808080"/>
      <w:spacing w:val="-1"/>
      <w:sz w:val="16"/>
    </w:rPr>
  </w:style>
  <w:style w:type="character" w:customStyle="1" w:styleId="FooterChar">
    <w:name w:val="Footer Char"/>
    <w:basedOn w:val="DefaultParagraphFont"/>
    <w:link w:val="Footer"/>
    <w:rsid w:val="0077150A"/>
    <w:rPr>
      <w:color w:val="808080"/>
      <w:spacing w:val="-1"/>
      <w:sz w:val="16"/>
    </w:rPr>
  </w:style>
  <w:style w:type="paragraph" w:customStyle="1" w:styleId="Address">
    <w:name w:val="Address"/>
    <w:basedOn w:val="Normal"/>
    <w:rsid w:val="00040E86"/>
    <w:pPr>
      <w:widowControl w:val="0"/>
      <w:suppressAutoHyphens/>
      <w:autoSpaceDE w:val="0"/>
      <w:autoSpaceDN w:val="0"/>
      <w:adjustRightInd w:val="0"/>
      <w:spacing w:line="320" w:lineRule="atLeast"/>
      <w:jc w:val="center"/>
      <w:textAlignment w:val="center"/>
    </w:pPr>
    <w:rPr>
      <w:rFonts w:ascii="ArialNarrow" w:hAnsi="ArialNarrow" w:cs="ArialNarrow"/>
      <w:color w:val="3C3C3B"/>
      <w:spacing w:val="-2"/>
      <w:sz w:val="16"/>
    </w:rPr>
  </w:style>
  <w:style w:type="paragraph" w:styleId="Header">
    <w:name w:val="header"/>
    <w:basedOn w:val="Normal"/>
    <w:link w:val="HeaderChar"/>
    <w:uiPriority w:val="99"/>
    <w:rsid w:val="009D2BDA"/>
    <w:pPr>
      <w:tabs>
        <w:tab w:val="center" w:pos="4320"/>
        <w:tab w:val="right" w:pos="8640"/>
      </w:tabs>
    </w:pPr>
  </w:style>
  <w:style w:type="character" w:customStyle="1" w:styleId="HeaderChar">
    <w:name w:val="Header Char"/>
    <w:basedOn w:val="DefaultParagraphFont"/>
    <w:link w:val="Header"/>
    <w:uiPriority w:val="99"/>
    <w:rsid w:val="00D67A72"/>
  </w:style>
  <w:style w:type="paragraph" w:customStyle="1" w:styleId="xFooterImage">
    <w:name w:val="xFooter Image"/>
    <w:basedOn w:val="Normal"/>
    <w:rsid w:val="003915DF"/>
    <w:pPr>
      <w:framePr w:w="2081" w:h="1276" w:hRule="exact" w:wrap="around" w:vAnchor="page" w:hAnchor="page" w:yAlign="bottom" w:anchorLock="1"/>
      <w:jc w:val="right"/>
    </w:pPr>
  </w:style>
  <w:style w:type="paragraph" w:styleId="Title">
    <w:name w:val="Title"/>
    <w:basedOn w:val="Normal"/>
    <w:next w:val="Normal"/>
    <w:link w:val="TitleChar"/>
    <w:qFormat/>
    <w:rsid w:val="006F5BE4"/>
    <w:rPr>
      <w:rFonts w:asciiTheme="minorHAnsi" w:eastAsiaTheme="majorEastAsia" w:hAnsiTheme="minorHAnsi" w:cstheme="majorBidi"/>
      <w:caps/>
      <w:color w:val="3C3C3B"/>
      <w:sz w:val="81"/>
      <w:szCs w:val="52"/>
    </w:rPr>
  </w:style>
  <w:style w:type="character" w:styleId="Hyperlink">
    <w:name w:val="Hyperlink"/>
    <w:basedOn w:val="DefaultParagraphFont"/>
    <w:uiPriority w:val="99"/>
    <w:unhideWhenUsed/>
    <w:rsid w:val="009D2BDA"/>
    <w:rPr>
      <w:color w:val="0000FF"/>
      <w:u w:val="single"/>
    </w:rPr>
  </w:style>
  <w:style w:type="paragraph" w:styleId="TOCHeading">
    <w:name w:val="TOC Heading"/>
    <w:basedOn w:val="Normal"/>
    <w:next w:val="Normal"/>
    <w:rsid w:val="00EF1095"/>
    <w:rPr>
      <w:color w:val="931B2F"/>
      <w:sz w:val="54"/>
      <w:szCs w:val="32"/>
    </w:rPr>
  </w:style>
  <w:style w:type="character" w:customStyle="1" w:styleId="TitleChar">
    <w:name w:val="Title Char"/>
    <w:basedOn w:val="DefaultParagraphFont"/>
    <w:link w:val="Title"/>
    <w:rsid w:val="006F5BE4"/>
    <w:rPr>
      <w:rFonts w:asciiTheme="minorHAnsi" w:eastAsiaTheme="majorEastAsia" w:hAnsiTheme="minorHAnsi" w:cstheme="majorBidi"/>
      <w:caps/>
      <w:color w:val="3C3C3B"/>
      <w:sz w:val="81"/>
      <w:szCs w:val="52"/>
    </w:rPr>
  </w:style>
  <w:style w:type="paragraph" w:styleId="Subtitle">
    <w:name w:val="Subtitle"/>
    <w:basedOn w:val="Normal"/>
    <w:link w:val="SubtitleChar"/>
    <w:qFormat/>
    <w:rsid w:val="006F5BE4"/>
    <w:pPr>
      <w:numPr>
        <w:ilvl w:val="1"/>
      </w:numPr>
    </w:pPr>
    <w:rPr>
      <w:rFonts w:eastAsiaTheme="majorEastAsia" w:cstheme="majorBidi"/>
      <w:iCs/>
      <w:caps/>
      <w:color w:val="3C3C3B"/>
      <w:sz w:val="54"/>
      <w:szCs w:val="24"/>
    </w:rPr>
  </w:style>
  <w:style w:type="paragraph" w:styleId="BalloonText">
    <w:name w:val="Balloon Text"/>
    <w:basedOn w:val="Normal"/>
    <w:link w:val="BalloonTextChar"/>
    <w:semiHidden/>
    <w:unhideWhenUsed/>
    <w:rsid w:val="007D4FD0"/>
    <w:rPr>
      <w:rFonts w:asciiTheme="minorHAnsi" w:hAnsiTheme="minorHAnsi"/>
      <w:sz w:val="18"/>
      <w:szCs w:val="18"/>
    </w:rPr>
  </w:style>
  <w:style w:type="character" w:customStyle="1" w:styleId="SubtitleChar">
    <w:name w:val="Subtitle Char"/>
    <w:basedOn w:val="DefaultParagraphFont"/>
    <w:link w:val="Subtitle"/>
    <w:rsid w:val="006F5BE4"/>
    <w:rPr>
      <w:rFonts w:eastAsiaTheme="majorEastAsia" w:cstheme="majorBidi"/>
      <w:iCs/>
      <w:caps/>
      <w:color w:val="3C3C3B"/>
      <w:sz w:val="54"/>
      <w:szCs w:val="24"/>
    </w:rPr>
  </w:style>
  <w:style w:type="paragraph" w:styleId="Date">
    <w:name w:val="Date"/>
    <w:basedOn w:val="Normal"/>
    <w:next w:val="BodyText"/>
    <w:link w:val="DateChar"/>
    <w:rsid w:val="006F5BE4"/>
    <w:pPr>
      <w:spacing w:before="120" w:after="120"/>
    </w:pPr>
    <w:rPr>
      <w:caps/>
      <w:color w:val="3C3C3B"/>
      <w:sz w:val="29"/>
    </w:rPr>
  </w:style>
  <w:style w:type="character" w:customStyle="1" w:styleId="DateChar">
    <w:name w:val="Date Char"/>
    <w:basedOn w:val="DefaultParagraphFont"/>
    <w:link w:val="Date"/>
    <w:rsid w:val="006F5BE4"/>
    <w:rPr>
      <w:caps/>
      <w:color w:val="3C3C3B"/>
      <w:sz w:val="29"/>
    </w:rPr>
  </w:style>
  <w:style w:type="character" w:customStyle="1" w:styleId="DandolaRed">
    <w:name w:val="Dandola Red"/>
    <w:rsid w:val="00EF1095"/>
    <w:rPr>
      <w:color w:val="931B2F"/>
    </w:rPr>
  </w:style>
  <w:style w:type="character" w:styleId="FootnoteReference">
    <w:name w:val="footnote reference"/>
    <w:basedOn w:val="DefaultParagraphFont"/>
    <w:unhideWhenUsed/>
    <w:rsid w:val="00F915FA"/>
    <w:rPr>
      <w:vertAlign w:val="superscript"/>
    </w:rPr>
  </w:style>
  <w:style w:type="table" w:styleId="TableGrid">
    <w:name w:val="Table Grid"/>
    <w:aliases w:val="Table Grid Dandolo"/>
    <w:basedOn w:val="TableNormal"/>
    <w:rsid w:val="007140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Sub-Heading">
    <w:name w:val="Table Sub-Heading"/>
    <w:basedOn w:val="Normal"/>
    <w:qFormat/>
    <w:rsid w:val="0049187A"/>
    <w:pPr>
      <w:spacing w:before="176" w:after="176"/>
      <w:ind w:left="113" w:right="113"/>
    </w:pPr>
    <w:rPr>
      <w:b/>
      <w:sz w:val="18"/>
    </w:rPr>
  </w:style>
  <w:style w:type="paragraph" w:customStyle="1" w:styleId="TableColumnHeading">
    <w:name w:val="Table Column Heading"/>
    <w:basedOn w:val="Normal"/>
    <w:qFormat/>
    <w:rsid w:val="00EF1095"/>
    <w:pPr>
      <w:spacing w:before="300" w:after="300"/>
      <w:ind w:left="113" w:right="113"/>
    </w:pPr>
    <w:rPr>
      <w:b/>
      <w:color w:val="931B2F"/>
      <w:sz w:val="18"/>
    </w:rPr>
  </w:style>
  <w:style w:type="paragraph" w:customStyle="1" w:styleId="TableCellText">
    <w:name w:val="Table Cell Text"/>
    <w:basedOn w:val="Normal"/>
    <w:qFormat/>
    <w:rsid w:val="009F0607"/>
    <w:pPr>
      <w:spacing w:before="176" w:after="176"/>
      <w:ind w:left="113" w:right="113"/>
    </w:pPr>
    <w:rPr>
      <w:color w:val="3C3C3B"/>
      <w:sz w:val="18"/>
    </w:rPr>
  </w:style>
  <w:style w:type="paragraph" w:customStyle="1" w:styleId="TableHeading">
    <w:name w:val="Table Heading"/>
    <w:qFormat/>
    <w:rsid w:val="00AA334D"/>
    <w:pPr>
      <w:tabs>
        <w:tab w:val="left" w:pos="1191"/>
      </w:tabs>
      <w:suppressAutoHyphens/>
      <w:spacing w:before="490" w:after="110" w:line="380" w:lineRule="exact"/>
      <w:ind w:left="1191" w:hanging="1191"/>
    </w:pPr>
    <w:rPr>
      <w:rFonts w:cs="ArialNarrow-Bold"/>
      <w:bCs/>
      <w:caps/>
      <w:color w:val="000000"/>
      <w:sz w:val="16"/>
      <w:szCs w:val="16"/>
    </w:rPr>
  </w:style>
  <w:style w:type="character" w:customStyle="1" w:styleId="xLowered">
    <w:name w:val="xLowered"/>
    <w:uiPriority w:val="1"/>
    <w:rsid w:val="00041CEE"/>
    <w:rPr>
      <w:position w:val="-2"/>
    </w:rPr>
  </w:style>
  <w:style w:type="character" w:styleId="PageNumber">
    <w:name w:val="page number"/>
    <w:basedOn w:val="DefaultParagraphFont"/>
    <w:semiHidden/>
    <w:rsid w:val="004805C9"/>
    <w:rPr>
      <w:rFonts w:ascii="Arial Narrow" w:hAnsi="Arial Narrow"/>
      <w:sz w:val="16"/>
    </w:rPr>
  </w:style>
  <w:style w:type="character" w:customStyle="1" w:styleId="Heading2Char">
    <w:name w:val="Heading 2 Char"/>
    <w:basedOn w:val="DefaultParagraphFont"/>
    <w:link w:val="Heading2"/>
    <w:rsid w:val="00CB48A2"/>
    <w:rPr>
      <w:rFonts w:eastAsiaTheme="majorEastAsia" w:cstheme="majorBidi"/>
      <w:bCs/>
      <w:color w:val="931B2F"/>
      <w:sz w:val="32"/>
      <w:szCs w:val="26"/>
    </w:rPr>
  </w:style>
  <w:style w:type="character" w:customStyle="1" w:styleId="Heading3Char">
    <w:name w:val="Heading 3 Char"/>
    <w:basedOn w:val="DefaultParagraphFont"/>
    <w:link w:val="Heading3"/>
    <w:rsid w:val="002165CB"/>
    <w:rPr>
      <w:rFonts w:eastAsiaTheme="majorEastAsia" w:cstheme="majorBidi"/>
      <w:b/>
      <w:bCs/>
      <w:color w:val="808080"/>
      <w:sz w:val="24"/>
    </w:rPr>
  </w:style>
  <w:style w:type="paragraph" w:styleId="TOC2">
    <w:name w:val="toc 2"/>
    <w:next w:val="Normal"/>
    <w:autoRedefine/>
    <w:uiPriority w:val="39"/>
    <w:rsid w:val="00F41465"/>
    <w:pPr>
      <w:tabs>
        <w:tab w:val="left" w:pos="567"/>
        <w:tab w:val="right" w:leader="dot" w:pos="6237"/>
      </w:tabs>
      <w:spacing w:after="160" w:line="300" w:lineRule="exact"/>
      <w:ind w:left="567" w:right="3969" w:hanging="567"/>
    </w:pPr>
    <w:rPr>
      <w:rFonts w:eastAsiaTheme="minorEastAsia" w:cstheme="minorBidi"/>
      <w:noProof/>
      <w:szCs w:val="22"/>
      <w:lang w:eastAsia="en-AU"/>
    </w:rPr>
  </w:style>
  <w:style w:type="paragraph" w:styleId="TOC3">
    <w:name w:val="toc 3"/>
    <w:next w:val="Normal"/>
    <w:autoRedefine/>
    <w:uiPriority w:val="39"/>
    <w:rsid w:val="00F41465"/>
    <w:pPr>
      <w:tabs>
        <w:tab w:val="left" w:pos="567"/>
        <w:tab w:val="right" w:leader="dot" w:pos="6237"/>
      </w:tabs>
      <w:spacing w:after="160" w:line="360" w:lineRule="exact"/>
      <w:ind w:left="567" w:right="3969" w:hanging="567"/>
    </w:pPr>
    <w:rPr>
      <w:rFonts w:eastAsiaTheme="minorEastAsia" w:cstheme="minorBidi"/>
      <w:noProof/>
      <w:sz w:val="16"/>
      <w:szCs w:val="22"/>
      <w:lang w:eastAsia="en-AU"/>
    </w:rPr>
  </w:style>
  <w:style w:type="paragraph" w:styleId="TOC1">
    <w:name w:val="toc 1"/>
    <w:next w:val="Normal"/>
    <w:autoRedefine/>
    <w:uiPriority w:val="39"/>
    <w:rsid w:val="00AE3199"/>
    <w:pPr>
      <w:tabs>
        <w:tab w:val="left" w:pos="567"/>
        <w:tab w:val="right" w:leader="dot" w:pos="6237"/>
      </w:tabs>
      <w:spacing w:before="200" w:after="200" w:line="360" w:lineRule="exact"/>
      <w:ind w:left="567" w:right="3969" w:hanging="567"/>
    </w:pPr>
    <w:rPr>
      <w:rFonts w:eastAsiaTheme="minorEastAsia" w:cstheme="minorBidi"/>
      <w:bCs/>
      <w:noProof/>
      <w:color w:val="931B2F"/>
      <w:sz w:val="24"/>
      <w:szCs w:val="22"/>
      <w:lang w:eastAsia="en-AU"/>
    </w:rPr>
  </w:style>
  <w:style w:type="paragraph" w:styleId="TOC4">
    <w:name w:val="toc 4"/>
    <w:basedOn w:val="Normal"/>
    <w:next w:val="Normal"/>
    <w:autoRedefine/>
    <w:rsid w:val="00326E3B"/>
    <w:pPr>
      <w:ind w:left="720"/>
    </w:pPr>
    <w:rPr>
      <w:rFonts w:asciiTheme="minorHAnsi" w:hAnsiTheme="minorHAnsi"/>
    </w:rPr>
  </w:style>
  <w:style w:type="paragraph" w:styleId="TOC5">
    <w:name w:val="toc 5"/>
    <w:basedOn w:val="Normal"/>
    <w:next w:val="Normal"/>
    <w:autoRedefine/>
    <w:uiPriority w:val="39"/>
    <w:unhideWhenUsed/>
    <w:rsid w:val="00326E3B"/>
    <w:pPr>
      <w:ind w:left="960"/>
    </w:pPr>
    <w:rPr>
      <w:rFonts w:asciiTheme="minorHAnsi" w:hAnsiTheme="minorHAnsi"/>
    </w:rPr>
  </w:style>
  <w:style w:type="paragraph" w:styleId="TOC6">
    <w:name w:val="toc 6"/>
    <w:basedOn w:val="Normal"/>
    <w:next w:val="Normal"/>
    <w:autoRedefine/>
    <w:uiPriority w:val="39"/>
    <w:unhideWhenUsed/>
    <w:rsid w:val="00326E3B"/>
    <w:pPr>
      <w:ind w:left="1200"/>
    </w:pPr>
    <w:rPr>
      <w:rFonts w:asciiTheme="minorHAnsi" w:hAnsiTheme="minorHAnsi"/>
    </w:rPr>
  </w:style>
  <w:style w:type="paragraph" w:styleId="TOC7">
    <w:name w:val="toc 7"/>
    <w:basedOn w:val="Normal"/>
    <w:next w:val="Normal"/>
    <w:autoRedefine/>
    <w:uiPriority w:val="39"/>
    <w:unhideWhenUsed/>
    <w:rsid w:val="00326E3B"/>
    <w:pPr>
      <w:ind w:left="1440"/>
    </w:pPr>
    <w:rPr>
      <w:rFonts w:asciiTheme="minorHAnsi" w:hAnsiTheme="minorHAnsi"/>
    </w:rPr>
  </w:style>
  <w:style w:type="paragraph" w:styleId="TOC8">
    <w:name w:val="toc 8"/>
    <w:basedOn w:val="Normal"/>
    <w:next w:val="Normal"/>
    <w:autoRedefine/>
    <w:uiPriority w:val="39"/>
    <w:unhideWhenUsed/>
    <w:rsid w:val="00326E3B"/>
    <w:pPr>
      <w:ind w:left="1680"/>
    </w:pPr>
    <w:rPr>
      <w:rFonts w:asciiTheme="minorHAnsi" w:hAnsiTheme="minorHAnsi"/>
    </w:rPr>
  </w:style>
  <w:style w:type="paragraph" w:styleId="TOC9">
    <w:name w:val="toc 9"/>
    <w:basedOn w:val="Normal"/>
    <w:next w:val="Normal"/>
    <w:autoRedefine/>
    <w:uiPriority w:val="39"/>
    <w:unhideWhenUsed/>
    <w:rsid w:val="00326E3B"/>
    <w:pPr>
      <w:ind w:left="1920"/>
    </w:pPr>
    <w:rPr>
      <w:rFonts w:asciiTheme="minorHAnsi" w:hAnsiTheme="minorHAnsi"/>
    </w:rPr>
  </w:style>
  <w:style w:type="character" w:customStyle="1" w:styleId="BalloonTextChar">
    <w:name w:val="Balloon Text Char"/>
    <w:basedOn w:val="DefaultParagraphFont"/>
    <w:link w:val="BalloonText"/>
    <w:semiHidden/>
    <w:rsid w:val="007D4FD0"/>
    <w:rPr>
      <w:rFonts w:asciiTheme="minorHAnsi" w:hAnsiTheme="minorHAnsi"/>
      <w:sz w:val="18"/>
      <w:szCs w:val="18"/>
    </w:rPr>
  </w:style>
  <w:style w:type="paragraph" w:styleId="Caption">
    <w:name w:val="caption"/>
    <w:basedOn w:val="Normal"/>
    <w:next w:val="BodyText"/>
    <w:rsid w:val="00263310"/>
    <w:pPr>
      <w:spacing w:before="220" w:after="200"/>
    </w:pPr>
    <w:rPr>
      <w:bCs/>
      <w:caps/>
      <w:color w:val="3C3C3B"/>
      <w:sz w:val="16"/>
      <w:szCs w:val="18"/>
    </w:rPr>
  </w:style>
  <w:style w:type="paragraph" w:styleId="BodyText">
    <w:name w:val="Body Text"/>
    <w:basedOn w:val="Normal"/>
    <w:link w:val="BodyTextChar"/>
    <w:qFormat/>
    <w:rsid w:val="000629F8"/>
    <w:pPr>
      <w:spacing w:before="120" w:after="120" w:line="360" w:lineRule="auto"/>
      <w:jc w:val="both"/>
    </w:pPr>
  </w:style>
  <w:style w:type="character" w:customStyle="1" w:styleId="BodyTextChar">
    <w:name w:val="Body Text Char"/>
    <w:basedOn w:val="DefaultParagraphFont"/>
    <w:link w:val="BodyText"/>
    <w:rsid w:val="000629F8"/>
  </w:style>
  <w:style w:type="character" w:customStyle="1" w:styleId="Heading4Char">
    <w:name w:val="Heading 4 Char"/>
    <w:basedOn w:val="DefaultParagraphFont"/>
    <w:link w:val="Heading4"/>
    <w:rsid w:val="001F7883"/>
    <w:rPr>
      <w:rFonts w:eastAsiaTheme="majorEastAsia" w:cstheme="majorBidi"/>
      <w:b/>
      <w:bCs/>
      <w:iCs/>
    </w:rPr>
  </w:style>
  <w:style w:type="paragraph" w:customStyle="1" w:styleId="Heading1NoNumbering">
    <w:name w:val="Heading 1 No Numbering"/>
    <w:basedOn w:val="Heading1"/>
    <w:next w:val="BodyText"/>
    <w:qFormat/>
    <w:rsid w:val="00EF1095"/>
    <w:pPr>
      <w:numPr>
        <w:numId w:val="0"/>
      </w:numPr>
    </w:pPr>
  </w:style>
  <w:style w:type="paragraph" w:customStyle="1" w:styleId="QuoteAuthorName">
    <w:name w:val="Quote Author Name"/>
    <w:basedOn w:val="Quote"/>
    <w:next w:val="BodyText"/>
    <w:rsid w:val="00727B8D"/>
    <w:pPr>
      <w:pBdr>
        <w:top w:val="none" w:sz="0" w:space="0" w:color="auto"/>
        <w:bottom w:val="single" w:sz="4" w:space="18" w:color="808080"/>
      </w:pBdr>
      <w:spacing w:before="0" w:after="440"/>
    </w:pPr>
    <w:rPr>
      <w:rFonts w:ascii="Arial Narrow" w:hAnsi="Arial Narrow"/>
      <w:i w:val="0"/>
      <w:caps/>
      <w:color w:val="auto"/>
      <w:sz w:val="16"/>
    </w:rPr>
  </w:style>
  <w:style w:type="paragraph" w:styleId="Quote">
    <w:name w:val="Quote"/>
    <w:basedOn w:val="Normal"/>
    <w:next w:val="QuoteAuthorName"/>
    <w:link w:val="QuoteChar"/>
    <w:rsid w:val="00727B8D"/>
    <w:pPr>
      <w:pBdr>
        <w:top w:val="single" w:sz="4" w:space="18" w:color="808080"/>
      </w:pBdr>
      <w:spacing w:before="540" w:after="240"/>
      <w:jc w:val="center"/>
    </w:pPr>
    <w:rPr>
      <w:rFonts w:ascii="Baskerville Old Face" w:hAnsi="Baskerville Old Face"/>
      <w:i/>
      <w:iCs/>
      <w:color w:val="000000" w:themeColor="text1"/>
      <w:spacing w:val="-7"/>
      <w:sz w:val="24"/>
    </w:rPr>
  </w:style>
  <w:style w:type="character" w:customStyle="1" w:styleId="QuoteChar">
    <w:name w:val="Quote Char"/>
    <w:basedOn w:val="DefaultParagraphFont"/>
    <w:link w:val="Quote"/>
    <w:rsid w:val="00727B8D"/>
    <w:rPr>
      <w:rFonts w:ascii="Baskerville Old Face" w:hAnsi="Baskerville Old Face"/>
      <w:i/>
      <w:iCs/>
      <w:color w:val="000000" w:themeColor="text1"/>
      <w:spacing w:val="-7"/>
      <w:sz w:val="24"/>
    </w:rPr>
  </w:style>
  <w:style w:type="paragraph" w:styleId="FootnoteText">
    <w:name w:val="footnote text"/>
    <w:basedOn w:val="Normal"/>
    <w:link w:val="FootnoteTextChar"/>
    <w:unhideWhenUsed/>
    <w:rsid w:val="00EF1095"/>
    <w:pPr>
      <w:spacing w:after="180"/>
      <w:ind w:right="1162"/>
      <w:contextualSpacing/>
    </w:pPr>
    <w:rPr>
      <w:color w:val="808080"/>
      <w:spacing w:val="-2"/>
      <w:sz w:val="12"/>
    </w:rPr>
  </w:style>
  <w:style w:type="character" w:customStyle="1" w:styleId="FootnoteTextChar">
    <w:name w:val="Footnote Text Char"/>
    <w:basedOn w:val="DefaultParagraphFont"/>
    <w:link w:val="FootnoteText"/>
    <w:rsid w:val="00DF1FB2"/>
    <w:rPr>
      <w:color w:val="808080"/>
      <w:spacing w:val="-2"/>
      <w:sz w:val="12"/>
    </w:rPr>
  </w:style>
  <w:style w:type="table" w:customStyle="1" w:styleId="DandoloTableLeft">
    <w:name w:val="Dandolo Table Left"/>
    <w:basedOn w:val="TableNormal"/>
    <w:uiPriority w:val="99"/>
    <w:qFormat/>
    <w:rsid w:val="00FC40CD"/>
    <w:pPr>
      <w:spacing w:before="176" w:after="176" w:line="240" w:lineRule="auto"/>
      <w:ind w:left="113" w:right="113"/>
    </w:pPr>
    <w:rPr>
      <w:color w:val="3C3C3B"/>
      <w:sz w:val="18"/>
    </w:rPr>
    <w:tblPr>
      <w:tblInd w:w="0" w:type="dxa"/>
      <w:tblBorders>
        <w:top w:val="single" w:sz="4" w:space="0" w:color="800000"/>
        <w:bottom w:val="single" w:sz="4" w:space="0" w:color="800000"/>
        <w:insideH w:val="single" w:sz="4" w:space="0" w:color="800000"/>
      </w:tblBorders>
      <w:tblCellMar>
        <w:top w:w="0" w:type="dxa"/>
        <w:left w:w="0" w:type="dxa"/>
        <w:bottom w:w="0" w:type="dxa"/>
        <w:right w:w="0" w:type="dxa"/>
      </w:tblCellMar>
    </w:tblPr>
    <w:tcPr>
      <w:vAlign w:val="center"/>
    </w:tcPr>
    <w:tblStylePr w:type="firstRow">
      <w:pPr>
        <w:wordWrap/>
        <w:spacing w:beforeLines="0" w:beforeAutospacing="0" w:afterLines="0" w:afterAutospacing="0"/>
        <w:jc w:val="left"/>
      </w:pPr>
      <w:rPr>
        <w:b w:val="0"/>
        <w:color w:val="800000"/>
      </w:rPr>
      <w:tblPr/>
      <w:tcPr>
        <w:vAlign w:val="center"/>
      </w:tcPr>
    </w:tblStylePr>
    <w:tblStylePr w:type="firstCol">
      <w:rPr>
        <w:b/>
        <w:color w:val="000000" w:themeColor="text1"/>
      </w:rPr>
    </w:tblStylePr>
  </w:style>
  <w:style w:type="table" w:customStyle="1" w:styleId="DandoloTableCentred">
    <w:name w:val="Dandolo Table Centred"/>
    <w:basedOn w:val="TableNormal"/>
    <w:uiPriority w:val="99"/>
    <w:qFormat/>
    <w:rsid w:val="00FC40CD"/>
    <w:pPr>
      <w:spacing w:before="176" w:after="176" w:line="240" w:lineRule="auto"/>
      <w:ind w:left="113" w:right="113"/>
      <w:jc w:val="center"/>
    </w:pPr>
    <w:rPr>
      <w:color w:val="3C3C3B"/>
      <w:sz w:val="18"/>
    </w:rPr>
    <w:tblPr>
      <w:tblInd w:w="0" w:type="dxa"/>
      <w:tblBorders>
        <w:top w:val="single" w:sz="4" w:space="0" w:color="800000"/>
        <w:bottom w:val="single" w:sz="4" w:space="0" w:color="800000"/>
        <w:insideH w:val="single" w:sz="4" w:space="0" w:color="800000"/>
        <w:insideV w:val="single" w:sz="4" w:space="0" w:color="800000"/>
      </w:tblBorders>
      <w:tblCellMar>
        <w:top w:w="0" w:type="dxa"/>
        <w:left w:w="0" w:type="dxa"/>
        <w:bottom w:w="0" w:type="dxa"/>
        <w:right w:w="0" w:type="dxa"/>
      </w:tblCellMar>
    </w:tblPr>
    <w:tcPr>
      <w:shd w:val="clear" w:color="auto" w:fill="auto"/>
      <w:vAlign w:val="center"/>
    </w:tcPr>
    <w:tblStylePr w:type="firstRow">
      <w:rPr>
        <w:color w:val="800000"/>
      </w:rPr>
    </w:tblStylePr>
    <w:tblStylePr w:type="firstCol">
      <w:pPr>
        <w:jc w:val="left"/>
      </w:pPr>
      <w:rPr>
        <w:b/>
        <w:color w:val="000000" w:themeColor="text1"/>
      </w:rPr>
    </w:tblStylePr>
  </w:style>
  <w:style w:type="paragraph" w:customStyle="1" w:styleId="xInLineShapeCentred">
    <w:name w:val="xInLineShape Centred"/>
    <w:basedOn w:val="BodyText"/>
    <w:next w:val="BodyText"/>
    <w:qFormat/>
    <w:rsid w:val="00B06B11"/>
    <w:pPr>
      <w:spacing w:line="240" w:lineRule="auto"/>
    </w:pPr>
  </w:style>
  <w:style w:type="paragraph" w:customStyle="1" w:styleId="Heading2NoNumbering">
    <w:name w:val="Heading 2 No Numbering"/>
    <w:basedOn w:val="Heading2"/>
    <w:next w:val="BodyText"/>
    <w:qFormat/>
    <w:rsid w:val="00332FE8"/>
    <w:pPr>
      <w:numPr>
        <w:ilvl w:val="0"/>
        <w:numId w:val="0"/>
      </w:numPr>
      <w:spacing w:after="180"/>
    </w:pPr>
  </w:style>
  <w:style w:type="paragraph" w:customStyle="1" w:styleId="Heading3NoNumbering">
    <w:name w:val="Heading 3 No Numbering"/>
    <w:basedOn w:val="Heading3"/>
    <w:next w:val="BodyText"/>
    <w:qFormat/>
    <w:rsid w:val="00CB48A2"/>
    <w:pPr>
      <w:numPr>
        <w:ilvl w:val="0"/>
        <w:numId w:val="0"/>
      </w:numPr>
      <w:spacing w:before="120" w:after="120" w:line="240" w:lineRule="auto"/>
      <w:jc w:val="both"/>
    </w:pPr>
  </w:style>
  <w:style w:type="character" w:styleId="PlaceholderText">
    <w:name w:val="Placeholder Text"/>
    <w:basedOn w:val="DefaultParagraphFont"/>
    <w:rsid w:val="003F55B7"/>
    <w:rPr>
      <w:color w:val="808080"/>
    </w:rPr>
  </w:style>
  <w:style w:type="paragraph" w:styleId="ListBullet">
    <w:name w:val="List Bullet"/>
    <w:basedOn w:val="BodyText"/>
    <w:link w:val="ListBulletChar"/>
    <w:qFormat/>
    <w:rsid w:val="00CB48A2"/>
    <w:pPr>
      <w:numPr>
        <w:numId w:val="12"/>
      </w:numPr>
      <w:tabs>
        <w:tab w:val="clear" w:pos="643"/>
      </w:tabs>
      <w:spacing w:before="60" w:after="160"/>
      <w:ind w:left="720"/>
      <w:contextualSpacing/>
    </w:pPr>
  </w:style>
  <w:style w:type="paragraph" w:styleId="ListNumber">
    <w:name w:val="List Number"/>
    <w:basedOn w:val="BodyText"/>
    <w:rsid w:val="00DC0CF5"/>
    <w:pPr>
      <w:numPr>
        <w:numId w:val="3"/>
      </w:numPr>
      <w:contextualSpacing/>
    </w:pPr>
  </w:style>
  <w:style w:type="paragraph" w:customStyle="1" w:styleId="Listbullet2indented">
    <w:name w:val="List bullet 2 indented"/>
    <w:basedOn w:val="ListBullet"/>
    <w:link w:val="Listbullet2indentedChar"/>
    <w:qFormat/>
    <w:rsid w:val="00941EB8"/>
    <w:pPr>
      <w:numPr>
        <w:numId w:val="5"/>
      </w:numPr>
      <w:ind w:left="697" w:hanging="357"/>
    </w:pPr>
  </w:style>
  <w:style w:type="character" w:customStyle="1" w:styleId="ListBulletChar">
    <w:name w:val="List Bullet Char"/>
    <w:basedOn w:val="BodyTextChar"/>
    <w:link w:val="ListBullet"/>
    <w:rsid w:val="00CB48A2"/>
  </w:style>
  <w:style w:type="character" w:customStyle="1" w:styleId="Listbullet2indentedChar">
    <w:name w:val="List bullet 2 indented Char"/>
    <w:basedOn w:val="ListBulletChar"/>
    <w:link w:val="Listbullet2indented"/>
    <w:rsid w:val="00941EB8"/>
  </w:style>
  <w:style w:type="paragraph" w:customStyle="1" w:styleId="Listbullet3indented">
    <w:name w:val="List bullet 3 indented"/>
    <w:basedOn w:val="Listbullet2indented"/>
    <w:link w:val="Listbullet3indentedChar"/>
    <w:qFormat/>
    <w:rsid w:val="00941EB8"/>
    <w:pPr>
      <w:numPr>
        <w:numId w:val="0"/>
      </w:numPr>
      <w:ind w:left="1134" w:hanging="425"/>
    </w:pPr>
  </w:style>
  <w:style w:type="character" w:customStyle="1" w:styleId="Listbullet3indentedChar">
    <w:name w:val="List bullet 3 indented Char"/>
    <w:basedOn w:val="Listbullet2indentedChar"/>
    <w:link w:val="Listbullet3indented"/>
    <w:rsid w:val="00941EB8"/>
  </w:style>
  <w:style w:type="paragraph" w:styleId="NormalWeb">
    <w:name w:val="Normal (Web)"/>
    <w:basedOn w:val="Normal"/>
    <w:uiPriority w:val="99"/>
    <w:unhideWhenUsed/>
    <w:rsid w:val="00A75FA6"/>
    <w:pPr>
      <w:spacing w:before="100" w:beforeAutospacing="1" w:after="100" w:afterAutospacing="1"/>
    </w:pPr>
    <w:rPr>
      <w:rFonts w:ascii="Times" w:eastAsiaTheme="minorEastAsia" w:hAnsi="Times"/>
      <w:sz w:val="24"/>
      <w:szCs w:val="24"/>
    </w:rPr>
  </w:style>
  <w:style w:type="paragraph" w:styleId="ListParagraph">
    <w:name w:val="List Paragraph"/>
    <w:basedOn w:val="Normal"/>
    <w:uiPriority w:val="34"/>
    <w:qFormat/>
    <w:rsid w:val="00A75FA6"/>
    <w:pPr>
      <w:ind w:left="720"/>
      <w:contextualSpacing/>
    </w:pPr>
    <w:rPr>
      <w:rFonts w:ascii="Times" w:eastAsiaTheme="minorEastAsia" w:hAnsi="Times" w:cstheme="minorBidi"/>
      <w:sz w:val="24"/>
      <w:szCs w:val="24"/>
    </w:rPr>
  </w:style>
  <w:style w:type="character" w:styleId="CommentReference">
    <w:name w:val="annotation reference"/>
    <w:basedOn w:val="DefaultParagraphFont"/>
    <w:semiHidden/>
    <w:unhideWhenUsed/>
    <w:rsid w:val="00A75FA6"/>
    <w:rPr>
      <w:sz w:val="18"/>
      <w:szCs w:val="18"/>
    </w:rPr>
  </w:style>
  <w:style w:type="paragraph" w:styleId="CommentText">
    <w:name w:val="annotation text"/>
    <w:basedOn w:val="Normal"/>
    <w:link w:val="CommentTextChar"/>
    <w:unhideWhenUsed/>
    <w:rsid w:val="00A75FA6"/>
    <w:rPr>
      <w:sz w:val="24"/>
      <w:szCs w:val="24"/>
    </w:rPr>
  </w:style>
  <w:style w:type="character" w:customStyle="1" w:styleId="CommentTextChar">
    <w:name w:val="Comment Text Char"/>
    <w:basedOn w:val="DefaultParagraphFont"/>
    <w:link w:val="CommentText"/>
    <w:rsid w:val="00A75FA6"/>
    <w:rPr>
      <w:sz w:val="24"/>
      <w:szCs w:val="24"/>
    </w:rPr>
  </w:style>
  <w:style w:type="paragraph" w:styleId="CommentSubject">
    <w:name w:val="annotation subject"/>
    <w:basedOn w:val="CommentText"/>
    <w:next w:val="CommentText"/>
    <w:link w:val="CommentSubjectChar"/>
    <w:semiHidden/>
    <w:unhideWhenUsed/>
    <w:rsid w:val="00A75FA6"/>
    <w:rPr>
      <w:b/>
      <w:bCs/>
      <w:sz w:val="20"/>
      <w:szCs w:val="20"/>
    </w:rPr>
  </w:style>
  <w:style w:type="character" w:customStyle="1" w:styleId="CommentSubjectChar">
    <w:name w:val="Comment Subject Char"/>
    <w:basedOn w:val="CommentTextChar"/>
    <w:link w:val="CommentSubject"/>
    <w:semiHidden/>
    <w:rsid w:val="00A75FA6"/>
    <w:rPr>
      <w:b/>
      <w:bCs/>
      <w:sz w:val="24"/>
      <w:szCs w:val="24"/>
    </w:rPr>
  </w:style>
  <w:style w:type="paragraph" w:customStyle="1" w:styleId="Listdash">
    <w:name w:val="List dash"/>
    <w:basedOn w:val="ListBullet"/>
    <w:rsid w:val="003D541D"/>
    <w:pPr>
      <w:numPr>
        <w:numId w:val="2"/>
      </w:numPr>
      <w:ind w:left="1134" w:hanging="357"/>
    </w:pPr>
  </w:style>
  <w:style w:type="paragraph" w:customStyle="1" w:styleId="Tablenote">
    <w:name w:val="Table note"/>
    <w:basedOn w:val="FootnoteText"/>
    <w:link w:val="TablenoteChar"/>
    <w:qFormat/>
    <w:rsid w:val="00A75FA6"/>
    <w:pPr>
      <w:spacing w:after="240"/>
    </w:pPr>
    <w:rPr>
      <w:sz w:val="16"/>
      <w:szCs w:val="16"/>
    </w:rPr>
  </w:style>
  <w:style w:type="character" w:customStyle="1" w:styleId="TablenoteChar">
    <w:name w:val="Table note Char"/>
    <w:basedOn w:val="FootnoteTextChar"/>
    <w:link w:val="Tablenote"/>
    <w:rsid w:val="00A75FA6"/>
    <w:rPr>
      <w:color w:val="808080"/>
      <w:spacing w:val="-2"/>
      <w:sz w:val="16"/>
      <w:szCs w:val="16"/>
    </w:rPr>
  </w:style>
  <w:style w:type="paragraph" w:customStyle="1" w:styleId="NotesSource-Numberedlist">
    <w:name w:val="Notes/Source - Numbered list"/>
    <w:basedOn w:val="NotesSource"/>
    <w:uiPriority w:val="9"/>
    <w:rsid w:val="00A75FA6"/>
    <w:pPr>
      <w:numPr>
        <w:ilvl w:val="1"/>
      </w:numPr>
      <w:tabs>
        <w:tab w:val="num" w:pos="360"/>
      </w:tabs>
      <w:ind w:left="360" w:hanging="360"/>
    </w:pPr>
  </w:style>
  <w:style w:type="paragraph" w:customStyle="1" w:styleId="NotesSource">
    <w:name w:val="Notes/Source"/>
    <w:basedOn w:val="Normal"/>
    <w:link w:val="NotesSourceCharChar"/>
    <w:uiPriority w:val="9"/>
    <w:rsid w:val="00A75FA6"/>
    <w:pPr>
      <w:numPr>
        <w:numId w:val="9"/>
      </w:numPr>
      <w:spacing w:before="60" w:after="40"/>
    </w:pPr>
    <w:rPr>
      <w:rFonts w:ascii="Arial" w:eastAsia="Times New Roman" w:hAnsi="Arial"/>
      <w:spacing w:val="4"/>
      <w:sz w:val="16"/>
      <w:szCs w:val="24"/>
    </w:rPr>
  </w:style>
  <w:style w:type="character" w:customStyle="1" w:styleId="NotesSourceCharChar">
    <w:name w:val="Notes/Source Char Char"/>
    <w:basedOn w:val="DefaultParagraphFont"/>
    <w:link w:val="NotesSource"/>
    <w:uiPriority w:val="9"/>
    <w:rsid w:val="00A75FA6"/>
    <w:rPr>
      <w:rFonts w:ascii="Arial" w:eastAsia="Times New Roman" w:hAnsi="Arial"/>
      <w:spacing w:val="4"/>
      <w:sz w:val="16"/>
      <w:szCs w:val="24"/>
    </w:rPr>
  </w:style>
  <w:style w:type="numbering" w:customStyle="1" w:styleId="NotesSourceList">
    <w:name w:val="Notes/Source List"/>
    <w:uiPriority w:val="99"/>
    <w:rsid w:val="00A75FA6"/>
    <w:pPr>
      <w:numPr>
        <w:numId w:val="9"/>
      </w:numPr>
    </w:pPr>
  </w:style>
  <w:style w:type="paragraph" w:customStyle="1" w:styleId="outputtable">
    <w:name w:val="output table"/>
    <w:basedOn w:val="Normal"/>
    <w:link w:val="outputtableChar"/>
    <w:qFormat/>
    <w:rsid w:val="00A75FA6"/>
    <w:pPr>
      <w:spacing w:before="60" w:after="60"/>
    </w:pPr>
    <w:rPr>
      <w:rFonts w:ascii="Arial" w:eastAsia="Times New Roman" w:hAnsi="Arial" w:cs="Arial"/>
      <w:sz w:val="18"/>
      <w:szCs w:val="18"/>
      <w:lang w:val="en-US"/>
    </w:rPr>
  </w:style>
  <w:style w:type="character" w:customStyle="1" w:styleId="outputtableChar">
    <w:name w:val="output table Char"/>
    <w:basedOn w:val="DefaultParagraphFont"/>
    <w:link w:val="outputtable"/>
    <w:locked/>
    <w:rsid w:val="00A75FA6"/>
    <w:rPr>
      <w:rFonts w:ascii="Arial" w:eastAsia="Times New Roman" w:hAnsi="Arial" w:cs="Arial"/>
      <w:sz w:val="18"/>
      <w:szCs w:val="18"/>
      <w:lang w:val="en-US"/>
    </w:rPr>
  </w:style>
  <w:style w:type="paragraph" w:styleId="PlainText">
    <w:name w:val="Plain Text"/>
    <w:basedOn w:val="Normal"/>
    <w:link w:val="PlainTextChar"/>
    <w:rsid w:val="00A75FA6"/>
    <w:rPr>
      <w:rFonts w:ascii="Courier" w:hAnsi="Courier"/>
      <w:sz w:val="21"/>
      <w:szCs w:val="21"/>
    </w:rPr>
  </w:style>
  <w:style w:type="character" w:customStyle="1" w:styleId="PlainTextChar">
    <w:name w:val="Plain Text Char"/>
    <w:basedOn w:val="DefaultParagraphFont"/>
    <w:link w:val="PlainText"/>
    <w:rsid w:val="00A75FA6"/>
    <w:rPr>
      <w:rFonts w:ascii="Courier" w:hAnsi="Courier"/>
      <w:sz w:val="21"/>
      <w:szCs w:val="21"/>
    </w:rPr>
  </w:style>
  <w:style w:type="paragraph" w:styleId="DocumentMap">
    <w:name w:val="Document Map"/>
    <w:basedOn w:val="Normal"/>
    <w:link w:val="DocumentMapChar"/>
    <w:rsid w:val="00A75FA6"/>
    <w:rPr>
      <w:rFonts w:ascii="Lucida Grande" w:hAnsi="Lucida Grande" w:cs="Lucida Grande"/>
      <w:sz w:val="24"/>
      <w:szCs w:val="24"/>
    </w:rPr>
  </w:style>
  <w:style w:type="character" w:customStyle="1" w:styleId="DocumentMapChar">
    <w:name w:val="Document Map Char"/>
    <w:basedOn w:val="DefaultParagraphFont"/>
    <w:link w:val="DocumentMap"/>
    <w:rsid w:val="00A75FA6"/>
    <w:rPr>
      <w:rFonts w:ascii="Lucida Grande" w:hAnsi="Lucida Grande" w:cs="Lucida Grande"/>
      <w:sz w:val="24"/>
      <w:szCs w:val="24"/>
    </w:rPr>
  </w:style>
  <w:style w:type="paragraph" w:styleId="Revision">
    <w:name w:val="Revision"/>
    <w:hidden/>
    <w:uiPriority w:val="99"/>
    <w:rsid w:val="00A75FA6"/>
    <w:pPr>
      <w:spacing w:line="240" w:lineRule="auto"/>
    </w:pPr>
    <w:rPr>
      <w:sz w:val="24"/>
      <w:szCs w:val="24"/>
    </w:rPr>
  </w:style>
  <w:style w:type="character" w:styleId="Emphasis">
    <w:name w:val="Emphasis"/>
    <w:basedOn w:val="DefaultParagraphFont"/>
    <w:uiPriority w:val="20"/>
    <w:qFormat/>
    <w:rsid w:val="00597BCB"/>
    <w:rPr>
      <w:i/>
      <w:iCs/>
    </w:rPr>
  </w:style>
  <w:style w:type="character" w:styleId="FollowedHyperlink">
    <w:name w:val="FollowedHyperlink"/>
    <w:basedOn w:val="DefaultParagraphFont"/>
    <w:rsid w:val="00497DBB"/>
    <w:rPr>
      <w:color w:val="931B2F" w:themeColor="followedHyperlink"/>
      <w:u w:val="single"/>
    </w:rPr>
  </w:style>
  <w:style w:type="character" w:customStyle="1" w:styleId="CommentTextChar1">
    <w:name w:val="Comment Text Char1"/>
    <w:basedOn w:val="DefaultParagraphFont"/>
    <w:semiHidden/>
    <w:rsid w:val="00E45705"/>
    <w:rPr>
      <w:sz w:val="24"/>
      <w:szCs w:val="24"/>
    </w:rPr>
  </w:style>
  <w:style w:type="paragraph" w:customStyle="1" w:styleId="bullets">
    <w:name w:val="bullets"/>
    <w:basedOn w:val="Normal"/>
    <w:rsid w:val="00E45705"/>
    <w:pPr>
      <w:spacing w:after="120"/>
      <w:ind w:left="927" w:hanging="360"/>
      <w:jc w:val="both"/>
    </w:pPr>
    <w:rPr>
      <w:rFonts w:ascii="Arial" w:eastAsia="Times" w:hAnsi="Arial"/>
      <w:sz w:val="22"/>
      <w:szCs w:val="24"/>
      <w:lang w:val="en-US" w:eastAsia="zh-CN"/>
    </w:rPr>
  </w:style>
  <w:style w:type="character" w:customStyle="1" w:styleId="CommentSubjectChar1">
    <w:name w:val="Comment Subject Char1"/>
    <w:basedOn w:val="CommentTextChar1"/>
    <w:semiHidden/>
    <w:rsid w:val="00E45705"/>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Cambria" w:hAnsi="Arial Narrow" w:cs="Times New Roman"/>
        <w:lang w:val="en-AU" w:eastAsia="en-US" w:bidi="ar-SA"/>
      </w:rPr>
    </w:rPrDefault>
    <w:pPrDefault>
      <w:pPr>
        <w:spacing w:line="380" w:lineRule="atLeast"/>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semiHidden="1" w:unhideWhenUsed="1"/>
    <w:lsdException w:name="header" w:uiPriority="99"/>
    <w:lsdException w:name="annotation reference" w:semiHidden="1" w:unhideWhenUsed="1"/>
    <w:lsdException w:name="List Bullet" w:qFormat="1"/>
    <w:lsdException w:name="Title" w:qFormat="1"/>
    <w:lsdException w:name="Closing" w:semiHidden="1"/>
    <w:lsdException w:name="Body Text"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Emphasis" w:uiPriority="20" w:qFormat="1"/>
    <w:lsdException w:name="Normal (Web)" w:uiPriority="99"/>
    <w:lsdException w:name="annotation subject" w:semiHidden="1" w:unhideWhenUsed="1"/>
    <w:lsdException w:name="No List" w:uiPriority="99"/>
    <w:lsdException w:name="Revision" w:uiPriority="99"/>
    <w:lsdException w:name="List Paragraph" w:uiPriority="34" w:qFormat="1"/>
    <w:lsdException w:name="Book Title" w:semiHidden="1"/>
    <w:lsdException w:name="Bibliography" w:semiHidden="1" w:unhideWhenUsed="1"/>
  </w:latentStyles>
  <w:style w:type="paragraph" w:default="1" w:styleId="Normal">
    <w:name w:val="Normal"/>
    <w:rsid w:val="00936513"/>
    <w:pPr>
      <w:spacing w:line="240" w:lineRule="auto"/>
    </w:pPr>
  </w:style>
  <w:style w:type="paragraph" w:styleId="Heading1">
    <w:name w:val="heading 1"/>
    <w:basedOn w:val="Normal"/>
    <w:next w:val="BodyText"/>
    <w:link w:val="Heading1Char"/>
    <w:qFormat/>
    <w:rsid w:val="002D1057"/>
    <w:pPr>
      <w:keepNext/>
      <w:pageBreakBefore/>
      <w:numPr>
        <w:numId w:val="1"/>
      </w:numPr>
      <w:spacing w:before="200" w:after="400" w:line="360" w:lineRule="auto"/>
      <w:outlineLvl w:val="0"/>
    </w:pPr>
    <w:rPr>
      <w:bCs/>
      <w:color w:val="931B2F"/>
      <w:spacing w:val="2"/>
      <w:sz w:val="54"/>
      <w:szCs w:val="32"/>
    </w:rPr>
  </w:style>
  <w:style w:type="paragraph" w:styleId="Heading2">
    <w:name w:val="heading 2"/>
    <w:basedOn w:val="Normal"/>
    <w:next w:val="BodyText"/>
    <w:link w:val="Heading2Char"/>
    <w:qFormat/>
    <w:rsid w:val="00CB48A2"/>
    <w:pPr>
      <w:keepNext/>
      <w:keepLines/>
      <w:numPr>
        <w:ilvl w:val="1"/>
        <w:numId w:val="1"/>
      </w:numPr>
      <w:spacing w:before="360" w:after="280" w:line="360" w:lineRule="exact"/>
      <w:jc w:val="both"/>
      <w:outlineLvl w:val="1"/>
    </w:pPr>
    <w:rPr>
      <w:rFonts w:eastAsiaTheme="majorEastAsia" w:cstheme="majorBidi"/>
      <w:bCs/>
      <w:color w:val="931B2F"/>
      <w:sz w:val="32"/>
      <w:szCs w:val="26"/>
    </w:rPr>
  </w:style>
  <w:style w:type="paragraph" w:styleId="Heading3">
    <w:name w:val="heading 3"/>
    <w:basedOn w:val="Normal"/>
    <w:next w:val="BodyText"/>
    <w:link w:val="Heading3Char"/>
    <w:qFormat/>
    <w:rsid w:val="002165CB"/>
    <w:pPr>
      <w:keepNext/>
      <w:keepLines/>
      <w:numPr>
        <w:ilvl w:val="2"/>
        <w:numId w:val="1"/>
      </w:numPr>
      <w:spacing w:before="460" w:after="180" w:line="360" w:lineRule="exact"/>
      <w:outlineLvl w:val="2"/>
    </w:pPr>
    <w:rPr>
      <w:rFonts w:eastAsiaTheme="majorEastAsia" w:cstheme="majorBidi"/>
      <w:b/>
      <w:bCs/>
      <w:color w:val="808080"/>
      <w:sz w:val="24"/>
    </w:rPr>
  </w:style>
  <w:style w:type="paragraph" w:styleId="Heading4">
    <w:name w:val="heading 4"/>
    <w:basedOn w:val="Normal"/>
    <w:next w:val="BodyText"/>
    <w:link w:val="Heading4Char"/>
    <w:qFormat/>
    <w:rsid w:val="001F7883"/>
    <w:pPr>
      <w:keepNext/>
      <w:keepLines/>
      <w:spacing w:before="200" w:after="180"/>
      <w:jc w:val="both"/>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1057"/>
    <w:rPr>
      <w:bCs/>
      <w:color w:val="931B2F"/>
      <w:spacing w:val="2"/>
      <w:sz w:val="54"/>
      <w:szCs w:val="32"/>
    </w:rPr>
  </w:style>
  <w:style w:type="paragraph" w:customStyle="1" w:styleId="PageNumbering">
    <w:name w:val="Page Numbering"/>
    <w:basedOn w:val="Footer"/>
    <w:rsid w:val="00A8387D"/>
    <w:pPr>
      <w:framePr w:w="2098" w:h="1219" w:hRule="exact" w:hSpace="181" w:wrap="around" w:vAnchor="page" w:hAnchor="page" w:xAlign="right" w:yAlign="bottom"/>
      <w:ind w:left="0" w:right="1191" w:hanging="56"/>
      <w:jc w:val="right"/>
    </w:pPr>
    <w:rPr>
      <w:szCs w:val="16"/>
    </w:rPr>
  </w:style>
  <w:style w:type="paragraph" w:styleId="Footer">
    <w:name w:val="footer"/>
    <w:basedOn w:val="Normal"/>
    <w:link w:val="FooterChar"/>
    <w:rsid w:val="0077150A"/>
    <w:pPr>
      <w:tabs>
        <w:tab w:val="left" w:pos="1077"/>
        <w:tab w:val="center" w:pos="4320"/>
        <w:tab w:val="right" w:pos="8640"/>
      </w:tabs>
      <w:ind w:left="1105" w:hanging="1077"/>
    </w:pPr>
    <w:rPr>
      <w:color w:val="808080"/>
      <w:spacing w:val="-1"/>
      <w:sz w:val="16"/>
    </w:rPr>
  </w:style>
  <w:style w:type="character" w:customStyle="1" w:styleId="FooterChar">
    <w:name w:val="Footer Char"/>
    <w:basedOn w:val="DefaultParagraphFont"/>
    <w:link w:val="Footer"/>
    <w:rsid w:val="0077150A"/>
    <w:rPr>
      <w:color w:val="808080"/>
      <w:spacing w:val="-1"/>
      <w:sz w:val="16"/>
    </w:rPr>
  </w:style>
  <w:style w:type="paragraph" w:customStyle="1" w:styleId="Address">
    <w:name w:val="Address"/>
    <w:basedOn w:val="Normal"/>
    <w:rsid w:val="00040E86"/>
    <w:pPr>
      <w:widowControl w:val="0"/>
      <w:suppressAutoHyphens/>
      <w:autoSpaceDE w:val="0"/>
      <w:autoSpaceDN w:val="0"/>
      <w:adjustRightInd w:val="0"/>
      <w:spacing w:line="320" w:lineRule="atLeast"/>
      <w:jc w:val="center"/>
      <w:textAlignment w:val="center"/>
    </w:pPr>
    <w:rPr>
      <w:rFonts w:ascii="ArialNarrow" w:hAnsi="ArialNarrow" w:cs="ArialNarrow"/>
      <w:color w:val="3C3C3B"/>
      <w:spacing w:val="-2"/>
      <w:sz w:val="16"/>
    </w:rPr>
  </w:style>
  <w:style w:type="paragraph" w:styleId="Header">
    <w:name w:val="header"/>
    <w:basedOn w:val="Normal"/>
    <w:link w:val="HeaderChar"/>
    <w:uiPriority w:val="99"/>
    <w:rsid w:val="009D2BDA"/>
    <w:pPr>
      <w:tabs>
        <w:tab w:val="center" w:pos="4320"/>
        <w:tab w:val="right" w:pos="8640"/>
      </w:tabs>
    </w:pPr>
  </w:style>
  <w:style w:type="character" w:customStyle="1" w:styleId="HeaderChar">
    <w:name w:val="Header Char"/>
    <w:basedOn w:val="DefaultParagraphFont"/>
    <w:link w:val="Header"/>
    <w:uiPriority w:val="99"/>
    <w:rsid w:val="00D67A72"/>
  </w:style>
  <w:style w:type="paragraph" w:customStyle="1" w:styleId="xFooterImage">
    <w:name w:val="xFooter Image"/>
    <w:basedOn w:val="Normal"/>
    <w:rsid w:val="003915DF"/>
    <w:pPr>
      <w:framePr w:w="2081" w:h="1276" w:hRule="exact" w:wrap="around" w:vAnchor="page" w:hAnchor="page" w:yAlign="bottom" w:anchorLock="1"/>
      <w:jc w:val="right"/>
    </w:pPr>
  </w:style>
  <w:style w:type="paragraph" w:styleId="Title">
    <w:name w:val="Title"/>
    <w:basedOn w:val="Normal"/>
    <w:next w:val="Normal"/>
    <w:link w:val="TitleChar"/>
    <w:qFormat/>
    <w:rsid w:val="006F5BE4"/>
    <w:rPr>
      <w:rFonts w:asciiTheme="minorHAnsi" w:eastAsiaTheme="majorEastAsia" w:hAnsiTheme="minorHAnsi" w:cstheme="majorBidi"/>
      <w:caps/>
      <w:color w:val="3C3C3B"/>
      <w:sz w:val="81"/>
      <w:szCs w:val="52"/>
    </w:rPr>
  </w:style>
  <w:style w:type="character" w:styleId="Hyperlink">
    <w:name w:val="Hyperlink"/>
    <w:basedOn w:val="DefaultParagraphFont"/>
    <w:uiPriority w:val="99"/>
    <w:unhideWhenUsed/>
    <w:rsid w:val="009D2BDA"/>
    <w:rPr>
      <w:color w:val="0000FF"/>
      <w:u w:val="single"/>
    </w:rPr>
  </w:style>
  <w:style w:type="paragraph" w:styleId="TOCHeading">
    <w:name w:val="TOC Heading"/>
    <w:basedOn w:val="Normal"/>
    <w:next w:val="Normal"/>
    <w:rsid w:val="00EF1095"/>
    <w:rPr>
      <w:color w:val="931B2F"/>
      <w:sz w:val="54"/>
      <w:szCs w:val="32"/>
    </w:rPr>
  </w:style>
  <w:style w:type="character" w:customStyle="1" w:styleId="TitleChar">
    <w:name w:val="Title Char"/>
    <w:basedOn w:val="DefaultParagraphFont"/>
    <w:link w:val="Title"/>
    <w:rsid w:val="006F5BE4"/>
    <w:rPr>
      <w:rFonts w:asciiTheme="minorHAnsi" w:eastAsiaTheme="majorEastAsia" w:hAnsiTheme="minorHAnsi" w:cstheme="majorBidi"/>
      <w:caps/>
      <w:color w:val="3C3C3B"/>
      <w:sz w:val="81"/>
      <w:szCs w:val="52"/>
    </w:rPr>
  </w:style>
  <w:style w:type="paragraph" w:styleId="Subtitle">
    <w:name w:val="Subtitle"/>
    <w:basedOn w:val="Normal"/>
    <w:link w:val="SubtitleChar"/>
    <w:qFormat/>
    <w:rsid w:val="006F5BE4"/>
    <w:pPr>
      <w:numPr>
        <w:ilvl w:val="1"/>
      </w:numPr>
    </w:pPr>
    <w:rPr>
      <w:rFonts w:eastAsiaTheme="majorEastAsia" w:cstheme="majorBidi"/>
      <w:iCs/>
      <w:caps/>
      <w:color w:val="3C3C3B"/>
      <w:sz w:val="54"/>
      <w:szCs w:val="24"/>
    </w:rPr>
  </w:style>
  <w:style w:type="paragraph" w:styleId="BalloonText">
    <w:name w:val="Balloon Text"/>
    <w:basedOn w:val="Normal"/>
    <w:link w:val="BalloonTextChar"/>
    <w:semiHidden/>
    <w:unhideWhenUsed/>
    <w:rsid w:val="007D4FD0"/>
    <w:rPr>
      <w:rFonts w:asciiTheme="minorHAnsi" w:hAnsiTheme="minorHAnsi"/>
      <w:sz w:val="18"/>
      <w:szCs w:val="18"/>
    </w:rPr>
  </w:style>
  <w:style w:type="character" w:customStyle="1" w:styleId="SubtitleChar">
    <w:name w:val="Subtitle Char"/>
    <w:basedOn w:val="DefaultParagraphFont"/>
    <w:link w:val="Subtitle"/>
    <w:rsid w:val="006F5BE4"/>
    <w:rPr>
      <w:rFonts w:eastAsiaTheme="majorEastAsia" w:cstheme="majorBidi"/>
      <w:iCs/>
      <w:caps/>
      <w:color w:val="3C3C3B"/>
      <w:sz w:val="54"/>
      <w:szCs w:val="24"/>
    </w:rPr>
  </w:style>
  <w:style w:type="paragraph" w:styleId="Date">
    <w:name w:val="Date"/>
    <w:basedOn w:val="Normal"/>
    <w:next w:val="BodyText"/>
    <w:link w:val="DateChar"/>
    <w:rsid w:val="006F5BE4"/>
    <w:pPr>
      <w:spacing w:before="120" w:after="120"/>
    </w:pPr>
    <w:rPr>
      <w:caps/>
      <w:color w:val="3C3C3B"/>
      <w:sz w:val="29"/>
    </w:rPr>
  </w:style>
  <w:style w:type="character" w:customStyle="1" w:styleId="DateChar">
    <w:name w:val="Date Char"/>
    <w:basedOn w:val="DefaultParagraphFont"/>
    <w:link w:val="Date"/>
    <w:rsid w:val="006F5BE4"/>
    <w:rPr>
      <w:caps/>
      <w:color w:val="3C3C3B"/>
      <w:sz w:val="29"/>
    </w:rPr>
  </w:style>
  <w:style w:type="character" w:customStyle="1" w:styleId="DandolaRed">
    <w:name w:val="Dandola Red"/>
    <w:rsid w:val="00EF1095"/>
    <w:rPr>
      <w:color w:val="931B2F"/>
    </w:rPr>
  </w:style>
  <w:style w:type="character" w:styleId="FootnoteReference">
    <w:name w:val="footnote reference"/>
    <w:basedOn w:val="DefaultParagraphFont"/>
    <w:unhideWhenUsed/>
    <w:rsid w:val="00F915FA"/>
    <w:rPr>
      <w:vertAlign w:val="superscript"/>
    </w:rPr>
  </w:style>
  <w:style w:type="table" w:styleId="TableGrid">
    <w:name w:val="Table Grid"/>
    <w:aliases w:val="Table Grid Dandolo"/>
    <w:basedOn w:val="TableNormal"/>
    <w:rsid w:val="007140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Sub-Heading">
    <w:name w:val="Table Sub-Heading"/>
    <w:basedOn w:val="Normal"/>
    <w:qFormat/>
    <w:rsid w:val="0049187A"/>
    <w:pPr>
      <w:spacing w:before="176" w:after="176"/>
      <w:ind w:left="113" w:right="113"/>
    </w:pPr>
    <w:rPr>
      <w:b/>
      <w:sz w:val="18"/>
    </w:rPr>
  </w:style>
  <w:style w:type="paragraph" w:customStyle="1" w:styleId="TableColumnHeading">
    <w:name w:val="Table Column Heading"/>
    <w:basedOn w:val="Normal"/>
    <w:qFormat/>
    <w:rsid w:val="00EF1095"/>
    <w:pPr>
      <w:spacing w:before="300" w:after="300"/>
      <w:ind w:left="113" w:right="113"/>
    </w:pPr>
    <w:rPr>
      <w:b/>
      <w:color w:val="931B2F"/>
      <w:sz w:val="18"/>
    </w:rPr>
  </w:style>
  <w:style w:type="paragraph" w:customStyle="1" w:styleId="TableCellText">
    <w:name w:val="Table Cell Text"/>
    <w:basedOn w:val="Normal"/>
    <w:qFormat/>
    <w:rsid w:val="009F0607"/>
    <w:pPr>
      <w:spacing w:before="176" w:after="176"/>
      <w:ind w:left="113" w:right="113"/>
    </w:pPr>
    <w:rPr>
      <w:color w:val="3C3C3B"/>
      <w:sz w:val="18"/>
    </w:rPr>
  </w:style>
  <w:style w:type="paragraph" w:customStyle="1" w:styleId="TableHeading">
    <w:name w:val="Table Heading"/>
    <w:qFormat/>
    <w:rsid w:val="00AA334D"/>
    <w:pPr>
      <w:tabs>
        <w:tab w:val="left" w:pos="1191"/>
      </w:tabs>
      <w:suppressAutoHyphens/>
      <w:spacing w:before="490" w:after="110" w:line="380" w:lineRule="exact"/>
      <w:ind w:left="1191" w:hanging="1191"/>
    </w:pPr>
    <w:rPr>
      <w:rFonts w:cs="ArialNarrow-Bold"/>
      <w:bCs/>
      <w:caps/>
      <w:color w:val="000000"/>
      <w:sz w:val="16"/>
      <w:szCs w:val="16"/>
    </w:rPr>
  </w:style>
  <w:style w:type="character" w:customStyle="1" w:styleId="xLowered">
    <w:name w:val="xLowered"/>
    <w:uiPriority w:val="1"/>
    <w:rsid w:val="00041CEE"/>
    <w:rPr>
      <w:position w:val="-2"/>
    </w:rPr>
  </w:style>
  <w:style w:type="character" w:styleId="PageNumber">
    <w:name w:val="page number"/>
    <w:basedOn w:val="DefaultParagraphFont"/>
    <w:semiHidden/>
    <w:rsid w:val="004805C9"/>
    <w:rPr>
      <w:rFonts w:ascii="Arial Narrow" w:hAnsi="Arial Narrow"/>
      <w:sz w:val="16"/>
    </w:rPr>
  </w:style>
  <w:style w:type="character" w:customStyle="1" w:styleId="Heading2Char">
    <w:name w:val="Heading 2 Char"/>
    <w:basedOn w:val="DefaultParagraphFont"/>
    <w:link w:val="Heading2"/>
    <w:rsid w:val="00CB48A2"/>
    <w:rPr>
      <w:rFonts w:eastAsiaTheme="majorEastAsia" w:cstheme="majorBidi"/>
      <w:bCs/>
      <w:color w:val="931B2F"/>
      <w:sz w:val="32"/>
      <w:szCs w:val="26"/>
    </w:rPr>
  </w:style>
  <w:style w:type="character" w:customStyle="1" w:styleId="Heading3Char">
    <w:name w:val="Heading 3 Char"/>
    <w:basedOn w:val="DefaultParagraphFont"/>
    <w:link w:val="Heading3"/>
    <w:rsid w:val="002165CB"/>
    <w:rPr>
      <w:rFonts w:eastAsiaTheme="majorEastAsia" w:cstheme="majorBidi"/>
      <w:b/>
      <w:bCs/>
      <w:color w:val="808080"/>
      <w:sz w:val="24"/>
    </w:rPr>
  </w:style>
  <w:style w:type="paragraph" w:styleId="TOC2">
    <w:name w:val="toc 2"/>
    <w:next w:val="Normal"/>
    <w:autoRedefine/>
    <w:uiPriority w:val="39"/>
    <w:rsid w:val="00F41465"/>
    <w:pPr>
      <w:tabs>
        <w:tab w:val="left" w:pos="567"/>
        <w:tab w:val="right" w:leader="dot" w:pos="6237"/>
      </w:tabs>
      <w:spacing w:after="160" w:line="300" w:lineRule="exact"/>
      <w:ind w:left="567" w:right="3969" w:hanging="567"/>
    </w:pPr>
    <w:rPr>
      <w:rFonts w:eastAsiaTheme="minorEastAsia" w:cstheme="minorBidi"/>
      <w:noProof/>
      <w:szCs w:val="22"/>
      <w:lang w:eastAsia="en-AU"/>
    </w:rPr>
  </w:style>
  <w:style w:type="paragraph" w:styleId="TOC3">
    <w:name w:val="toc 3"/>
    <w:next w:val="Normal"/>
    <w:autoRedefine/>
    <w:uiPriority w:val="39"/>
    <w:rsid w:val="00F41465"/>
    <w:pPr>
      <w:tabs>
        <w:tab w:val="left" w:pos="567"/>
        <w:tab w:val="right" w:leader="dot" w:pos="6237"/>
      </w:tabs>
      <w:spacing w:after="160" w:line="360" w:lineRule="exact"/>
      <w:ind w:left="567" w:right="3969" w:hanging="567"/>
    </w:pPr>
    <w:rPr>
      <w:rFonts w:eastAsiaTheme="minorEastAsia" w:cstheme="minorBidi"/>
      <w:noProof/>
      <w:sz w:val="16"/>
      <w:szCs w:val="22"/>
      <w:lang w:eastAsia="en-AU"/>
    </w:rPr>
  </w:style>
  <w:style w:type="paragraph" w:styleId="TOC1">
    <w:name w:val="toc 1"/>
    <w:next w:val="Normal"/>
    <w:autoRedefine/>
    <w:uiPriority w:val="39"/>
    <w:rsid w:val="00AE3199"/>
    <w:pPr>
      <w:tabs>
        <w:tab w:val="left" w:pos="567"/>
        <w:tab w:val="right" w:leader="dot" w:pos="6237"/>
      </w:tabs>
      <w:spacing w:before="200" w:after="200" w:line="360" w:lineRule="exact"/>
      <w:ind w:left="567" w:right="3969" w:hanging="567"/>
    </w:pPr>
    <w:rPr>
      <w:rFonts w:eastAsiaTheme="minorEastAsia" w:cstheme="minorBidi"/>
      <w:bCs/>
      <w:noProof/>
      <w:color w:val="931B2F"/>
      <w:sz w:val="24"/>
      <w:szCs w:val="22"/>
      <w:lang w:eastAsia="en-AU"/>
    </w:rPr>
  </w:style>
  <w:style w:type="paragraph" w:styleId="TOC4">
    <w:name w:val="toc 4"/>
    <w:basedOn w:val="Normal"/>
    <w:next w:val="Normal"/>
    <w:autoRedefine/>
    <w:rsid w:val="00326E3B"/>
    <w:pPr>
      <w:ind w:left="720"/>
    </w:pPr>
    <w:rPr>
      <w:rFonts w:asciiTheme="minorHAnsi" w:hAnsiTheme="minorHAnsi"/>
    </w:rPr>
  </w:style>
  <w:style w:type="paragraph" w:styleId="TOC5">
    <w:name w:val="toc 5"/>
    <w:basedOn w:val="Normal"/>
    <w:next w:val="Normal"/>
    <w:autoRedefine/>
    <w:uiPriority w:val="39"/>
    <w:unhideWhenUsed/>
    <w:rsid w:val="00326E3B"/>
    <w:pPr>
      <w:ind w:left="960"/>
    </w:pPr>
    <w:rPr>
      <w:rFonts w:asciiTheme="minorHAnsi" w:hAnsiTheme="minorHAnsi"/>
    </w:rPr>
  </w:style>
  <w:style w:type="paragraph" w:styleId="TOC6">
    <w:name w:val="toc 6"/>
    <w:basedOn w:val="Normal"/>
    <w:next w:val="Normal"/>
    <w:autoRedefine/>
    <w:uiPriority w:val="39"/>
    <w:unhideWhenUsed/>
    <w:rsid w:val="00326E3B"/>
    <w:pPr>
      <w:ind w:left="1200"/>
    </w:pPr>
    <w:rPr>
      <w:rFonts w:asciiTheme="minorHAnsi" w:hAnsiTheme="minorHAnsi"/>
    </w:rPr>
  </w:style>
  <w:style w:type="paragraph" w:styleId="TOC7">
    <w:name w:val="toc 7"/>
    <w:basedOn w:val="Normal"/>
    <w:next w:val="Normal"/>
    <w:autoRedefine/>
    <w:uiPriority w:val="39"/>
    <w:unhideWhenUsed/>
    <w:rsid w:val="00326E3B"/>
    <w:pPr>
      <w:ind w:left="1440"/>
    </w:pPr>
    <w:rPr>
      <w:rFonts w:asciiTheme="minorHAnsi" w:hAnsiTheme="minorHAnsi"/>
    </w:rPr>
  </w:style>
  <w:style w:type="paragraph" w:styleId="TOC8">
    <w:name w:val="toc 8"/>
    <w:basedOn w:val="Normal"/>
    <w:next w:val="Normal"/>
    <w:autoRedefine/>
    <w:uiPriority w:val="39"/>
    <w:unhideWhenUsed/>
    <w:rsid w:val="00326E3B"/>
    <w:pPr>
      <w:ind w:left="1680"/>
    </w:pPr>
    <w:rPr>
      <w:rFonts w:asciiTheme="minorHAnsi" w:hAnsiTheme="minorHAnsi"/>
    </w:rPr>
  </w:style>
  <w:style w:type="paragraph" w:styleId="TOC9">
    <w:name w:val="toc 9"/>
    <w:basedOn w:val="Normal"/>
    <w:next w:val="Normal"/>
    <w:autoRedefine/>
    <w:uiPriority w:val="39"/>
    <w:unhideWhenUsed/>
    <w:rsid w:val="00326E3B"/>
    <w:pPr>
      <w:ind w:left="1920"/>
    </w:pPr>
    <w:rPr>
      <w:rFonts w:asciiTheme="minorHAnsi" w:hAnsiTheme="minorHAnsi"/>
    </w:rPr>
  </w:style>
  <w:style w:type="character" w:customStyle="1" w:styleId="BalloonTextChar">
    <w:name w:val="Balloon Text Char"/>
    <w:basedOn w:val="DefaultParagraphFont"/>
    <w:link w:val="BalloonText"/>
    <w:semiHidden/>
    <w:rsid w:val="007D4FD0"/>
    <w:rPr>
      <w:rFonts w:asciiTheme="minorHAnsi" w:hAnsiTheme="minorHAnsi"/>
      <w:sz w:val="18"/>
      <w:szCs w:val="18"/>
    </w:rPr>
  </w:style>
  <w:style w:type="paragraph" w:styleId="Caption">
    <w:name w:val="caption"/>
    <w:basedOn w:val="Normal"/>
    <w:next w:val="BodyText"/>
    <w:rsid w:val="00263310"/>
    <w:pPr>
      <w:spacing w:before="220" w:after="200"/>
    </w:pPr>
    <w:rPr>
      <w:bCs/>
      <w:caps/>
      <w:color w:val="3C3C3B"/>
      <w:sz w:val="16"/>
      <w:szCs w:val="18"/>
    </w:rPr>
  </w:style>
  <w:style w:type="paragraph" w:styleId="BodyText">
    <w:name w:val="Body Text"/>
    <w:basedOn w:val="Normal"/>
    <w:link w:val="BodyTextChar"/>
    <w:qFormat/>
    <w:rsid w:val="000629F8"/>
    <w:pPr>
      <w:spacing w:before="120" w:after="120" w:line="360" w:lineRule="auto"/>
      <w:jc w:val="both"/>
    </w:pPr>
  </w:style>
  <w:style w:type="character" w:customStyle="1" w:styleId="BodyTextChar">
    <w:name w:val="Body Text Char"/>
    <w:basedOn w:val="DefaultParagraphFont"/>
    <w:link w:val="BodyText"/>
    <w:rsid w:val="000629F8"/>
  </w:style>
  <w:style w:type="character" w:customStyle="1" w:styleId="Heading4Char">
    <w:name w:val="Heading 4 Char"/>
    <w:basedOn w:val="DefaultParagraphFont"/>
    <w:link w:val="Heading4"/>
    <w:rsid w:val="001F7883"/>
    <w:rPr>
      <w:rFonts w:eastAsiaTheme="majorEastAsia" w:cstheme="majorBidi"/>
      <w:b/>
      <w:bCs/>
      <w:iCs/>
    </w:rPr>
  </w:style>
  <w:style w:type="paragraph" w:customStyle="1" w:styleId="Heading1NoNumbering">
    <w:name w:val="Heading 1 No Numbering"/>
    <w:basedOn w:val="Heading1"/>
    <w:next w:val="BodyText"/>
    <w:qFormat/>
    <w:rsid w:val="00EF1095"/>
    <w:pPr>
      <w:numPr>
        <w:numId w:val="0"/>
      </w:numPr>
    </w:pPr>
  </w:style>
  <w:style w:type="paragraph" w:customStyle="1" w:styleId="QuoteAuthorName">
    <w:name w:val="Quote Author Name"/>
    <w:basedOn w:val="Quote"/>
    <w:next w:val="BodyText"/>
    <w:rsid w:val="00727B8D"/>
    <w:pPr>
      <w:pBdr>
        <w:top w:val="none" w:sz="0" w:space="0" w:color="auto"/>
        <w:bottom w:val="single" w:sz="4" w:space="18" w:color="808080"/>
      </w:pBdr>
      <w:spacing w:before="0" w:after="440"/>
    </w:pPr>
    <w:rPr>
      <w:rFonts w:ascii="Arial Narrow" w:hAnsi="Arial Narrow"/>
      <w:i w:val="0"/>
      <w:caps/>
      <w:color w:val="auto"/>
      <w:sz w:val="16"/>
    </w:rPr>
  </w:style>
  <w:style w:type="paragraph" w:styleId="Quote">
    <w:name w:val="Quote"/>
    <w:basedOn w:val="Normal"/>
    <w:next w:val="QuoteAuthorName"/>
    <w:link w:val="QuoteChar"/>
    <w:rsid w:val="00727B8D"/>
    <w:pPr>
      <w:pBdr>
        <w:top w:val="single" w:sz="4" w:space="18" w:color="808080"/>
      </w:pBdr>
      <w:spacing w:before="540" w:after="240"/>
      <w:jc w:val="center"/>
    </w:pPr>
    <w:rPr>
      <w:rFonts w:ascii="Baskerville Old Face" w:hAnsi="Baskerville Old Face"/>
      <w:i/>
      <w:iCs/>
      <w:color w:val="000000" w:themeColor="text1"/>
      <w:spacing w:val="-7"/>
      <w:sz w:val="24"/>
    </w:rPr>
  </w:style>
  <w:style w:type="character" w:customStyle="1" w:styleId="QuoteChar">
    <w:name w:val="Quote Char"/>
    <w:basedOn w:val="DefaultParagraphFont"/>
    <w:link w:val="Quote"/>
    <w:rsid w:val="00727B8D"/>
    <w:rPr>
      <w:rFonts w:ascii="Baskerville Old Face" w:hAnsi="Baskerville Old Face"/>
      <w:i/>
      <w:iCs/>
      <w:color w:val="000000" w:themeColor="text1"/>
      <w:spacing w:val="-7"/>
      <w:sz w:val="24"/>
    </w:rPr>
  </w:style>
  <w:style w:type="paragraph" w:styleId="FootnoteText">
    <w:name w:val="footnote text"/>
    <w:basedOn w:val="Normal"/>
    <w:link w:val="FootnoteTextChar"/>
    <w:unhideWhenUsed/>
    <w:rsid w:val="00EF1095"/>
    <w:pPr>
      <w:spacing w:after="180"/>
      <w:ind w:right="1162"/>
      <w:contextualSpacing/>
    </w:pPr>
    <w:rPr>
      <w:color w:val="808080"/>
      <w:spacing w:val="-2"/>
      <w:sz w:val="12"/>
    </w:rPr>
  </w:style>
  <w:style w:type="character" w:customStyle="1" w:styleId="FootnoteTextChar">
    <w:name w:val="Footnote Text Char"/>
    <w:basedOn w:val="DefaultParagraphFont"/>
    <w:link w:val="FootnoteText"/>
    <w:rsid w:val="00DF1FB2"/>
    <w:rPr>
      <w:color w:val="808080"/>
      <w:spacing w:val="-2"/>
      <w:sz w:val="12"/>
    </w:rPr>
  </w:style>
  <w:style w:type="table" w:customStyle="1" w:styleId="DandoloTableLeft">
    <w:name w:val="Dandolo Table Left"/>
    <w:basedOn w:val="TableNormal"/>
    <w:uiPriority w:val="99"/>
    <w:qFormat/>
    <w:rsid w:val="00FC40CD"/>
    <w:pPr>
      <w:spacing w:before="176" w:after="176" w:line="240" w:lineRule="auto"/>
      <w:ind w:left="113" w:right="113"/>
    </w:pPr>
    <w:rPr>
      <w:color w:val="3C3C3B"/>
      <w:sz w:val="18"/>
    </w:rPr>
    <w:tblPr>
      <w:tblInd w:w="0" w:type="dxa"/>
      <w:tblBorders>
        <w:top w:val="single" w:sz="4" w:space="0" w:color="800000"/>
        <w:bottom w:val="single" w:sz="4" w:space="0" w:color="800000"/>
        <w:insideH w:val="single" w:sz="4" w:space="0" w:color="800000"/>
      </w:tblBorders>
      <w:tblCellMar>
        <w:top w:w="0" w:type="dxa"/>
        <w:left w:w="0" w:type="dxa"/>
        <w:bottom w:w="0" w:type="dxa"/>
        <w:right w:w="0" w:type="dxa"/>
      </w:tblCellMar>
    </w:tblPr>
    <w:tcPr>
      <w:vAlign w:val="center"/>
    </w:tcPr>
    <w:tblStylePr w:type="firstRow">
      <w:pPr>
        <w:wordWrap/>
        <w:spacing w:beforeLines="0" w:beforeAutospacing="0" w:afterLines="0" w:afterAutospacing="0"/>
        <w:jc w:val="left"/>
      </w:pPr>
      <w:rPr>
        <w:b w:val="0"/>
        <w:color w:val="800000"/>
      </w:rPr>
      <w:tblPr/>
      <w:tcPr>
        <w:vAlign w:val="center"/>
      </w:tcPr>
    </w:tblStylePr>
    <w:tblStylePr w:type="firstCol">
      <w:rPr>
        <w:b/>
        <w:color w:val="000000" w:themeColor="text1"/>
      </w:rPr>
    </w:tblStylePr>
  </w:style>
  <w:style w:type="table" w:customStyle="1" w:styleId="DandoloTableCentred">
    <w:name w:val="Dandolo Table Centred"/>
    <w:basedOn w:val="TableNormal"/>
    <w:uiPriority w:val="99"/>
    <w:qFormat/>
    <w:rsid w:val="00FC40CD"/>
    <w:pPr>
      <w:spacing w:before="176" w:after="176" w:line="240" w:lineRule="auto"/>
      <w:ind w:left="113" w:right="113"/>
      <w:jc w:val="center"/>
    </w:pPr>
    <w:rPr>
      <w:color w:val="3C3C3B"/>
      <w:sz w:val="18"/>
    </w:rPr>
    <w:tblPr>
      <w:tblInd w:w="0" w:type="dxa"/>
      <w:tblBorders>
        <w:top w:val="single" w:sz="4" w:space="0" w:color="800000"/>
        <w:bottom w:val="single" w:sz="4" w:space="0" w:color="800000"/>
        <w:insideH w:val="single" w:sz="4" w:space="0" w:color="800000"/>
        <w:insideV w:val="single" w:sz="4" w:space="0" w:color="800000"/>
      </w:tblBorders>
      <w:tblCellMar>
        <w:top w:w="0" w:type="dxa"/>
        <w:left w:w="0" w:type="dxa"/>
        <w:bottom w:w="0" w:type="dxa"/>
        <w:right w:w="0" w:type="dxa"/>
      </w:tblCellMar>
    </w:tblPr>
    <w:tcPr>
      <w:shd w:val="clear" w:color="auto" w:fill="auto"/>
      <w:vAlign w:val="center"/>
    </w:tcPr>
    <w:tblStylePr w:type="firstRow">
      <w:rPr>
        <w:color w:val="800000"/>
      </w:rPr>
    </w:tblStylePr>
    <w:tblStylePr w:type="firstCol">
      <w:pPr>
        <w:jc w:val="left"/>
      </w:pPr>
      <w:rPr>
        <w:b/>
        <w:color w:val="000000" w:themeColor="text1"/>
      </w:rPr>
    </w:tblStylePr>
  </w:style>
  <w:style w:type="paragraph" w:customStyle="1" w:styleId="xInLineShapeCentred">
    <w:name w:val="xInLineShape Centred"/>
    <w:basedOn w:val="BodyText"/>
    <w:next w:val="BodyText"/>
    <w:qFormat/>
    <w:rsid w:val="00B06B11"/>
    <w:pPr>
      <w:spacing w:line="240" w:lineRule="auto"/>
    </w:pPr>
  </w:style>
  <w:style w:type="paragraph" w:customStyle="1" w:styleId="Heading2NoNumbering">
    <w:name w:val="Heading 2 No Numbering"/>
    <w:basedOn w:val="Heading2"/>
    <w:next w:val="BodyText"/>
    <w:qFormat/>
    <w:rsid w:val="00332FE8"/>
    <w:pPr>
      <w:numPr>
        <w:ilvl w:val="0"/>
        <w:numId w:val="0"/>
      </w:numPr>
      <w:spacing w:after="180"/>
    </w:pPr>
  </w:style>
  <w:style w:type="paragraph" w:customStyle="1" w:styleId="Heading3NoNumbering">
    <w:name w:val="Heading 3 No Numbering"/>
    <w:basedOn w:val="Heading3"/>
    <w:next w:val="BodyText"/>
    <w:qFormat/>
    <w:rsid w:val="00CB48A2"/>
    <w:pPr>
      <w:numPr>
        <w:ilvl w:val="0"/>
        <w:numId w:val="0"/>
      </w:numPr>
      <w:spacing w:before="120" w:after="120" w:line="240" w:lineRule="auto"/>
      <w:jc w:val="both"/>
    </w:pPr>
  </w:style>
  <w:style w:type="character" w:styleId="PlaceholderText">
    <w:name w:val="Placeholder Text"/>
    <w:basedOn w:val="DefaultParagraphFont"/>
    <w:rsid w:val="003F55B7"/>
    <w:rPr>
      <w:color w:val="808080"/>
    </w:rPr>
  </w:style>
  <w:style w:type="paragraph" w:styleId="ListBullet">
    <w:name w:val="List Bullet"/>
    <w:basedOn w:val="BodyText"/>
    <w:link w:val="ListBulletChar"/>
    <w:qFormat/>
    <w:rsid w:val="00CB48A2"/>
    <w:pPr>
      <w:numPr>
        <w:numId w:val="12"/>
      </w:numPr>
      <w:tabs>
        <w:tab w:val="clear" w:pos="643"/>
      </w:tabs>
      <w:spacing w:before="60" w:after="160"/>
      <w:ind w:left="720"/>
      <w:contextualSpacing/>
    </w:pPr>
  </w:style>
  <w:style w:type="paragraph" w:styleId="ListNumber">
    <w:name w:val="List Number"/>
    <w:basedOn w:val="BodyText"/>
    <w:rsid w:val="00DC0CF5"/>
    <w:pPr>
      <w:numPr>
        <w:numId w:val="3"/>
      </w:numPr>
      <w:contextualSpacing/>
    </w:pPr>
  </w:style>
  <w:style w:type="paragraph" w:customStyle="1" w:styleId="Listbullet2indented">
    <w:name w:val="List bullet 2 indented"/>
    <w:basedOn w:val="ListBullet"/>
    <w:link w:val="Listbullet2indentedChar"/>
    <w:qFormat/>
    <w:rsid w:val="00941EB8"/>
    <w:pPr>
      <w:numPr>
        <w:numId w:val="5"/>
      </w:numPr>
      <w:ind w:left="697" w:hanging="357"/>
    </w:pPr>
  </w:style>
  <w:style w:type="character" w:customStyle="1" w:styleId="ListBulletChar">
    <w:name w:val="List Bullet Char"/>
    <w:basedOn w:val="BodyTextChar"/>
    <w:link w:val="ListBullet"/>
    <w:rsid w:val="00CB48A2"/>
  </w:style>
  <w:style w:type="character" w:customStyle="1" w:styleId="Listbullet2indentedChar">
    <w:name w:val="List bullet 2 indented Char"/>
    <w:basedOn w:val="ListBulletChar"/>
    <w:link w:val="Listbullet2indented"/>
    <w:rsid w:val="00941EB8"/>
  </w:style>
  <w:style w:type="paragraph" w:customStyle="1" w:styleId="Listbullet3indented">
    <w:name w:val="List bullet 3 indented"/>
    <w:basedOn w:val="Listbullet2indented"/>
    <w:link w:val="Listbullet3indentedChar"/>
    <w:qFormat/>
    <w:rsid w:val="00941EB8"/>
    <w:pPr>
      <w:numPr>
        <w:numId w:val="0"/>
      </w:numPr>
      <w:ind w:left="1134" w:hanging="425"/>
    </w:pPr>
  </w:style>
  <w:style w:type="character" w:customStyle="1" w:styleId="Listbullet3indentedChar">
    <w:name w:val="List bullet 3 indented Char"/>
    <w:basedOn w:val="Listbullet2indentedChar"/>
    <w:link w:val="Listbullet3indented"/>
    <w:rsid w:val="00941EB8"/>
  </w:style>
  <w:style w:type="paragraph" w:styleId="NormalWeb">
    <w:name w:val="Normal (Web)"/>
    <w:basedOn w:val="Normal"/>
    <w:uiPriority w:val="99"/>
    <w:unhideWhenUsed/>
    <w:rsid w:val="00A75FA6"/>
    <w:pPr>
      <w:spacing w:before="100" w:beforeAutospacing="1" w:after="100" w:afterAutospacing="1"/>
    </w:pPr>
    <w:rPr>
      <w:rFonts w:ascii="Times" w:eastAsiaTheme="minorEastAsia" w:hAnsi="Times"/>
      <w:sz w:val="24"/>
      <w:szCs w:val="24"/>
    </w:rPr>
  </w:style>
  <w:style w:type="paragraph" w:styleId="ListParagraph">
    <w:name w:val="List Paragraph"/>
    <w:basedOn w:val="Normal"/>
    <w:uiPriority w:val="34"/>
    <w:qFormat/>
    <w:rsid w:val="00A75FA6"/>
    <w:pPr>
      <w:ind w:left="720"/>
      <w:contextualSpacing/>
    </w:pPr>
    <w:rPr>
      <w:rFonts w:ascii="Times" w:eastAsiaTheme="minorEastAsia" w:hAnsi="Times" w:cstheme="minorBidi"/>
      <w:sz w:val="24"/>
      <w:szCs w:val="24"/>
    </w:rPr>
  </w:style>
  <w:style w:type="character" w:styleId="CommentReference">
    <w:name w:val="annotation reference"/>
    <w:basedOn w:val="DefaultParagraphFont"/>
    <w:semiHidden/>
    <w:unhideWhenUsed/>
    <w:rsid w:val="00A75FA6"/>
    <w:rPr>
      <w:sz w:val="18"/>
      <w:szCs w:val="18"/>
    </w:rPr>
  </w:style>
  <w:style w:type="paragraph" w:styleId="CommentText">
    <w:name w:val="annotation text"/>
    <w:basedOn w:val="Normal"/>
    <w:link w:val="CommentTextChar"/>
    <w:unhideWhenUsed/>
    <w:rsid w:val="00A75FA6"/>
    <w:rPr>
      <w:sz w:val="24"/>
      <w:szCs w:val="24"/>
    </w:rPr>
  </w:style>
  <w:style w:type="character" w:customStyle="1" w:styleId="CommentTextChar">
    <w:name w:val="Comment Text Char"/>
    <w:basedOn w:val="DefaultParagraphFont"/>
    <w:link w:val="CommentText"/>
    <w:rsid w:val="00A75FA6"/>
    <w:rPr>
      <w:sz w:val="24"/>
      <w:szCs w:val="24"/>
    </w:rPr>
  </w:style>
  <w:style w:type="paragraph" w:styleId="CommentSubject">
    <w:name w:val="annotation subject"/>
    <w:basedOn w:val="CommentText"/>
    <w:next w:val="CommentText"/>
    <w:link w:val="CommentSubjectChar"/>
    <w:semiHidden/>
    <w:unhideWhenUsed/>
    <w:rsid w:val="00A75FA6"/>
    <w:rPr>
      <w:b/>
      <w:bCs/>
      <w:sz w:val="20"/>
      <w:szCs w:val="20"/>
    </w:rPr>
  </w:style>
  <w:style w:type="character" w:customStyle="1" w:styleId="CommentSubjectChar">
    <w:name w:val="Comment Subject Char"/>
    <w:basedOn w:val="CommentTextChar"/>
    <w:link w:val="CommentSubject"/>
    <w:semiHidden/>
    <w:rsid w:val="00A75FA6"/>
    <w:rPr>
      <w:b/>
      <w:bCs/>
      <w:sz w:val="24"/>
      <w:szCs w:val="24"/>
    </w:rPr>
  </w:style>
  <w:style w:type="paragraph" w:customStyle="1" w:styleId="Listdash">
    <w:name w:val="List dash"/>
    <w:basedOn w:val="ListBullet"/>
    <w:rsid w:val="003D541D"/>
    <w:pPr>
      <w:numPr>
        <w:numId w:val="2"/>
      </w:numPr>
      <w:ind w:left="1134" w:hanging="357"/>
    </w:pPr>
  </w:style>
  <w:style w:type="paragraph" w:customStyle="1" w:styleId="Tablenote">
    <w:name w:val="Table note"/>
    <w:basedOn w:val="FootnoteText"/>
    <w:link w:val="TablenoteChar"/>
    <w:qFormat/>
    <w:rsid w:val="00A75FA6"/>
    <w:pPr>
      <w:spacing w:after="240"/>
    </w:pPr>
    <w:rPr>
      <w:sz w:val="16"/>
      <w:szCs w:val="16"/>
    </w:rPr>
  </w:style>
  <w:style w:type="character" w:customStyle="1" w:styleId="TablenoteChar">
    <w:name w:val="Table note Char"/>
    <w:basedOn w:val="FootnoteTextChar"/>
    <w:link w:val="Tablenote"/>
    <w:rsid w:val="00A75FA6"/>
    <w:rPr>
      <w:color w:val="808080"/>
      <w:spacing w:val="-2"/>
      <w:sz w:val="16"/>
      <w:szCs w:val="16"/>
    </w:rPr>
  </w:style>
  <w:style w:type="paragraph" w:customStyle="1" w:styleId="NotesSource-Numberedlist">
    <w:name w:val="Notes/Source - Numbered list"/>
    <w:basedOn w:val="NotesSource"/>
    <w:uiPriority w:val="9"/>
    <w:rsid w:val="00A75FA6"/>
    <w:pPr>
      <w:numPr>
        <w:ilvl w:val="1"/>
      </w:numPr>
      <w:tabs>
        <w:tab w:val="num" w:pos="360"/>
      </w:tabs>
      <w:ind w:left="360" w:hanging="360"/>
    </w:pPr>
  </w:style>
  <w:style w:type="paragraph" w:customStyle="1" w:styleId="NotesSource">
    <w:name w:val="Notes/Source"/>
    <w:basedOn w:val="Normal"/>
    <w:link w:val="NotesSourceCharChar"/>
    <w:uiPriority w:val="9"/>
    <w:rsid w:val="00A75FA6"/>
    <w:pPr>
      <w:numPr>
        <w:numId w:val="9"/>
      </w:numPr>
      <w:spacing w:before="60" w:after="40"/>
    </w:pPr>
    <w:rPr>
      <w:rFonts w:ascii="Arial" w:eastAsia="Times New Roman" w:hAnsi="Arial"/>
      <w:spacing w:val="4"/>
      <w:sz w:val="16"/>
      <w:szCs w:val="24"/>
    </w:rPr>
  </w:style>
  <w:style w:type="character" w:customStyle="1" w:styleId="NotesSourceCharChar">
    <w:name w:val="Notes/Source Char Char"/>
    <w:basedOn w:val="DefaultParagraphFont"/>
    <w:link w:val="NotesSource"/>
    <w:uiPriority w:val="9"/>
    <w:rsid w:val="00A75FA6"/>
    <w:rPr>
      <w:rFonts w:ascii="Arial" w:eastAsia="Times New Roman" w:hAnsi="Arial"/>
      <w:spacing w:val="4"/>
      <w:sz w:val="16"/>
      <w:szCs w:val="24"/>
    </w:rPr>
  </w:style>
  <w:style w:type="numbering" w:customStyle="1" w:styleId="NotesSourceList">
    <w:name w:val="Notes/Source List"/>
    <w:uiPriority w:val="99"/>
    <w:rsid w:val="00A75FA6"/>
    <w:pPr>
      <w:numPr>
        <w:numId w:val="9"/>
      </w:numPr>
    </w:pPr>
  </w:style>
  <w:style w:type="paragraph" w:customStyle="1" w:styleId="outputtable">
    <w:name w:val="output table"/>
    <w:basedOn w:val="Normal"/>
    <w:link w:val="outputtableChar"/>
    <w:qFormat/>
    <w:rsid w:val="00A75FA6"/>
    <w:pPr>
      <w:spacing w:before="60" w:after="60"/>
    </w:pPr>
    <w:rPr>
      <w:rFonts w:ascii="Arial" w:eastAsia="Times New Roman" w:hAnsi="Arial" w:cs="Arial"/>
      <w:sz w:val="18"/>
      <w:szCs w:val="18"/>
      <w:lang w:val="en-US"/>
    </w:rPr>
  </w:style>
  <w:style w:type="character" w:customStyle="1" w:styleId="outputtableChar">
    <w:name w:val="output table Char"/>
    <w:basedOn w:val="DefaultParagraphFont"/>
    <w:link w:val="outputtable"/>
    <w:locked/>
    <w:rsid w:val="00A75FA6"/>
    <w:rPr>
      <w:rFonts w:ascii="Arial" w:eastAsia="Times New Roman" w:hAnsi="Arial" w:cs="Arial"/>
      <w:sz w:val="18"/>
      <w:szCs w:val="18"/>
      <w:lang w:val="en-US"/>
    </w:rPr>
  </w:style>
  <w:style w:type="paragraph" w:styleId="PlainText">
    <w:name w:val="Plain Text"/>
    <w:basedOn w:val="Normal"/>
    <w:link w:val="PlainTextChar"/>
    <w:rsid w:val="00A75FA6"/>
    <w:rPr>
      <w:rFonts w:ascii="Courier" w:hAnsi="Courier"/>
      <w:sz w:val="21"/>
      <w:szCs w:val="21"/>
    </w:rPr>
  </w:style>
  <w:style w:type="character" w:customStyle="1" w:styleId="PlainTextChar">
    <w:name w:val="Plain Text Char"/>
    <w:basedOn w:val="DefaultParagraphFont"/>
    <w:link w:val="PlainText"/>
    <w:rsid w:val="00A75FA6"/>
    <w:rPr>
      <w:rFonts w:ascii="Courier" w:hAnsi="Courier"/>
      <w:sz w:val="21"/>
      <w:szCs w:val="21"/>
    </w:rPr>
  </w:style>
  <w:style w:type="paragraph" w:styleId="DocumentMap">
    <w:name w:val="Document Map"/>
    <w:basedOn w:val="Normal"/>
    <w:link w:val="DocumentMapChar"/>
    <w:rsid w:val="00A75FA6"/>
    <w:rPr>
      <w:rFonts w:ascii="Lucida Grande" w:hAnsi="Lucida Grande" w:cs="Lucida Grande"/>
      <w:sz w:val="24"/>
      <w:szCs w:val="24"/>
    </w:rPr>
  </w:style>
  <w:style w:type="character" w:customStyle="1" w:styleId="DocumentMapChar">
    <w:name w:val="Document Map Char"/>
    <w:basedOn w:val="DefaultParagraphFont"/>
    <w:link w:val="DocumentMap"/>
    <w:rsid w:val="00A75FA6"/>
    <w:rPr>
      <w:rFonts w:ascii="Lucida Grande" w:hAnsi="Lucida Grande" w:cs="Lucida Grande"/>
      <w:sz w:val="24"/>
      <w:szCs w:val="24"/>
    </w:rPr>
  </w:style>
  <w:style w:type="paragraph" w:styleId="Revision">
    <w:name w:val="Revision"/>
    <w:hidden/>
    <w:uiPriority w:val="99"/>
    <w:rsid w:val="00A75FA6"/>
    <w:pPr>
      <w:spacing w:line="240" w:lineRule="auto"/>
    </w:pPr>
    <w:rPr>
      <w:sz w:val="24"/>
      <w:szCs w:val="24"/>
    </w:rPr>
  </w:style>
  <w:style w:type="character" w:styleId="Emphasis">
    <w:name w:val="Emphasis"/>
    <w:basedOn w:val="DefaultParagraphFont"/>
    <w:uiPriority w:val="20"/>
    <w:qFormat/>
    <w:rsid w:val="00597BCB"/>
    <w:rPr>
      <w:i/>
      <w:iCs/>
    </w:rPr>
  </w:style>
  <w:style w:type="character" w:styleId="FollowedHyperlink">
    <w:name w:val="FollowedHyperlink"/>
    <w:basedOn w:val="DefaultParagraphFont"/>
    <w:rsid w:val="00497DBB"/>
    <w:rPr>
      <w:color w:val="931B2F" w:themeColor="followedHyperlink"/>
      <w:u w:val="single"/>
    </w:rPr>
  </w:style>
  <w:style w:type="character" w:customStyle="1" w:styleId="CommentTextChar1">
    <w:name w:val="Comment Text Char1"/>
    <w:basedOn w:val="DefaultParagraphFont"/>
    <w:semiHidden/>
    <w:rsid w:val="00E45705"/>
    <w:rPr>
      <w:sz w:val="24"/>
      <w:szCs w:val="24"/>
    </w:rPr>
  </w:style>
  <w:style w:type="paragraph" w:customStyle="1" w:styleId="bullets">
    <w:name w:val="bullets"/>
    <w:basedOn w:val="Normal"/>
    <w:rsid w:val="00E45705"/>
    <w:pPr>
      <w:spacing w:after="120"/>
      <w:ind w:left="927" w:hanging="360"/>
      <w:jc w:val="both"/>
    </w:pPr>
    <w:rPr>
      <w:rFonts w:ascii="Arial" w:eastAsia="Times" w:hAnsi="Arial"/>
      <w:sz w:val="22"/>
      <w:szCs w:val="24"/>
      <w:lang w:val="en-US" w:eastAsia="zh-CN"/>
    </w:rPr>
  </w:style>
  <w:style w:type="character" w:customStyle="1" w:styleId="CommentSubjectChar1">
    <w:name w:val="Comment Subject Char1"/>
    <w:basedOn w:val="CommentTextChar1"/>
    <w:semiHidden/>
    <w:rsid w:val="00E4570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152088">
      <w:bodyDiv w:val="1"/>
      <w:marLeft w:val="0"/>
      <w:marRight w:val="0"/>
      <w:marTop w:val="0"/>
      <w:marBottom w:val="0"/>
      <w:divBdr>
        <w:top w:val="none" w:sz="0" w:space="0" w:color="auto"/>
        <w:left w:val="none" w:sz="0" w:space="0" w:color="auto"/>
        <w:bottom w:val="none" w:sz="0" w:space="0" w:color="auto"/>
        <w:right w:val="none" w:sz="0" w:space="0" w:color="auto"/>
      </w:divBdr>
    </w:div>
    <w:div w:id="841433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header" Target="header7.xml"/><Relationship Id="rId89" Type="http://schemas.openxmlformats.org/officeDocument/2006/relationships/hyperlink" Target="http://www.coagreformcouncil.gov.au/reports/docs/NEA_report_2009_Vol2.pdf" TargetMode="Externa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chart" Target="charts/chart12.xml"/><Relationship Id="rId37" Type="http://schemas.openxmlformats.org/officeDocument/2006/relationships/chart" Target="charts/chart17.xml"/><Relationship Id="rId53" Type="http://schemas.openxmlformats.org/officeDocument/2006/relationships/chart" Target="charts/chart33.xml"/><Relationship Id="rId58" Type="http://schemas.openxmlformats.org/officeDocument/2006/relationships/chart" Target="charts/chart38.xml"/><Relationship Id="rId74" Type="http://schemas.openxmlformats.org/officeDocument/2006/relationships/chart" Target="charts/chart54.xml"/><Relationship Id="rId79" Type="http://schemas.openxmlformats.org/officeDocument/2006/relationships/image" Target="media/image7.emf"/><Relationship Id="rId5" Type="http://schemas.openxmlformats.org/officeDocument/2006/relationships/settings" Target="settings.xml"/><Relationship Id="rId90" Type="http://schemas.openxmlformats.org/officeDocument/2006/relationships/hyperlink" Target="http://www.lsay.edu.au/cohort/1998/101.html" TargetMode="External"/><Relationship Id="rId95" Type="http://schemas.openxmlformats.org/officeDocument/2006/relationships/customXml" Target="../customXml/item2.xm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chart" Target="charts/chart23.xml"/><Relationship Id="rId48" Type="http://schemas.openxmlformats.org/officeDocument/2006/relationships/chart" Target="charts/chart28.xml"/><Relationship Id="rId64" Type="http://schemas.openxmlformats.org/officeDocument/2006/relationships/chart" Target="charts/chart44.xml"/><Relationship Id="rId69" Type="http://schemas.openxmlformats.org/officeDocument/2006/relationships/chart" Target="charts/chart49.xml"/><Relationship Id="rId80" Type="http://schemas.openxmlformats.org/officeDocument/2006/relationships/image" Target="media/image8.emf"/><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chart" Target="charts/chart47.xml"/><Relationship Id="rId20" Type="http://schemas.openxmlformats.org/officeDocument/2006/relationships/footer" Target="footer6.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image" Target="media/image6.emf"/><Relationship Id="rId83" Type="http://schemas.openxmlformats.org/officeDocument/2006/relationships/header" Target="header6.xml"/><Relationship Id="rId88" Type="http://schemas.openxmlformats.org/officeDocument/2006/relationships/hyperlink" Target="http://www.coagreformcouncil.gov.au/reports/docs/education/2010compare/education_2010_statistical_supplement.pdf" TargetMode="External"/><Relationship Id="rId91" Type="http://schemas.openxmlformats.org/officeDocument/2006/relationships/footer" Target="footer9.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 Id="rId10" Type="http://schemas.openxmlformats.org/officeDocument/2006/relationships/footer" Target="footer1.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hyperlink" Target="http://www.deewr.gov.au/Schooling/Programs/SmarterSchools/Pages/_NationalCurriculum.aspx" TargetMode="External"/><Relationship Id="rId81" Type="http://schemas.openxmlformats.org/officeDocument/2006/relationships/image" Target="media/image9.emf"/><Relationship Id="rId86" Type="http://schemas.openxmlformats.org/officeDocument/2006/relationships/header" Target="header8.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chart" Target="charts/chart19.xml"/><Relationship Id="rId34" Type="http://schemas.openxmlformats.org/officeDocument/2006/relationships/chart" Target="charts/chart14.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hyperlink" Target="http://www.deewr.gov.au/Schooling/DigitalEducationRevolution/Pages/default.aspx" TargetMode="External"/><Relationship Id="rId97"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chart" Target="charts/chart51.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chart" Target="charts/chart46.xml"/><Relationship Id="rId87" Type="http://schemas.openxmlformats.org/officeDocument/2006/relationships/footer" Target="footer8.xml"/><Relationship Id="rId61" Type="http://schemas.openxmlformats.org/officeDocument/2006/relationships/chart" Target="charts/chart41.xml"/><Relationship Id="rId82" Type="http://schemas.openxmlformats.org/officeDocument/2006/relationships/image" Target="media/image10.emf"/><Relationship Id="rId19" Type="http://schemas.openxmlformats.org/officeDocument/2006/relationships/header" Target="header5.xml"/><Relationship Id="rId14" Type="http://schemas.openxmlformats.org/officeDocument/2006/relationships/image" Target="media/image5.png"/><Relationship Id="rId30" Type="http://schemas.openxmlformats.org/officeDocument/2006/relationships/chart" Target="charts/chart10.xml"/><Relationship Id="rId35" Type="http://schemas.openxmlformats.org/officeDocument/2006/relationships/chart" Target="charts/chart15.xml"/><Relationship Id="rId56" Type="http://schemas.openxmlformats.org/officeDocument/2006/relationships/chart" Target="charts/chart36.xml"/><Relationship Id="rId77" Type="http://schemas.openxmlformats.org/officeDocument/2006/relationships/hyperlink" Target="http://www.deewr.gov.au/Schooling/Pages/EmpoweringLocalSchools.aspx" TargetMode="Externa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chart" Target="charts/chart52.xml"/><Relationship Id="rId9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anna:Downloads:NCVER_DMS-#126833-v1-Extra_ABS_data_tables (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ncver.edu.au\data\users\johnstanwick\ABS%20data%20to%20check\Table%20A2.32%20Fig%204%20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anna:Dropbox:DEEWR05%20YAT%20NP%20Evaluation%20shared:Research:Partnership%20Brokers:Partner%20survey%20analysi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search:Partnership%20Brokers:PB%20Survey%20responses%20(with%20graphs)%20-%20dandol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andolo\Dropbox\DEEWR05%20YAT%20NP%20Evaluation%20shared\Research\Youth%20Connections\Additional%20data%20for%20dandolo%20-%2019.9.1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Dandolo\Dropbox\DEEWR05%20YAT%20NP%20Evaluation%20shared\Research\Youth%20Connections\Additional%20data%20for%20dandolo%20-%2019.9.1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search:Interviews/requests/surveys:Service%20providers:YC%20survey-1866988%20Results%20Report%208%20June%202012%20-%20fix%20Q6%20and%20Q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search:Interviews/requests/surveys:Service%20providers:YC%20survey-1866988%20Results%20Report%208%20June%202012%20-%20fix%20Q6%20and%20Q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search:Interviews/requests/surveys:Service%20providers:YC%20survey-1866988%20Results%20Report%208%20June%202012%20-%20fix%20Q6%20and%20Q9.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acintosh%20HD:Users:anna:Dropbox:DEEWR05%20YAT%20NP%20Evaluation%20shared:Research:YAT%20-%20General:Data:NCVER_DMS-#125733-v1-Summary_tables_and_figures_for_year_2_analysis.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Macintosh%20HD:Users:anna:Dropbox:DEEWR05%20YAT%20NP%20Evaluation%20shared:Research:YAT%20-%20General:Data:NCVER_DMS-#125733-v1-Summary_tables_and_figures_for_year_2_analysis.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Macintosh%20HD:Users:anna:Dropbox:DEEWR05%20YAT%20NP%20Evaluation%20shared:Research:YAT%20-%20General:Data:NCVER_DMS-#125733-v1-Summary_tables_and_figures_for_year_2_analysis.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Macintosh%20HD:Users:anna:Dropbox:DEEWR05%20YAT%20NP%20Evaluation%20shared:Research:YAT%20-%20General:Data:NCVER_DMS-#125733-v1-Summary_tables_and_figures_for_year_2_analysis.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search:Partnership%20Brokers:PB%20Survey%20responses%20(with%20graphs)%20-%20dandolo.xls"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Macintosh%20HD:Users:anna:Dropbox:DEEWR05%20YAT%20NP%20Evaluation%20shared:Research:Youth%20Connections:YC%20dandolo%20survey-1866988%20Results%208%20June%202012.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search:Youth%20Connections:YC%20dandolo%20survey-1866988%20Results%208%20June%20201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Documents%20and%20Settings\Richard\My%20Documents\1.%20Work\2.%20Tables,%20statistics,%20charts\Dandolo%20transition%20review\PISA%20reading%20and%20science%20enjoyment.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Documents%20and%20Settings\Richard\My%20Documents\1.%20Work\2.%20Tables,%20statistics,%20charts\Dandolo%20transition%20review\PISA%20reading%20and%20science%20enjoyment.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Macintosh%20HD:Users:grantly:Dropbox:DEEWR05%20YAT%20NP%20Evaluation:Research:YAT%20-%20General:Data:Year%202%20report%20additional%20charts.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Macintosh%20HD:Users:grantly:Downloads:Year%202%20report%20additional%20charts%20-%20for%20Teres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Macintosh%20HD:Users:anna:Downloads:May%201990-May%202012%2015-19%20LFS%20time%20series.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Macintosh%20HD:Users:anna:Downloads:May%201990-May%202012%2015-19%20LFS%20time%20series.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Macintosh%20HD:Users:anna:Dropbox:DEEWR05%20YAT%20NP%20Evaluation%20shared:Report:2012:Draft%20report:Benefit%20recipients.xlsx" TargetMode="External"/></Relationships>
</file>

<file path=word/charts/_rels/chart53.xml.rels><?xml version="1.0" encoding="UTF-8" standalone="yes"?>
<Relationships xmlns="http://schemas.openxmlformats.org/package/2006/relationships"><Relationship Id="rId2" Type="http://schemas.openxmlformats.org/officeDocument/2006/relationships/oleObject" Target="Macintosh%20HD:Users:anna:Dropbox:DEEWR05%20YAT%20NP%20Evaluation%20shared:Research:Compact:Unemployed%20looking%20for%20first%20FT%20job.xlsx" TargetMode="External"/><Relationship Id="rId1" Type="http://schemas.openxmlformats.org/officeDocument/2006/relationships/themeOverride" Target="../theme/themeOverride2.xml"/></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Richard\My%20Documents\1.%20Work\2.%20Tables,%20statistics,%20charts\COAG%20Reform%20Council\COAG%20Reform%20Council%202012\Transition%20indicators,%20OECD%20countri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aturn\xdappdata$\johnstanwick\Application%20Data\Hummingbird\DM\Temp\NCVER_DMS-%23125733-v1-Summary_tables_and_figures_for_year_2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'Educ. and employment status -1'!$C$27</c:f>
              <c:strCache>
                <c:ptCount val="1"/>
                <c:pt idx="0">
                  <c:v>Attending full-time education </c:v>
                </c:pt>
              </c:strCache>
            </c:strRef>
          </c:tx>
          <c:spPr>
            <a:ln w="25400" cap="flat" cmpd="sng" algn="ctr">
              <a:solidFill>
                <a:srgbClr val="141313"/>
              </a:solidFill>
              <a:prstDash val="solid"/>
            </a:ln>
            <a:effectLst/>
          </c:spPr>
          <c:marker>
            <c:symbol val="none"/>
          </c:marker>
          <c:cat>
            <c:numRef>
              <c:f>'Educ. and employment status -1'!$B$28:$B$40</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'Educ. and employment status -1'!$C$28:$C$40</c:f>
              <c:numCache>
                <c:formatCode>0.0;\-0.0;0.0;@</c:formatCode>
                <c:ptCount val="13"/>
                <c:pt idx="0">
                  <c:v>69.176259200868415</c:v>
                </c:pt>
                <c:pt idx="1">
                  <c:v>69.748514142556402</c:v>
                </c:pt>
                <c:pt idx="2">
                  <c:v>69.575774951722806</c:v>
                </c:pt>
                <c:pt idx="3">
                  <c:v>69.591624260156834</c:v>
                </c:pt>
                <c:pt idx="4">
                  <c:v>68.98597008095561</c:v>
                </c:pt>
                <c:pt idx="5">
                  <c:v>68.835957782408329</c:v>
                </c:pt>
                <c:pt idx="6">
                  <c:v>70.145696215059047</c:v>
                </c:pt>
                <c:pt idx="7">
                  <c:v>70.140417277825946</c:v>
                </c:pt>
                <c:pt idx="8">
                  <c:v>69.9246489554682</c:v>
                </c:pt>
                <c:pt idx="9">
                  <c:v>69.515087399337446</c:v>
                </c:pt>
                <c:pt idx="10">
                  <c:v>70.242740406662946</c:v>
                </c:pt>
                <c:pt idx="11">
                  <c:v>71.714076716583065</c:v>
                </c:pt>
                <c:pt idx="12">
                  <c:v>73.363128121966682</c:v>
                </c:pt>
              </c:numCache>
            </c:numRef>
          </c:val>
          <c:smooth val="0"/>
        </c:ser>
        <c:ser>
          <c:idx val="1"/>
          <c:order val="1"/>
          <c:tx>
            <c:strRef>
              <c:f>'Educ. and employment status -1'!$D$27</c:f>
              <c:strCache>
                <c:ptCount val="1"/>
                <c:pt idx="0">
                  <c:v>Employed Full Time ;  Not attending full-time education </c:v>
                </c:pt>
              </c:strCache>
            </c:strRef>
          </c:tx>
          <c:spPr>
            <a:ln w="25400" cap="flat" cmpd="sng" algn="ctr">
              <a:solidFill>
                <a:srgbClr val="931B2F"/>
              </a:solidFill>
              <a:prstDash val="solid"/>
            </a:ln>
            <a:effectLst/>
          </c:spPr>
          <c:marker>
            <c:symbol val="none"/>
          </c:marker>
          <c:cat>
            <c:numRef>
              <c:f>'Educ. and employment status -1'!$B$28:$B$40</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'Educ. and employment status -1'!$D$28:$D$40</c:f>
              <c:numCache>
                <c:formatCode>0.0;\-0.0;0.0;@</c:formatCode>
                <c:ptCount val="13"/>
                <c:pt idx="0">
                  <c:v>16.53224403499749</c:v>
                </c:pt>
                <c:pt idx="1">
                  <c:v>15.330653706568651</c:v>
                </c:pt>
                <c:pt idx="2">
                  <c:v>15.353007422712549</c:v>
                </c:pt>
                <c:pt idx="3">
                  <c:v>15.652232964298101</c:v>
                </c:pt>
                <c:pt idx="4">
                  <c:v>15.791786297635181</c:v>
                </c:pt>
                <c:pt idx="5">
                  <c:v>16.217575956567131</c:v>
                </c:pt>
                <c:pt idx="6">
                  <c:v>15.3993549800617</c:v>
                </c:pt>
                <c:pt idx="7">
                  <c:v>16.060379332426969</c:v>
                </c:pt>
                <c:pt idx="8">
                  <c:v>16.69208017340662</c:v>
                </c:pt>
                <c:pt idx="9">
                  <c:v>14.00927867761467</c:v>
                </c:pt>
                <c:pt idx="10">
                  <c:v>13.355073700927401</c:v>
                </c:pt>
                <c:pt idx="11">
                  <c:v>12.820781660970249</c:v>
                </c:pt>
                <c:pt idx="12">
                  <c:v>12.16546245519568</c:v>
                </c:pt>
              </c:numCache>
            </c:numRef>
          </c:val>
          <c:smooth val="0"/>
        </c:ser>
        <c:ser>
          <c:idx val="2"/>
          <c:order val="2"/>
          <c:tx>
            <c:strRef>
              <c:f>'Educ. and employment status -1'!$E$27</c:f>
              <c:strCache>
                <c:ptCount val="1"/>
                <c:pt idx="0">
                  <c:v>Employed Part Time ;  Not attending full-time education </c:v>
                </c:pt>
              </c:strCache>
            </c:strRef>
          </c:tx>
          <c:spPr>
            <a:ln w="25400" cap="flat" cmpd="sng" algn="ctr">
              <a:solidFill>
                <a:srgbClr val="12679B">
                  <a:lumMod val="60000"/>
                  <a:lumOff val="40000"/>
                </a:srgbClr>
              </a:solidFill>
              <a:prstDash val="solid"/>
            </a:ln>
            <a:effectLst/>
          </c:spPr>
          <c:marker>
            <c:symbol val="none"/>
          </c:marker>
          <c:cat>
            <c:numRef>
              <c:f>'Educ. and employment status -1'!$B$28:$B$40</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'Educ. and employment status -1'!$E$28:$E$40</c:f>
              <c:numCache>
                <c:formatCode>0.0;\-0.0;0.0;@</c:formatCode>
                <c:ptCount val="13"/>
                <c:pt idx="0">
                  <c:v>6.3249188116466302</c:v>
                </c:pt>
                <c:pt idx="1">
                  <c:v>6.5830990174686423</c:v>
                </c:pt>
                <c:pt idx="2">
                  <c:v>6.8635603778156939</c:v>
                </c:pt>
                <c:pt idx="3">
                  <c:v>6.9280406647879778</c:v>
                </c:pt>
                <c:pt idx="4">
                  <c:v>7.1529795317168254</c:v>
                </c:pt>
                <c:pt idx="5">
                  <c:v>7.1728827706484646</c:v>
                </c:pt>
                <c:pt idx="6">
                  <c:v>6.5796501951704638</c:v>
                </c:pt>
                <c:pt idx="7">
                  <c:v>6.6841451128325886</c:v>
                </c:pt>
                <c:pt idx="8">
                  <c:v>6.5887910196663704</c:v>
                </c:pt>
                <c:pt idx="9">
                  <c:v>7.3265983085208664</c:v>
                </c:pt>
                <c:pt idx="10">
                  <c:v>7.2954641518932704</c:v>
                </c:pt>
                <c:pt idx="11">
                  <c:v>6.7363966488513896</c:v>
                </c:pt>
                <c:pt idx="12">
                  <c:v>6.7087795215723398</c:v>
                </c:pt>
              </c:numCache>
            </c:numRef>
          </c:val>
          <c:smooth val="0"/>
        </c:ser>
        <c:ser>
          <c:idx val="3"/>
          <c:order val="3"/>
          <c:tx>
            <c:strRef>
              <c:f>'Educ. and employment status -1'!$F$27</c:f>
              <c:strCache>
                <c:ptCount val="1"/>
                <c:pt idx="0">
                  <c:v>Unemployed - total ;  Not attending full-time education </c:v>
                </c:pt>
              </c:strCache>
            </c:strRef>
          </c:tx>
          <c:spPr>
            <a:ln w="25400" cap="flat" cmpd="sng" algn="ctr">
              <a:solidFill>
                <a:srgbClr val="808080">
                  <a:lumMod val="20000"/>
                  <a:lumOff val="80000"/>
                </a:srgbClr>
              </a:solidFill>
              <a:prstDash val="solid"/>
            </a:ln>
            <a:effectLst/>
          </c:spPr>
          <c:marker>
            <c:symbol val="none"/>
          </c:marker>
          <c:cat>
            <c:numRef>
              <c:f>'Educ. and employment status -1'!$B$28:$B$40</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'Educ. and employment status -1'!$F$28:$F$40</c:f>
              <c:numCache>
                <c:formatCode>0.0;\-0.0;0.0;@</c:formatCode>
                <c:ptCount val="13"/>
                <c:pt idx="0">
                  <c:v>4.2327330792827524</c:v>
                </c:pt>
                <c:pt idx="1">
                  <c:v>4.6662045212996857</c:v>
                </c:pt>
                <c:pt idx="2">
                  <c:v>4.4272275484497676</c:v>
                </c:pt>
                <c:pt idx="3">
                  <c:v>4.1460606387349994</c:v>
                </c:pt>
                <c:pt idx="4">
                  <c:v>4.1434955324971066</c:v>
                </c:pt>
                <c:pt idx="5">
                  <c:v>3.8178087515288839</c:v>
                </c:pt>
                <c:pt idx="6">
                  <c:v>3.9542236254836372</c:v>
                </c:pt>
                <c:pt idx="7">
                  <c:v>3.4512920893782049</c:v>
                </c:pt>
                <c:pt idx="8">
                  <c:v>3.2331359910310682</c:v>
                </c:pt>
                <c:pt idx="9">
                  <c:v>4.8218532355296322</c:v>
                </c:pt>
                <c:pt idx="10">
                  <c:v>4.5113996823413736</c:v>
                </c:pt>
                <c:pt idx="11">
                  <c:v>3.7061700144230501</c:v>
                </c:pt>
                <c:pt idx="12">
                  <c:v>3.4970961598468429</c:v>
                </c:pt>
              </c:numCache>
            </c:numRef>
          </c:val>
          <c:smooth val="0"/>
        </c:ser>
        <c:ser>
          <c:idx val="4"/>
          <c:order val="4"/>
          <c:tx>
            <c:strRef>
              <c:f>'Educ. and employment status -1'!$G$27</c:f>
              <c:strCache>
                <c:ptCount val="1"/>
                <c:pt idx="0">
                  <c:v>Not in the Labour Force ;  Not attending full-time education </c:v>
                </c:pt>
              </c:strCache>
            </c:strRef>
          </c:tx>
          <c:spPr>
            <a:ln w="25400" cap="flat" cmpd="sng" algn="ctr">
              <a:solidFill>
                <a:srgbClr val="000090"/>
              </a:solidFill>
              <a:prstDash val="solid"/>
            </a:ln>
            <a:effectLst/>
          </c:spPr>
          <c:marker>
            <c:symbol val="none"/>
          </c:marker>
          <c:cat>
            <c:numRef>
              <c:f>'Educ. and employment status -1'!$B$28:$B$40</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'Educ. and employment status -1'!$G$28:$G$40</c:f>
              <c:numCache>
                <c:formatCode>0.0;\-0.0;0.0;@</c:formatCode>
                <c:ptCount val="13"/>
                <c:pt idx="0">
                  <c:v>3.733844873204633</c:v>
                </c:pt>
                <c:pt idx="1">
                  <c:v>3.671528634392117</c:v>
                </c:pt>
                <c:pt idx="2">
                  <c:v>3.7804296992980362</c:v>
                </c:pt>
                <c:pt idx="3">
                  <c:v>3.6820414501656731</c:v>
                </c:pt>
                <c:pt idx="4">
                  <c:v>3.925768528253613</c:v>
                </c:pt>
                <c:pt idx="5">
                  <c:v>3.955774703025102</c:v>
                </c:pt>
                <c:pt idx="6">
                  <c:v>3.9210749983938431</c:v>
                </c:pt>
                <c:pt idx="7">
                  <c:v>3.6637662014080852</c:v>
                </c:pt>
                <c:pt idx="8">
                  <c:v>3.5613438604277801</c:v>
                </c:pt>
                <c:pt idx="9">
                  <c:v>4.3271823388260078</c:v>
                </c:pt>
                <c:pt idx="10">
                  <c:v>4.5953221113491534</c:v>
                </c:pt>
                <c:pt idx="11">
                  <c:v>5.0225749591711564</c:v>
                </c:pt>
                <c:pt idx="12">
                  <c:v>4.2655337414184746</c:v>
                </c:pt>
              </c:numCache>
            </c:numRef>
          </c:val>
          <c:smooth val="0"/>
        </c:ser>
        <c:dLbls>
          <c:showLegendKey val="0"/>
          <c:showVal val="0"/>
          <c:showCatName val="0"/>
          <c:showSerName val="0"/>
          <c:showPercent val="0"/>
          <c:showBubbleSize val="0"/>
        </c:dLbls>
        <c:marker val="1"/>
        <c:smooth val="0"/>
        <c:axId val="196876544"/>
        <c:axId val="196882432"/>
      </c:lineChart>
      <c:catAx>
        <c:axId val="196876544"/>
        <c:scaling>
          <c:orientation val="minMax"/>
        </c:scaling>
        <c:delete val="0"/>
        <c:axPos val="b"/>
        <c:numFmt formatCode="0" sourceLinked="1"/>
        <c:majorTickMark val="out"/>
        <c:minorTickMark val="none"/>
        <c:tickLblPos val="nextTo"/>
        <c:crossAx val="196882432"/>
        <c:crosses val="autoZero"/>
        <c:auto val="1"/>
        <c:lblAlgn val="ctr"/>
        <c:lblOffset val="100"/>
        <c:noMultiLvlLbl val="0"/>
      </c:catAx>
      <c:valAx>
        <c:axId val="196882432"/>
        <c:scaling>
          <c:orientation val="minMax"/>
        </c:scaling>
        <c:delete val="0"/>
        <c:axPos val="l"/>
        <c:title>
          <c:tx>
            <c:rich>
              <a:bodyPr rot="-5400000" vert="horz"/>
              <a:lstStyle/>
              <a:p>
                <a:pPr>
                  <a:defRPr/>
                </a:pPr>
                <a:r>
                  <a:rPr lang="en-US"/>
                  <a:t>Percentage </a:t>
                </a:r>
              </a:p>
            </c:rich>
          </c:tx>
          <c:layout>
            <c:manualLayout>
              <c:xMode val="edge"/>
              <c:yMode val="edge"/>
              <c:x val="1.3532696113520599E-2"/>
              <c:y val="0.33438979963570198"/>
            </c:manualLayout>
          </c:layout>
          <c:overlay val="0"/>
        </c:title>
        <c:numFmt formatCode="0" sourceLinked="0"/>
        <c:majorTickMark val="out"/>
        <c:minorTickMark val="none"/>
        <c:tickLblPos val="nextTo"/>
        <c:crossAx val="196876544"/>
        <c:crosses val="autoZero"/>
        <c:crossBetween val="between"/>
      </c:valAx>
    </c:plotArea>
    <c:legend>
      <c:legendPos val="b"/>
      <c:layout>
        <c:manualLayout>
          <c:xMode val="edge"/>
          <c:yMode val="edge"/>
          <c:x val="7.9678302244304999E-2"/>
          <c:y val="0.780268316042667"/>
          <c:w val="0.84917933386668998"/>
          <c:h val="0.21852331132703101"/>
        </c:manualLayout>
      </c:layout>
      <c:overlay val="0"/>
      <c:txPr>
        <a:bodyPr/>
        <a:lstStyle/>
        <a:p>
          <a:pPr>
            <a:defRPr sz="850"/>
          </a:pPr>
          <a:endParaRPr lang="en-US"/>
        </a:p>
      </c:txPr>
    </c:legend>
    <c:plotVisOnly val="1"/>
    <c:dispBlanksAs val="gap"/>
    <c:showDLblsOverMax val="0"/>
  </c:chart>
  <c:spPr>
    <a:ln>
      <a:noFill/>
    </a:ln>
  </c:spPr>
  <c:txPr>
    <a:bodyPr/>
    <a:lstStyle/>
    <a:p>
      <a:pPr>
        <a:defRPr>
          <a:latin typeface="Arial Narrow"/>
          <a:cs typeface="Arial Narrow"/>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 to percentage'!$B$53</c:f>
              <c:strCache>
                <c:ptCount val="1"/>
                <c:pt idx="0">
                  <c:v>Indigenous</c:v>
                </c:pt>
              </c:strCache>
            </c:strRef>
          </c:tx>
          <c:cat>
            <c:numRef>
              <c:f>'% to percentage'!$C$52:$H$52</c:f>
              <c:numCache>
                <c:formatCode>General</c:formatCode>
                <c:ptCount val="6"/>
                <c:pt idx="0">
                  <c:v>2005</c:v>
                </c:pt>
                <c:pt idx="1">
                  <c:v>2006</c:v>
                </c:pt>
                <c:pt idx="2">
                  <c:v>2007</c:v>
                </c:pt>
                <c:pt idx="3">
                  <c:v>2008</c:v>
                </c:pt>
                <c:pt idx="4">
                  <c:v>2009</c:v>
                </c:pt>
                <c:pt idx="5">
                  <c:v>2010</c:v>
                </c:pt>
              </c:numCache>
            </c:numRef>
          </c:cat>
          <c:val>
            <c:numRef>
              <c:f>'% to percentage'!$C$53:$H$53</c:f>
              <c:numCache>
                <c:formatCode>0.0</c:formatCode>
                <c:ptCount val="6"/>
                <c:pt idx="0">
                  <c:v>9.4312758720699978</c:v>
                </c:pt>
                <c:pt idx="1">
                  <c:v>9.025805965273765</c:v>
                </c:pt>
                <c:pt idx="2">
                  <c:v>9.9839355503872493</c:v>
                </c:pt>
                <c:pt idx="3">
                  <c:v>10.84572768442105</c:v>
                </c:pt>
                <c:pt idx="4">
                  <c:v>12.1498451184454</c:v>
                </c:pt>
                <c:pt idx="5">
                  <c:v>12.79130891887154</c:v>
                </c:pt>
              </c:numCache>
            </c:numRef>
          </c:val>
          <c:smooth val="0"/>
        </c:ser>
        <c:ser>
          <c:idx val="1"/>
          <c:order val="1"/>
          <c:tx>
            <c:strRef>
              <c:f>'% to percentage'!$B$54</c:f>
              <c:strCache>
                <c:ptCount val="1"/>
                <c:pt idx="0">
                  <c:v>Others</c:v>
                </c:pt>
              </c:strCache>
            </c:strRef>
          </c:tx>
          <c:cat>
            <c:numRef>
              <c:f>'% to percentage'!$C$52:$H$52</c:f>
              <c:numCache>
                <c:formatCode>General</c:formatCode>
                <c:ptCount val="6"/>
                <c:pt idx="0">
                  <c:v>2005</c:v>
                </c:pt>
                <c:pt idx="1">
                  <c:v>2006</c:v>
                </c:pt>
                <c:pt idx="2">
                  <c:v>2007</c:v>
                </c:pt>
                <c:pt idx="3">
                  <c:v>2008</c:v>
                </c:pt>
                <c:pt idx="4">
                  <c:v>2009</c:v>
                </c:pt>
                <c:pt idx="5">
                  <c:v>2010</c:v>
                </c:pt>
              </c:numCache>
            </c:numRef>
          </c:cat>
          <c:val>
            <c:numRef>
              <c:f>'% to percentage'!$C$54:$H$54</c:f>
              <c:numCache>
                <c:formatCode>0.0</c:formatCode>
                <c:ptCount val="6"/>
                <c:pt idx="0">
                  <c:v>11.81480285911922</c:v>
                </c:pt>
                <c:pt idx="1">
                  <c:v>11.12194862833665</c:v>
                </c:pt>
                <c:pt idx="2">
                  <c:v>10.97894392476327</c:v>
                </c:pt>
                <c:pt idx="3">
                  <c:v>11.54830699834022</c:v>
                </c:pt>
                <c:pt idx="4">
                  <c:v>11.55421815250708</c:v>
                </c:pt>
                <c:pt idx="5">
                  <c:v>12.33487201595463</c:v>
                </c:pt>
              </c:numCache>
            </c:numRef>
          </c:val>
          <c:smooth val="0"/>
        </c:ser>
        <c:dLbls>
          <c:showLegendKey val="0"/>
          <c:showVal val="0"/>
          <c:showCatName val="0"/>
          <c:showSerName val="0"/>
          <c:showPercent val="0"/>
          <c:showBubbleSize val="0"/>
        </c:dLbls>
        <c:marker val="1"/>
        <c:smooth val="0"/>
        <c:axId val="199531520"/>
        <c:axId val="199537408"/>
      </c:lineChart>
      <c:catAx>
        <c:axId val="199531520"/>
        <c:scaling>
          <c:orientation val="minMax"/>
        </c:scaling>
        <c:delete val="0"/>
        <c:axPos val="b"/>
        <c:numFmt formatCode="General" sourceLinked="1"/>
        <c:majorTickMark val="out"/>
        <c:minorTickMark val="none"/>
        <c:tickLblPos val="nextTo"/>
        <c:crossAx val="199537408"/>
        <c:crosses val="autoZero"/>
        <c:auto val="1"/>
        <c:lblAlgn val="ctr"/>
        <c:lblOffset val="100"/>
        <c:noMultiLvlLbl val="0"/>
      </c:catAx>
      <c:valAx>
        <c:axId val="199537408"/>
        <c:scaling>
          <c:orientation val="minMax"/>
          <c:max val="14"/>
          <c:min val="8"/>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95315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328698274418"/>
          <c:y val="4.0763387066888999E-2"/>
          <c:w val="0.67457027977885797"/>
          <c:h val="0.858303898783081"/>
        </c:manualLayout>
      </c:layout>
      <c:lineChart>
        <c:grouping val="standard"/>
        <c:varyColors val="0"/>
        <c:ser>
          <c:idx val="0"/>
          <c:order val="0"/>
          <c:tx>
            <c:strRef>
              <c:f>Tables!$A$97</c:f>
              <c:strCache>
                <c:ptCount val="1"/>
                <c:pt idx="0">
                  <c:v>15 to 19 years</c:v>
                </c:pt>
              </c:strCache>
            </c:strRef>
          </c:tx>
          <c:cat>
            <c:numRef>
              <c:f>Tables!$B$96:$K$96</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Tables!$B$97:$K$97</c:f>
              <c:numCache>
                <c:formatCode>0.0</c:formatCode>
                <c:ptCount val="10"/>
                <c:pt idx="0">
                  <c:v>20.85221537338105</c:v>
                </c:pt>
                <c:pt idx="1">
                  <c:v>19.272332790920469</c:v>
                </c:pt>
                <c:pt idx="2">
                  <c:v>18.33081647035133</c:v>
                </c:pt>
                <c:pt idx="3">
                  <c:v>19.336136228378329</c:v>
                </c:pt>
                <c:pt idx="4">
                  <c:v>20.013468503722031</c:v>
                </c:pt>
                <c:pt idx="5">
                  <c:v>19.321928567729461</c:v>
                </c:pt>
                <c:pt idx="6">
                  <c:v>19.451392088461571</c:v>
                </c:pt>
                <c:pt idx="7">
                  <c:v>18.35913263439225</c:v>
                </c:pt>
                <c:pt idx="8">
                  <c:v>20.148892669299101</c:v>
                </c:pt>
                <c:pt idx="9">
                  <c:v>20.8</c:v>
                </c:pt>
              </c:numCache>
            </c:numRef>
          </c:val>
          <c:smooth val="0"/>
        </c:ser>
        <c:ser>
          <c:idx val="1"/>
          <c:order val="1"/>
          <c:tx>
            <c:strRef>
              <c:f>Tables!$A$98</c:f>
              <c:strCache>
                <c:ptCount val="1"/>
                <c:pt idx="0">
                  <c:v>20 to 24 years</c:v>
                </c:pt>
              </c:strCache>
            </c:strRef>
          </c:tx>
          <c:cat>
            <c:numRef>
              <c:f>Tables!$B$96:$K$96</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Tables!$B$98:$K$98</c:f>
              <c:numCache>
                <c:formatCode>0.0</c:formatCode>
                <c:ptCount val="10"/>
                <c:pt idx="0">
                  <c:v>19.842849659507589</c:v>
                </c:pt>
                <c:pt idx="1">
                  <c:v>18.059020690002789</c:v>
                </c:pt>
                <c:pt idx="2">
                  <c:v>16.776172761969089</c:v>
                </c:pt>
                <c:pt idx="3">
                  <c:v>17.010345066999928</c:v>
                </c:pt>
                <c:pt idx="4">
                  <c:v>17.983876370619939</c:v>
                </c:pt>
                <c:pt idx="5">
                  <c:v>17.77715384116965</c:v>
                </c:pt>
                <c:pt idx="6">
                  <c:v>17.191171534071831</c:v>
                </c:pt>
                <c:pt idx="7">
                  <c:v>17.023042967642649</c:v>
                </c:pt>
                <c:pt idx="8">
                  <c:v>18.767133866172429</c:v>
                </c:pt>
                <c:pt idx="9">
                  <c:v>19.189941066657031</c:v>
                </c:pt>
              </c:numCache>
            </c:numRef>
          </c:val>
          <c:smooth val="0"/>
        </c:ser>
        <c:dLbls>
          <c:showLegendKey val="0"/>
          <c:showVal val="0"/>
          <c:showCatName val="0"/>
          <c:showSerName val="0"/>
          <c:showPercent val="0"/>
          <c:showBubbleSize val="0"/>
        </c:dLbls>
        <c:marker val="1"/>
        <c:smooth val="0"/>
        <c:axId val="199035136"/>
        <c:axId val="199049216"/>
      </c:lineChart>
      <c:catAx>
        <c:axId val="199035136"/>
        <c:scaling>
          <c:orientation val="minMax"/>
        </c:scaling>
        <c:delete val="0"/>
        <c:axPos val="b"/>
        <c:numFmt formatCode="General" sourceLinked="1"/>
        <c:majorTickMark val="out"/>
        <c:minorTickMark val="none"/>
        <c:tickLblPos val="nextTo"/>
        <c:crossAx val="199049216"/>
        <c:crosses val="autoZero"/>
        <c:auto val="1"/>
        <c:lblAlgn val="ctr"/>
        <c:lblOffset val="100"/>
        <c:noMultiLvlLbl val="0"/>
      </c:catAx>
      <c:valAx>
        <c:axId val="199049216"/>
        <c:scaling>
          <c:orientation val="minMax"/>
          <c:min val="15"/>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90351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Sheet1!$C$28</c:f>
              <c:strCache>
                <c:ptCount val="1"/>
                <c:pt idx="0">
                  <c:v>Year 12 or Certificate II</c:v>
                </c:pt>
              </c:strCache>
            </c:strRef>
          </c:tx>
          <c:cat>
            <c:numRef>
              <c:f>Sheet1!$D$27:$N$27</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Sheet1!$D$28:$N$28</c:f>
              <c:numCache>
                <c:formatCode>0.0</c:formatCode>
                <c:ptCount val="11"/>
                <c:pt idx="0">
                  <c:v>31.4</c:v>
                </c:pt>
                <c:pt idx="1">
                  <c:v>34.1</c:v>
                </c:pt>
                <c:pt idx="2">
                  <c:v>32.9</c:v>
                </c:pt>
                <c:pt idx="3">
                  <c:v>33.4</c:v>
                </c:pt>
                <c:pt idx="4">
                  <c:v>33.700000000000003</c:v>
                </c:pt>
                <c:pt idx="5">
                  <c:v>34.299999999999997</c:v>
                </c:pt>
                <c:pt idx="6">
                  <c:v>33.700000000000003</c:v>
                </c:pt>
                <c:pt idx="7">
                  <c:v>33.299999999999997</c:v>
                </c:pt>
                <c:pt idx="8">
                  <c:v>32.799999999999997</c:v>
                </c:pt>
                <c:pt idx="9">
                  <c:v>35.299999999999997</c:v>
                </c:pt>
                <c:pt idx="10" formatCode="General">
                  <c:v>34.4</c:v>
                </c:pt>
              </c:numCache>
            </c:numRef>
          </c:val>
          <c:smooth val="0"/>
        </c:ser>
        <c:ser>
          <c:idx val="1"/>
          <c:order val="1"/>
          <c:tx>
            <c:strRef>
              <c:f>Sheet1!$C$29</c:f>
              <c:strCache>
                <c:ptCount val="1"/>
                <c:pt idx="0">
                  <c:v>Year 12 or Certificate III</c:v>
                </c:pt>
              </c:strCache>
            </c:strRef>
          </c:tx>
          <c:cat>
            <c:numRef>
              <c:f>Sheet1!$D$27:$N$27</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Sheet1!$D$29:$N$29</c:f>
              <c:numCache>
                <c:formatCode>0.0</c:formatCode>
                <c:ptCount val="11"/>
                <c:pt idx="0">
                  <c:v>30.8</c:v>
                </c:pt>
                <c:pt idx="1">
                  <c:v>33.200000000000003</c:v>
                </c:pt>
                <c:pt idx="2">
                  <c:v>31.9</c:v>
                </c:pt>
                <c:pt idx="3">
                  <c:v>32.1</c:v>
                </c:pt>
                <c:pt idx="4">
                  <c:v>32.5</c:v>
                </c:pt>
                <c:pt idx="5">
                  <c:v>33.299999999999997</c:v>
                </c:pt>
                <c:pt idx="6">
                  <c:v>32.9</c:v>
                </c:pt>
                <c:pt idx="7">
                  <c:v>32.299999999999997</c:v>
                </c:pt>
                <c:pt idx="8">
                  <c:v>32</c:v>
                </c:pt>
                <c:pt idx="9">
                  <c:v>33.9</c:v>
                </c:pt>
                <c:pt idx="10" formatCode="General">
                  <c:v>32.9</c:v>
                </c:pt>
              </c:numCache>
            </c:numRef>
          </c:val>
          <c:smooth val="0"/>
        </c:ser>
        <c:dLbls>
          <c:showLegendKey val="0"/>
          <c:showVal val="0"/>
          <c:showCatName val="0"/>
          <c:showSerName val="0"/>
          <c:showPercent val="0"/>
          <c:showBubbleSize val="0"/>
        </c:dLbls>
        <c:marker val="1"/>
        <c:smooth val="0"/>
        <c:axId val="199074944"/>
        <c:axId val="199076480"/>
      </c:lineChart>
      <c:catAx>
        <c:axId val="199074944"/>
        <c:scaling>
          <c:orientation val="minMax"/>
        </c:scaling>
        <c:delete val="0"/>
        <c:axPos val="b"/>
        <c:numFmt formatCode="General" sourceLinked="1"/>
        <c:majorTickMark val="out"/>
        <c:minorTickMark val="none"/>
        <c:tickLblPos val="nextTo"/>
        <c:crossAx val="199076480"/>
        <c:crosses val="autoZero"/>
        <c:auto val="1"/>
        <c:lblAlgn val="ctr"/>
        <c:lblOffset val="100"/>
        <c:noMultiLvlLbl val="0"/>
      </c:catAx>
      <c:valAx>
        <c:axId val="199076480"/>
        <c:scaling>
          <c:orientation val="minMax"/>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90749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Sheet1!$C$4</c:f>
              <c:strCache>
                <c:ptCount val="1"/>
                <c:pt idx="0">
                  <c:v>Year 12 or Certificate II</c:v>
                </c:pt>
              </c:strCache>
            </c:strRef>
          </c:tx>
          <c:cat>
            <c:numRef>
              <c:f>Sheet1!$D$3:$N$3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Sheet1!$D$4:$N$4</c:f>
              <c:numCache>
                <c:formatCode>0.0</c:formatCode>
                <c:ptCount val="11"/>
                <c:pt idx="0">
                  <c:v>79.099999999999994</c:v>
                </c:pt>
                <c:pt idx="1">
                  <c:v>80</c:v>
                </c:pt>
                <c:pt idx="2">
                  <c:v>80.400000000000006</c:v>
                </c:pt>
                <c:pt idx="3">
                  <c:v>81.3</c:v>
                </c:pt>
                <c:pt idx="4">
                  <c:v>81.2</c:v>
                </c:pt>
                <c:pt idx="5">
                  <c:v>81.900000000000006</c:v>
                </c:pt>
                <c:pt idx="6">
                  <c:v>83.5</c:v>
                </c:pt>
                <c:pt idx="7">
                  <c:v>84.2</c:v>
                </c:pt>
                <c:pt idx="8">
                  <c:v>84.5</c:v>
                </c:pt>
                <c:pt idx="9">
                  <c:v>85.6</c:v>
                </c:pt>
                <c:pt idx="10" formatCode="General">
                  <c:v>84.1</c:v>
                </c:pt>
              </c:numCache>
            </c:numRef>
          </c:val>
          <c:smooth val="0"/>
        </c:ser>
        <c:ser>
          <c:idx val="1"/>
          <c:order val="1"/>
          <c:tx>
            <c:strRef>
              <c:f>Sheet1!$C$5</c:f>
              <c:strCache>
                <c:ptCount val="1"/>
                <c:pt idx="0">
                  <c:v>Year 12 or Certificate III</c:v>
                </c:pt>
              </c:strCache>
            </c:strRef>
          </c:tx>
          <c:cat>
            <c:numRef>
              <c:f>Sheet1!$D$3:$N$3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Sheet1!$D$5:$N$5</c:f>
              <c:numCache>
                <c:formatCode>0.0</c:formatCode>
                <c:ptCount val="11"/>
                <c:pt idx="0">
                  <c:v>77.099999999999994</c:v>
                </c:pt>
                <c:pt idx="1">
                  <c:v>78.3</c:v>
                </c:pt>
                <c:pt idx="2">
                  <c:v>78.900000000000006</c:v>
                </c:pt>
                <c:pt idx="3">
                  <c:v>80.3</c:v>
                </c:pt>
                <c:pt idx="4">
                  <c:v>79.900000000000006</c:v>
                </c:pt>
                <c:pt idx="5">
                  <c:v>80.7</c:v>
                </c:pt>
                <c:pt idx="6">
                  <c:v>82.3</c:v>
                </c:pt>
                <c:pt idx="7">
                  <c:v>83.2</c:v>
                </c:pt>
                <c:pt idx="8">
                  <c:v>83.5</c:v>
                </c:pt>
                <c:pt idx="9">
                  <c:v>84.5</c:v>
                </c:pt>
                <c:pt idx="10" formatCode="General">
                  <c:v>82.7</c:v>
                </c:pt>
              </c:numCache>
            </c:numRef>
          </c:val>
          <c:smooth val="0"/>
        </c:ser>
        <c:dLbls>
          <c:showLegendKey val="0"/>
          <c:showVal val="0"/>
          <c:showCatName val="0"/>
          <c:showSerName val="0"/>
          <c:showPercent val="0"/>
          <c:showBubbleSize val="0"/>
        </c:dLbls>
        <c:marker val="1"/>
        <c:smooth val="0"/>
        <c:axId val="199560576"/>
        <c:axId val="199562368"/>
      </c:lineChart>
      <c:catAx>
        <c:axId val="199560576"/>
        <c:scaling>
          <c:orientation val="minMax"/>
        </c:scaling>
        <c:delete val="0"/>
        <c:axPos val="b"/>
        <c:numFmt formatCode="General" sourceLinked="1"/>
        <c:majorTickMark val="out"/>
        <c:minorTickMark val="none"/>
        <c:tickLblPos val="nextTo"/>
        <c:crossAx val="199562368"/>
        <c:crosses val="autoZero"/>
        <c:auto val="1"/>
        <c:lblAlgn val="ctr"/>
        <c:lblOffset val="100"/>
        <c:noMultiLvlLbl val="0"/>
      </c:catAx>
      <c:valAx>
        <c:axId val="199562368"/>
        <c:scaling>
          <c:orientation val="minMax"/>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95605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93847032958501"/>
          <c:y val="6.4814814814814797E-2"/>
          <c:w val="0.85000125906770996"/>
          <c:h val="0.82297827354914099"/>
        </c:manualLayout>
      </c:layout>
      <c:lineChart>
        <c:grouping val="standard"/>
        <c:varyColors val="0"/>
        <c:ser>
          <c:idx val="0"/>
          <c:order val="0"/>
          <c:tx>
            <c:strRef>
              <c:f>Tables!$A$210</c:f>
              <c:strCache>
                <c:ptCount val="1"/>
                <c:pt idx="0">
                  <c:v>Year 7/8 - Year 12</c:v>
                </c:pt>
              </c:strCache>
            </c:strRef>
          </c:tx>
          <c:cat>
            <c:numRef>
              <c:f>Tables!$B$209:$M$209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Tables!$B$210:$M$210</c:f>
              <c:numCache>
                <c:formatCode>General</c:formatCode>
                <c:ptCount val="12"/>
                <c:pt idx="0">
                  <c:v>72.3</c:v>
                </c:pt>
                <c:pt idx="1">
                  <c:v>73.400000000000006</c:v>
                </c:pt>
                <c:pt idx="2">
                  <c:v>75.099999999999994</c:v>
                </c:pt>
                <c:pt idx="3">
                  <c:v>75.400000000000006</c:v>
                </c:pt>
                <c:pt idx="4">
                  <c:v>75.7</c:v>
                </c:pt>
                <c:pt idx="5">
                  <c:v>75.3</c:v>
                </c:pt>
                <c:pt idx="6">
                  <c:v>74.7</c:v>
                </c:pt>
                <c:pt idx="7">
                  <c:v>74.3</c:v>
                </c:pt>
                <c:pt idx="8">
                  <c:v>74.599999999999994</c:v>
                </c:pt>
                <c:pt idx="9">
                  <c:v>76</c:v>
                </c:pt>
                <c:pt idx="10">
                  <c:v>78</c:v>
                </c:pt>
                <c:pt idx="11">
                  <c:v>79.3</c:v>
                </c:pt>
              </c:numCache>
            </c:numRef>
          </c:val>
          <c:smooth val="0"/>
        </c:ser>
        <c:dLbls>
          <c:showLegendKey val="0"/>
          <c:showVal val="0"/>
          <c:showCatName val="0"/>
          <c:showSerName val="0"/>
          <c:showPercent val="0"/>
          <c:showBubbleSize val="0"/>
        </c:dLbls>
        <c:marker val="1"/>
        <c:smooth val="0"/>
        <c:axId val="199595520"/>
        <c:axId val="199597056"/>
      </c:lineChart>
      <c:catAx>
        <c:axId val="199595520"/>
        <c:scaling>
          <c:orientation val="minMax"/>
        </c:scaling>
        <c:delete val="0"/>
        <c:axPos val="b"/>
        <c:numFmt formatCode="General" sourceLinked="1"/>
        <c:majorTickMark val="out"/>
        <c:minorTickMark val="none"/>
        <c:tickLblPos val="nextTo"/>
        <c:crossAx val="199597056"/>
        <c:crosses val="autoZero"/>
        <c:auto val="1"/>
        <c:lblAlgn val="ctr"/>
        <c:lblOffset val="100"/>
        <c:noMultiLvlLbl val="0"/>
      </c:catAx>
      <c:valAx>
        <c:axId val="199597056"/>
        <c:scaling>
          <c:orientation val="minMax"/>
        </c:scaling>
        <c:delete val="0"/>
        <c:axPos val="l"/>
        <c:title>
          <c:tx>
            <c:rich>
              <a:bodyPr rot="-5400000" vert="horz"/>
              <a:lstStyle/>
              <a:p>
                <a:pPr>
                  <a:defRPr/>
                </a:pPr>
                <a:r>
                  <a:rPr lang="en-AU"/>
                  <a:t>Percentage</a:t>
                </a:r>
              </a:p>
            </c:rich>
          </c:tx>
          <c:overlay val="0"/>
        </c:title>
        <c:numFmt formatCode="General" sourceLinked="1"/>
        <c:majorTickMark val="out"/>
        <c:minorTickMark val="none"/>
        <c:tickLblPos val="nextTo"/>
        <c:crossAx val="199595520"/>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Tables!$A$226</c:f>
              <c:strCache>
                <c:ptCount val="1"/>
                <c:pt idx="0">
                  <c:v>15 to19 years</c:v>
                </c:pt>
              </c:strCache>
            </c:strRef>
          </c:tx>
          <c:cat>
            <c:numRef>
              <c:f>Tables!$B$225:$J$225</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Tables!$B$226:$J$226</c:f>
              <c:numCache>
                <c:formatCode>0.0</c:formatCode>
                <c:ptCount val="9"/>
                <c:pt idx="0">
                  <c:v>3.4457341701178912</c:v>
                </c:pt>
                <c:pt idx="1">
                  <c:v>3.3526916205233182</c:v>
                </c:pt>
                <c:pt idx="2">
                  <c:v>3.4437744628280482</c:v>
                </c:pt>
                <c:pt idx="3">
                  <c:v>3.5417692269768928</c:v>
                </c:pt>
                <c:pt idx="4">
                  <c:v>3.30058189449585</c:v>
                </c:pt>
                <c:pt idx="5">
                  <c:v>3.2007223403939369</c:v>
                </c:pt>
                <c:pt idx="6">
                  <c:v>3.2920764979313009</c:v>
                </c:pt>
                <c:pt idx="7">
                  <c:v>3.7568311023903158</c:v>
                </c:pt>
                <c:pt idx="8">
                  <c:v>4.1955642887130242</c:v>
                </c:pt>
              </c:numCache>
            </c:numRef>
          </c:val>
          <c:smooth val="0"/>
        </c:ser>
        <c:ser>
          <c:idx val="1"/>
          <c:order val="1"/>
          <c:tx>
            <c:strRef>
              <c:f>Tables!$A$227</c:f>
              <c:strCache>
                <c:ptCount val="1"/>
                <c:pt idx="0">
                  <c:v>20 to 24 years</c:v>
                </c:pt>
              </c:strCache>
            </c:strRef>
          </c:tx>
          <c:cat>
            <c:numRef>
              <c:f>Tables!$B$225:$J$225</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Tables!$B$227:$J$227</c:f>
              <c:numCache>
                <c:formatCode>0.0</c:formatCode>
                <c:ptCount val="9"/>
                <c:pt idx="0">
                  <c:v>4.3578350662726599</c:v>
                </c:pt>
                <c:pt idx="1">
                  <c:v>4.2422326708549001</c:v>
                </c:pt>
                <c:pt idx="2">
                  <c:v>4.2092869232467454</c:v>
                </c:pt>
                <c:pt idx="3">
                  <c:v>4.5370910747142323</c:v>
                </c:pt>
                <c:pt idx="4">
                  <c:v>4.4044330363391024</c:v>
                </c:pt>
                <c:pt idx="5">
                  <c:v>4.8325870808379046</c:v>
                </c:pt>
                <c:pt idx="6">
                  <c:v>4.9082446337987884</c:v>
                </c:pt>
                <c:pt idx="7">
                  <c:v>5.2352522605390579</c:v>
                </c:pt>
                <c:pt idx="8">
                  <c:v>5.7293502928580864</c:v>
                </c:pt>
              </c:numCache>
            </c:numRef>
          </c:val>
          <c:smooth val="0"/>
        </c:ser>
        <c:dLbls>
          <c:showLegendKey val="0"/>
          <c:showVal val="0"/>
          <c:showCatName val="0"/>
          <c:showSerName val="0"/>
          <c:showPercent val="0"/>
          <c:showBubbleSize val="0"/>
        </c:dLbls>
        <c:marker val="1"/>
        <c:smooth val="0"/>
        <c:axId val="199609728"/>
        <c:axId val="199885952"/>
      </c:lineChart>
      <c:catAx>
        <c:axId val="199609728"/>
        <c:scaling>
          <c:orientation val="minMax"/>
        </c:scaling>
        <c:delete val="0"/>
        <c:axPos val="b"/>
        <c:numFmt formatCode="General" sourceLinked="1"/>
        <c:majorTickMark val="out"/>
        <c:minorTickMark val="none"/>
        <c:tickLblPos val="nextTo"/>
        <c:crossAx val="199885952"/>
        <c:crosses val="autoZero"/>
        <c:auto val="1"/>
        <c:lblAlgn val="ctr"/>
        <c:lblOffset val="100"/>
        <c:noMultiLvlLbl val="0"/>
      </c:catAx>
      <c:valAx>
        <c:axId val="199885952"/>
        <c:scaling>
          <c:orientation val="minMax"/>
          <c:max val="6"/>
          <c:min val="2"/>
        </c:scaling>
        <c:delete val="0"/>
        <c:axPos val="l"/>
        <c:title>
          <c:tx>
            <c:rich>
              <a:bodyPr rot="-5400000" vert="horz"/>
              <a:lstStyle/>
              <a:p>
                <a:pPr>
                  <a:defRPr/>
                </a:pPr>
                <a:r>
                  <a:rPr lang="en-AU"/>
                  <a:t>Percentage</a:t>
                </a:r>
              </a:p>
            </c:rich>
          </c:tx>
          <c:overlay val="0"/>
        </c:title>
        <c:numFmt formatCode="0.0" sourceLinked="1"/>
        <c:majorTickMark val="out"/>
        <c:minorTickMark val="none"/>
        <c:tickLblPos val="nextTo"/>
        <c:crossAx val="1996097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Sheet2!$B$30</c:f>
              <c:strCache>
                <c:ptCount val="1"/>
                <c:pt idx="0">
                  <c:v>Year 10 retention</c:v>
                </c:pt>
              </c:strCache>
            </c:strRef>
          </c:tx>
          <c:cat>
            <c:numRef>
              <c:f>Sheet2!$C$29:$N$29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Sheet2!$C$30:$N$30</c:f>
              <c:numCache>
                <c:formatCode>0.0</c:formatCode>
                <c:ptCount val="12"/>
                <c:pt idx="0">
                  <c:v>83</c:v>
                </c:pt>
                <c:pt idx="1">
                  <c:v>85.7</c:v>
                </c:pt>
                <c:pt idx="2">
                  <c:v>86.4</c:v>
                </c:pt>
                <c:pt idx="3">
                  <c:v>87.2</c:v>
                </c:pt>
                <c:pt idx="4">
                  <c:v>85.8</c:v>
                </c:pt>
                <c:pt idx="5">
                  <c:v>88.3</c:v>
                </c:pt>
                <c:pt idx="6">
                  <c:v>91.3</c:v>
                </c:pt>
                <c:pt idx="7">
                  <c:v>90.5</c:v>
                </c:pt>
                <c:pt idx="8">
                  <c:v>89.8</c:v>
                </c:pt>
                <c:pt idx="9">
                  <c:v>90.9</c:v>
                </c:pt>
                <c:pt idx="10">
                  <c:v>95.8</c:v>
                </c:pt>
                <c:pt idx="11">
                  <c:v>98.7</c:v>
                </c:pt>
              </c:numCache>
            </c:numRef>
          </c:val>
          <c:smooth val="0"/>
        </c:ser>
        <c:ser>
          <c:idx val="1"/>
          <c:order val="1"/>
          <c:tx>
            <c:strRef>
              <c:f>Sheet2!$B$31</c:f>
              <c:strCache>
                <c:ptCount val="1"/>
                <c:pt idx="0">
                  <c:v>Year 12 retention</c:v>
                </c:pt>
              </c:strCache>
            </c:strRef>
          </c:tx>
          <c:cat>
            <c:numRef>
              <c:f>Sheet2!$C$29:$N$29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Sheet2!$C$31:$N$31</c:f>
              <c:numCache>
                <c:formatCode>0.0</c:formatCode>
                <c:ptCount val="12"/>
                <c:pt idx="0">
                  <c:v>36.4</c:v>
                </c:pt>
                <c:pt idx="1">
                  <c:v>35.700000000000003</c:v>
                </c:pt>
                <c:pt idx="2">
                  <c:v>38</c:v>
                </c:pt>
                <c:pt idx="3">
                  <c:v>39.1</c:v>
                </c:pt>
                <c:pt idx="4">
                  <c:v>39.799999999999997</c:v>
                </c:pt>
                <c:pt idx="5">
                  <c:v>39.5</c:v>
                </c:pt>
                <c:pt idx="6">
                  <c:v>40.1</c:v>
                </c:pt>
                <c:pt idx="7">
                  <c:v>42.9</c:v>
                </c:pt>
                <c:pt idx="8">
                  <c:v>47.2</c:v>
                </c:pt>
                <c:pt idx="9">
                  <c:v>45.4</c:v>
                </c:pt>
                <c:pt idx="10">
                  <c:v>47.2</c:v>
                </c:pt>
                <c:pt idx="11">
                  <c:v>48.7</c:v>
                </c:pt>
              </c:numCache>
            </c:numRef>
          </c:val>
          <c:smooth val="0"/>
        </c:ser>
        <c:dLbls>
          <c:showLegendKey val="0"/>
          <c:showVal val="0"/>
          <c:showCatName val="0"/>
          <c:showSerName val="0"/>
          <c:showPercent val="0"/>
          <c:showBubbleSize val="0"/>
        </c:dLbls>
        <c:marker val="1"/>
        <c:smooth val="0"/>
        <c:axId val="199915392"/>
        <c:axId val="199916928"/>
      </c:lineChart>
      <c:catAx>
        <c:axId val="199915392"/>
        <c:scaling>
          <c:orientation val="minMax"/>
        </c:scaling>
        <c:delete val="0"/>
        <c:axPos val="b"/>
        <c:numFmt formatCode="General" sourceLinked="1"/>
        <c:majorTickMark val="out"/>
        <c:minorTickMark val="none"/>
        <c:tickLblPos val="nextTo"/>
        <c:crossAx val="199916928"/>
        <c:crosses val="autoZero"/>
        <c:auto val="1"/>
        <c:lblAlgn val="ctr"/>
        <c:lblOffset val="100"/>
        <c:noMultiLvlLbl val="0"/>
      </c:catAx>
      <c:valAx>
        <c:axId val="199916928"/>
        <c:scaling>
          <c:orientation val="minMax"/>
          <c:max val="100"/>
          <c:min val="20"/>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99153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Sheet1!$C$77</c:f>
              <c:strCache>
                <c:ptCount val="1"/>
                <c:pt idx="0">
                  <c:v>15 to 19 years</c:v>
                </c:pt>
              </c:strCache>
            </c:strRef>
          </c:tx>
          <c:cat>
            <c:numRef>
              <c:f>Sheet1!$D$76:$L$76</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Sheet1!$D$77:$L$77</c:f>
              <c:numCache>
                <c:formatCode>0.0</c:formatCode>
                <c:ptCount val="9"/>
                <c:pt idx="0">
                  <c:v>3.2193977691608038</c:v>
                </c:pt>
                <c:pt idx="1">
                  <c:v>4.0140997050571903</c:v>
                </c:pt>
                <c:pt idx="2">
                  <c:v>3.7956238145903689</c:v>
                </c:pt>
                <c:pt idx="3">
                  <c:v>4.342208481380708</c:v>
                </c:pt>
                <c:pt idx="4">
                  <c:v>4.6028321305458366</c:v>
                </c:pt>
                <c:pt idx="5">
                  <c:v>4.4510878591596086</c:v>
                </c:pt>
                <c:pt idx="6">
                  <c:v>4.3363936179695184</c:v>
                </c:pt>
                <c:pt idx="7">
                  <c:v>4.7436521062360164</c:v>
                </c:pt>
                <c:pt idx="8">
                  <c:v>5.3139045962011746</c:v>
                </c:pt>
              </c:numCache>
            </c:numRef>
          </c:val>
          <c:smooth val="0"/>
        </c:ser>
        <c:ser>
          <c:idx val="1"/>
          <c:order val="1"/>
          <c:tx>
            <c:strRef>
              <c:f>Sheet1!$C$78</c:f>
              <c:strCache>
                <c:ptCount val="1"/>
                <c:pt idx="0">
                  <c:v>20 to 24 years</c:v>
                </c:pt>
              </c:strCache>
            </c:strRef>
          </c:tx>
          <c:cat>
            <c:numRef>
              <c:f>Sheet1!$D$76:$L$76</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Sheet1!$D$78:$L$78</c:f>
              <c:numCache>
                <c:formatCode>0.0</c:formatCode>
                <c:ptCount val="9"/>
                <c:pt idx="0">
                  <c:v>3.2375270112634831</c:v>
                </c:pt>
                <c:pt idx="1">
                  <c:v>3.7586720003091969</c:v>
                </c:pt>
                <c:pt idx="2">
                  <c:v>3.9406336219198939</c:v>
                </c:pt>
                <c:pt idx="3">
                  <c:v>4.434727189037992</c:v>
                </c:pt>
                <c:pt idx="4">
                  <c:v>4.6709092187609746</c:v>
                </c:pt>
                <c:pt idx="5">
                  <c:v>3.966692592762044</c:v>
                </c:pt>
                <c:pt idx="6">
                  <c:v>4.0163081193615584</c:v>
                </c:pt>
                <c:pt idx="7">
                  <c:v>4.2673711048903424</c:v>
                </c:pt>
                <c:pt idx="8">
                  <c:v>4.6612983061897086</c:v>
                </c:pt>
              </c:numCache>
            </c:numRef>
          </c:val>
          <c:smooth val="0"/>
        </c:ser>
        <c:dLbls>
          <c:showLegendKey val="0"/>
          <c:showVal val="0"/>
          <c:showCatName val="0"/>
          <c:showSerName val="0"/>
          <c:showPercent val="0"/>
          <c:showBubbleSize val="0"/>
        </c:dLbls>
        <c:marker val="1"/>
        <c:smooth val="0"/>
        <c:axId val="199958528"/>
        <c:axId val="199960064"/>
      </c:lineChart>
      <c:catAx>
        <c:axId val="199958528"/>
        <c:scaling>
          <c:orientation val="minMax"/>
        </c:scaling>
        <c:delete val="0"/>
        <c:axPos val="b"/>
        <c:numFmt formatCode="General" sourceLinked="1"/>
        <c:majorTickMark val="out"/>
        <c:minorTickMark val="none"/>
        <c:tickLblPos val="nextTo"/>
        <c:txPr>
          <a:bodyPr/>
          <a:lstStyle/>
          <a:p>
            <a:pPr>
              <a:defRPr sz="1000"/>
            </a:pPr>
            <a:endParaRPr lang="en-US"/>
          </a:p>
        </c:txPr>
        <c:crossAx val="199960064"/>
        <c:crosses val="autoZero"/>
        <c:auto val="1"/>
        <c:lblAlgn val="ctr"/>
        <c:lblOffset val="100"/>
        <c:noMultiLvlLbl val="0"/>
      </c:catAx>
      <c:valAx>
        <c:axId val="199960064"/>
        <c:scaling>
          <c:orientation val="minMax"/>
          <c:min val="2.5"/>
        </c:scaling>
        <c:delete val="0"/>
        <c:axPos val="l"/>
        <c:title>
          <c:tx>
            <c:rich>
              <a:bodyPr rot="-5400000" vert="horz"/>
              <a:lstStyle/>
              <a:p>
                <a:pPr>
                  <a:defRPr/>
                </a:pPr>
                <a:r>
                  <a:rPr lang="en-AU"/>
                  <a:t>Percentage</a:t>
                </a:r>
              </a:p>
            </c:rich>
          </c:tx>
          <c:overlay val="0"/>
        </c:title>
        <c:numFmt formatCode="0.0" sourceLinked="1"/>
        <c:majorTickMark val="out"/>
        <c:minorTickMark val="none"/>
        <c:tickLblPos val="nextTo"/>
        <c:txPr>
          <a:bodyPr/>
          <a:lstStyle/>
          <a:p>
            <a:pPr>
              <a:defRPr sz="1000"/>
            </a:pPr>
            <a:endParaRPr lang="en-US"/>
          </a:p>
        </c:txPr>
        <c:crossAx val="199958528"/>
        <c:crosses val="autoZero"/>
        <c:crossBetween val="between"/>
      </c:valAx>
      <c:spPr>
        <a:noFill/>
        <a:ln w="25400">
          <a:noFill/>
        </a:ln>
      </c:spPr>
    </c:plotArea>
    <c:legend>
      <c:legendPos val="r"/>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Sheet1!$B$101</c:f>
              <c:strCache>
                <c:ptCount val="1"/>
                <c:pt idx="0">
                  <c:v>15 to 19 years</c:v>
                </c:pt>
              </c:strCache>
            </c:strRef>
          </c:tx>
          <c:cat>
            <c:numRef>
              <c:f>Sheet1!$C$100:$M$100</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Sheet1!$C$101:$M$101</c:f>
              <c:numCache>
                <c:formatCode>0.0</c:formatCode>
                <c:ptCount val="11"/>
                <c:pt idx="0">
                  <c:v>13.40000000000002</c:v>
                </c:pt>
                <c:pt idx="1">
                  <c:v>12.90000000000002</c:v>
                </c:pt>
                <c:pt idx="2">
                  <c:v>13.2</c:v>
                </c:pt>
                <c:pt idx="3">
                  <c:v>12.40000000000002</c:v>
                </c:pt>
                <c:pt idx="4">
                  <c:v>13.90000000000002</c:v>
                </c:pt>
                <c:pt idx="5">
                  <c:v>13.1</c:v>
                </c:pt>
                <c:pt idx="6">
                  <c:v>12.8</c:v>
                </c:pt>
                <c:pt idx="7">
                  <c:v>12.5</c:v>
                </c:pt>
                <c:pt idx="8">
                  <c:v>15.5</c:v>
                </c:pt>
                <c:pt idx="9">
                  <c:v>14.8</c:v>
                </c:pt>
                <c:pt idx="10">
                  <c:v>14.1</c:v>
                </c:pt>
              </c:numCache>
            </c:numRef>
          </c:val>
          <c:smooth val="0"/>
        </c:ser>
        <c:ser>
          <c:idx val="1"/>
          <c:order val="1"/>
          <c:tx>
            <c:strRef>
              <c:f>Sheet1!$B$102</c:f>
              <c:strCache>
                <c:ptCount val="1"/>
                <c:pt idx="0">
                  <c:v>20 to 24 years</c:v>
                </c:pt>
              </c:strCache>
            </c:strRef>
          </c:tx>
          <c:cat>
            <c:numRef>
              <c:f>Sheet1!$C$100:$M$100</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Sheet1!$C$102:$M$102</c:f>
              <c:numCache>
                <c:formatCode>0.0</c:formatCode>
                <c:ptCount val="11"/>
                <c:pt idx="0">
                  <c:v>23.5</c:v>
                </c:pt>
                <c:pt idx="1">
                  <c:v>22.79999999999999</c:v>
                </c:pt>
                <c:pt idx="2">
                  <c:v>23.099999999999991</c:v>
                </c:pt>
                <c:pt idx="3">
                  <c:v>22.5</c:v>
                </c:pt>
                <c:pt idx="4">
                  <c:v>21.5</c:v>
                </c:pt>
                <c:pt idx="5">
                  <c:v>21.099999999999991</c:v>
                </c:pt>
                <c:pt idx="6">
                  <c:v>20</c:v>
                </c:pt>
                <c:pt idx="7">
                  <c:v>19.5</c:v>
                </c:pt>
                <c:pt idx="8">
                  <c:v>22.2</c:v>
                </c:pt>
                <c:pt idx="9">
                  <c:v>21.79999999999999</c:v>
                </c:pt>
                <c:pt idx="10">
                  <c:v>22.5</c:v>
                </c:pt>
              </c:numCache>
            </c:numRef>
          </c:val>
          <c:smooth val="0"/>
        </c:ser>
        <c:dLbls>
          <c:showLegendKey val="0"/>
          <c:showVal val="0"/>
          <c:showCatName val="0"/>
          <c:showSerName val="0"/>
          <c:showPercent val="0"/>
          <c:showBubbleSize val="0"/>
        </c:dLbls>
        <c:marker val="1"/>
        <c:smooth val="0"/>
        <c:axId val="199981312"/>
        <c:axId val="199983104"/>
      </c:lineChart>
      <c:catAx>
        <c:axId val="199981312"/>
        <c:scaling>
          <c:orientation val="minMax"/>
        </c:scaling>
        <c:delete val="0"/>
        <c:axPos val="b"/>
        <c:numFmt formatCode="General" sourceLinked="1"/>
        <c:majorTickMark val="out"/>
        <c:minorTickMark val="none"/>
        <c:tickLblPos val="nextTo"/>
        <c:crossAx val="199983104"/>
        <c:crosses val="autoZero"/>
        <c:auto val="1"/>
        <c:lblAlgn val="ctr"/>
        <c:lblOffset val="100"/>
        <c:noMultiLvlLbl val="0"/>
      </c:catAx>
      <c:valAx>
        <c:axId val="199983104"/>
        <c:scaling>
          <c:orientation val="minMax"/>
          <c:min val="10"/>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99813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Sheet1!$B$114</c:f>
              <c:strCache>
                <c:ptCount val="1"/>
                <c:pt idx="0">
                  <c:v>With Year 12</c:v>
                </c:pt>
              </c:strCache>
            </c:strRef>
          </c:tx>
          <c:cat>
            <c:numRef>
              <c:f>Sheet1!$C$113:$M$113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Sheet1!$C$114:$M$114</c:f>
              <c:numCache>
                <c:formatCode>0.0</c:formatCode>
                <c:ptCount val="11"/>
                <c:pt idx="0">
                  <c:v>16.7</c:v>
                </c:pt>
                <c:pt idx="1">
                  <c:v>17</c:v>
                </c:pt>
                <c:pt idx="2">
                  <c:v>18.5</c:v>
                </c:pt>
                <c:pt idx="3">
                  <c:v>19.599999999999991</c:v>
                </c:pt>
                <c:pt idx="4">
                  <c:v>17</c:v>
                </c:pt>
                <c:pt idx="5">
                  <c:v>18.900000000000009</c:v>
                </c:pt>
                <c:pt idx="6">
                  <c:v>18.7</c:v>
                </c:pt>
                <c:pt idx="7">
                  <c:v>17.5</c:v>
                </c:pt>
                <c:pt idx="8">
                  <c:v>21.400000000000009</c:v>
                </c:pt>
                <c:pt idx="9">
                  <c:v>22.7</c:v>
                </c:pt>
                <c:pt idx="10">
                  <c:v>21.2</c:v>
                </c:pt>
              </c:numCache>
            </c:numRef>
          </c:val>
          <c:smooth val="0"/>
        </c:ser>
        <c:ser>
          <c:idx val="1"/>
          <c:order val="1"/>
          <c:tx>
            <c:strRef>
              <c:f>Sheet1!$B$115</c:f>
              <c:strCache>
                <c:ptCount val="1"/>
                <c:pt idx="0">
                  <c:v>Without Year 12</c:v>
                </c:pt>
              </c:strCache>
            </c:strRef>
          </c:tx>
          <c:cat>
            <c:numRef>
              <c:f>Sheet1!$C$113:$M$113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Sheet1!$C$115:$M$115</c:f>
              <c:numCache>
                <c:formatCode>0.0</c:formatCode>
                <c:ptCount val="11"/>
                <c:pt idx="0">
                  <c:v>43.1</c:v>
                </c:pt>
                <c:pt idx="1">
                  <c:v>40.700000000000003</c:v>
                </c:pt>
                <c:pt idx="2">
                  <c:v>40.200000000000003</c:v>
                </c:pt>
                <c:pt idx="3">
                  <c:v>44.1</c:v>
                </c:pt>
                <c:pt idx="4">
                  <c:v>44.5</c:v>
                </c:pt>
                <c:pt idx="5">
                  <c:v>41.2</c:v>
                </c:pt>
                <c:pt idx="6">
                  <c:v>39.700000000000003</c:v>
                </c:pt>
                <c:pt idx="7">
                  <c:v>39.6</c:v>
                </c:pt>
                <c:pt idx="8">
                  <c:v>47.5</c:v>
                </c:pt>
                <c:pt idx="9">
                  <c:v>44.1</c:v>
                </c:pt>
                <c:pt idx="10">
                  <c:v>43.9</c:v>
                </c:pt>
              </c:numCache>
            </c:numRef>
          </c:val>
          <c:smooth val="0"/>
        </c:ser>
        <c:dLbls>
          <c:showLegendKey val="0"/>
          <c:showVal val="0"/>
          <c:showCatName val="0"/>
          <c:showSerName val="0"/>
          <c:showPercent val="0"/>
          <c:showBubbleSize val="0"/>
        </c:dLbls>
        <c:marker val="1"/>
        <c:smooth val="0"/>
        <c:axId val="200012544"/>
        <c:axId val="200014080"/>
      </c:lineChart>
      <c:catAx>
        <c:axId val="200012544"/>
        <c:scaling>
          <c:orientation val="minMax"/>
        </c:scaling>
        <c:delete val="0"/>
        <c:axPos val="b"/>
        <c:numFmt formatCode="General" sourceLinked="1"/>
        <c:majorTickMark val="out"/>
        <c:minorTickMark val="none"/>
        <c:tickLblPos val="nextTo"/>
        <c:crossAx val="200014080"/>
        <c:crosses val="autoZero"/>
        <c:auto val="1"/>
        <c:lblAlgn val="ctr"/>
        <c:lblOffset val="100"/>
        <c:noMultiLvlLbl val="0"/>
      </c:catAx>
      <c:valAx>
        <c:axId val="200014080"/>
        <c:scaling>
          <c:orientation val="minMax"/>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2000125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to percentage'!$B$10</c:f>
              <c:strCache>
                <c:ptCount val="1"/>
                <c:pt idx="0">
                  <c:v>15 - 19 years</c:v>
                </c:pt>
              </c:strCache>
            </c:strRef>
          </c:tx>
          <c:cat>
            <c:numRef>
              <c:f>'% to percentage'!$C$9:$O$9</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 to percentage'!$C$10:$O$10</c:f>
              <c:numCache>
                <c:formatCode>0.0</c:formatCode>
                <c:ptCount val="13"/>
                <c:pt idx="0">
                  <c:v>69.176259200868415</c:v>
                </c:pt>
                <c:pt idx="1">
                  <c:v>69.748514127012825</c:v>
                </c:pt>
                <c:pt idx="2">
                  <c:v>69.57577495172329</c:v>
                </c:pt>
                <c:pt idx="3">
                  <c:v>69.591624275367295</c:v>
                </c:pt>
                <c:pt idx="4">
                  <c:v>68.985970100920824</c:v>
                </c:pt>
                <c:pt idx="5">
                  <c:v>68.835957807066436</c:v>
                </c:pt>
                <c:pt idx="6">
                  <c:v>70.145696205120416</c:v>
                </c:pt>
                <c:pt idx="7">
                  <c:v>70.140417259811613</c:v>
                </c:pt>
                <c:pt idx="8">
                  <c:v>69.924648953427152</c:v>
                </c:pt>
                <c:pt idx="9">
                  <c:v>69.515087431344611</c:v>
                </c:pt>
                <c:pt idx="10">
                  <c:v>70.242740361400479</c:v>
                </c:pt>
                <c:pt idx="11">
                  <c:v>71.714076716583534</c:v>
                </c:pt>
                <c:pt idx="12">
                  <c:v>73.363128121966682</c:v>
                </c:pt>
              </c:numCache>
            </c:numRef>
          </c:val>
          <c:smooth val="0"/>
        </c:ser>
        <c:dLbls>
          <c:showLegendKey val="0"/>
          <c:showVal val="0"/>
          <c:showCatName val="0"/>
          <c:showSerName val="0"/>
          <c:showPercent val="0"/>
          <c:showBubbleSize val="0"/>
        </c:dLbls>
        <c:marker val="1"/>
        <c:smooth val="0"/>
        <c:axId val="196915200"/>
        <c:axId val="196916736"/>
      </c:lineChart>
      <c:catAx>
        <c:axId val="196915200"/>
        <c:scaling>
          <c:orientation val="minMax"/>
        </c:scaling>
        <c:delete val="0"/>
        <c:axPos val="b"/>
        <c:numFmt formatCode="General" sourceLinked="1"/>
        <c:majorTickMark val="out"/>
        <c:minorTickMark val="none"/>
        <c:tickLblPos val="nextTo"/>
        <c:crossAx val="196916736"/>
        <c:crosses val="autoZero"/>
        <c:auto val="1"/>
        <c:lblAlgn val="ctr"/>
        <c:lblOffset val="100"/>
        <c:noMultiLvlLbl val="0"/>
      </c:catAx>
      <c:valAx>
        <c:axId val="196916736"/>
        <c:scaling>
          <c:orientation val="minMax"/>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6915200"/>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 to percentage'!$B$65</c:f>
              <c:strCache>
                <c:ptCount val="1"/>
                <c:pt idx="0">
                  <c:v>Unemployed and not in education</c:v>
                </c:pt>
              </c:strCache>
            </c:strRef>
          </c:tx>
          <c:cat>
            <c:numRef>
              <c:f>'% to percentage'!$C$64:$O$64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 to percentage'!$C$65:$O$65</c:f>
              <c:numCache>
                <c:formatCode>0.0</c:formatCode>
                <c:ptCount val="13"/>
                <c:pt idx="0">
                  <c:v>5.761043895218231</c:v>
                </c:pt>
                <c:pt idx="1">
                  <c:v>6.63827136440168</c:v>
                </c:pt>
                <c:pt idx="2">
                  <c:v>6.183379190509978</c:v>
                </c:pt>
                <c:pt idx="3">
                  <c:v>5.9890846329108873</c:v>
                </c:pt>
                <c:pt idx="4">
                  <c:v>5.6438541385921877</c:v>
                </c:pt>
                <c:pt idx="5">
                  <c:v>4.9973571432756803</c:v>
                </c:pt>
                <c:pt idx="6">
                  <c:v>5.4962463634507124</c:v>
                </c:pt>
                <c:pt idx="7">
                  <c:v>4.917885094411945</c:v>
                </c:pt>
                <c:pt idx="8">
                  <c:v>4.484487445753162</c:v>
                </c:pt>
                <c:pt idx="9">
                  <c:v>7.0747962439743803</c:v>
                </c:pt>
                <c:pt idx="10">
                  <c:v>6.5227529877675856</c:v>
                </c:pt>
                <c:pt idx="11">
                  <c:v>5.4751377656694507</c:v>
                </c:pt>
                <c:pt idx="12">
                  <c:v>5.2808407873299918</c:v>
                </c:pt>
              </c:numCache>
            </c:numRef>
          </c:val>
          <c:smooth val="0"/>
        </c:ser>
        <c:ser>
          <c:idx val="1"/>
          <c:order val="1"/>
          <c:tx>
            <c:strRef>
              <c:f>'% to percentage'!$B$66</c:f>
              <c:strCache>
                <c:ptCount val="1"/>
                <c:pt idx="0">
                  <c:v>Not in the labour force and not in education</c:v>
                </c:pt>
              </c:strCache>
            </c:strRef>
          </c:tx>
          <c:cat>
            <c:numRef>
              <c:f>'% to percentage'!$C$64:$O$64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 to percentage'!$C$66:$O$66</c:f>
              <c:numCache>
                <c:formatCode>0.0</c:formatCode>
                <c:ptCount val="13"/>
                <c:pt idx="0">
                  <c:v>5.2279385326252372</c:v>
                </c:pt>
                <c:pt idx="1">
                  <c:v>5.1451371608566259</c:v>
                </c:pt>
                <c:pt idx="2">
                  <c:v>5.3705793168757747</c:v>
                </c:pt>
                <c:pt idx="3">
                  <c:v>5.2676728282524454</c:v>
                </c:pt>
                <c:pt idx="4">
                  <c:v>5.1843689387485066</c:v>
                </c:pt>
                <c:pt idx="5">
                  <c:v>5.4544199762838366</c:v>
                </c:pt>
                <c:pt idx="6">
                  <c:v>5.4690646024727778</c:v>
                </c:pt>
                <c:pt idx="7">
                  <c:v>5.0172666266388841</c:v>
                </c:pt>
                <c:pt idx="8">
                  <c:v>5.3820592111567276</c:v>
                </c:pt>
                <c:pt idx="9">
                  <c:v>5.7067418858044121</c:v>
                </c:pt>
                <c:pt idx="10">
                  <c:v>6.5459353199796846</c:v>
                </c:pt>
                <c:pt idx="11">
                  <c:v>7.3926298672090374</c:v>
                </c:pt>
                <c:pt idx="12">
                  <c:v>6.1272490709705956</c:v>
                </c:pt>
              </c:numCache>
            </c:numRef>
          </c:val>
          <c:smooth val="0"/>
        </c:ser>
        <c:dLbls>
          <c:showLegendKey val="0"/>
          <c:showVal val="0"/>
          <c:showCatName val="0"/>
          <c:showSerName val="0"/>
          <c:showPercent val="0"/>
          <c:showBubbleSize val="0"/>
        </c:dLbls>
        <c:marker val="1"/>
        <c:smooth val="0"/>
        <c:axId val="198654976"/>
        <c:axId val="198681344"/>
      </c:lineChart>
      <c:catAx>
        <c:axId val="198654976"/>
        <c:scaling>
          <c:orientation val="minMax"/>
        </c:scaling>
        <c:delete val="0"/>
        <c:axPos val="b"/>
        <c:numFmt formatCode="General" sourceLinked="1"/>
        <c:majorTickMark val="out"/>
        <c:minorTickMark val="none"/>
        <c:tickLblPos val="nextTo"/>
        <c:crossAx val="198681344"/>
        <c:crosses val="autoZero"/>
        <c:auto val="1"/>
        <c:lblAlgn val="ctr"/>
        <c:lblOffset val="100"/>
        <c:noMultiLvlLbl val="0"/>
      </c:catAx>
      <c:valAx>
        <c:axId val="198681344"/>
        <c:scaling>
          <c:orientation val="minMax"/>
          <c:min val="4"/>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8654976"/>
        <c:crosses val="autoZero"/>
        <c:crossBetween val="between"/>
        <c:majorUnit val="1"/>
      </c:valAx>
    </c:plotArea>
    <c:legend>
      <c:legendPos val="b"/>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Sheet1!$C$71</c:f>
              <c:strCache>
                <c:ptCount val="1"/>
                <c:pt idx="0">
                  <c:v>Attending full-time education</c:v>
                </c:pt>
              </c:strCache>
            </c:strRef>
          </c:tx>
          <c:invertIfNegative val="0"/>
          <c:cat>
            <c:strRef>
              <c:f>Sheet1!$C$70:$C$71</c:f>
              <c:strCache>
                <c:ptCount val="2"/>
                <c:pt idx="0">
                  <c:v>Employed full-time; not attending full-time education</c:v>
                </c:pt>
                <c:pt idx="1">
                  <c:v>Attending full-time education</c:v>
                </c:pt>
              </c:strCache>
            </c:strRef>
          </c:cat>
          <c:val>
            <c:numRef>
              <c:f>Sheet1!$E$70:$E$71</c:f>
              <c:numCache>
                <c:formatCode>0.0</c:formatCode>
                <c:ptCount val="2"/>
                <c:pt idx="0">
                  <c:v>3.4384791685395322</c:v>
                </c:pt>
                <c:pt idx="1">
                  <c:v>2.8620416482982471</c:v>
                </c:pt>
              </c:numCache>
            </c:numRef>
          </c:val>
        </c:ser>
        <c:ser>
          <c:idx val="0"/>
          <c:order val="1"/>
          <c:tx>
            <c:strRef>
              <c:f>Sheet1!$C$70</c:f>
              <c:strCache>
                <c:ptCount val="1"/>
                <c:pt idx="0">
                  <c:v>Employed full-time; not attending full-time education</c:v>
                </c:pt>
              </c:strCache>
            </c:strRef>
          </c:tx>
          <c:invertIfNegative val="0"/>
          <c:cat>
            <c:strRef>
              <c:f>Sheet1!$C$70:$C$71</c:f>
              <c:strCache>
                <c:ptCount val="2"/>
                <c:pt idx="0">
                  <c:v>Employed full-time; not attending full-time education</c:v>
                </c:pt>
                <c:pt idx="1">
                  <c:v>Attending full-time education</c:v>
                </c:pt>
              </c:strCache>
            </c:strRef>
          </c:cat>
          <c:val>
            <c:numRef>
              <c:f>Sheet1!$D$70:$D$71</c:f>
              <c:numCache>
                <c:formatCode>0.0</c:formatCode>
                <c:ptCount val="2"/>
                <c:pt idx="0">
                  <c:v>-4.5266177193437303</c:v>
                </c:pt>
                <c:pt idx="1">
                  <c:v>-6.61541647978156</c:v>
                </c:pt>
              </c:numCache>
            </c:numRef>
          </c:val>
        </c:ser>
        <c:dLbls>
          <c:showLegendKey val="0"/>
          <c:showVal val="0"/>
          <c:showCatName val="0"/>
          <c:showSerName val="0"/>
          <c:showPercent val="0"/>
          <c:showBubbleSize val="0"/>
        </c:dLbls>
        <c:gapWidth val="150"/>
        <c:overlap val="100"/>
        <c:axId val="202196480"/>
        <c:axId val="202198400"/>
      </c:barChart>
      <c:catAx>
        <c:axId val="202196480"/>
        <c:scaling>
          <c:orientation val="minMax"/>
        </c:scaling>
        <c:delete val="1"/>
        <c:axPos val="b"/>
        <c:title>
          <c:tx>
            <c:rich>
              <a:bodyPr/>
              <a:lstStyle/>
              <a:p>
                <a:pPr>
                  <a:defRPr/>
                </a:pPr>
                <a:r>
                  <a:rPr lang="en-US"/>
                  <a:t>Age 15</a:t>
                </a:r>
                <a:r>
                  <a:rPr lang="en-US">
                    <a:latin typeface="Calibri"/>
                  </a:rPr>
                  <a:t>–</a:t>
                </a:r>
                <a:r>
                  <a:rPr lang="en-US"/>
                  <a:t>19    		Age 20</a:t>
                </a:r>
                <a:r>
                  <a:rPr lang="en-US">
                    <a:latin typeface="Calibri"/>
                  </a:rPr>
                  <a:t>–</a:t>
                </a:r>
                <a:r>
                  <a:rPr lang="en-US"/>
                  <a:t>24</a:t>
                </a:r>
              </a:p>
            </c:rich>
          </c:tx>
          <c:overlay val="0"/>
        </c:title>
        <c:majorTickMark val="out"/>
        <c:minorTickMark val="none"/>
        <c:tickLblPos val="none"/>
        <c:crossAx val="202198400"/>
        <c:crosses val="autoZero"/>
        <c:auto val="1"/>
        <c:lblAlgn val="ctr"/>
        <c:lblOffset val="100"/>
        <c:noMultiLvlLbl val="0"/>
      </c:catAx>
      <c:valAx>
        <c:axId val="202198400"/>
        <c:scaling>
          <c:orientation val="minMax"/>
        </c:scaling>
        <c:delete val="0"/>
        <c:axPos val="l"/>
        <c:title>
          <c:tx>
            <c:rich>
              <a:bodyPr rot="-5400000" vert="horz"/>
              <a:lstStyle/>
              <a:p>
                <a:pPr>
                  <a:defRPr/>
                </a:pPr>
                <a:r>
                  <a:rPr lang="en-US"/>
                  <a:t>% change, 2008</a:t>
                </a:r>
                <a:r>
                  <a:rPr lang="en-US">
                    <a:latin typeface="Calibri"/>
                  </a:rPr>
                  <a:t>–</a:t>
                </a:r>
                <a:r>
                  <a:rPr lang="en-US"/>
                  <a:t>12</a:t>
                </a:r>
              </a:p>
            </c:rich>
          </c:tx>
          <c:overlay val="0"/>
        </c:title>
        <c:numFmt formatCode="#,##0" sourceLinked="0"/>
        <c:majorTickMark val="out"/>
        <c:minorTickMark val="none"/>
        <c:tickLblPos val="nextTo"/>
        <c:crossAx val="2021964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Tables!$A$437</c:f>
              <c:strCache>
                <c:ptCount val="1"/>
                <c:pt idx="0">
                  <c:v>15 to 19 years</c:v>
                </c:pt>
              </c:strCache>
            </c:strRef>
          </c:tx>
          <c:cat>
            <c:numRef>
              <c:f>Tables!$B$436:$N$436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Tables!$B$437:$N$437</c:f>
              <c:numCache>
                <c:formatCode>0.0</c:formatCode>
                <c:ptCount val="13"/>
                <c:pt idx="0">
                  <c:v>46.782646719917778</c:v>
                </c:pt>
                <c:pt idx="1">
                  <c:v>50.584491918890983</c:v>
                </c:pt>
                <c:pt idx="2">
                  <c:v>55.741943846865382</c:v>
                </c:pt>
                <c:pt idx="3">
                  <c:v>51.559775497755403</c:v>
                </c:pt>
                <c:pt idx="4">
                  <c:v>61.164260293744952</c:v>
                </c:pt>
                <c:pt idx="5">
                  <c:v>49.415060105960002</c:v>
                </c:pt>
                <c:pt idx="6">
                  <c:v>56.279865420030497</c:v>
                </c:pt>
                <c:pt idx="7">
                  <c:v>55.915958974038332</c:v>
                </c:pt>
                <c:pt idx="8">
                  <c:v>52.641645961802219</c:v>
                </c:pt>
                <c:pt idx="9">
                  <c:v>56.054547019174422</c:v>
                </c:pt>
                <c:pt idx="10">
                  <c:v>60.009802756896001</c:v>
                </c:pt>
                <c:pt idx="11">
                  <c:v>60.306984675909852</c:v>
                </c:pt>
                <c:pt idx="12">
                  <c:v>64.072800585686025</c:v>
                </c:pt>
              </c:numCache>
            </c:numRef>
          </c:val>
          <c:smooth val="0"/>
        </c:ser>
        <c:ser>
          <c:idx val="1"/>
          <c:order val="1"/>
          <c:tx>
            <c:strRef>
              <c:f>Tables!$A$438</c:f>
              <c:strCache>
                <c:ptCount val="1"/>
                <c:pt idx="0">
                  <c:v>20 to 24 years</c:v>
                </c:pt>
              </c:strCache>
            </c:strRef>
          </c:tx>
          <c:cat>
            <c:numRef>
              <c:f>Tables!$B$436:$N$436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Tables!$B$438:$N$438</c:f>
              <c:numCache>
                <c:formatCode>0.0</c:formatCode>
                <c:ptCount val="13"/>
                <c:pt idx="0">
                  <c:v>15.71729430415656</c:v>
                </c:pt>
                <c:pt idx="1">
                  <c:v>21.674175498919571</c:v>
                </c:pt>
                <c:pt idx="2">
                  <c:v>20.16997107839309</c:v>
                </c:pt>
                <c:pt idx="3">
                  <c:v>27.472105841693089</c:v>
                </c:pt>
                <c:pt idx="4">
                  <c:v>25.671805914357499</c:v>
                </c:pt>
                <c:pt idx="5">
                  <c:v>27.959370327723001</c:v>
                </c:pt>
                <c:pt idx="6">
                  <c:v>23.64671937575811</c:v>
                </c:pt>
                <c:pt idx="7">
                  <c:v>27.854358823514911</c:v>
                </c:pt>
                <c:pt idx="8">
                  <c:v>28.391343309379689</c:v>
                </c:pt>
                <c:pt idx="9">
                  <c:v>20.0971537954415</c:v>
                </c:pt>
                <c:pt idx="10">
                  <c:v>25.41268987143566</c:v>
                </c:pt>
                <c:pt idx="11">
                  <c:v>24.66012822037991</c:v>
                </c:pt>
                <c:pt idx="12">
                  <c:v>34.385383211094002</c:v>
                </c:pt>
              </c:numCache>
            </c:numRef>
          </c:val>
          <c:smooth val="0"/>
        </c:ser>
        <c:dLbls>
          <c:showLegendKey val="0"/>
          <c:showVal val="0"/>
          <c:showCatName val="0"/>
          <c:showSerName val="0"/>
          <c:showPercent val="0"/>
          <c:showBubbleSize val="0"/>
        </c:dLbls>
        <c:marker val="1"/>
        <c:smooth val="0"/>
        <c:axId val="202216576"/>
        <c:axId val="202218112"/>
      </c:lineChart>
      <c:catAx>
        <c:axId val="202216576"/>
        <c:scaling>
          <c:orientation val="minMax"/>
        </c:scaling>
        <c:delete val="0"/>
        <c:axPos val="b"/>
        <c:numFmt formatCode="General" sourceLinked="1"/>
        <c:majorTickMark val="out"/>
        <c:minorTickMark val="none"/>
        <c:tickLblPos val="nextTo"/>
        <c:crossAx val="202218112"/>
        <c:crosses val="autoZero"/>
        <c:auto val="1"/>
        <c:lblAlgn val="ctr"/>
        <c:lblOffset val="100"/>
        <c:noMultiLvlLbl val="0"/>
      </c:catAx>
      <c:valAx>
        <c:axId val="202218112"/>
        <c:scaling>
          <c:orientation val="minMax"/>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2022165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Tables!$J$443</c:f>
              <c:strCache>
                <c:ptCount val="1"/>
                <c:pt idx="0">
                  <c:v>Employed full-time;  not attending full-time education </c:v>
                </c:pt>
              </c:strCache>
            </c:strRef>
          </c:tx>
          <c:cat>
            <c:numRef>
              <c:f>Tables!$I$444:$I$456</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Tables!$J$444:$J$456</c:f>
              <c:numCache>
                <c:formatCode>0.0;\-0.0;0.0;@</c:formatCode>
                <c:ptCount val="13"/>
                <c:pt idx="0">
                  <c:v>16.53224403499749</c:v>
                </c:pt>
                <c:pt idx="1">
                  <c:v>15.330653706568651</c:v>
                </c:pt>
                <c:pt idx="2">
                  <c:v>15.353007422712549</c:v>
                </c:pt>
                <c:pt idx="3">
                  <c:v>15.652232964298101</c:v>
                </c:pt>
                <c:pt idx="4">
                  <c:v>15.791786297635181</c:v>
                </c:pt>
                <c:pt idx="5">
                  <c:v>16.217575956567131</c:v>
                </c:pt>
                <c:pt idx="6">
                  <c:v>15.3993549800617</c:v>
                </c:pt>
                <c:pt idx="7">
                  <c:v>16.060379332426969</c:v>
                </c:pt>
                <c:pt idx="8">
                  <c:v>16.69208017340663</c:v>
                </c:pt>
                <c:pt idx="9">
                  <c:v>14.00927867761467</c:v>
                </c:pt>
                <c:pt idx="10">
                  <c:v>13.355073700927401</c:v>
                </c:pt>
                <c:pt idx="11">
                  <c:v>12.820781660970249</c:v>
                </c:pt>
                <c:pt idx="12">
                  <c:v>12.1654624551957</c:v>
                </c:pt>
              </c:numCache>
            </c:numRef>
          </c:val>
          <c:smooth val="0"/>
        </c:ser>
        <c:ser>
          <c:idx val="1"/>
          <c:order val="1"/>
          <c:tx>
            <c:strRef>
              <c:f>Tables!$K$443</c:f>
              <c:strCache>
                <c:ptCount val="1"/>
                <c:pt idx="0">
                  <c:v>Employed part-time;  not attending full-time education </c:v>
                </c:pt>
              </c:strCache>
            </c:strRef>
          </c:tx>
          <c:cat>
            <c:numRef>
              <c:f>Tables!$I$444:$I$456</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Tables!$K$444:$K$456</c:f>
              <c:numCache>
                <c:formatCode>0.0;\-0.0;0.0;@</c:formatCode>
                <c:ptCount val="13"/>
                <c:pt idx="0">
                  <c:v>6.3249188116466337</c:v>
                </c:pt>
                <c:pt idx="1">
                  <c:v>6.5830990174686423</c:v>
                </c:pt>
                <c:pt idx="2">
                  <c:v>6.8635603778156993</c:v>
                </c:pt>
                <c:pt idx="3">
                  <c:v>6.9280406647879778</c:v>
                </c:pt>
                <c:pt idx="4">
                  <c:v>7.1529795317168254</c:v>
                </c:pt>
                <c:pt idx="5">
                  <c:v>7.1728827706484646</c:v>
                </c:pt>
                <c:pt idx="6">
                  <c:v>6.5796501951704736</c:v>
                </c:pt>
                <c:pt idx="7">
                  <c:v>6.6841451128325886</c:v>
                </c:pt>
                <c:pt idx="8">
                  <c:v>6.5887910196663704</c:v>
                </c:pt>
                <c:pt idx="9">
                  <c:v>7.3265983085208664</c:v>
                </c:pt>
                <c:pt idx="10">
                  <c:v>7.2954641518932704</c:v>
                </c:pt>
                <c:pt idx="11">
                  <c:v>6.7363966488513896</c:v>
                </c:pt>
                <c:pt idx="12">
                  <c:v>6.7087795215723434</c:v>
                </c:pt>
              </c:numCache>
            </c:numRef>
          </c:val>
          <c:smooth val="0"/>
        </c:ser>
        <c:ser>
          <c:idx val="2"/>
          <c:order val="2"/>
          <c:tx>
            <c:strRef>
              <c:f>Tables!$L$443</c:f>
              <c:strCache>
                <c:ptCount val="1"/>
                <c:pt idx="0">
                  <c:v>Unemployed – total; not attending full-time education </c:v>
                </c:pt>
              </c:strCache>
            </c:strRef>
          </c:tx>
          <c:cat>
            <c:numRef>
              <c:f>Tables!$I$444:$I$456</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Tables!$L$444:$L$456</c:f>
              <c:numCache>
                <c:formatCode>0.0;\-0.0;0.0;@</c:formatCode>
                <c:ptCount val="13"/>
                <c:pt idx="0">
                  <c:v>4.2327330792827524</c:v>
                </c:pt>
                <c:pt idx="1">
                  <c:v>4.6662045212996857</c:v>
                </c:pt>
                <c:pt idx="2">
                  <c:v>4.4272275484497676</c:v>
                </c:pt>
                <c:pt idx="3">
                  <c:v>4.1460606387349994</c:v>
                </c:pt>
                <c:pt idx="4">
                  <c:v>4.1434955324971066</c:v>
                </c:pt>
                <c:pt idx="5">
                  <c:v>3.8178087515288821</c:v>
                </c:pt>
                <c:pt idx="6">
                  <c:v>3.9542236254836372</c:v>
                </c:pt>
                <c:pt idx="7">
                  <c:v>3.4512920893782102</c:v>
                </c:pt>
                <c:pt idx="8">
                  <c:v>3.2331359910310682</c:v>
                </c:pt>
                <c:pt idx="9">
                  <c:v>4.8218532355296322</c:v>
                </c:pt>
                <c:pt idx="10">
                  <c:v>4.5113996823413736</c:v>
                </c:pt>
                <c:pt idx="11">
                  <c:v>3.7061700144230501</c:v>
                </c:pt>
                <c:pt idx="12">
                  <c:v>3.4970961598468429</c:v>
                </c:pt>
              </c:numCache>
            </c:numRef>
          </c:val>
          <c:smooth val="0"/>
        </c:ser>
        <c:ser>
          <c:idx val="3"/>
          <c:order val="3"/>
          <c:tx>
            <c:strRef>
              <c:f>Tables!$M$443</c:f>
              <c:strCache>
                <c:ptCount val="1"/>
                <c:pt idx="0">
                  <c:v>Not in the labour force; not attending full-time education </c:v>
                </c:pt>
              </c:strCache>
            </c:strRef>
          </c:tx>
          <c:cat>
            <c:numRef>
              <c:f>Tables!$I$444:$I$456</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Tables!$M$444:$M$456</c:f>
              <c:numCache>
                <c:formatCode>0.0;\-0.0;0.0;@</c:formatCode>
                <c:ptCount val="13"/>
                <c:pt idx="0">
                  <c:v>3.733844873204633</c:v>
                </c:pt>
                <c:pt idx="1">
                  <c:v>3.671528634392117</c:v>
                </c:pt>
                <c:pt idx="2">
                  <c:v>3.7804296992980362</c:v>
                </c:pt>
                <c:pt idx="3">
                  <c:v>3.6820414501656731</c:v>
                </c:pt>
                <c:pt idx="4">
                  <c:v>3.925768528253613</c:v>
                </c:pt>
                <c:pt idx="5">
                  <c:v>3.9557747030251011</c:v>
                </c:pt>
                <c:pt idx="6">
                  <c:v>3.9210749983938431</c:v>
                </c:pt>
                <c:pt idx="7">
                  <c:v>3.6637662014080852</c:v>
                </c:pt>
                <c:pt idx="8">
                  <c:v>3.5613438604277801</c:v>
                </c:pt>
                <c:pt idx="9">
                  <c:v>4.3271823388260149</c:v>
                </c:pt>
                <c:pt idx="10">
                  <c:v>4.5953221113491534</c:v>
                </c:pt>
                <c:pt idx="11">
                  <c:v>5.0225749591711617</c:v>
                </c:pt>
                <c:pt idx="12">
                  <c:v>4.2655337414184746</c:v>
                </c:pt>
              </c:numCache>
            </c:numRef>
          </c:val>
          <c:smooth val="0"/>
        </c:ser>
        <c:dLbls>
          <c:showLegendKey val="0"/>
          <c:showVal val="0"/>
          <c:showCatName val="0"/>
          <c:showSerName val="0"/>
          <c:showPercent val="0"/>
          <c:showBubbleSize val="0"/>
        </c:dLbls>
        <c:marker val="1"/>
        <c:smooth val="0"/>
        <c:axId val="201933952"/>
        <c:axId val="201935488"/>
      </c:lineChart>
      <c:catAx>
        <c:axId val="201933952"/>
        <c:scaling>
          <c:orientation val="minMax"/>
        </c:scaling>
        <c:delete val="0"/>
        <c:axPos val="b"/>
        <c:numFmt formatCode="0" sourceLinked="1"/>
        <c:majorTickMark val="out"/>
        <c:minorTickMark val="none"/>
        <c:tickLblPos val="nextTo"/>
        <c:txPr>
          <a:bodyPr/>
          <a:lstStyle/>
          <a:p>
            <a:pPr>
              <a:defRPr sz="900"/>
            </a:pPr>
            <a:endParaRPr lang="en-US"/>
          </a:p>
        </c:txPr>
        <c:crossAx val="201935488"/>
        <c:crosses val="autoZero"/>
        <c:auto val="1"/>
        <c:lblAlgn val="ctr"/>
        <c:lblOffset val="100"/>
        <c:noMultiLvlLbl val="0"/>
      </c:catAx>
      <c:valAx>
        <c:axId val="201935488"/>
        <c:scaling>
          <c:orientation val="minMax"/>
        </c:scaling>
        <c:delete val="0"/>
        <c:axPos val="l"/>
        <c:title>
          <c:tx>
            <c:rich>
              <a:bodyPr rot="-5400000" vert="horz"/>
              <a:lstStyle/>
              <a:p>
                <a:pPr>
                  <a:defRPr sz="800"/>
                </a:pPr>
                <a:r>
                  <a:rPr lang="en-AU" sz="800"/>
                  <a:t>Percentage</a:t>
                </a:r>
              </a:p>
            </c:rich>
          </c:tx>
          <c:overlay val="0"/>
        </c:title>
        <c:numFmt formatCode="0;0;0;@" sourceLinked="0"/>
        <c:majorTickMark val="out"/>
        <c:minorTickMark val="none"/>
        <c:tickLblPos val="nextTo"/>
        <c:txPr>
          <a:bodyPr/>
          <a:lstStyle/>
          <a:p>
            <a:pPr>
              <a:defRPr sz="800"/>
            </a:pPr>
            <a:endParaRPr lang="en-US"/>
          </a:p>
        </c:txPr>
        <c:crossAx val="201933952"/>
        <c:crosses val="autoZero"/>
        <c:crossBetween val="between"/>
      </c:valAx>
    </c:plotArea>
    <c:legend>
      <c:legendPos val="r"/>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Tables!$J$459</c:f>
              <c:strCache>
                <c:ptCount val="1"/>
                <c:pt idx="0">
                  <c:v>Employed full-time;  not attending full-time education </c:v>
                </c:pt>
              </c:strCache>
            </c:strRef>
          </c:tx>
          <c:cat>
            <c:numRef>
              <c:f>Tables!$I$460:$I$472</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Tables!$J$460:$J$472</c:f>
              <c:numCache>
                <c:formatCode>0.0;\-0.0;0.0;@</c:formatCode>
                <c:ptCount val="13"/>
                <c:pt idx="0">
                  <c:v>54.130346640144111</c:v>
                </c:pt>
                <c:pt idx="1">
                  <c:v>51.476833342468083</c:v>
                </c:pt>
                <c:pt idx="2">
                  <c:v>49.883521940981183</c:v>
                </c:pt>
                <c:pt idx="3">
                  <c:v>48.343222746954282</c:v>
                </c:pt>
                <c:pt idx="4">
                  <c:v>48.243533441910472</c:v>
                </c:pt>
                <c:pt idx="5">
                  <c:v>49.522655384373408</c:v>
                </c:pt>
                <c:pt idx="6">
                  <c:v>50.537925384911063</c:v>
                </c:pt>
                <c:pt idx="7">
                  <c:v>51.027557750503902</c:v>
                </c:pt>
                <c:pt idx="8">
                  <c:v>50.185448326020513</c:v>
                </c:pt>
                <c:pt idx="9">
                  <c:v>45.647695121017883</c:v>
                </c:pt>
                <c:pt idx="10">
                  <c:v>46.332320838073983</c:v>
                </c:pt>
                <c:pt idx="11">
                  <c:v>44.891166963455547</c:v>
                </c:pt>
                <c:pt idx="12">
                  <c:v>43.570031852764721</c:v>
                </c:pt>
              </c:numCache>
            </c:numRef>
          </c:val>
          <c:smooth val="0"/>
        </c:ser>
        <c:ser>
          <c:idx val="1"/>
          <c:order val="1"/>
          <c:tx>
            <c:strRef>
              <c:f>Tables!$K$459</c:f>
              <c:strCache>
                <c:ptCount val="1"/>
                <c:pt idx="0">
                  <c:v>Employed part-time;  not attending full-time education </c:v>
                </c:pt>
              </c:strCache>
            </c:strRef>
          </c:tx>
          <c:cat>
            <c:numRef>
              <c:f>Tables!$I$460:$I$472</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Tables!$K$460:$K$472</c:f>
              <c:numCache>
                <c:formatCode>0.0;\-0.0;0.0;@</c:formatCode>
                <c:ptCount val="13"/>
                <c:pt idx="0">
                  <c:v>9.9530113324277227</c:v>
                </c:pt>
                <c:pt idx="1">
                  <c:v>10.69613576920958</c:v>
                </c:pt>
                <c:pt idx="2">
                  <c:v>10.229282433265251</c:v>
                </c:pt>
                <c:pt idx="3">
                  <c:v>11.03751533197152</c:v>
                </c:pt>
                <c:pt idx="4">
                  <c:v>11.9033450223674</c:v>
                </c:pt>
                <c:pt idx="5">
                  <c:v>11.28737181705837</c:v>
                </c:pt>
                <c:pt idx="6">
                  <c:v>10.53619808382687</c:v>
                </c:pt>
                <c:pt idx="7">
                  <c:v>10.3995896026021</c:v>
                </c:pt>
                <c:pt idx="8">
                  <c:v>9.8834049846320067</c:v>
                </c:pt>
                <c:pt idx="9">
                  <c:v>11.70324725763491</c:v>
                </c:pt>
                <c:pt idx="10">
                  <c:v>10.92870174000765</c:v>
                </c:pt>
                <c:pt idx="11">
                  <c:v>12.020567194232219</c:v>
                </c:pt>
                <c:pt idx="12">
                  <c:v>11.47463962676111</c:v>
                </c:pt>
              </c:numCache>
            </c:numRef>
          </c:val>
          <c:smooth val="0"/>
        </c:ser>
        <c:ser>
          <c:idx val="2"/>
          <c:order val="2"/>
          <c:tx>
            <c:strRef>
              <c:f>Tables!$L$459</c:f>
              <c:strCache>
                <c:ptCount val="1"/>
                <c:pt idx="0">
                  <c:v>Unemployed – total; not attending full-time education </c:v>
                </c:pt>
              </c:strCache>
            </c:strRef>
          </c:tx>
          <c:cat>
            <c:numRef>
              <c:f>Tables!$I$460:$I$472</c:f>
              <c:numCache>
                <c:formatCode>0</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Tables!$L$460:$L$472</c:f>
              <c:numCache>
                <c:formatCode>0.0;\-0.0;0.0;@</c:formatCode>
                <c:ptCount val="13"/>
                <c:pt idx="0">
                  <c:v>6.6746285844649433</c:v>
                </c:pt>
                <c:pt idx="1">
                  <c:v>7.42124466894757</c:v>
                </c:pt>
                <c:pt idx="2">
                  <c:v>5.9799402728127502</c:v>
                </c:pt>
                <c:pt idx="3">
                  <c:v>6.3202052978269556</c:v>
                </c:pt>
                <c:pt idx="4">
                  <c:v>4.8542372983385356</c:v>
                </c:pt>
                <c:pt idx="5">
                  <c:v>4.7687125113448303</c:v>
                </c:pt>
                <c:pt idx="6">
                  <c:v>4.2966856236648834</c:v>
                </c:pt>
                <c:pt idx="7">
                  <c:v>3.5335904122598421</c:v>
                </c:pt>
                <c:pt idx="8">
                  <c:v>3.8637734515644202</c:v>
                </c:pt>
                <c:pt idx="9">
                  <c:v>5.0753483239673409</c:v>
                </c:pt>
                <c:pt idx="10">
                  <c:v>4.7421398098411967</c:v>
                </c:pt>
                <c:pt idx="11">
                  <c:v>5.3356430958801537</c:v>
                </c:pt>
                <c:pt idx="12">
                  <c:v>5.1627224977011634</c:v>
                </c:pt>
              </c:numCache>
            </c:numRef>
          </c:val>
          <c:smooth val="0"/>
        </c:ser>
        <c:dLbls>
          <c:showLegendKey val="0"/>
          <c:showVal val="0"/>
          <c:showCatName val="0"/>
          <c:showSerName val="0"/>
          <c:showPercent val="0"/>
          <c:showBubbleSize val="0"/>
        </c:dLbls>
        <c:marker val="1"/>
        <c:smooth val="0"/>
        <c:axId val="201953664"/>
        <c:axId val="201955200"/>
      </c:lineChart>
      <c:catAx>
        <c:axId val="201953664"/>
        <c:scaling>
          <c:orientation val="minMax"/>
        </c:scaling>
        <c:delete val="0"/>
        <c:axPos val="b"/>
        <c:numFmt formatCode="0" sourceLinked="1"/>
        <c:majorTickMark val="out"/>
        <c:minorTickMark val="none"/>
        <c:tickLblPos val="nextTo"/>
        <c:txPr>
          <a:bodyPr/>
          <a:lstStyle/>
          <a:p>
            <a:pPr>
              <a:defRPr sz="800"/>
            </a:pPr>
            <a:endParaRPr lang="en-US"/>
          </a:p>
        </c:txPr>
        <c:crossAx val="201955200"/>
        <c:crosses val="autoZero"/>
        <c:auto val="1"/>
        <c:lblAlgn val="ctr"/>
        <c:lblOffset val="100"/>
        <c:noMultiLvlLbl val="0"/>
      </c:catAx>
      <c:valAx>
        <c:axId val="201955200"/>
        <c:scaling>
          <c:orientation val="minMax"/>
        </c:scaling>
        <c:delete val="0"/>
        <c:axPos val="l"/>
        <c:title>
          <c:tx>
            <c:rich>
              <a:bodyPr rot="-5400000" vert="horz"/>
              <a:lstStyle/>
              <a:p>
                <a:pPr>
                  <a:defRPr sz="800"/>
                </a:pPr>
                <a:r>
                  <a:rPr lang="en-AU" sz="800"/>
                  <a:t>Percentage</a:t>
                </a:r>
              </a:p>
            </c:rich>
          </c:tx>
          <c:overlay val="0"/>
        </c:title>
        <c:numFmt formatCode="0" sourceLinked="0"/>
        <c:majorTickMark val="out"/>
        <c:minorTickMark val="none"/>
        <c:tickLblPos val="nextTo"/>
        <c:crossAx val="201953664"/>
        <c:crosses val="autoZero"/>
        <c:crossBetween val="between"/>
      </c:valAx>
    </c:plotArea>
    <c:legend>
      <c:legendPos val="r"/>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Tables!$B$491:$B$492</c:f>
              <c:strCache>
                <c:ptCount val="1"/>
                <c:pt idx="0">
                  <c:v>University</c:v>
                </c:pt>
              </c:strCache>
            </c:strRef>
          </c:tx>
          <c:invertIfNegative val="0"/>
          <c:cat>
            <c:strRef>
              <c:f>Tables!$A$493:$A$497</c:f>
              <c:strCache>
                <c:ptCount val="5"/>
                <c:pt idx="0">
                  <c:v>Diplomas and above</c:v>
                </c:pt>
                <c:pt idx="1">
                  <c:v>Certificate IV</c:v>
                </c:pt>
                <c:pt idx="2">
                  <c:v>Certificate III</c:v>
                </c:pt>
                <c:pt idx="3">
                  <c:v>Certificate II</c:v>
                </c:pt>
                <c:pt idx="4">
                  <c:v>Certificate I</c:v>
                </c:pt>
              </c:strCache>
            </c:strRef>
          </c:cat>
          <c:val>
            <c:numRef>
              <c:f>Tables!$B$493:$B$497</c:f>
              <c:numCache>
                <c:formatCode>0</c:formatCode>
                <c:ptCount val="5"/>
                <c:pt idx="0">
                  <c:v>22</c:v>
                </c:pt>
                <c:pt idx="1">
                  <c:v>17</c:v>
                </c:pt>
                <c:pt idx="2">
                  <c:v>8</c:v>
                </c:pt>
                <c:pt idx="3">
                  <c:v>6</c:v>
                </c:pt>
                <c:pt idx="4">
                  <c:v>2</c:v>
                </c:pt>
              </c:numCache>
            </c:numRef>
          </c:val>
        </c:ser>
        <c:ser>
          <c:idx val="1"/>
          <c:order val="1"/>
          <c:tx>
            <c:strRef>
              <c:f>Tables!$C$491:$C$492</c:f>
              <c:strCache>
                <c:ptCount val="1"/>
                <c:pt idx="0">
                  <c:v>TAFE</c:v>
                </c:pt>
              </c:strCache>
            </c:strRef>
          </c:tx>
          <c:invertIfNegative val="0"/>
          <c:cat>
            <c:strRef>
              <c:f>Tables!$A$493:$A$497</c:f>
              <c:strCache>
                <c:ptCount val="5"/>
                <c:pt idx="0">
                  <c:v>Diplomas and above</c:v>
                </c:pt>
                <c:pt idx="1">
                  <c:v>Certificate IV</c:v>
                </c:pt>
                <c:pt idx="2">
                  <c:v>Certificate III</c:v>
                </c:pt>
                <c:pt idx="3">
                  <c:v>Certificate II</c:v>
                </c:pt>
                <c:pt idx="4">
                  <c:v>Certificate I</c:v>
                </c:pt>
              </c:strCache>
            </c:strRef>
          </c:cat>
          <c:val>
            <c:numRef>
              <c:f>Tables!$C$493:$C$497</c:f>
              <c:numCache>
                <c:formatCode>0</c:formatCode>
                <c:ptCount val="5"/>
                <c:pt idx="0">
                  <c:v>19</c:v>
                </c:pt>
                <c:pt idx="1">
                  <c:v>29</c:v>
                </c:pt>
                <c:pt idx="2">
                  <c:v>20</c:v>
                </c:pt>
                <c:pt idx="3">
                  <c:v>25</c:v>
                </c:pt>
                <c:pt idx="4">
                  <c:v>19</c:v>
                </c:pt>
              </c:numCache>
            </c:numRef>
          </c:val>
        </c:ser>
        <c:ser>
          <c:idx val="2"/>
          <c:order val="2"/>
          <c:tx>
            <c:strRef>
              <c:f>Tables!$D$491:$D$492</c:f>
              <c:strCache>
                <c:ptCount val="1"/>
                <c:pt idx="0">
                  <c:v>Other</c:v>
                </c:pt>
              </c:strCache>
            </c:strRef>
          </c:tx>
          <c:invertIfNegative val="0"/>
          <c:cat>
            <c:strRef>
              <c:f>Tables!$A$493:$A$497</c:f>
              <c:strCache>
                <c:ptCount val="5"/>
                <c:pt idx="0">
                  <c:v>Diplomas and above</c:v>
                </c:pt>
                <c:pt idx="1">
                  <c:v>Certificate IV</c:v>
                </c:pt>
                <c:pt idx="2">
                  <c:v>Certificate III</c:v>
                </c:pt>
                <c:pt idx="3">
                  <c:v>Certificate II</c:v>
                </c:pt>
                <c:pt idx="4">
                  <c:v>Certificate I</c:v>
                </c:pt>
              </c:strCache>
            </c:strRef>
          </c:cat>
          <c:val>
            <c:numRef>
              <c:f>Tables!$D$493:$D$497</c:f>
              <c:numCache>
                <c:formatCode>0</c:formatCode>
                <c:ptCount val="5"/>
                <c:pt idx="0">
                  <c:v>5</c:v>
                </c:pt>
                <c:pt idx="1">
                  <c:v>5</c:v>
                </c:pt>
                <c:pt idx="2">
                  <c:v>9</c:v>
                </c:pt>
                <c:pt idx="3">
                  <c:v>12</c:v>
                </c:pt>
                <c:pt idx="4">
                  <c:v>13</c:v>
                </c:pt>
              </c:numCache>
            </c:numRef>
          </c:val>
        </c:ser>
        <c:dLbls>
          <c:showLegendKey val="0"/>
          <c:showVal val="0"/>
          <c:showCatName val="0"/>
          <c:showSerName val="0"/>
          <c:showPercent val="0"/>
          <c:showBubbleSize val="0"/>
        </c:dLbls>
        <c:gapWidth val="150"/>
        <c:axId val="202128768"/>
        <c:axId val="202130560"/>
      </c:barChart>
      <c:catAx>
        <c:axId val="202128768"/>
        <c:scaling>
          <c:orientation val="minMax"/>
        </c:scaling>
        <c:delete val="0"/>
        <c:axPos val="b"/>
        <c:majorTickMark val="out"/>
        <c:minorTickMark val="none"/>
        <c:tickLblPos val="nextTo"/>
        <c:crossAx val="202130560"/>
        <c:crosses val="autoZero"/>
        <c:auto val="1"/>
        <c:lblAlgn val="ctr"/>
        <c:lblOffset val="100"/>
        <c:noMultiLvlLbl val="0"/>
      </c:catAx>
      <c:valAx>
        <c:axId val="202130560"/>
        <c:scaling>
          <c:orientation val="minMax"/>
          <c:max val="30"/>
        </c:scaling>
        <c:delete val="0"/>
        <c:axPos val="l"/>
        <c:title>
          <c:tx>
            <c:rich>
              <a:bodyPr rot="-5400000" vert="horz"/>
              <a:lstStyle/>
              <a:p>
                <a:pPr>
                  <a:defRPr/>
                </a:pPr>
                <a:r>
                  <a:rPr lang="en-AU"/>
                  <a:t>Percentage</a:t>
                </a:r>
              </a:p>
            </c:rich>
          </c:tx>
          <c:overlay val="0"/>
        </c:title>
        <c:numFmt formatCode="0" sourceLinked="1"/>
        <c:majorTickMark val="out"/>
        <c:minorTickMark val="none"/>
        <c:tickLblPos val="nextTo"/>
        <c:crossAx val="202128768"/>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Tables!$B$505:$B$506</c:f>
              <c:strCache>
                <c:ptCount val="1"/>
                <c:pt idx="0">
                  <c:v>University</c:v>
                </c:pt>
              </c:strCache>
            </c:strRef>
          </c:tx>
          <c:invertIfNegative val="0"/>
          <c:cat>
            <c:strRef>
              <c:f>Tables!$A$507:$A$511</c:f>
              <c:strCache>
                <c:ptCount val="5"/>
                <c:pt idx="0">
                  <c:v>Diplomas and above</c:v>
                </c:pt>
                <c:pt idx="1">
                  <c:v>Certificate IV</c:v>
                </c:pt>
                <c:pt idx="2">
                  <c:v>Certificate III</c:v>
                </c:pt>
                <c:pt idx="3">
                  <c:v>Certificate II</c:v>
                </c:pt>
                <c:pt idx="4">
                  <c:v>Certificate I</c:v>
                </c:pt>
              </c:strCache>
            </c:strRef>
          </c:cat>
          <c:val>
            <c:numRef>
              <c:f>Tables!$B$507:$B$511</c:f>
              <c:numCache>
                <c:formatCode>0</c:formatCode>
                <c:ptCount val="5"/>
                <c:pt idx="0">
                  <c:v>24</c:v>
                </c:pt>
                <c:pt idx="1">
                  <c:v>12</c:v>
                </c:pt>
                <c:pt idx="2">
                  <c:v>7</c:v>
                </c:pt>
                <c:pt idx="3">
                  <c:v>7</c:v>
                </c:pt>
                <c:pt idx="4">
                  <c:v>6</c:v>
                </c:pt>
              </c:numCache>
            </c:numRef>
          </c:val>
        </c:ser>
        <c:ser>
          <c:idx val="1"/>
          <c:order val="1"/>
          <c:tx>
            <c:strRef>
              <c:f>Tables!$C$505:$C$506</c:f>
              <c:strCache>
                <c:ptCount val="1"/>
                <c:pt idx="0">
                  <c:v>TAFE</c:v>
                </c:pt>
              </c:strCache>
            </c:strRef>
          </c:tx>
          <c:invertIfNegative val="0"/>
          <c:cat>
            <c:strRef>
              <c:f>Tables!$A$507:$A$511</c:f>
              <c:strCache>
                <c:ptCount val="5"/>
                <c:pt idx="0">
                  <c:v>Diplomas and above</c:v>
                </c:pt>
                <c:pt idx="1">
                  <c:v>Certificate IV</c:v>
                </c:pt>
                <c:pt idx="2">
                  <c:v>Certificate III</c:v>
                </c:pt>
                <c:pt idx="3">
                  <c:v>Certificate II</c:v>
                </c:pt>
                <c:pt idx="4">
                  <c:v>Certificate I</c:v>
                </c:pt>
              </c:strCache>
            </c:strRef>
          </c:cat>
          <c:val>
            <c:numRef>
              <c:f>Tables!$C$507:$C$511</c:f>
              <c:numCache>
                <c:formatCode>0</c:formatCode>
                <c:ptCount val="5"/>
                <c:pt idx="0">
                  <c:v>13</c:v>
                </c:pt>
                <c:pt idx="1">
                  <c:v>21</c:v>
                </c:pt>
                <c:pt idx="2">
                  <c:v>15</c:v>
                </c:pt>
                <c:pt idx="3">
                  <c:v>18</c:v>
                </c:pt>
                <c:pt idx="4">
                  <c:v>16</c:v>
                </c:pt>
              </c:numCache>
            </c:numRef>
          </c:val>
        </c:ser>
        <c:ser>
          <c:idx val="2"/>
          <c:order val="2"/>
          <c:tx>
            <c:strRef>
              <c:f>Tables!$D$505:$D$506</c:f>
              <c:strCache>
                <c:ptCount val="1"/>
                <c:pt idx="0">
                  <c:v>Other</c:v>
                </c:pt>
              </c:strCache>
            </c:strRef>
          </c:tx>
          <c:invertIfNegative val="0"/>
          <c:cat>
            <c:strRef>
              <c:f>Tables!$A$507:$A$511</c:f>
              <c:strCache>
                <c:ptCount val="5"/>
                <c:pt idx="0">
                  <c:v>Diplomas and above</c:v>
                </c:pt>
                <c:pt idx="1">
                  <c:v>Certificate IV</c:v>
                </c:pt>
                <c:pt idx="2">
                  <c:v>Certificate III</c:v>
                </c:pt>
                <c:pt idx="3">
                  <c:v>Certificate II</c:v>
                </c:pt>
                <c:pt idx="4">
                  <c:v>Certificate I</c:v>
                </c:pt>
              </c:strCache>
            </c:strRef>
          </c:cat>
          <c:val>
            <c:numRef>
              <c:f>Tables!$D$507:$D$511</c:f>
              <c:numCache>
                <c:formatCode>0</c:formatCode>
                <c:ptCount val="5"/>
                <c:pt idx="0">
                  <c:v>4</c:v>
                </c:pt>
                <c:pt idx="1">
                  <c:v>6</c:v>
                </c:pt>
                <c:pt idx="2">
                  <c:v>7</c:v>
                </c:pt>
                <c:pt idx="3">
                  <c:v>9</c:v>
                </c:pt>
                <c:pt idx="4">
                  <c:v>10</c:v>
                </c:pt>
              </c:numCache>
            </c:numRef>
          </c:val>
        </c:ser>
        <c:dLbls>
          <c:showLegendKey val="0"/>
          <c:showVal val="0"/>
          <c:showCatName val="0"/>
          <c:showSerName val="0"/>
          <c:showPercent val="0"/>
          <c:showBubbleSize val="0"/>
        </c:dLbls>
        <c:gapWidth val="150"/>
        <c:axId val="202161152"/>
        <c:axId val="202162944"/>
      </c:barChart>
      <c:catAx>
        <c:axId val="202161152"/>
        <c:scaling>
          <c:orientation val="minMax"/>
        </c:scaling>
        <c:delete val="0"/>
        <c:axPos val="b"/>
        <c:majorTickMark val="out"/>
        <c:minorTickMark val="none"/>
        <c:tickLblPos val="nextTo"/>
        <c:crossAx val="202162944"/>
        <c:crosses val="autoZero"/>
        <c:auto val="1"/>
        <c:lblAlgn val="ctr"/>
        <c:lblOffset val="100"/>
        <c:noMultiLvlLbl val="0"/>
      </c:catAx>
      <c:valAx>
        <c:axId val="202162944"/>
        <c:scaling>
          <c:orientation val="minMax"/>
          <c:max val="25"/>
        </c:scaling>
        <c:delete val="0"/>
        <c:axPos val="l"/>
        <c:title>
          <c:tx>
            <c:rich>
              <a:bodyPr rot="-5400000" vert="horz"/>
              <a:lstStyle/>
              <a:p>
                <a:pPr>
                  <a:defRPr/>
                </a:pPr>
                <a:r>
                  <a:rPr lang="en-AU"/>
                  <a:t>Percentage</a:t>
                </a:r>
              </a:p>
            </c:rich>
          </c:tx>
          <c:overlay val="0"/>
        </c:title>
        <c:numFmt formatCode="0" sourceLinked="1"/>
        <c:majorTickMark val="out"/>
        <c:minorTickMark val="none"/>
        <c:tickLblPos val="nextTo"/>
        <c:crossAx val="2021611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'[9]NEA indicator 10 by SES'!$A$3</c:f>
              <c:strCache>
                <c:ptCount val="1"/>
                <c:pt idx="0">
                  <c:v>Quintile 1 - most disadvantaged</c:v>
                </c:pt>
              </c:strCache>
            </c:strRef>
          </c:tx>
          <c:errBars>
            <c:errDir val="y"/>
            <c:errBarType val="both"/>
            <c:errValType val="cust"/>
            <c:noEndCap val="0"/>
            <c:plus>
              <c:numRef>
                <c:f>'[9]NEA indicator 10 by SES'!$H$3:$J$3</c:f>
                <c:numCache>
                  <c:formatCode>General</c:formatCode>
                  <c:ptCount val="3"/>
                  <c:pt idx="0">
                    <c:v>4.2</c:v>
                  </c:pt>
                  <c:pt idx="1">
                    <c:v>5</c:v>
                  </c:pt>
                  <c:pt idx="2">
                    <c:v>3</c:v>
                  </c:pt>
                </c:numCache>
              </c:numRef>
            </c:plus>
            <c:minus>
              <c:numRef>
                <c:f>'[9]NEA indicator 10 by SES'!$H$3:$J$3</c:f>
                <c:numCache>
                  <c:formatCode>General</c:formatCode>
                  <c:ptCount val="3"/>
                  <c:pt idx="0">
                    <c:v>4.2</c:v>
                  </c:pt>
                  <c:pt idx="1">
                    <c:v>5</c:v>
                  </c:pt>
                  <c:pt idx="2">
                    <c:v>3</c:v>
                  </c:pt>
                </c:numCache>
              </c:numRef>
            </c:minus>
          </c:errBars>
          <c:cat>
            <c:numRef>
              <c:f>'[9]NEA indicator 10 by SES'!$B$2:$D$2</c:f>
              <c:numCache>
                <c:formatCode>General</c:formatCode>
                <c:ptCount val="3"/>
                <c:pt idx="0">
                  <c:v>2008</c:v>
                </c:pt>
                <c:pt idx="1">
                  <c:v>2009</c:v>
                </c:pt>
                <c:pt idx="2">
                  <c:v>2010</c:v>
                </c:pt>
              </c:numCache>
            </c:numRef>
          </c:cat>
          <c:val>
            <c:numRef>
              <c:f>'[9]NEA indicator 10 by SES'!$B$3:$D$3</c:f>
              <c:numCache>
                <c:formatCode>General</c:formatCode>
                <c:ptCount val="3"/>
                <c:pt idx="0">
                  <c:v>71</c:v>
                </c:pt>
                <c:pt idx="1">
                  <c:v>62.3</c:v>
                </c:pt>
                <c:pt idx="2">
                  <c:v>59.5</c:v>
                </c:pt>
              </c:numCache>
            </c:numRef>
          </c:val>
          <c:smooth val="0"/>
        </c:ser>
        <c:ser>
          <c:idx val="1"/>
          <c:order val="1"/>
          <c:tx>
            <c:strRef>
              <c:f>'[9]NEA indicator 10 by SES'!$A$4</c:f>
              <c:strCache>
                <c:ptCount val="1"/>
                <c:pt idx="0">
                  <c:v>Quintile 2</c:v>
                </c:pt>
              </c:strCache>
            </c:strRef>
          </c:tx>
          <c:errBars>
            <c:errDir val="y"/>
            <c:errBarType val="both"/>
            <c:errValType val="cust"/>
            <c:noEndCap val="0"/>
            <c:plus>
              <c:numRef>
                <c:f>'[9]NEA indicator 10 by SES'!$H$4:$J$4</c:f>
                <c:numCache>
                  <c:formatCode>General</c:formatCode>
                  <c:ptCount val="3"/>
                  <c:pt idx="0">
                    <c:v>3.2</c:v>
                  </c:pt>
                  <c:pt idx="1">
                    <c:v>5.6</c:v>
                  </c:pt>
                  <c:pt idx="2">
                    <c:v>3.5</c:v>
                  </c:pt>
                </c:numCache>
              </c:numRef>
            </c:plus>
            <c:minus>
              <c:numRef>
                <c:f>'[9]NEA indicator 10 by SES'!$H$4:$J$4</c:f>
                <c:numCache>
                  <c:formatCode>General</c:formatCode>
                  <c:ptCount val="3"/>
                  <c:pt idx="0">
                    <c:v>3.2</c:v>
                  </c:pt>
                  <c:pt idx="1">
                    <c:v>5.6</c:v>
                  </c:pt>
                  <c:pt idx="2">
                    <c:v>3.5</c:v>
                  </c:pt>
                </c:numCache>
              </c:numRef>
            </c:minus>
          </c:errBars>
          <c:cat>
            <c:numRef>
              <c:f>'[9]NEA indicator 10 by SES'!$B$2:$D$2</c:f>
              <c:numCache>
                <c:formatCode>General</c:formatCode>
                <c:ptCount val="3"/>
                <c:pt idx="0">
                  <c:v>2008</c:v>
                </c:pt>
                <c:pt idx="1">
                  <c:v>2009</c:v>
                </c:pt>
                <c:pt idx="2">
                  <c:v>2010</c:v>
                </c:pt>
              </c:numCache>
            </c:numRef>
          </c:cat>
          <c:val>
            <c:numRef>
              <c:f>'[9]NEA indicator 10 by SES'!$B$4:$D$4</c:f>
              <c:numCache>
                <c:formatCode>General</c:formatCode>
                <c:ptCount val="3"/>
                <c:pt idx="0">
                  <c:v>76.7</c:v>
                </c:pt>
                <c:pt idx="1">
                  <c:v>71.099999999999994</c:v>
                </c:pt>
                <c:pt idx="2">
                  <c:v>70</c:v>
                </c:pt>
              </c:numCache>
            </c:numRef>
          </c:val>
          <c:smooth val="0"/>
        </c:ser>
        <c:ser>
          <c:idx val="2"/>
          <c:order val="2"/>
          <c:tx>
            <c:strRef>
              <c:f>'[9]NEA indicator 10 by SES'!$A$5</c:f>
              <c:strCache>
                <c:ptCount val="1"/>
                <c:pt idx="0">
                  <c:v>Quintile 3</c:v>
                </c:pt>
              </c:strCache>
            </c:strRef>
          </c:tx>
          <c:errBars>
            <c:errDir val="y"/>
            <c:errBarType val="both"/>
            <c:errValType val="cust"/>
            <c:noEndCap val="0"/>
            <c:plus>
              <c:numRef>
                <c:f>'[9]NEA indicator 10 by SES'!$H$5:$J$5</c:f>
                <c:numCache>
                  <c:formatCode>General</c:formatCode>
                  <c:ptCount val="3"/>
                  <c:pt idx="0">
                    <c:v>2.4</c:v>
                  </c:pt>
                  <c:pt idx="1">
                    <c:v>3.2</c:v>
                  </c:pt>
                  <c:pt idx="2">
                    <c:v>3</c:v>
                  </c:pt>
                </c:numCache>
              </c:numRef>
            </c:plus>
            <c:minus>
              <c:numRef>
                <c:f>'[9]NEA indicator 10 by SES'!$H$5:$J$5</c:f>
                <c:numCache>
                  <c:formatCode>General</c:formatCode>
                  <c:ptCount val="3"/>
                  <c:pt idx="0">
                    <c:v>2.4</c:v>
                  </c:pt>
                  <c:pt idx="1">
                    <c:v>3.2</c:v>
                  </c:pt>
                  <c:pt idx="2">
                    <c:v>3</c:v>
                  </c:pt>
                </c:numCache>
              </c:numRef>
            </c:minus>
          </c:errBars>
          <c:cat>
            <c:numRef>
              <c:f>'[9]NEA indicator 10 by SES'!$B$2:$D$2</c:f>
              <c:numCache>
                <c:formatCode>General</c:formatCode>
                <c:ptCount val="3"/>
                <c:pt idx="0">
                  <c:v>2008</c:v>
                </c:pt>
                <c:pt idx="1">
                  <c:v>2009</c:v>
                </c:pt>
                <c:pt idx="2">
                  <c:v>2010</c:v>
                </c:pt>
              </c:numCache>
            </c:numRef>
          </c:cat>
          <c:val>
            <c:numRef>
              <c:f>'[9]NEA indicator 10 by SES'!$B$5:$D$5</c:f>
              <c:numCache>
                <c:formatCode>General</c:formatCode>
                <c:ptCount val="3"/>
                <c:pt idx="0">
                  <c:v>82.5</c:v>
                </c:pt>
                <c:pt idx="1">
                  <c:v>73.400000000000006</c:v>
                </c:pt>
                <c:pt idx="2">
                  <c:v>74.400000000000006</c:v>
                </c:pt>
              </c:numCache>
            </c:numRef>
          </c:val>
          <c:smooth val="0"/>
        </c:ser>
        <c:ser>
          <c:idx val="3"/>
          <c:order val="3"/>
          <c:tx>
            <c:strRef>
              <c:f>'[9]NEA indicator 10 by SES'!$A$6</c:f>
              <c:strCache>
                <c:ptCount val="1"/>
                <c:pt idx="0">
                  <c:v>Quintile 4</c:v>
                </c:pt>
              </c:strCache>
            </c:strRef>
          </c:tx>
          <c:errBars>
            <c:errDir val="y"/>
            <c:errBarType val="both"/>
            <c:errValType val="cust"/>
            <c:noEndCap val="0"/>
            <c:plus>
              <c:numRef>
                <c:f>'[9]NEA indicator 10 by SES'!$H$6:$J$6</c:f>
                <c:numCache>
                  <c:formatCode>General</c:formatCode>
                  <c:ptCount val="3"/>
                  <c:pt idx="0">
                    <c:v>1.8</c:v>
                  </c:pt>
                  <c:pt idx="1">
                    <c:v>3.5</c:v>
                  </c:pt>
                  <c:pt idx="2">
                    <c:v>3</c:v>
                  </c:pt>
                </c:numCache>
              </c:numRef>
            </c:plus>
            <c:minus>
              <c:numRef>
                <c:f>'[9]NEA indicator 10 by SES'!$H$6:$J$6</c:f>
                <c:numCache>
                  <c:formatCode>General</c:formatCode>
                  <c:ptCount val="3"/>
                  <c:pt idx="0">
                    <c:v>1.8</c:v>
                  </c:pt>
                  <c:pt idx="1">
                    <c:v>3.5</c:v>
                  </c:pt>
                  <c:pt idx="2">
                    <c:v>3</c:v>
                  </c:pt>
                </c:numCache>
              </c:numRef>
            </c:minus>
          </c:errBars>
          <c:cat>
            <c:numRef>
              <c:f>'[9]NEA indicator 10 by SES'!$B$2:$D$2</c:f>
              <c:numCache>
                <c:formatCode>General</c:formatCode>
                <c:ptCount val="3"/>
                <c:pt idx="0">
                  <c:v>2008</c:v>
                </c:pt>
                <c:pt idx="1">
                  <c:v>2009</c:v>
                </c:pt>
                <c:pt idx="2">
                  <c:v>2010</c:v>
                </c:pt>
              </c:numCache>
            </c:numRef>
          </c:cat>
          <c:val>
            <c:numRef>
              <c:f>'[9]NEA indicator 10 by SES'!$B$6:$D$6</c:f>
              <c:numCache>
                <c:formatCode>General</c:formatCode>
                <c:ptCount val="3"/>
                <c:pt idx="0">
                  <c:v>81.400000000000006</c:v>
                </c:pt>
                <c:pt idx="1">
                  <c:v>75.7</c:v>
                </c:pt>
                <c:pt idx="2">
                  <c:v>76.8</c:v>
                </c:pt>
              </c:numCache>
            </c:numRef>
          </c:val>
          <c:smooth val="0"/>
        </c:ser>
        <c:ser>
          <c:idx val="4"/>
          <c:order val="4"/>
          <c:tx>
            <c:strRef>
              <c:f>'[9]NEA indicator 10 by SES'!$A$7</c:f>
              <c:strCache>
                <c:ptCount val="1"/>
                <c:pt idx="0">
                  <c:v>Quintile 5 - least disadvantaged</c:v>
                </c:pt>
              </c:strCache>
            </c:strRef>
          </c:tx>
          <c:errBars>
            <c:errDir val="y"/>
            <c:errBarType val="both"/>
            <c:errValType val="cust"/>
            <c:noEndCap val="0"/>
            <c:plus>
              <c:numRef>
                <c:f>'[9]NEA indicator 10 by SES'!$H$7:$J$7</c:f>
                <c:numCache>
                  <c:formatCode>General</c:formatCode>
                  <c:ptCount val="3"/>
                  <c:pt idx="0">
                    <c:v>2.8</c:v>
                  </c:pt>
                  <c:pt idx="1">
                    <c:v>2.6</c:v>
                  </c:pt>
                  <c:pt idx="2">
                    <c:v>2.5</c:v>
                  </c:pt>
                </c:numCache>
              </c:numRef>
            </c:plus>
            <c:minus>
              <c:numRef>
                <c:f>'[9]NEA indicator 10 by SES'!$H$7:$J$7</c:f>
                <c:numCache>
                  <c:formatCode>General</c:formatCode>
                  <c:ptCount val="3"/>
                  <c:pt idx="0">
                    <c:v>2.8</c:v>
                  </c:pt>
                  <c:pt idx="1">
                    <c:v>2.6</c:v>
                  </c:pt>
                  <c:pt idx="2">
                    <c:v>2.5</c:v>
                  </c:pt>
                </c:numCache>
              </c:numRef>
            </c:minus>
          </c:errBars>
          <c:cat>
            <c:numRef>
              <c:f>'[9]NEA indicator 10 by SES'!$B$2:$D$2</c:f>
              <c:numCache>
                <c:formatCode>General</c:formatCode>
                <c:ptCount val="3"/>
                <c:pt idx="0">
                  <c:v>2008</c:v>
                </c:pt>
                <c:pt idx="1">
                  <c:v>2009</c:v>
                </c:pt>
                <c:pt idx="2">
                  <c:v>2010</c:v>
                </c:pt>
              </c:numCache>
            </c:numRef>
          </c:cat>
          <c:val>
            <c:numRef>
              <c:f>'[9]NEA indicator 10 by SES'!$B$7:$D$7</c:f>
              <c:numCache>
                <c:formatCode>General</c:formatCode>
                <c:ptCount val="3"/>
                <c:pt idx="0">
                  <c:v>87.7</c:v>
                </c:pt>
                <c:pt idx="1">
                  <c:v>79.599999999999994</c:v>
                </c:pt>
                <c:pt idx="2">
                  <c:v>79.3</c:v>
                </c:pt>
              </c:numCache>
            </c:numRef>
          </c:val>
          <c:smooth val="0"/>
        </c:ser>
        <c:dLbls>
          <c:showLegendKey val="0"/>
          <c:showVal val="0"/>
          <c:showCatName val="0"/>
          <c:showSerName val="0"/>
          <c:showPercent val="0"/>
          <c:showBubbleSize val="0"/>
        </c:dLbls>
        <c:marker val="1"/>
        <c:smooth val="0"/>
        <c:axId val="202078464"/>
        <c:axId val="202084352"/>
      </c:lineChart>
      <c:catAx>
        <c:axId val="202078464"/>
        <c:scaling>
          <c:orientation val="minMax"/>
        </c:scaling>
        <c:delete val="0"/>
        <c:axPos val="b"/>
        <c:numFmt formatCode="General" sourceLinked="1"/>
        <c:majorTickMark val="out"/>
        <c:minorTickMark val="none"/>
        <c:tickLblPos val="nextTo"/>
        <c:crossAx val="202084352"/>
        <c:crosses val="autoZero"/>
        <c:auto val="1"/>
        <c:lblAlgn val="ctr"/>
        <c:lblOffset val="100"/>
        <c:noMultiLvlLbl val="0"/>
      </c:catAx>
      <c:valAx>
        <c:axId val="202084352"/>
        <c:scaling>
          <c:orientation val="minMax"/>
          <c:max val="100"/>
          <c:min val="50"/>
        </c:scaling>
        <c:delete val="0"/>
        <c:axPos val="l"/>
        <c:title>
          <c:tx>
            <c:rich>
              <a:bodyPr rot="-5400000" vert="horz"/>
              <a:lstStyle/>
              <a:p>
                <a:pPr>
                  <a:defRPr/>
                </a:pPr>
                <a:r>
                  <a:rPr lang="en-AU"/>
                  <a:t>Percentage</a:t>
                </a:r>
              </a:p>
            </c:rich>
          </c:tx>
          <c:overlay val="0"/>
        </c:title>
        <c:numFmt formatCode="General" sourceLinked="1"/>
        <c:majorTickMark val="out"/>
        <c:minorTickMark val="none"/>
        <c:tickLblPos val="nextTo"/>
        <c:crossAx val="202078464"/>
        <c:crosses val="autoZero"/>
        <c:crossBetween val="between"/>
      </c:valAx>
    </c:plotArea>
    <c:legend>
      <c:legendPos val="r"/>
      <c:overlay val="0"/>
    </c:legend>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chemeClr val="accent1"/>
            </a:solidFill>
          </c:spPr>
          <c:invertIfNegative val="0"/>
          <c:dLbls>
            <c:showLegendKey val="0"/>
            <c:showVal val="1"/>
            <c:showCatName val="0"/>
            <c:showSerName val="0"/>
            <c:showPercent val="0"/>
            <c:showBubbleSize val="0"/>
            <c:showLeaderLines val="0"/>
          </c:dLbls>
          <c:cat>
            <c:strRef>
              <c:f>Sheet1!$A$35:$A$39</c:f>
              <c:strCache>
                <c:ptCount val="5"/>
                <c:pt idx="0">
                  <c:v>Our partnership delivers benefits to my organisation</c:v>
                </c:pt>
                <c:pt idx="1">
                  <c:v>Our partnership is contributing to improved educational outcomes for young people</c:v>
                </c:pt>
                <c:pt idx="2">
                  <c:v>Our Partnership Broker was instrumental in establishing the partnership</c:v>
                </c:pt>
                <c:pt idx="3">
                  <c:v>Our Partnership Broker has supported the partnership to achieve our goals</c:v>
                </c:pt>
                <c:pt idx="4">
                  <c:v>Our Partnership Broker provides valuable support</c:v>
                </c:pt>
              </c:strCache>
            </c:strRef>
          </c:cat>
          <c:val>
            <c:numRef>
              <c:f>Sheet1!$B$35:$B$39</c:f>
              <c:numCache>
                <c:formatCode>0%</c:formatCode>
                <c:ptCount val="5"/>
                <c:pt idx="0">
                  <c:v>0.87601078167115898</c:v>
                </c:pt>
                <c:pt idx="1">
                  <c:v>0.90081154192966595</c:v>
                </c:pt>
                <c:pt idx="2">
                  <c:v>0.86899563318777395</c:v>
                </c:pt>
                <c:pt idx="3">
                  <c:v>0.88256549232158998</c:v>
                </c:pt>
                <c:pt idx="4">
                  <c:v>0.89549549549549501</c:v>
                </c:pt>
              </c:numCache>
            </c:numRef>
          </c:val>
        </c:ser>
        <c:dLbls>
          <c:showLegendKey val="0"/>
          <c:showVal val="0"/>
          <c:showCatName val="0"/>
          <c:showSerName val="0"/>
          <c:showPercent val="0"/>
          <c:showBubbleSize val="0"/>
        </c:dLbls>
        <c:gapWidth val="150"/>
        <c:axId val="202091904"/>
        <c:axId val="203621504"/>
      </c:barChart>
      <c:catAx>
        <c:axId val="202091904"/>
        <c:scaling>
          <c:orientation val="minMax"/>
        </c:scaling>
        <c:delete val="0"/>
        <c:axPos val="b"/>
        <c:majorTickMark val="out"/>
        <c:minorTickMark val="none"/>
        <c:tickLblPos val="nextTo"/>
        <c:crossAx val="203621504"/>
        <c:crosses val="autoZero"/>
        <c:auto val="1"/>
        <c:lblAlgn val="ctr"/>
        <c:lblOffset val="100"/>
        <c:noMultiLvlLbl val="0"/>
      </c:catAx>
      <c:valAx>
        <c:axId val="203621504"/>
        <c:scaling>
          <c:orientation val="minMax"/>
        </c:scaling>
        <c:delete val="0"/>
        <c:axPos val="l"/>
        <c:title>
          <c:tx>
            <c:rich>
              <a:bodyPr rot="-5400000" vert="horz"/>
              <a:lstStyle/>
              <a:p>
                <a:pPr>
                  <a:defRPr/>
                </a:pPr>
                <a:r>
                  <a:rPr lang="en-US"/>
                  <a:t>Proportion of Partners that agree or strongly agree</a:t>
                </a:r>
              </a:p>
            </c:rich>
          </c:tx>
          <c:overlay val="0"/>
        </c:title>
        <c:numFmt formatCode="0%" sourceLinked="1"/>
        <c:majorTickMark val="out"/>
        <c:minorTickMark val="none"/>
        <c:tickLblPos val="nextTo"/>
        <c:crossAx val="202091904"/>
        <c:crosses val="autoZero"/>
        <c:crossBetween val="between"/>
      </c:valAx>
    </c:plotArea>
    <c:plotVisOnly val="1"/>
    <c:dispBlanksAs val="gap"/>
    <c:showDLblsOverMax val="0"/>
  </c:chart>
  <c:spPr>
    <a:ln>
      <a:noFill/>
    </a:ln>
  </c:spPr>
  <c:txPr>
    <a:bodyPr/>
    <a:lstStyle/>
    <a:p>
      <a:pPr>
        <a:defRPr>
          <a:ln>
            <a:noFill/>
          </a:ln>
          <a:latin typeface="Arial Narrow"/>
          <a:cs typeface="Arial Narrow"/>
        </a:defRPr>
      </a:pPr>
      <a:endParaRPr lang="en-U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chemeClr val="accent1"/>
            </a:solidFill>
          </c:spPr>
          <c:invertIfNegative val="0"/>
          <c:dLbls>
            <c:showLegendKey val="0"/>
            <c:showVal val="1"/>
            <c:showCatName val="0"/>
            <c:showSerName val="0"/>
            <c:showPercent val="0"/>
            <c:showBubbleSize val="0"/>
            <c:showLeaderLines val="0"/>
          </c:dLbls>
          <c:cat>
            <c:strRef>
              <c:f>'Question 5.2'!$A$4:$A$8</c:f>
              <c:strCache>
                <c:ptCount val="5"/>
                <c:pt idx="0">
                  <c:v>The time, resources and capacity building skills to support partnerships</c:v>
                </c:pt>
                <c:pt idx="1">
                  <c:v>Time taken to develop partnerships that produce outcomes for young people</c:v>
                </c:pt>
                <c:pt idx="2">
                  <c:v>Partnership sustainability once established</c:v>
                </c:pt>
                <c:pt idx="3">
                  <c:v>Lack of awareness and understanding of the PB program among stakeholders</c:v>
                </c:pt>
                <c:pt idx="4">
                  <c:v>Administrative support needs of prospective partners</c:v>
                </c:pt>
              </c:strCache>
            </c:strRef>
          </c:cat>
          <c:val>
            <c:numRef>
              <c:f>'Question 5.2'!$B$4:$B$8</c:f>
              <c:numCache>
                <c:formatCode>0%</c:formatCode>
                <c:ptCount val="5"/>
                <c:pt idx="0">
                  <c:v>0.84782608695652195</c:v>
                </c:pt>
                <c:pt idx="1">
                  <c:v>0.76623376623376604</c:v>
                </c:pt>
                <c:pt idx="2">
                  <c:v>0.74025974025973995</c:v>
                </c:pt>
                <c:pt idx="3">
                  <c:v>0.66666666666666696</c:v>
                </c:pt>
                <c:pt idx="4">
                  <c:v>0.53913043478260902</c:v>
                </c:pt>
              </c:numCache>
            </c:numRef>
          </c:val>
        </c:ser>
        <c:dLbls>
          <c:showLegendKey val="0"/>
          <c:showVal val="0"/>
          <c:showCatName val="0"/>
          <c:showSerName val="0"/>
          <c:showPercent val="0"/>
          <c:showBubbleSize val="0"/>
        </c:dLbls>
        <c:gapWidth val="150"/>
        <c:axId val="203655040"/>
        <c:axId val="203656576"/>
      </c:barChart>
      <c:catAx>
        <c:axId val="203655040"/>
        <c:scaling>
          <c:orientation val="minMax"/>
        </c:scaling>
        <c:delete val="0"/>
        <c:axPos val="b"/>
        <c:majorTickMark val="out"/>
        <c:minorTickMark val="none"/>
        <c:tickLblPos val="nextTo"/>
        <c:crossAx val="203656576"/>
        <c:crosses val="autoZero"/>
        <c:auto val="1"/>
        <c:lblAlgn val="ctr"/>
        <c:lblOffset val="100"/>
        <c:noMultiLvlLbl val="0"/>
      </c:catAx>
      <c:valAx>
        <c:axId val="203656576"/>
        <c:scaling>
          <c:orientation val="minMax"/>
        </c:scaling>
        <c:delete val="0"/>
        <c:axPos val="l"/>
        <c:title>
          <c:tx>
            <c:rich>
              <a:bodyPr rot="-5400000" vert="horz"/>
              <a:lstStyle/>
              <a:p>
                <a:pPr>
                  <a:defRPr/>
                </a:pPr>
                <a:r>
                  <a:rPr lang="en-US"/>
                  <a:t>Proportion of PBs that agree</a:t>
                </a:r>
              </a:p>
            </c:rich>
          </c:tx>
          <c:layout>
            <c:manualLayout>
              <c:xMode val="edge"/>
              <c:yMode val="edge"/>
              <c:x val="2.1380471380471399E-2"/>
              <c:y val="0.16976695906432701"/>
            </c:manualLayout>
          </c:layout>
          <c:overlay val="0"/>
        </c:title>
        <c:numFmt formatCode="0%" sourceLinked="1"/>
        <c:majorTickMark val="out"/>
        <c:minorTickMark val="none"/>
        <c:tickLblPos val="nextTo"/>
        <c:crossAx val="203655040"/>
        <c:crosses val="autoZero"/>
        <c:crossBetween val="between"/>
      </c:valAx>
    </c:plotArea>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to percentage'!$B$12</c:f>
              <c:strCache>
                <c:ptCount val="1"/>
                <c:pt idx="0">
                  <c:v>20 - 24 years</c:v>
                </c:pt>
              </c:strCache>
            </c:strRef>
          </c:tx>
          <c:cat>
            <c:numRef>
              <c:f>'% to percentage'!$C$11:$O$11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 to percentage'!$C$12:$O$12</c:f>
              <c:numCache>
                <c:formatCode>0.0</c:formatCode>
                <c:ptCount val="13"/>
                <c:pt idx="0">
                  <c:v>20.811416449601261</c:v>
                </c:pt>
                <c:pt idx="1">
                  <c:v>21.933573154725359</c:v>
                </c:pt>
                <c:pt idx="2">
                  <c:v>24.88326825667556</c:v>
                </c:pt>
                <c:pt idx="3">
                  <c:v>25.24592864392767</c:v>
                </c:pt>
                <c:pt idx="4">
                  <c:v>25.217704580937522</c:v>
                </c:pt>
                <c:pt idx="5">
                  <c:v>26.087916746678388</c:v>
                </c:pt>
                <c:pt idx="6">
                  <c:v>26.08175439024502</c:v>
                </c:pt>
                <c:pt idx="7">
                  <c:v>26.512590390094221</c:v>
                </c:pt>
                <c:pt idx="8">
                  <c:v>28.435123258882179</c:v>
                </c:pt>
                <c:pt idx="9">
                  <c:v>29.076920899505591</c:v>
                </c:pt>
                <c:pt idx="10">
                  <c:v>29.46904156551787</c:v>
                </c:pt>
                <c:pt idx="11">
                  <c:v>29.185165385873059</c:v>
                </c:pt>
                <c:pt idx="12">
                  <c:v>31.297164907180431</c:v>
                </c:pt>
              </c:numCache>
            </c:numRef>
          </c:val>
          <c:smooth val="0"/>
        </c:ser>
        <c:dLbls>
          <c:showLegendKey val="0"/>
          <c:showVal val="0"/>
          <c:showCatName val="0"/>
          <c:showSerName val="0"/>
          <c:showPercent val="0"/>
          <c:showBubbleSize val="0"/>
        </c:dLbls>
        <c:marker val="1"/>
        <c:smooth val="0"/>
        <c:axId val="196932736"/>
        <c:axId val="196934272"/>
      </c:lineChart>
      <c:catAx>
        <c:axId val="196932736"/>
        <c:scaling>
          <c:orientation val="minMax"/>
        </c:scaling>
        <c:delete val="0"/>
        <c:axPos val="b"/>
        <c:numFmt formatCode="General" sourceLinked="1"/>
        <c:majorTickMark val="out"/>
        <c:minorTickMark val="none"/>
        <c:tickLblPos val="nextTo"/>
        <c:crossAx val="196934272"/>
        <c:crosses val="autoZero"/>
        <c:auto val="1"/>
        <c:lblAlgn val="ctr"/>
        <c:lblOffset val="100"/>
        <c:noMultiLvlLbl val="0"/>
      </c:catAx>
      <c:valAx>
        <c:axId val="196934272"/>
        <c:scaling>
          <c:orientation val="minMax"/>
          <c:max val="32"/>
          <c:min val="20"/>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6932736"/>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47266519088856601"/>
          <c:y val="5.9913873806403298E-2"/>
          <c:w val="0.48053446427391899"/>
          <c:h val="0.66825670382290003"/>
        </c:manualLayout>
      </c:layout>
      <c:barChart>
        <c:barDir val="bar"/>
        <c:grouping val="stacked"/>
        <c:varyColors val="0"/>
        <c:ser>
          <c:idx val="0"/>
          <c:order val="0"/>
          <c:tx>
            <c:strRef>
              <c:f>'Progressive Outcomes by Year'!$G$1</c:f>
              <c:strCache>
                <c:ptCount val="1"/>
                <c:pt idx="0">
                  <c:v>2010</c:v>
                </c:pt>
              </c:strCache>
            </c:strRef>
          </c:tx>
          <c:spPr>
            <a:solidFill>
              <a:schemeClr val="accent1"/>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'Progressive Outcomes by Year'!$F$2:$F$11</c:f>
              <c:strCache>
                <c:ptCount val="10"/>
                <c:pt idx="0">
                  <c:v>Bullying</c:v>
                </c:pt>
                <c:pt idx="1">
                  <c:v>Negative experiences with education and training</c:v>
                </c:pt>
                <c:pt idx="2">
                  <c:v>Unsatable living arrangements</c:v>
                </c:pt>
                <c:pt idx="3">
                  <c:v>Inadequate family support</c:v>
                </c:pt>
                <c:pt idx="4">
                  <c:v>Anger management issues</c:v>
                </c:pt>
                <c:pt idx="5">
                  <c:v>Financial distress</c:v>
                </c:pt>
                <c:pt idx="6">
                  <c:v>Socialisation issues</c:v>
                </c:pt>
                <c:pt idx="7">
                  <c:v>Low literacy and/or numeracy</c:v>
                </c:pt>
                <c:pt idx="8">
                  <c:v>Behavioural problems</c:v>
                </c:pt>
                <c:pt idx="9">
                  <c:v>Low self esteem</c:v>
                </c:pt>
              </c:strCache>
            </c:strRef>
          </c:cat>
          <c:val>
            <c:numRef>
              <c:f>'Progressive Outcomes by Year'!$G$2:$G$11</c:f>
              <c:numCache>
                <c:formatCode>General</c:formatCode>
                <c:ptCount val="10"/>
                <c:pt idx="0">
                  <c:v>1260</c:v>
                </c:pt>
                <c:pt idx="1">
                  <c:v>1678</c:v>
                </c:pt>
                <c:pt idx="2">
                  <c:v>1337</c:v>
                </c:pt>
                <c:pt idx="3">
                  <c:v>1462</c:v>
                </c:pt>
                <c:pt idx="4">
                  <c:v>0</c:v>
                </c:pt>
                <c:pt idx="5">
                  <c:v>2007</c:v>
                </c:pt>
                <c:pt idx="6">
                  <c:v>3111</c:v>
                </c:pt>
                <c:pt idx="7">
                  <c:v>3864</c:v>
                </c:pt>
                <c:pt idx="8">
                  <c:v>3651</c:v>
                </c:pt>
                <c:pt idx="9">
                  <c:v>4456</c:v>
                </c:pt>
              </c:numCache>
            </c:numRef>
          </c:val>
        </c:ser>
        <c:ser>
          <c:idx val="1"/>
          <c:order val="1"/>
          <c:tx>
            <c:strRef>
              <c:f>'Progressive Outcomes by Year'!$H$1</c:f>
              <c:strCache>
                <c:ptCount val="1"/>
                <c:pt idx="0">
                  <c:v>2011</c:v>
                </c:pt>
              </c:strCache>
            </c:strRef>
          </c:tx>
          <c:spPr>
            <a:solidFill>
              <a:schemeClr val="tx1">
                <a:lumMod val="85000"/>
                <a:lumOff val="1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'Progressive Outcomes by Year'!$F$2:$F$11</c:f>
              <c:strCache>
                <c:ptCount val="10"/>
                <c:pt idx="0">
                  <c:v>Bullying</c:v>
                </c:pt>
                <c:pt idx="1">
                  <c:v>Negative experiences with education and training</c:v>
                </c:pt>
                <c:pt idx="2">
                  <c:v>Unsatable living arrangements</c:v>
                </c:pt>
                <c:pt idx="3">
                  <c:v>Inadequate family support</c:v>
                </c:pt>
                <c:pt idx="4">
                  <c:v>Anger management issues</c:v>
                </c:pt>
                <c:pt idx="5">
                  <c:v>Financial distress</c:v>
                </c:pt>
                <c:pt idx="6">
                  <c:v>Socialisation issues</c:v>
                </c:pt>
                <c:pt idx="7">
                  <c:v>Low literacy and/or numeracy</c:v>
                </c:pt>
                <c:pt idx="8">
                  <c:v>Behavioural problems</c:v>
                </c:pt>
                <c:pt idx="9">
                  <c:v>Low self esteem</c:v>
                </c:pt>
              </c:strCache>
            </c:strRef>
          </c:cat>
          <c:val>
            <c:numRef>
              <c:f>'Progressive Outcomes by Year'!$H$2:$H$11</c:f>
              <c:numCache>
                <c:formatCode>General</c:formatCode>
                <c:ptCount val="10"/>
                <c:pt idx="0">
                  <c:v>2311</c:v>
                </c:pt>
                <c:pt idx="1">
                  <c:v>2807</c:v>
                </c:pt>
                <c:pt idx="2">
                  <c:v>2127</c:v>
                </c:pt>
                <c:pt idx="3">
                  <c:v>2384</c:v>
                </c:pt>
                <c:pt idx="4">
                  <c:v>130</c:v>
                </c:pt>
                <c:pt idx="5">
                  <c:v>3490</c:v>
                </c:pt>
                <c:pt idx="6">
                  <c:v>5209</c:v>
                </c:pt>
                <c:pt idx="7">
                  <c:v>5966</c:v>
                </c:pt>
                <c:pt idx="8">
                  <c:v>5619</c:v>
                </c:pt>
                <c:pt idx="9">
                  <c:v>7201</c:v>
                </c:pt>
              </c:numCache>
            </c:numRef>
          </c:val>
        </c:ser>
        <c:ser>
          <c:idx val="2"/>
          <c:order val="2"/>
          <c:tx>
            <c:strRef>
              <c:f>'Progressive Outcomes by Year'!$I$1</c:f>
              <c:strCache>
                <c:ptCount val="1"/>
                <c:pt idx="0">
                  <c:v>2012</c:v>
                </c:pt>
              </c:strCache>
            </c:strRef>
          </c:tx>
          <c:spPr>
            <a:solidFill>
              <a:schemeClr val="bg1">
                <a:lumMod val="5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'Progressive Outcomes by Year'!$F$2:$F$11</c:f>
              <c:strCache>
                <c:ptCount val="10"/>
                <c:pt idx="0">
                  <c:v>Bullying</c:v>
                </c:pt>
                <c:pt idx="1">
                  <c:v>Negative experiences with education and training</c:v>
                </c:pt>
                <c:pt idx="2">
                  <c:v>Unsatable living arrangements</c:v>
                </c:pt>
                <c:pt idx="3">
                  <c:v>Inadequate family support</c:v>
                </c:pt>
                <c:pt idx="4">
                  <c:v>Anger management issues</c:v>
                </c:pt>
                <c:pt idx="5">
                  <c:v>Financial distress</c:v>
                </c:pt>
                <c:pt idx="6">
                  <c:v>Socialisation issues</c:v>
                </c:pt>
                <c:pt idx="7">
                  <c:v>Low literacy and/or numeracy</c:v>
                </c:pt>
                <c:pt idx="8">
                  <c:v>Behavioural problems</c:v>
                </c:pt>
                <c:pt idx="9">
                  <c:v>Low self esteem</c:v>
                </c:pt>
              </c:strCache>
            </c:strRef>
          </c:cat>
          <c:val>
            <c:numRef>
              <c:f>'Progressive Outcomes by Year'!$I$2:$I$11</c:f>
              <c:numCache>
                <c:formatCode>General</c:formatCode>
                <c:ptCount val="10"/>
                <c:pt idx="0">
                  <c:v>868</c:v>
                </c:pt>
                <c:pt idx="1">
                  <c:v>905</c:v>
                </c:pt>
                <c:pt idx="2">
                  <c:v>963</c:v>
                </c:pt>
                <c:pt idx="3">
                  <c:v>1125</c:v>
                </c:pt>
                <c:pt idx="4">
                  <c:v>1215</c:v>
                </c:pt>
                <c:pt idx="5">
                  <c:v>1746</c:v>
                </c:pt>
                <c:pt idx="6">
                  <c:v>1922</c:v>
                </c:pt>
                <c:pt idx="7">
                  <c:v>1971</c:v>
                </c:pt>
                <c:pt idx="8">
                  <c:v>2023</c:v>
                </c:pt>
                <c:pt idx="9">
                  <c:v>3035</c:v>
                </c:pt>
              </c:numCache>
            </c:numRef>
          </c:val>
        </c:ser>
        <c:dLbls>
          <c:showLegendKey val="0"/>
          <c:showVal val="0"/>
          <c:showCatName val="0"/>
          <c:showSerName val="0"/>
          <c:showPercent val="0"/>
          <c:showBubbleSize val="0"/>
        </c:dLbls>
        <c:gapWidth val="150"/>
        <c:overlap val="100"/>
        <c:axId val="203376128"/>
        <c:axId val="203378048"/>
      </c:barChart>
      <c:catAx>
        <c:axId val="203376128"/>
        <c:scaling>
          <c:orientation val="minMax"/>
        </c:scaling>
        <c:delete val="0"/>
        <c:axPos val="l"/>
        <c:title>
          <c:tx>
            <c:rich>
              <a:bodyPr rot="-5400000" vert="horz"/>
              <a:lstStyle/>
              <a:p>
                <a:pPr>
                  <a:defRPr/>
                </a:pPr>
                <a:r>
                  <a:rPr lang="en-US"/>
                  <a:t>Addressed and minimised the barriers created by…</a:t>
                </a:r>
              </a:p>
            </c:rich>
          </c:tx>
          <c:overlay val="0"/>
        </c:title>
        <c:majorTickMark val="in"/>
        <c:minorTickMark val="none"/>
        <c:tickLblPos val="nextTo"/>
        <c:crossAx val="203378048"/>
        <c:crosses val="autoZero"/>
        <c:auto val="1"/>
        <c:lblAlgn val="ctr"/>
        <c:lblOffset val="100"/>
        <c:noMultiLvlLbl val="0"/>
      </c:catAx>
      <c:valAx>
        <c:axId val="203378048"/>
        <c:scaling>
          <c:orientation val="minMax"/>
        </c:scaling>
        <c:delete val="0"/>
        <c:axPos val="b"/>
        <c:title>
          <c:tx>
            <c:rich>
              <a:bodyPr/>
              <a:lstStyle/>
              <a:p>
                <a:pPr>
                  <a:defRPr/>
                </a:pPr>
                <a:r>
                  <a:rPr lang="en-US"/>
                  <a:t>Number of young people who have achieved the outcome</a:t>
                </a:r>
              </a:p>
            </c:rich>
          </c:tx>
          <c:overlay val="0"/>
        </c:title>
        <c:numFmt formatCode="General" sourceLinked="1"/>
        <c:majorTickMark val="out"/>
        <c:minorTickMark val="none"/>
        <c:tickLblPos val="nextTo"/>
        <c:crossAx val="203376128"/>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stacked"/>
        <c:varyColors val="0"/>
        <c:ser>
          <c:idx val="0"/>
          <c:order val="0"/>
          <c:tx>
            <c:strRef>
              <c:f>'Final Outcomes by Year'!$B$10</c:f>
              <c:strCache>
                <c:ptCount val="1"/>
                <c:pt idx="0">
                  <c:v>2010</c:v>
                </c:pt>
              </c:strCache>
            </c:strRef>
          </c:tx>
          <c:spPr>
            <a:solidFill>
              <a:schemeClr val="accent1"/>
            </a:solidFill>
          </c:spPr>
          <c:invertIfNegative val="0"/>
          <c:dLbls>
            <c:txPr>
              <a:bodyPr anchor="t" anchorCtr="0"/>
              <a:lstStyle/>
              <a:p>
                <a:pPr>
                  <a:defRPr sz="800"/>
                </a:pPr>
                <a:endParaRPr lang="en-US"/>
              </a:p>
            </c:txPr>
            <c:dLblPos val="ctr"/>
            <c:showLegendKey val="0"/>
            <c:showVal val="1"/>
            <c:showCatName val="0"/>
            <c:showSerName val="0"/>
            <c:showPercent val="0"/>
            <c:showBubbleSize val="0"/>
            <c:showLeaderLines val="0"/>
          </c:dLbls>
          <c:cat>
            <c:strRef>
              <c:f>'Final Outcomes by Year'!$A$23:$A$29</c:f>
              <c:strCache>
                <c:ptCount val="7"/>
                <c:pt idx="0">
                  <c:v>Engaged in employment</c:v>
                </c:pt>
                <c:pt idx="1">
                  <c:v>Educational performance</c:v>
                </c:pt>
                <c:pt idx="2">
                  <c:v>Behaviour </c:v>
                </c:pt>
                <c:pt idx="3">
                  <c:v>Attendance </c:v>
                </c:pt>
                <c:pt idx="4">
                  <c:v>Re-engaged in education</c:v>
                </c:pt>
                <c:pt idx="5">
                  <c:v>Strengthened engagement</c:v>
                </c:pt>
                <c:pt idx="6">
                  <c:v>Commenced in education</c:v>
                </c:pt>
              </c:strCache>
            </c:strRef>
          </c:cat>
          <c:val>
            <c:numRef>
              <c:f>'Final Outcomes by Year'!$B$23:$B$29</c:f>
              <c:numCache>
                <c:formatCode>General</c:formatCode>
                <c:ptCount val="7"/>
                <c:pt idx="0">
                  <c:v>683</c:v>
                </c:pt>
                <c:pt idx="1">
                  <c:v>3752</c:v>
                </c:pt>
                <c:pt idx="2">
                  <c:v>4219</c:v>
                </c:pt>
                <c:pt idx="3">
                  <c:v>3435</c:v>
                </c:pt>
                <c:pt idx="4">
                  <c:v>2339</c:v>
                </c:pt>
                <c:pt idx="5">
                  <c:v>1771</c:v>
                </c:pt>
                <c:pt idx="6">
                  <c:v>2547</c:v>
                </c:pt>
              </c:numCache>
            </c:numRef>
          </c:val>
        </c:ser>
        <c:ser>
          <c:idx val="1"/>
          <c:order val="1"/>
          <c:tx>
            <c:strRef>
              <c:f>'Final Outcomes by Year'!$C$10</c:f>
              <c:strCache>
                <c:ptCount val="1"/>
                <c:pt idx="0">
                  <c:v>2011</c:v>
                </c:pt>
              </c:strCache>
            </c:strRef>
          </c:tx>
          <c:spPr>
            <a:solidFill>
              <a:schemeClr val="tx2">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'Final Outcomes by Year'!$A$23:$A$29</c:f>
              <c:strCache>
                <c:ptCount val="7"/>
                <c:pt idx="0">
                  <c:v>Engaged in employment</c:v>
                </c:pt>
                <c:pt idx="1">
                  <c:v>Educational performance</c:v>
                </c:pt>
                <c:pt idx="2">
                  <c:v>Behaviour </c:v>
                </c:pt>
                <c:pt idx="3">
                  <c:v>Attendance </c:v>
                </c:pt>
                <c:pt idx="4">
                  <c:v>Re-engaged in education</c:v>
                </c:pt>
                <c:pt idx="5">
                  <c:v>Strengthened engagement</c:v>
                </c:pt>
                <c:pt idx="6">
                  <c:v>Commenced in education</c:v>
                </c:pt>
              </c:strCache>
            </c:strRef>
          </c:cat>
          <c:val>
            <c:numRef>
              <c:f>'Final Outcomes by Year'!$C$23:$C$29</c:f>
              <c:numCache>
                <c:formatCode>General</c:formatCode>
                <c:ptCount val="7"/>
                <c:pt idx="0">
                  <c:v>1231</c:v>
                </c:pt>
                <c:pt idx="1">
                  <c:v>3085</c:v>
                </c:pt>
                <c:pt idx="2">
                  <c:v>3909</c:v>
                </c:pt>
                <c:pt idx="3">
                  <c:v>3280</c:v>
                </c:pt>
                <c:pt idx="4">
                  <c:v>3141</c:v>
                </c:pt>
                <c:pt idx="5">
                  <c:v>3164</c:v>
                </c:pt>
                <c:pt idx="6">
                  <c:v>4130</c:v>
                </c:pt>
              </c:numCache>
            </c:numRef>
          </c:val>
        </c:ser>
        <c:ser>
          <c:idx val="2"/>
          <c:order val="2"/>
          <c:tx>
            <c:strRef>
              <c:f>'Final Outcomes by Year'!$D$10</c:f>
              <c:strCache>
                <c:ptCount val="1"/>
                <c:pt idx="0">
                  <c:v>2012</c:v>
                </c:pt>
              </c:strCache>
            </c:strRef>
          </c:tx>
          <c:spPr>
            <a:solidFill>
              <a:schemeClr val="bg1">
                <a:lumMod val="5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'Final Outcomes by Year'!$A$23:$A$29</c:f>
              <c:strCache>
                <c:ptCount val="7"/>
                <c:pt idx="0">
                  <c:v>Engaged in employment</c:v>
                </c:pt>
                <c:pt idx="1">
                  <c:v>Educational performance</c:v>
                </c:pt>
                <c:pt idx="2">
                  <c:v>Behaviour </c:v>
                </c:pt>
                <c:pt idx="3">
                  <c:v>Attendance </c:v>
                </c:pt>
                <c:pt idx="4">
                  <c:v>Re-engaged in education</c:v>
                </c:pt>
                <c:pt idx="5">
                  <c:v>Strengthened engagement</c:v>
                </c:pt>
                <c:pt idx="6">
                  <c:v>Commenced in education</c:v>
                </c:pt>
              </c:strCache>
            </c:strRef>
          </c:cat>
          <c:val>
            <c:numRef>
              <c:f>'Final Outcomes by Year'!$D$23:$D$29</c:f>
              <c:numCache>
                <c:formatCode>General</c:formatCode>
                <c:ptCount val="7"/>
                <c:pt idx="0">
                  <c:v>453</c:v>
                </c:pt>
                <c:pt idx="1">
                  <c:v>720</c:v>
                </c:pt>
                <c:pt idx="2">
                  <c:v>991</c:v>
                </c:pt>
                <c:pt idx="3">
                  <c:v>998</c:v>
                </c:pt>
                <c:pt idx="4">
                  <c:v>1191</c:v>
                </c:pt>
                <c:pt idx="5">
                  <c:v>1414</c:v>
                </c:pt>
                <c:pt idx="6">
                  <c:v>2910</c:v>
                </c:pt>
              </c:numCache>
            </c:numRef>
          </c:val>
        </c:ser>
        <c:dLbls>
          <c:showLegendKey val="0"/>
          <c:showVal val="0"/>
          <c:showCatName val="0"/>
          <c:showSerName val="0"/>
          <c:showPercent val="0"/>
          <c:showBubbleSize val="0"/>
        </c:dLbls>
        <c:gapWidth val="150"/>
        <c:overlap val="100"/>
        <c:axId val="203426432"/>
        <c:axId val="203453184"/>
      </c:barChart>
      <c:catAx>
        <c:axId val="203426432"/>
        <c:scaling>
          <c:orientation val="minMax"/>
        </c:scaling>
        <c:delete val="0"/>
        <c:axPos val="l"/>
        <c:title>
          <c:tx>
            <c:rich>
              <a:bodyPr rot="-5400000" vert="horz"/>
              <a:lstStyle/>
              <a:p>
                <a:pPr>
                  <a:defRPr/>
                </a:pPr>
                <a:r>
                  <a:rPr lang="en-US"/>
                  <a:t>Outcomes</a:t>
                </a:r>
              </a:p>
            </c:rich>
          </c:tx>
          <c:overlay val="0"/>
        </c:title>
        <c:numFmt formatCode="General" sourceLinked="1"/>
        <c:majorTickMark val="in"/>
        <c:minorTickMark val="none"/>
        <c:tickLblPos val="nextTo"/>
        <c:crossAx val="203453184"/>
        <c:crosses val="autoZero"/>
        <c:auto val="1"/>
        <c:lblAlgn val="ctr"/>
        <c:lblOffset val="100"/>
        <c:noMultiLvlLbl val="0"/>
      </c:catAx>
      <c:valAx>
        <c:axId val="203453184"/>
        <c:scaling>
          <c:orientation val="minMax"/>
        </c:scaling>
        <c:delete val="0"/>
        <c:axPos val="b"/>
        <c:title>
          <c:tx>
            <c:rich>
              <a:bodyPr/>
              <a:lstStyle/>
              <a:p>
                <a:pPr>
                  <a:defRPr/>
                </a:pPr>
                <a:r>
                  <a:rPr lang="en-US"/>
                  <a:t>Number of young people who have achieved the outcome</a:t>
                </a:r>
              </a:p>
            </c:rich>
          </c:tx>
          <c:overlay val="0"/>
        </c:title>
        <c:numFmt formatCode="General" sourceLinked="1"/>
        <c:majorTickMark val="out"/>
        <c:minorTickMark val="none"/>
        <c:tickLblPos val="nextTo"/>
        <c:crossAx val="20342643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chemeClr val="accent1"/>
            </a:solidFill>
          </c:spPr>
          <c:invertIfNegative val="0"/>
          <c:dLbls>
            <c:showLegendKey val="0"/>
            <c:showVal val="1"/>
            <c:showCatName val="0"/>
            <c:showSerName val="0"/>
            <c:showPercent val="0"/>
            <c:showBubbleSize val="0"/>
            <c:showLeaderLines val="0"/>
          </c:dLbls>
          <c:cat>
            <c:strRef>
              <c:f>'Question 8 &amp; 9'!$E$15:$E$17</c:f>
              <c:strCache>
                <c:ptCount val="3"/>
                <c:pt idx="0">
                  <c:v>Studying and/or working</c:v>
                </c:pt>
                <c:pt idx="1">
                  <c:v>Not studying or working</c:v>
                </c:pt>
                <c:pt idx="2">
                  <c:v>At home caring for their child or someone else</c:v>
                </c:pt>
              </c:strCache>
            </c:strRef>
          </c:cat>
          <c:val>
            <c:numRef>
              <c:f>'Question 8 &amp; 9'!$F$15:$F$17</c:f>
              <c:numCache>
                <c:formatCode>0%</c:formatCode>
                <c:ptCount val="3"/>
                <c:pt idx="0">
                  <c:v>0.77623456790123302</c:v>
                </c:pt>
                <c:pt idx="1">
                  <c:v>0.140123456790123</c:v>
                </c:pt>
                <c:pt idx="2">
                  <c:v>8.3641975308642494E-2</c:v>
                </c:pt>
              </c:numCache>
            </c:numRef>
          </c:val>
        </c:ser>
        <c:dLbls>
          <c:showLegendKey val="0"/>
          <c:showVal val="0"/>
          <c:showCatName val="0"/>
          <c:showSerName val="0"/>
          <c:showPercent val="0"/>
          <c:showBubbleSize val="0"/>
        </c:dLbls>
        <c:gapWidth val="150"/>
        <c:axId val="203469568"/>
        <c:axId val="203471488"/>
      </c:barChart>
      <c:catAx>
        <c:axId val="203469568"/>
        <c:scaling>
          <c:orientation val="minMax"/>
        </c:scaling>
        <c:delete val="0"/>
        <c:axPos val="b"/>
        <c:title>
          <c:tx>
            <c:rich>
              <a:bodyPr/>
              <a:lstStyle/>
              <a:p>
                <a:pPr>
                  <a:defRPr/>
                </a:pPr>
                <a:r>
                  <a:rPr lang="en-US"/>
                  <a:t>Major activity of most young people</a:t>
                </a:r>
              </a:p>
            </c:rich>
          </c:tx>
          <c:overlay val="0"/>
        </c:title>
        <c:majorTickMark val="out"/>
        <c:minorTickMark val="none"/>
        <c:tickLblPos val="nextTo"/>
        <c:crossAx val="203471488"/>
        <c:crosses val="autoZero"/>
        <c:auto val="1"/>
        <c:lblAlgn val="ctr"/>
        <c:lblOffset val="100"/>
        <c:noMultiLvlLbl val="0"/>
      </c:catAx>
      <c:valAx>
        <c:axId val="203471488"/>
        <c:scaling>
          <c:orientation val="minMax"/>
        </c:scaling>
        <c:delete val="0"/>
        <c:axPos val="l"/>
        <c:title>
          <c:tx>
            <c:rich>
              <a:bodyPr rot="-5400000" vert="horz"/>
              <a:lstStyle/>
              <a:p>
                <a:pPr>
                  <a:defRPr/>
                </a:pPr>
                <a:r>
                  <a:rPr lang="en-US"/>
                  <a:t>Weighted ranking</a:t>
                </a:r>
              </a:p>
            </c:rich>
          </c:tx>
          <c:overlay val="0"/>
        </c:title>
        <c:numFmt formatCode="0%" sourceLinked="1"/>
        <c:majorTickMark val="out"/>
        <c:minorTickMark val="none"/>
        <c:tickLblPos val="nextTo"/>
        <c:crossAx val="203469568"/>
        <c:crosses val="autoZero"/>
        <c:crossBetween val="between"/>
      </c:valAx>
    </c:plotArea>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chemeClr val="accent1"/>
            </a:solidFill>
          </c:spPr>
          <c:invertIfNegative val="0"/>
          <c:dLbls>
            <c:showLegendKey val="0"/>
            <c:showVal val="1"/>
            <c:showCatName val="0"/>
            <c:showSerName val="0"/>
            <c:showPercent val="0"/>
            <c:showBubbleSize val="0"/>
            <c:showLeaderLines val="0"/>
          </c:dLbls>
          <c:cat>
            <c:strRef>
              <c:f>'Question 6'!$C$17:$C$21</c:f>
              <c:strCache>
                <c:ptCount val="5"/>
                <c:pt idx="0">
                  <c:v>fail to become engaged when initially contacted</c:v>
                </c:pt>
                <c:pt idx="1">
                  <c:v>become engaged and then withdraw during the program</c:v>
                </c:pt>
                <c:pt idx="2">
                  <c:v>return to Youth Connections a second time seeking assistance</c:v>
                </c:pt>
                <c:pt idx="3">
                  <c:v>are transferred to another region</c:v>
                </c:pt>
                <c:pt idx="4">
                  <c:v>are transferred to other services prior to achieving an outcome</c:v>
                </c:pt>
              </c:strCache>
            </c:strRef>
          </c:cat>
          <c:val>
            <c:numRef>
              <c:f>'Question 6'!$D$17:$D$21</c:f>
              <c:numCache>
                <c:formatCode>0%</c:formatCode>
                <c:ptCount val="5"/>
                <c:pt idx="0">
                  <c:v>0.53703703703703698</c:v>
                </c:pt>
                <c:pt idx="1">
                  <c:v>0.296296296296296</c:v>
                </c:pt>
                <c:pt idx="2">
                  <c:v>8.7962962962963201E-2</c:v>
                </c:pt>
                <c:pt idx="3">
                  <c:v>4.6296296296296398E-2</c:v>
                </c:pt>
                <c:pt idx="4">
                  <c:v>3.2407407407407503E-2</c:v>
                </c:pt>
              </c:numCache>
            </c:numRef>
          </c:val>
        </c:ser>
        <c:dLbls>
          <c:showLegendKey val="0"/>
          <c:showVal val="0"/>
          <c:showCatName val="0"/>
          <c:showSerName val="0"/>
          <c:showPercent val="0"/>
          <c:showBubbleSize val="0"/>
        </c:dLbls>
        <c:gapWidth val="150"/>
        <c:axId val="203508736"/>
        <c:axId val="203515008"/>
      </c:barChart>
      <c:catAx>
        <c:axId val="203508736"/>
        <c:scaling>
          <c:orientation val="minMax"/>
        </c:scaling>
        <c:delete val="0"/>
        <c:axPos val="b"/>
        <c:title>
          <c:tx>
            <c:rich>
              <a:bodyPr/>
              <a:lstStyle/>
              <a:p>
                <a:pPr>
                  <a:defRPr/>
                </a:pPr>
                <a:r>
                  <a:rPr lang="en-US"/>
                  <a:t>Reasons</a:t>
                </a:r>
                <a:r>
                  <a:rPr lang="en-US" baseline="0"/>
                  <a:t> young people do not achieve positive outcomes</a:t>
                </a:r>
                <a:endParaRPr lang="en-US"/>
              </a:p>
            </c:rich>
          </c:tx>
          <c:overlay val="0"/>
        </c:title>
        <c:majorTickMark val="out"/>
        <c:minorTickMark val="none"/>
        <c:tickLblPos val="nextTo"/>
        <c:crossAx val="203515008"/>
        <c:crosses val="autoZero"/>
        <c:auto val="1"/>
        <c:lblAlgn val="ctr"/>
        <c:lblOffset val="100"/>
        <c:noMultiLvlLbl val="0"/>
      </c:catAx>
      <c:valAx>
        <c:axId val="203515008"/>
        <c:scaling>
          <c:orientation val="minMax"/>
        </c:scaling>
        <c:delete val="0"/>
        <c:axPos val="l"/>
        <c:title>
          <c:tx>
            <c:rich>
              <a:bodyPr rot="-5400000" vert="horz"/>
              <a:lstStyle/>
              <a:p>
                <a:pPr>
                  <a:defRPr/>
                </a:pPr>
                <a:r>
                  <a:rPr lang="en-US"/>
                  <a:t>Proportion of first choice responses</a:t>
                </a:r>
              </a:p>
            </c:rich>
          </c:tx>
          <c:overlay val="0"/>
        </c:title>
        <c:numFmt formatCode="0%" sourceLinked="1"/>
        <c:majorTickMark val="out"/>
        <c:minorTickMark val="none"/>
        <c:tickLblPos val="nextTo"/>
        <c:crossAx val="203508736"/>
        <c:crosses val="autoZero"/>
        <c:crossBetween val="between"/>
      </c:valAx>
    </c:plotArea>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'Question 15'!$B$66</c:f>
              <c:strCache>
                <c:ptCount val="1"/>
                <c:pt idx="0">
                  <c:v>Deliver the activity</c:v>
                </c:pt>
              </c:strCache>
            </c:strRef>
          </c:tx>
          <c:spPr>
            <a:solidFill>
              <a:schemeClr val="accent1"/>
            </a:solidFill>
          </c:spPr>
          <c:invertIfNegative val="0"/>
          <c:dLbls>
            <c:showLegendKey val="0"/>
            <c:showVal val="1"/>
            <c:showCatName val="0"/>
            <c:showSerName val="0"/>
            <c:showPercent val="0"/>
            <c:showBubbleSize val="0"/>
            <c:showLeaderLines val="0"/>
          </c:dLbls>
          <c:cat>
            <c:strRef>
              <c:f>'Question 15'!$A$67:$A$72</c:f>
              <c:strCache>
                <c:ptCount val="6"/>
                <c:pt idx="0">
                  <c:v>develop a regional approach to address the needs of young people at risk.</c:v>
                </c:pt>
                <c:pt idx="1">
                  <c:v>are those developed with Partnership Brokers to build partnerships that improve services for young people and/or meet an identifed need in the region.</c:v>
                </c:pt>
                <c:pt idx="2">
                  <c:v>establish links between other services for at risk young people in the region.</c:v>
                </c:pt>
                <c:pt idx="3">
                  <c:v>identify and disseminate best practice examples of working with young people at risk.</c:v>
                </c:pt>
                <c:pt idx="4">
                  <c:v>work with parents and families.</c:v>
                </c:pt>
                <c:pt idx="5">
                  <c:v>build the capacity of relevant education providers and stakeholders in the reigon to work with young poeple at risk.</c:v>
                </c:pt>
              </c:strCache>
            </c:strRef>
          </c:cat>
          <c:val>
            <c:numRef>
              <c:f>'Question 15'!$B$67:$B$72</c:f>
              <c:numCache>
                <c:formatCode>0%</c:formatCode>
                <c:ptCount val="6"/>
                <c:pt idx="0">
                  <c:v>0.81220657276995301</c:v>
                </c:pt>
                <c:pt idx="1">
                  <c:v>0.75233644859813198</c:v>
                </c:pt>
                <c:pt idx="2">
                  <c:v>0.96713615023474198</c:v>
                </c:pt>
                <c:pt idx="3">
                  <c:v>0.80281690140845097</c:v>
                </c:pt>
                <c:pt idx="4">
                  <c:v>0.71361502347418204</c:v>
                </c:pt>
                <c:pt idx="5">
                  <c:v>0.88262910798122096</c:v>
                </c:pt>
              </c:numCache>
            </c:numRef>
          </c:val>
        </c:ser>
        <c:ser>
          <c:idx val="1"/>
          <c:order val="1"/>
          <c:tx>
            <c:strRef>
              <c:f>'Question 15'!$C$66</c:f>
              <c:strCache>
                <c:ptCount val="1"/>
                <c:pt idx="0">
                  <c:v>Agree it is helpful for young people</c:v>
                </c:pt>
              </c:strCache>
            </c:strRef>
          </c:tx>
          <c:spPr>
            <a:solidFill>
              <a:schemeClr val="tx2">
                <a:lumMod val="75000"/>
              </a:schemeClr>
            </a:solidFill>
          </c:spPr>
          <c:invertIfNegative val="0"/>
          <c:dLbls>
            <c:showLegendKey val="0"/>
            <c:showVal val="1"/>
            <c:showCatName val="0"/>
            <c:showSerName val="0"/>
            <c:showPercent val="0"/>
            <c:showBubbleSize val="0"/>
            <c:showLeaderLines val="0"/>
          </c:dLbls>
          <c:cat>
            <c:strRef>
              <c:f>'Question 15'!$A$67:$A$72</c:f>
              <c:strCache>
                <c:ptCount val="6"/>
                <c:pt idx="0">
                  <c:v>develop a regional approach to address the needs of young people at risk.</c:v>
                </c:pt>
                <c:pt idx="1">
                  <c:v>are those developed with Partnership Brokers to build partnerships that improve services for young people and/or meet an identifed need in the region.</c:v>
                </c:pt>
                <c:pt idx="2">
                  <c:v>establish links between other services for at risk young people in the region.</c:v>
                </c:pt>
                <c:pt idx="3">
                  <c:v>identify and disseminate best practice examples of working with young people at risk.</c:v>
                </c:pt>
                <c:pt idx="4">
                  <c:v>work with parents and families.</c:v>
                </c:pt>
                <c:pt idx="5">
                  <c:v>build the capacity of relevant education providers and stakeholders in the reigon to work with young poeple at risk.</c:v>
                </c:pt>
              </c:strCache>
            </c:strRef>
          </c:cat>
          <c:val>
            <c:numRef>
              <c:f>'Question 15'!$C$67:$C$72</c:f>
              <c:numCache>
                <c:formatCode>0%</c:formatCode>
                <c:ptCount val="6"/>
                <c:pt idx="0">
                  <c:v>0.80841121495327195</c:v>
                </c:pt>
                <c:pt idx="1">
                  <c:v>0.68544600938967104</c:v>
                </c:pt>
                <c:pt idx="2">
                  <c:v>0.92990654205607504</c:v>
                </c:pt>
                <c:pt idx="3">
                  <c:v>0.83809523809524</c:v>
                </c:pt>
                <c:pt idx="4">
                  <c:v>0.77102803738318404</c:v>
                </c:pt>
                <c:pt idx="5">
                  <c:v>0.863849765258217</c:v>
                </c:pt>
              </c:numCache>
            </c:numRef>
          </c:val>
        </c:ser>
        <c:dLbls>
          <c:showLegendKey val="0"/>
          <c:showVal val="0"/>
          <c:showCatName val="0"/>
          <c:showSerName val="0"/>
          <c:showPercent val="0"/>
          <c:showBubbleSize val="0"/>
        </c:dLbls>
        <c:gapWidth val="150"/>
        <c:axId val="203545216"/>
        <c:axId val="203547008"/>
      </c:barChart>
      <c:catAx>
        <c:axId val="203545216"/>
        <c:scaling>
          <c:orientation val="minMax"/>
        </c:scaling>
        <c:delete val="0"/>
        <c:axPos val="b"/>
        <c:majorTickMark val="out"/>
        <c:minorTickMark val="none"/>
        <c:tickLblPos val="nextTo"/>
        <c:crossAx val="203547008"/>
        <c:crosses val="autoZero"/>
        <c:auto val="1"/>
        <c:lblAlgn val="ctr"/>
        <c:lblOffset val="100"/>
        <c:noMultiLvlLbl val="0"/>
      </c:catAx>
      <c:valAx>
        <c:axId val="203547008"/>
        <c:scaling>
          <c:orientation val="minMax"/>
          <c:max val="1"/>
        </c:scaling>
        <c:delete val="0"/>
        <c:axPos val="l"/>
        <c:title>
          <c:tx>
            <c:rich>
              <a:bodyPr rot="-5400000" vert="horz"/>
              <a:lstStyle/>
              <a:p>
                <a:pPr>
                  <a:defRPr/>
                </a:pPr>
                <a:r>
                  <a:rPr lang="en-US"/>
                  <a:t>Proportion of service providers that agree </a:t>
                </a:r>
              </a:p>
            </c:rich>
          </c:tx>
          <c:overlay val="0"/>
        </c:title>
        <c:numFmt formatCode="0%" sourceLinked="1"/>
        <c:majorTickMark val="out"/>
        <c:minorTickMark val="none"/>
        <c:tickLblPos val="nextTo"/>
        <c:crossAx val="203545216"/>
        <c:crosses val="autoZero"/>
        <c:crossBetween val="between"/>
      </c:valAx>
    </c:plotArea>
    <c:legend>
      <c:legendPos val="b"/>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155381944444401"/>
          <c:y val="5.4273504273504303E-2"/>
          <c:w val="0.73111979166666696"/>
          <c:h val="0.60522008547008499"/>
        </c:manualLayout>
      </c:layout>
      <c:lineChart>
        <c:grouping val="standard"/>
        <c:varyColors val="0"/>
        <c:ser>
          <c:idx val="0"/>
          <c:order val="0"/>
          <c:tx>
            <c:strRef>
              <c:f>'[15]School data'!$B$60</c:f>
              <c:strCache>
                <c:ptCount val="1"/>
                <c:pt idx="0">
                  <c:v>Age 15</c:v>
                </c:pt>
              </c:strCache>
            </c:strRef>
          </c:tx>
          <c:spPr>
            <a:ln>
              <a:solidFill>
                <a:srgbClr val="C00000"/>
              </a:solidFill>
            </a:ln>
          </c:spPr>
          <c:marker>
            <c:symbol val="none"/>
          </c:marker>
          <c:dPt>
            <c:idx val="10"/>
            <c:marker>
              <c:symbol val="diamond"/>
              <c:size val="10"/>
            </c:marker>
            <c:bubble3D val="0"/>
          </c:dPt>
          <c:dPt>
            <c:idx val="11"/>
            <c:marker>
              <c:symbol val="diamond"/>
              <c:size val="10"/>
            </c:marker>
            <c:bubble3D val="0"/>
          </c:dPt>
          <c:cat>
            <c:numRef>
              <c:f>'[15]School data'!$C$59:$N$59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'[15]School data'!$C$60:$N$60</c:f>
              <c:numCache>
                <c:formatCode>General</c:formatCode>
                <c:ptCount val="12"/>
                <c:pt idx="0">
                  <c:v>92.732141327543246</c:v>
                </c:pt>
                <c:pt idx="1">
                  <c:v>92.109960860261154</c:v>
                </c:pt>
                <c:pt idx="2">
                  <c:v>92.692613773064608</c:v>
                </c:pt>
                <c:pt idx="3">
                  <c:v>93.154287271695978</c:v>
                </c:pt>
                <c:pt idx="4">
                  <c:v>93.229232910462713</c:v>
                </c:pt>
                <c:pt idx="5">
                  <c:v>93.379926502576112</c:v>
                </c:pt>
                <c:pt idx="6">
                  <c:v>93.920262756138214</c:v>
                </c:pt>
                <c:pt idx="7">
                  <c:v>94.014636240224164</c:v>
                </c:pt>
                <c:pt idx="8">
                  <c:v>94.562609947225326</c:v>
                </c:pt>
                <c:pt idx="9">
                  <c:v>95.035534539018869</c:v>
                </c:pt>
                <c:pt idx="10">
                  <c:v>95.643000750084255</c:v>
                </c:pt>
                <c:pt idx="11">
                  <c:v>97.549985321840765</c:v>
                </c:pt>
              </c:numCache>
            </c:numRef>
          </c:val>
          <c:smooth val="0"/>
        </c:ser>
        <c:ser>
          <c:idx val="2"/>
          <c:order val="1"/>
          <c:tx>
            <c:strRef>
              <c:f>'[15]School data'!$B$68</c:f>
              <c:strCache>
                <c:ptCount val="1"/>
                <c:pt idx="0">
                  <c:v>2000-2009 predicted</c:v>
                </c:pt>
              </c:strCache>
            </c:strRef>
          </c:tx>
          <c:spPr>
            <a:ln w="12700">
              <a:solidFill>
                <a:sysClr val="windowText" lastClr="000000"/>
              </a:solidFill>
            </a:ln>
          </c:spPr>
          <c:marker>
            <c:symbol val="none"/>
          </c:marker>
          <c:cat>
            <c:numRef>
              <c:f>'[15]School data'!$C$59:$N$59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'[15]School data'!$C$68:$N$68</c:f>
              <c:numCache>
                <c:formatCode>General</c:formatCode>
                <c:ptCount val="12"/>
                <c:pt idx="0">
                  <c:v>91.918000000000006</c:v>
                </c:pt>
                <c:pt idx="1">
                  <c:v>92.202600000000004</c:v>
                </c:pt>
                <c:pt idx="2">
                  <c:v>92.487200000000016</c:v>
                </c:pt>
                <c:pt idx="3">
                  <c:v>92.771800000000013</c:v>
                </c:pt>
                <c:pt idx="4">
                  <c:v>93.056400000000011</c:v>
                </c:pt>
                <c:pt idx="5">
                  <c:v>93.341000000000022</c:v>
                </c:pt>
                <c:pt idx="6">
                  <c:v>93.625599999999949</c:v>
                </c:pt>
                <c:pt idx="7">
                  <c:v>93.910200000000046</c:v>
                </c:pt>
                <c:pt idx="8">
                  <c:v>94.194800000000001</c:v>
                </c:pt>
                <c:pt idx="9">
                  <c:v>94.479400000000012</c:v>
                </c:pt>
                <c:pt idx="10">
                  <c:v>94.764000000000024</c:v>
                </c:pt>
                <c:pt idx="11">
                  <c:v>95.048600000000022</c:v>
                </c:pt>
              </c:numCache>
            </c:numRef>
          </c:val>
          <c:smooth val="0"/>
        </c:ser>
        <c:dLbls>
          <c:showLegendKey val="0"/>
          <c:showVal val="0"/>
          <c:showCatName val="0"/>
          <c:showSerName val="0"/>
          <c:showPercent val="0"/>
          <c:showBubbleSize val="0"/>
        </c:dLbls>
        <c:marker val="1"/>
        <c:smooth val="0"/>
        <c:axId val="203577216"/>
        <c:axId val="203578752"/>
      </c:lineChart>
      <c:catAx>
        <c:axId val="203577216"/>
        <c:scaling>
          <c:orientation val="minMax"/>
        </c:scaling>
        <c:delete val="0"/>
        <c:axPos val="b"/>
        <c:numFmt formatCode="General" sourceLinked="1"/>
        <c:majorTickMark val="in"/>
        <c:minorTickMark val="none"/>
        <c:tickLblPos val="nextTo"/>
        <c:spPr>
          <a:ln>
            <a:solidFill>
              <a:sysClr val="windowText" lastClr="000000"/>
            </a:solidFill>
          </a:ln>
        </c:spPr>
        <c:crossAx val="203578752"/>
        <c:crosses val="autoZero"/>
        <c:auto val="1"/>
        <c:lblAlgn val="ctr"/>
        <c:lblOffset val="100"/>
        <c:noMultiLvlLbl val="0"/>
      </c:catAx>
      <c:valAx>
        <c:axId val="203578752"/>
        <c:scaling>
          <c:orientation val="minMax"/>
          <c:min val="90"/>
        </c:scaling>
        <c:delete val="0"/>
        <c:axPos val="l"/>
        <c:title>
          <c:tx>
            <c:rich>
              <a:bodyPr rot="-5400000" vert="horz"/>
              <a:lstStyle/>
              <a:p>
                <a:pPr>
                  <a:defRPr/>
                </a:pPr>
                <a:r>
                  <a:rPr lang="en-US"/>
                  <a:t>%</a:t>
                </a:r>
              </a:p>
            </c:rich>
          </c:tx>
          <c:overlay val="0"/>
        </c:title>
        <c:numFmt formatCode="General" sourceLinked="1"/>
        <c:majorTickMark val="in"/>
        <c:minorTickMark val="none"/>
        <c:tickLblPos val="nextTo"/>
        <c:spPr>
          <a:ln>
            <a:solidFill>
              <a:schemeClr val="tx1"/>
            </a:solidFill>
          </a:ln>
        </c:spPr>
        <c:crossAx val="203577216"/>
        <c:crosses val="autoZero"/>
        <c:crossBetween val="between"/>
      </c:valAx>
    </c:plotArea>
    <c:legend>
      <c:legendPos val="b"/>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'[15]School data'!$B$61</c:f>
              <c:strCache>
                <c:ptCount val="1"/>
                <c:pt idx="0">
                  <c:v>Age 16</c:v>
                </c:pt>
              </c:strCache>
            </c:strRef>
          </c:tx>
          <c:spPr>
            <a:ln>
              <a:solidFill>
                <a:srgbClr val="C00000"/>
              </a:solidFill>
            </a:ln>
          </c:spPr>
          <c:marker>
            <c:symbol val="none"/>
          </c:marker>
          <c:dPt>
            <c:idx val="10"/>
            <c:marker>
              <c:symbol val="diamond"/>
              <c:size val="10"/>
            </c:marker>
            <c:bubble3D val="0"/>
          </c:dPt>
          <c:dPt>
            <c:idx val="11"/>
            <c:marker>
              <c:symbol val="diamond"/>
              <c:size val="10"/>
            </c:marker>
            <c:bubble3D val="0"/>
          </c:dPt>
          <c:cat>
            <c:numRef>
              <c:f>'[15]School data'!$C$59:$N$59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'[15]School data'!$C$61:$N$61</c:f>
              <c:numCache>
                <c:formatCode>General</c:formatCode>
                <c:ptCount val="12"/>
                <c:pt idx="0">
                  <c:v>81.661544719121409</c:v>
                </c:pt>
                <c:pt idx="1">
                  <c:v>81.385142722495573</c:v>
                </c:pt>
                <c:pt idx="2">
                  <c:v>81.361483791162598</c:v>
                </c:pt>
                <c:pt idx="3">
                  <c:v>82.447125026630445</c:v>
                </c:pt>
                <c:pt idx="4">
                  <c:v>82.575336047089579</c:v>
                </c:pt>
                <c:pt idx="5">
                  <c:v>82.253601308649579</c:v>
                </c:pt>
                <c:pt idx="6">
                  <c:v>82.827844468554119</c:v>
                </c:pt>
                <c:pt idx="7">
                  <c:v>83.022313983959279</c:v>
                </c:pt>
                <c:pt idx="8">
                  <c:v>82.696837869903746</c:v>
                </c:pt>
                <c:pt idx="9">
                  <c:v>84.657177603068916</c:v>
                </c:pt>
                <c:pt idx="10">
                  <c:v>86.533693053333835</c:v>
                </c:pt>
                <c:pt idx="11">
                  <c:v>89.184737569060346</c:v>
                </c:pt>
              </c:numCache>
            </c:numRef>
          </c:val>
          <c:smooth val="0"/>
        </c:ser>
        <c:ser>
          <c:idx val="2"/>
          <c:order val="1"/>
          <c:tx>
            <c:strRef>
              <c:f>'[15]School data'!$B$70</c:f>
              <c:strCache>
                <c:ptCount val="1"/>
                <c:pt idx="0">
                  <c:v>2000-2009 predicted</c:v>
                </c:pt>
              </c:strCache>
            </c:strRef>
          </c:tx>
          <c:spPr>
            <a:ln w="12700">
              <a:solidFill>
                <a:schemeClr val="tx1"/>
              </a:solidFill>
            </a:ln>
          </c:spPr>
          <c:marker>
            <c:symbol val="none"/>
          </c:marker>
          <c:cat>
            <c:numRef>
              <c:f>'[15]School data'!$C$59:$N$59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'[15]School data'!$C$70:$N$70</c:f>
              <c:numCache>
                <c:formatCode>General</c:formatCode>
                <c:ptCount val="12"/>
                <c:pt idx="0">
                  <c:v>80.98</c:v>
                </c:pt>
                <c:pt idx="1">
                  <c:v>81.254300000000001</c:v>
                </c:pt>
                <c:pt idx="2">
                  <c:v>81.528599999999983</c:v>
                </c:pt>
                <c:pt idx="3">
                  <c:v>81.802900000000008</c:v>
                </c:pt>
                <c:pt idx="4">
                  <c:v>82.077200000000005</c:v>
                </c:pt>
                <c:pt idx="5">
                  <c:v>82.351500000000001</c:v>
                </c:pt>
                <c:pt idx="6">
                  <c:v>82.625799999999543</c:v>
                </c:pt>
                <c:pt idx="7">
                  <c:v>82.900100000000023</c:v>
                </c:pt>
                <c:pt idx="8">
                  <c:v>83.174399999999949</c:v>
                </c:pt>
                <c:pt idx="9">
                  <c:v>83.448700000000002</c:v>
                </c:pt>
                <c:pt idx="10">
                  <c:v>83.722999999999999</c:v>
                </c:pt>
                <c:pt idx="11">
                  <c:v>83.997300000000024</c:v>
                </c:pt>
              </c:numCache>
            </c:numRef>
          </c:val>
          <c:smooth val="0"/>
        </c:ser>
        <c:dLbls>
          <c:showLegendKey val="0"/>
          <c:showVal val="0"/>
          <c:showCatName val="0"/>
          <c:showSerName val="0"/>
          <c:showPercent val="0"/>
          <c:showBubbleSize val="0"/>
        </c:dLbls>
        <c:marker val="1"/>
        <c:smooth val="0"/>
        <c:axId val="205194752"/>
        <c:axId val="205196288"/>
      </c:lineChart>
      <c:catAx>
        <c:axId val="205194752"/>
        <c:scaling>
          <c:orientation val="minMax"/>
        </c:scaling>
        <c:delete val="0"/>
        <c:axPos val="b"/>
        <c:numFmt formatCode="General" sourceLinked="1"/>
        <c:majorTickMark val="out"/>
        <c:minorTickMark val="none"/>
        <c:tickLblPos val="nextTo"/>
        <c:crossAx val="205196288"/>
        <c:crosses val="autoZero"/>
        <c:auto val="1"/>
        <c:lblAlgn val="ctr"/>
        <c:lblOffset val="100"/>
        <c:noMultiLvlLbl val="0"/>
      </c:catAx>
      <c:valAx>
        <c:axId val="205196288"/>
        <c:scaling>
          <c:orientation val="minMax"/>
          <c:min val="80"/>
        </c:scaling>
        <c:delete val="0"/>
        <c:axPos val="l"/>
        <c:title>
          <c:tx>
            <c:rich>
              <a:bodyPr rot="-5400000" vert="horz"/>
              <a:lstStyle/>
              <a:p>
                <a:pPr>
                  <a:defRPr/>
                </a:pPr>
                <a:r>
                  <a:rPr lang="en-US"/>
                  <a:t>%</a:t>
                </a:r>
              </a:p>
            </c:rich>
          </c:tx>
          <c:overlay val="0"/>
        </c:title>
        <c:numFmt formatCode="General" sourceLinked="1"/>
        <c:majorTickMark val="in"/>
        <c:minorTickMark val="none"/>
        <c:tickLblPos val="nextTo"/>
        <c:spPr>
          <a:ln>
            <a:solidFill>
              <a:sysClr val="windowText" lastClr="000000"/>
            </a:solidFill>
          </a:ln>
        </c:spPr>
        <c:crossAx val="205194752"/>
        <c:crosses val="autoZero"/>
        <c:crossBetween val="between"/>
      </c:valAx>
    </c:plotArea>
    <c:legend>
      <c:legendPos val="b"/>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'[15]School data'!$B$62</c:f>
              <c:strCache>
                <c:ptCount val="1"/>
                <c:pt idx="0">
                  <c:v>Age 17</c:v>
                </c:pt>
              </c:strCache>
            </c:strRef>
          </c:tx>
          <c:spPr>
            <a:ln>
              <a:solidFill>
                <a:srgbClr val="C00000"/>
              </a:solidFill>
            </a:ln>
          </c:spPr>
          <c:marker>
            <c:symbol val="none"/>
          </c:marker>
          <c:dPt>
            <c:idx val="10"/>
            <c:marker>
              <c:symbol val="diamond"/>
              <c:size val="10"/>
            </c:marker>
            <c:bubble3D val="0"/>
          </c:dPt>
          <c:dPt>
            <c:idx val="11"/>
            <c:marker>
              <c:symbol val="diamond"/>
              <c:size val="10"/>
            </c:marker>
            <c:bubble3D val="0"/>
          </c:dPt>
          <c:cat>
            <c:numRef>
              <c:f>'[15]School data'!$C$59:$N$59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'[15]School data'!$C$62:$N$62</c:f>
              <c:numCache>
                <c:formatCode>General</c:formatCode>
                <c:ptCount val="12"/>
                <c:pt idx="0">
                  <c:v>62.715783792697621</c:v>
                </c:pt>
                <c:pt idx="1">
                  <c:v>62.913899893979128</c:v>
                </c:pt>
                <c:pt idx="2">
                  <c:v>63.15016954214515</c:v>
                </c:pt>
                <c:pt idx="3">
                  <c:v>62.690666695616919</c:v>
                </c:pt>
                <c:pt idx="4">
                  <c:v>63.46274287045938</c:v>
                </c:pt>
                <c:pt idx="5">
                  <c:v>63.091593384721172</c:v>
                </c:pt>
                <c:pt idx="6">
                  <c:v>63.275959820712252</c:v>
                </c:pt>
                <c:pt idx="7">
                  <c:v>62.669360915131179</c:v>
                </c:pt>
                <c:pt idx="8">
                  <c:v>62.268501326707678</c:v>
                </c:pt>
                <c:pt idx="9">
                  <c:v>63.676741378263714</c:v>
                </c:pt>
                <c:pt idx="10">
                  <c:v>65.387526363767861</c:v>
                </c:pt>
                <c:pt idx="11">
                  <c:v>68.486641563564547</c:v>
                </c:pt>
              </c:numCache>
            </c:numRef>
          </c:val>
          <c:smooth val="0"/>
        </c:ser>
        <c:ser>
          <c:idx val="2"/>
          <c:order val="1"/>
          <c:tx>
            <c:strRef>
              <c:f>'[15]School data'!$B$72</c:f>
              <c:strCache>
                <c:ptCount val="1"/>
                <c:pt idx="0">
                  <c:v>2000-2009 predicted</c:v>
                </c:pt>
              </c:strCache>
            </c:strRef>
          </c:tx>
          <c:spPr>
            <a:ln w="12700">
              <a:solidFill>
                <a:sysClr val="windowText" lastClr="000000"/>
              </a:solidFill>
            </a:ln>
          </c:spPr>
          <c:marker>
            <c:symbol val="none"/>
          </c:marker>
          <c:cat>
            <c:numRef>
              <c:f>'[15]School data'!$C$59:$N$59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'[15]School data'!$C$72:$N$72</c:f>
              <c:numCache>
                <c:formatCode>General</c:formatCode>
                <c:ptCount val="12"/>
                <c:pt idx="0">
                  <c:v>62.887999999999998</c:v>
                </c:pt>
                <c:pt idx="1">
                  <c:v>62.9069</c:v>
                </c:pt>
                <c:pt idx="2">
                  <c:v>62.925800000000002</c:v>
                </c:pt>
                <c:pt idx="3">
                  <c:v>62.944699999999997</c:v>
                </c:pt>
                <c:pt idx="4">
                  <c:v>62.9636</c:v>
                </c:pt>
                <c:pt idx="5">
                  <c:v>62.982500000000002</c:v>
                </c:pt>
                <c:pt idx="6">
                  <c:v>63.001399999999997</c:v>
                </c:pt>
                <c:pt idx="7">
                  <c:v>63.020300000000013</c:v>
                </c:pt>
                <c:pt idx="8">
                  <c:v>63.039200000000001</c:v>
                </c:pt>
                <c:pt idx="9">
                  <c:v>63.058100000000003</c:v>
                </c:pt>
                <c:pt idx="10">
                  <c:v>63.077000000000012</c:v>
                </c:pt>
                <c:pt idx="11">
                  <c:v>63.095900000000007</c:v>
                </c:pt>
              </c:numCache>
            </c:numRef>
          </c:val>
          <c:smooth val="0"/>
        </c:ser>
        <c:dLbls>
          <c:showLegendKey val="0"/>
          <c:showVal val="0"/>
          <c:showCatName val="0"/>
          <c:showSerName val="0"/>
          <c:showPercent val="0"/>
          <c:showBubbleSize val="0"/>
        </c:dLbls>
        <c:marker val="1"/>
        <c:smooth val="0"/>
        <c:axId val="205222656"/>
        <c:axId val="205224192"/>
      </c:lineChart>
      <c:catAx>
        <c:axId val="205222656"/>
        <c:scaling>
          <c:orientation val="minMax"/>
        </c:scaling>
        <c:delete val="0"/>
        <c:axPos val="b"/>
        <c:numFmt formatCode="General" sourceLinked="1"/>
        <c:majorTickMark val="in"/>
        <c:minorTickMark val="none"/>
        <c:tickLblPos val="nextTo"/>
        <c:spPr>
          <a:ln>
            <a:solidFill>
              <a:sysClr val="windowText" lastClr="000000"/>
            </a:solidFill>
          </a:ln>
        </c:spPr>
        <c:crossAx val="205224192"/>
        <c:crosses val="autoZero"/>
        <c:auto val="1"/>
        <c:lblAlgn val="ctr"/>
        <c:lblOffset val="100"/>
        <c:noMultiLvlLbl val="0"/>
      </c:catAx>
      <c:valAx>
        <c:axId val="205224192"/>
        <c:scaling>
          <c:orientation val="minMax"/>
        </c:scaling>
        <c:delete val="0"/>
        <c:axPos val="l"/>
        <c:title>
          <c:tx>
            <c:rich>
              <a:bodyPr rot="-5400000" vert="horz"/>
              <a:lstStyle/>
              <a:p>
                <a:pPr>
                  <a:defRPr/>
                </a:pPr>
                <a:r>
                  <a:rPr lang="en-US"/>
                  <a:t>%</a:t>
                </a:r>
              </a:p>
            </c:rich>
          </c:tx>
          <c:overlay val="0"/>
        </c:title>
        <c:numFmt formatCode="General" sourceLinked="1"/>
        <c:majorTickMark val="in"/>
        <c:minorTickMark val="none"/>
        <c:tickLblPos val="nextTo"/>
        <c:spPr>
          <a:ln>
            <a:solidFill>
              <a:sysClr val="windowText" lastClr="000000"/>
            </a:solidFill>
          </a:ln>
        </c:spPr>
        <c:crossAx val="205222656"/>
        <c:crosses val="autoZero"/>
        <c:crossBetween val="between"/>
      </c:valAx>
    </c:plotArea>
    <c:legend>
      <c:legendPos val="b"/>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'[15]School data'!$B$63</c:f>
              <c:strCache>
                <c:ptCount val="1"/>
                <c:pt idx="0">
                  <c:v>Age 18</c:v>
                </c:pt>
              </c:strCache>
            </c:strRef>
          </c:tx>
          <c:spPr>
            <a:ln>
              <a:solidFill>
                <a:srgbClr val="C00000"/>
              </a:solidFill>
            </a:ln>
          </c:spPr>
          <c:marker>
            <c:symbol val="none"/>
          </c:marker>
          <c:dPt>
            <c:idx val="10"/>
            <c:marker>
              <c:symbol val="diamond"/>
              <c:size val="10"/>
            </c:marker>
            <c:bubble3D val="0"/>
          </c:dPt>
          <c:dPt>
            <c:idx val="11"/>
            <c:marker>
              <c:symbol val="diamond"/>
              <c:size val="10"/>
            </c:marker>
            <c:bubble3D val="0"/>
          </c:dPt>
          <c:cat>
            <c:numRef>
              <c:f>'[15]School data'!$C$59:$N$59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'[15]School data'!$C$63:$N$63</c:f>
              <c:numCache>
                <c:formatCode>General</c:formatCode>
                <c:ptCount val="12"/>
                <c:pt idx="0">
                  <c:v>12.66546728529495</c:v>
                </c:pt>
                <c:pt idx="1">
                  <c:v>12.89687938985195</c:v>
                </c:pt>
                <c:pt idx="2">
                  <c:v>13.24515709833376</c:v>
                </c:pt>
                <c:pt idx="3">
                  <c:v>13.165844271723611</c:v>
                </c:pt>
                <c:pt idx="4">
                  <c:v>13.26451834272153</c:v>
                </c:pt>
                <c:pt idx="5">
                  <c:v>13.25016433838981</c:v>
                </c:pt>
                <c:pt idx="6">
                  <c:v>13.639839897076699</c:v>
                </c:pt>
                <c:pt idx="7">
                  <c:v>13.571737214165969</c:v>
                </c:pt>
                <c:pt idx="8">
                  <c:v>14.30341682638293</c:v>
                </c:pt>
                <c:pt idx="9">
                  <c:v>14.53826791473295</c:v>
                </c:pt>
                <c:pt idx="10">
                  <c:v>15.4898095093663</c:v>
                </c:pt>
                <c:pt idx="11">
                  <c:v>16.308228479244171</c:v>
                </c:pt>
              </c:numCache>
            </c:numRef>
          </c:val>
          <c:smooth val="0"/>
        </c:ser>
        <c:ser>
          <c:idx val="2"/>
          <c:order val="1"/>
          <c:tx>
            <c:strRef>
              <c:f>'[15]School data'!$B$74</c:f>
              <c:strCache>
                <c:ptCount val="1"/>
                <c:pt idx="0">
                  <c:v>2000-2009 predicted</c:v>
                </c:pt>
              </c:strCache>
            </c:strRef>
          </c:tx>
          <c:spPr>
            <a:ln w="12700">
              <a:solidFill>
                <a:sysClr val="windowText" lastClr="000000"/>
              </a:solidFill>
            </a:ln>
          </c:spPr>
          <c:marker>
            <c:symbol val="none"/>
          </c:marker>
          <c:cat>
            <c:numRef>
              <c:f>'[15]School data'!$C$59:$N$59</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'[15]School data'!$C$74:$N$74</c:f>
              <c:numCache>
                <c:formatCode>General</c:formatCode>
                <c:ptCount val="12"/>
                <c:pt idx="0">
                  <c:v>12.462999999999999</c:v>
                </c:pt>
                <c:pt idx="1">
                  <c:v>12.6433</c:v>
                </c:pt>
                <c:pt idx="2">
                  <c:v>12.823600000000001</c:v>
                </c:pt>
                <c:pt idx="3">
                  <c:v>13.0039</c:v>
                </c:pt>
                <c:pt idx="4">
                  <c:v>13.184200000000001</c:v>
                </c:pt>
                <c:pt idx="5">
                  <c:v>13.3645</c:v>
                </c:pt>
                <c:pt idx="6">
                  <c:v>13.5448</c:v>
                </c:pt>
                <c:pt idx="7">
                  <c:v>13.725099999999999</c:v>
                </c:pt>
                <c:pt idx="8">
                  <c:v>13.9054</c:v>
                </c:pt>
                <c:pt idx="9">
                  <c:v>14.085699999999999</c:v>
                </c:pt>
                <c:pt idx="10">
                  <c:v>14.266</c:v>
                </c:pt>
                <c:pt idx="11">
                  <c:v>14.446300000000001</c:v>
                </c:pt>
              </c:numCache>
            </c:numRef>
          </c:val>
          <c:smooth val="0"/>
        </c:ser>
        <c:dLbls>
          <c:showLegendKey val="0"/>
          <c:showVal val="0"/>
          <c:showCatName val="0"/>
          <c:showSerName val="0"/>
          <c:showPercent val="0"/>
          <c:showBubbleSize val="0"/>
        </c:dLbls>
        <c:marker val="1"/>
        <c:smooth val="0"/>
        <c:axId val="206716928"/>
        <c:axId val="206718464"/>
      </c:lineChart>
      <c:catAx>
        <c:axId val="206716928"/>
        <c:scaling>
          <c:orientation val="minMax"/>
        </c:scaling>
        <c:delete val="0"/>
        <c:axPos val="b"/>
        <c:numFmt formatCode="General" sourceLinked="1"/>
        <c:majorTickMark val="in"/>
        <c:minorTickMark val="none"/>
        <c:tickLblPos val="nextTo"/>
        <c:spPr>
          <a:ln>
            <a:solidFill>
              <a:sysClr val="windowText" lastClr="000000"/>
            </a:solidFill>
          </a:ln>
        </c:spPr>
        <c:crossAx val="206718464"/>
        <c:crosses val="autoZero"/>
        <c:auto val="1"/>
        <c:lblAlgn val="ctr"/>
        <c:lblOffset val="100"/>
        <c:noMultiLvlLbl val="0"/>
      </c:catAx>
      <c:valAx>
        <c:axId val="206718464"/>
        <c:scaling>
          <c:orientation val="minMax"/>
          <c:max val="17"/>
          <c:min val="12"/>
        </c:scaling>
        <c:delete val="0"/>
        <c:axPos val="l"/>
        <c:title>
          <c:tx>
            <c:rich>
              <a:bodyPr rot="-5400000" vert="horz"/>
              <a:lstStyle/>
              <a:p>
                <a:pPr>
                  <a:defRPr/>
                </a:pPr>
                <a:r>
                  <a:rPr lang="en-US"/>
                  <a:t>%</a:t>
                </a:r>
              </a:p>
            </c:rich>
          </c:tx>
          <c:overlay val="0"/>
        </c:title>
        <c:numFmt formatCode="General" sourceLinked="1"/>
        <c:majorTickMark val="in"/>
        <c:minorTickMark val="none"/>
        <c:tickLblPos val="nextTo"/>
        <c:spPr>
          <a:ln>
            <a:solidFill>
              <a:sysClr val="windowText" lastClr="000000"/>
            </a:solidFill>
          </a:ln>
        </c:spPr>
        <c:crossAx val="206716928"/>
        <c:crosses val="autoZero"/>
        <c:crossBetween val="between"/>
        <c:majorUnit val="1"/>
      </c:valAx>
    </c:plotArea>
    <c:legend>
      <c:legendPos val="b"/>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949809673406"/>
          <c:y val="4.8282265552460499E-2"/>
          <c:w val="0.84425459485941401"/>
          <c:h val="0.73440805971676903"/>
        </c:manualLayout>
      </c:layout>
      <c:lineChart>
        <c:grouping val="standard"/>
        <c:varyColors val="0"/>
        <c:ser>
          <c:idx val="0"/>
          <c:order val="0"/>
          <c:tx>
            <c:strRef>
              <c:f>Sheet1!$B$1</c:f>
              <c:strCache>
                <c:ptCount val="1"/>
                <c:pt idx="0">
                  <c:v>Age 16-17</c:v>
                </c:pt>
              </c:strCache>
            </c:strRef>
          </c:tx>
          <c:marker>
            <c:symbol val="none"/>
          </c:marker>
          <c:cat>
            <c:strRef>
              <c:f>Sheet1!$A$2:$A$11</c:f>
              <c:strCache>
                <c:ptCount val="10"/>
                <c:pt idx="0">
                  <c:v>2003</c:v>
                </c:pt>
                <c:pt idx="1">
                  <c:v>2004</c:v>
                </c:pt>
                <c:pt idx="2">
                  <c:v>2005</c:v>
                </c:pt>
                <c:pt idx="3">
                  <c:v>2006</c:v>
                </c:pt>
                <c:pt idx="4">
                  <c:v>2007</c:v>
                </c:pt>
                <c:pt idx="5">
                  <c:v>2008</c:v>
                </c:pt>
                <c:pt idx="6">
                  <c:v>2009</c:v>
                </c:pt>
                <c:pt idx="7">
                  <c:v>2010</c:v>
                </c:pt>
                <c:pt idx="8">
                  <c:v>2011</c:v>
                </c:pt>
                <c:pt idx="9">
                  <c:v>2012</c:v>
                </c:pt>
              </c:strCache>
            </c:strRef>
          </c:cat>
          <c:val>
            <c:numRef>
              <c:f>Sheet1!$B$2:$B$11</c:f>
              <c:numCache>
                <c:formatCode>0.0;\-0.0;0.0;@</c:formatCode>
                <c:ptCount val="10"/>
                <c:pt idx="0">
                  <c:v>85.741092686567427</c:v>
                </c:pt>
                <c:pt idx="1">
                  <c:v>79.595158022873946</c:v>
                </c:pt>
                <c:pt idx="2">
                  <c:v>82.077112898643449</c:v>
                </c:pt>
                <c:pt idx="3">
                  <c:v>77.809306204505646</c:v>
                </c:pt>
                <c:pt idx="4">
                  <c:v>93.568069200499181</c:v>
                </c:pt>
                <c:pt idx="5">
                  <c:v>98.312570220829116</c:v>
                </c:pt>
                <c:pt idx="6">
                  <c:v>71.601196423991453</c:v>
                </c:pt>
                <c:pt idx="7">
                  <c:v>22.42965711655069</c:v>
                </c:pt>
                <c:pt idx="8">
                  <c:v>32.238538823839839</c:v>
                </c:pt>
                <c:pt idx="9">
                  <c:v>30.678806162398718</c:v>
                </c:pt>
              </c:numCache>
            </c:numRef>
          </c:val>
          <c:smooth val="0"/>
        </c:ser>
        <c:ser>
          <c:idx val="1"/>
          <c:order val="1"/>
          <c:tx>
            <c:strRef>
              <c:f>Sheet1!$C$1</c:f>
              <c:strCache>
                <c:ptCount val="1"/>
                <c:pt idx="0">
                  <c:v>Age 18-20</c:v>
                </c:pt>
              </c:strCache>
            </c:strRef>
          </c:tx>
          <c:marker>
            <c:symbol val="none"/>
          </c:marker>
          <c:cat>
            <c:strRef>
              <c:f>Sheet1!$A$2:$A$11</c:f>
              <c:strCache>
                <c:ptCount val="10"/>
                <c:pt idx="0">
                  <c:v>2003</c:v>
                </c:pt>
                <c:pt idx="1">
                  <c:v>2004</c:v>
                </c:pt>
                <c:pt idx="2">
                  <c:v>2005</c:v>
                </c:pt>
                <c:pt idx="3">
                  <c:v>2006</c:v>
                </c:pt>
                <c:pt idx="4">
                  <c:v>2007</c:v>
                </c:pt>
                <c:pt idx="5">
                  <c:v>2008</c:v>
                </c:pt>
                <c:pt idx="6">
                  <c:v>2009</c:v>
                </c:pt>
                <c:pt idx="7">
                  <c:v>2010</c:v>
                </c:pt>
                <c:pt idx="8">
                  <c:v>2011</c:v>
                </c:pt>
                <c:pt idx="9">
                  <c:v>2012</c:v>
                </c:pt>
              </c:strCache>
            </c:strRef>
          </c:cat>
          <c:val>
            <c:numRef>
              <c:f>Sheet1!$C$2:$C$11</c:f>
              <c:numCache>
                <c:formatCode>0.0;\-0.0;0.0;@</c:formatCode>
                <c:ptCount val="10"/>
                <c:pt idx="0">
                  <c:v>105.3440142000337</c:v>
                </c:pt>
                <c:pt idx="1">
                  <c:v>108.949678086123</c:v>
                </c:pt>
                <c:pt idx="2">
                  <c:v>99.784566306423784</c:v>
                </c:pt>
                <c:pt idx="3">
                  <c:v>89.695472948228812</c:v>
                </c:pt>
                <c:pt idx="4">
                  <c:v>88.353736125380621</c:v>
                </c:pt>
                <c:pt idx="5">
                  <c:v>79.136646952898346</c:v>
                </c:pt>
                <c:pt idx="6">
                  <c:v>76.36735149943064</c:v>
                </c:pt>
                <c:pt idx="7">
                  <c:v>48.597154866417213</c:v>
                </c:pt>
                <c:pt idx="8">
                  <c:v>49.561654005804883</c:v>
                </c:pt>
                <c:pt idx="9">
                  <c:v>60.704115290656453</c:v>
                </c:pt>
              </c:numCache>
            </c:numRef>
          </c:val>
          <c:smooth val="0"/>
        </c:ser>
        <c:dLbls>
          <c:showLegendKey val="0"/>
          <c:showVal val="0"/>
          <c:showCatName val="0"/>
          <c:showSerName val="0"/>
          <c:showPercent val="0"/>
          <c:showBubbleSize val="0"/>
        </c:dLbls>
        <c:marker val="1"/>
        <c:smooth val="0"/>
        <c:axId val="206748288"/>
        <c:axId val="206758272"/>
      </c:lineChart>
      <c:catAx>
        <c:axId val="206748288"/>
        <c:scaling>
          <c:orientation val="minMax"/>
        </c:scaling>
        <c:delete val="0"/>
        <c:axPos val="b"/>
        <c:majorTickMark val="in"/>
        <c:minorTickMark val="none"/>
        <c:tickLblPos val="nextTo"/>
        <c:crossAx val="206758272"/>
        <c:crosses val="autoZero"/>
        <c:auto val="1"/>
        <c:lblAlgn val="ctr"/>
        <c:lblOffset val="100"/>
        <c:noMultiLvlLbl val="0"/>
      </c:catAx>
      <c:valAx>
        <c:axId val="206758272"/>
        <c:scaling>
          <c:orientation val="minMax"/>
          <c:max val="100"/>
        </c:scaling>
        <c:delete val="0"/>
        <c:axPos val="l"/>
        <c:title>
          <c:tx>
            <c:rich>
              <a:bodyPr rot="-5400000" vert="horz"/>
              <a:lstStyle/>
              <a:p>
                <a:pPr>
                  <a:defRPr/>
                </a:pPr>
                <a:r>
                  <a:rPr lang="en-US"/>
                  <a:t>Proportion of young people not employed or in education that receive Youth Allowance (Other)</a:t>
                </a:r>
              </a:p>
              <a:p>
                <a:pPr>
                  <a:defRPr/>
                </a:pPr>
                <a:endParaRPr lang="en-US"/>
              </a:p>
            </c:rich>
          </c:tx>
          <c:overlay val="0"/>
        </c:title>
        <c:numFmt formatCode="#,##0" sourceLinked="0"/>
        <c:majorTickMark val="in"/>
        <c:minorTickMark val="none"/>
        <c:tickLblPos val="nextTo"/>
        <c:crossAx val="206748288"/>
        <c:crosses val="autoZero"/>
        <c:crossBetween val="between"/>
      </c:valAx>
    </c:plotArea>
    <c:legend>
      <c:legendPos val="b"/>
      <c:overlay val="0"/>
    </c:legend>
    <c:plotVisOnly val="1"/>
    <c:dispBlanksAs val="gap"/>
    <c:showDLblsOverMax val="0"/>
  </c:chart>
  <c:spPr>
    <a:ln>
      <a:noFill/>
    </a:ln>
  </c:spPr>
  <c:txPr>
    <a:bodyPr/>
    <a:lstStyle/>
    <a:p>
      <a:pPr>
        <a:defRPr sz="1000">
          <a:ln>
            <a:noFill/>
          </a:ln>
          <a:latin typeface="Arial Narrow"/>
          <a:cs typeface="Arial Narrow"/>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 to percentage'!$B$22</c:f>
              <c:strCache>
                <c:ptCount val="1"/>
                <c:pt idx="0">
                  <c:v>15</c:v>
                </c:pt>
              </c:strCache>
            </c:strRef>
          </c:tx>
          <c:cat>
            <c:numRef>
              <c:f>'% to percentage'!$C$21:$N$21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 to percentage'!$C$22:$N$22</c:f>
              <c:numCache>
                <c:formatCode>0.0</c:formatCode>
                <c:ptCount val="12"/>
                <c:pt idx="0">
                  <c:v>92.768266476978624</c:v>
                </c:pt>
                <c:pt idx="1">
                  <c:v>92.137310630560009</c:v>
                </c:pt>
                <c:pt idx="2">
                  <c:v>92.720744730072369</c:v>
                </c:pt>
                <c:pt idx="3">
                  <c:v>93.172334289702448</c:v>
                </c:pt>
                <c:pt idx="4">
                  <c:v>93.235774012202469</c:v>
                </c:pt>
                <c:pt idx="5">
                  <c:v>93.38735405739024</c:v>
                </c:pt>
                <c:pt idx="6">
                  <c:v>93.920262756138214</c:v>
                </c:pt>
                <c:pt idx="7">
                  <c:v>94.087324592957884</c:v>
                </c:pt>
                <c:pt idx="8">
                  <c:v>94.685780127894077</c:v>
                </c:pt>
                <c:pt idx="9">
                  <c:v>95.040842358520337</c:v>
                </c:pt>
                <c:pt idx="10">
                  <c:v>95.672920470388348</c:v>
                </c:pt>
                <c:pt idx="11">
                  <c:v>96.1</c:v>
                </c:pt>
              </c:numCache>
            </c:numRef>
          </c:val>
          <c:smooth val="0"/>
        </c:ser>
        <c:ser>
          <c:idx val="1"/>
          <c:order val="1"/>
          <c:tx>
            <c:strRef>
              <c:f>'% to percentage'!$B$23</c:f>
              <c:strCache>
                <c:ptCount val="1"/>
                <c:pt idx="0">
                  <c:v>16</c:v>
                </c:pt>
              </c:strCache>
            </c:strRef>
          </c:tx>
          <c:cat>
            <c:numRef>
              <c:f>'% to percentage'!$C$21:$N$21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 to percentage'!$C$23:$N$23</c:f>
              <c:numCache>
                <c:formatCode>0.0</c:formatCode>
                <c:ptCount val="12"/>
                <c:pt idx="0">
                  <c:v>81.678115725885348</c:v>
                </c:pt>
                <c:pt idx="1">
                  <c:v>81.399133319342766</c:v>
                </c:pt>
                <c:pt idx="2">
                  <c:v>81.374292761833672</c:v>
                </c:pt>
                <c:pt idx="3">
                  <c:v>82.458879101988344</c:v>
                </c:pt>
                <c:pt idx="4">
                  <c:v>82.577166368934314</c:v>
                </c:pt>
                <c:pt idx="5">
                  <c:v>82.253601308649579</c:v>
                </c:pt>
                <c:pt idx="6">
                  <c:v>82.827844468554119</c:v>
                </c:pt>
                <c:pt idx="7">
                  <c:v>83.184414164790041</c:v>
                </c:pt>
                <c:pt idx="8">
                  <c:v>82.916114972967151</c:v>
                </c:pt>
                <c:pt idx="9">
                  <c:v>84.703604051344513</c:v>
                </c:pt>
                <c:pt idx="10">
                  <c:v>86.719858639886468</c:v>
                </c:pt>
                <c:pt idx="11">
                  <c:v>87.6</c:v>
                </c:pt>
              </c:numCache>
            </c:numRef>
          </c:val>
          <c:smooth val="0"/>
        </c:ser>
        <c:ser>
          <c:idx val="2"/>
          <c:order val="2"/>
          <c:tx>
            <c:strRef>
              <c:f>'% to percentage'!$B$24</c:f>
              <c:strCache>
                <c:ptCount val="1"/>
                <c:pt idx="0">
                  <c:v>17</c:v>
                </c:pt>
              </c:strCache>
            </c:strRef>
          </c:tx>
          <c:cat>
            <c:numRef>
              <c:f>'% to percentage'!$C$21:$N$21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 to percentage'!$C$24:$N$24</c:f>
              <c:numCache>
                <c:formatCode>0.0</c:formatCode>
                <c:ptCount val="12"/>
                <c:pt idx="0">
                  <c:v>62.7229047515535</c:v>
                </c:pt>
                <c:pt idx="1">
                  <c:v>62.921711958038053</c:v>
                </c:pt>
                <c:pt idx="2">
                  <c:v>63.1556327691641</c:v>
                </c:pt>
                <c:pt idx="3">
                  <c:v>62.697904340053512</c:v>
                </c:pt>
                <c:pt idx="4">
                  <c:v>63.462742870459422</c:v>
                </c:pt>
                <c:pt idx="5">
                  <c:v>63.091593384721207</c:v>
                </c:pt>
                <c:pt idx="6">
                  <c:v>63.275959820712252</c:v>
                </c:pt>
                <c:pt idx="7">
                  <c:v>62.937243329137146</c:v>
                </c:pt>
                <c:pt idx="8">
                  <c:v>62.654723569613289</c:v>
                </c:pt>
                <c:pt idx="9">
                  <c:v>63.711334640315563</c:v>
                </c:pt>
                <c:pt idx="10">
                  <c:v>65.638762073617215</c:v>
                </c:pt>
                <c:pt idx="11">
                  <c:v>66.8</c:v>
                </c:pt>
              </c:numCache>
            </c:numRef>
          </c:val>
          <c:smooth val="0"/>
        </c:ser>
        <c:dLbls>
          <c:showLegendKey val="0"/>
          <c:showVal val="0"/>
          <c:showCatName val="0"/>
          <c:showSerName val="0"/>
          <c:showPercent val="0"/>
          <c:showBubbleSize val="0"/>
        </c:dLbls>
        <c:marker val="1"/>
        <c:smooth val="0"/>
        <c:axId val="198733824"/>
        <c:axId val="198735360"/>
      </c:lineChart>
      <c:catAx>
        <c:axId val="198733824"/>
        <c:scaling>
          <c:orientation val="minMax"/>
        </c:scaling>
        <c:delete val="0"/>
        <c:axPos val="b"/>
        <c:numFmt formatCode="General" sourceLinked="1"/>
        <c:majorTickMark val="out"/>
        <c:minorTickMark val="none"/>
        <c:tickLblPos val="nextTo"/>
        <c:crossAx val="198735360"/>
        <c:crosses val="autoZero"/>
        <c:auto val="1"/>
        <c:lblAlgn val="ctr"/>
        <c:lblOffset val="100"/>
        <c:noMultiLvlLbl val="0"/>
      </c:catAx>
      <c:valAx>
        <c:axId val="198735360"/>
        <c:scaling>
          <c:orientation val="minMax"/>
          <c:max val="100"/>
          <c:min val="60"/>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87338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chemeClr val="accent1"/>
            </a:solidFill>
          </c:spPr>
          <c:invertIfNegative val="0"/>
          <c:dLbls>
            <c:showLegendKey val="0"/>
            <c:showVal val="1"/>
            <c:showCatName val="0"/>
            <c:showSerName val="0"/>
            <c:showPercent val="0"/>
            <c:showBubbleSize val="0"/>
            <c:showLeaderLines val="0"/>
          </c:dLbls>
          <c:cat>
            <c:strRef>
              <c:f>'Question 9.2'!$A$3:$A$8</c:f>
              <c:strCache>
                <c:ptCount val="6"/>
                <c:pt idx="0">
                  <c:v>PBs complement/leverage services/initiatives delivered by other organisations</c:v>
                </c:pt>
                <c:pt idx="1">
                  <c:v>Partnerships address the real needs of young people</c:v>
                </c:pt>
                <c:pt idx="2">
                  <c:v>PBs complement state level reform and policies (in terms of school community partnerships)</c:v>
                </c:pt>
                <c:pt idx="3">
                  <c:v>PBs deliver a service in places and ways that stakeholders need and respond well to</c:v>
                </c:pt>
                <c:pt idx="4">
                  <c:v>PBs deliver services not delivered by other organisations</c:v>
                </c:pt>
                <c:pt idx="5">
                  <c:v>PBs have enough capacity to meet demand for services</c:v>
                </c:pt>
              </c:strCache>
            </c:strRef>
          </c:cat>
          <c:val>
            <c:numRef>
              <c:f>'Question 9.2'!$B$3:$B$8</c:f>
              <c:numCache>
                <c:formatCode>0%</c:formatCode>
                <c:ptCount val="6"/>
                <c:pt idx="0">
                  <c:v>0.94347826086956499</c:v>
                </c:pt>
                <c:pt idx="1">
                  <c:v>0.93913043478260905</c:v>
                </c:pt>
                <c:pt idx="2">
                  <c:v>0.84347826086956501</c:v>
                </c:pt>
                <c:pt idx="3">
                  <c:v>0.84210526315789502</c:v>
                </c:pt>
                <c:pt idx="4">
                  <c:v>0.80349344978165904</c:v>
                </c:pt>
                <c:pt idx="5">
                  <c:v>0.29565217391304299</c:v>
                </c:pt>
              </c:numCache>
            </c:numRef>
          </c:val>
        </c:ser>
        <c:dLbls>
          <c:showLegendKey val="0"/>
          <c:showVal val="0"/>
          <c:showCatName val="0"/>
          <c:showSerName val="0"/>
          <c:showPercent val="0"/>
          <c:showBubbleSize val="0"/>
        </c:dLbls>
        <c:gapWidth val="150"/>
        <c:axId val="203687808"/>
        <c:axId val="203689344"/>
      </c:barChart>
      <c:catAx>
        <c:axId val="203687808"/>
        <c:scaling>
          <c:orientation val="minMax"/>
        </c:scaling>
        <c:delete val="0"/>
        <c:axPos val="b"/>
        <c:majorTickMark val="out"/>
        <c:minorTickMark val="none"/>
        <c:tickLblPos val="nextTo"/>
        <c:txPr>
          <a:bodyPr/>
          <a:lstStyle/>
          <a:p>
            <a:pPr>
              <a:defRPr sz="800"/>
            </a:pPr>
            <a:endParaRPr lang="en-US"/>
          </a:p>
        </c:txPr>
        <c:crossAx val="203689344"/>
        <c:crosses val="autoZero"/>
        <c:auto val="1"/>
        <c:lblAlgn val="ctr"/>
        <c:lblOffset val="100"/>
        <c:noMultiLvlLbl val="0"/>
      </c:catAx>
      <c:valAx>
        <c:axId val="203689344"/>
        <c:scaling>
          <c:orientation val="minMax"/>
        </c:scaling>
        <c:delete val="0"/>
        <c:axPos val="l"/>
        <c:title>
          <c:tx>
            <c:rich>
              <a:bodyPr rot="-5400000" vert="horz"/>
              <a:lstStyle/>
              <a:p>
                <a:pPr>
                  <a:defRPr/>
                </a:pPr>
                <a:r>
                  <a:rPr lang="en-US"/>
                  <a:t>Proportion of service providers that agree</a:t>
                </a:r>
              </a:p>
            </c:rich>
          </c:tx>
          <c:overlay val="0"/>
        </c:title>
        <c:numFmt formatCode="0%" sourceLinked="1"/>
        <c:majorTickMark val="out"/>
        <c:minorTickMark val="none"/>
        <c:tickLblPos val="nextTo"/>
        <c:crossAx val="203687808"/>
        <c:crosses val="autoZero"/>
        <c:crossBetween val="between"/>
      </c:valAx>
    </c:plotArea>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SES!$B$1</c:f>
              <c:strCache>
                <c:ptCount val="1"/>
                <c:pt idx="0">
                  <c:v>Australian population (2006)</c:v>
                </c:pt>
              </c:strCache>
            </c:strRef>
          </c:tx>
          <c:spPr>
            <a:solidFill>
              <a:schemeClr val="accent1"/>
            </a:solidFill>
          </c:spPr>
          <c:invertIfNegative val="0"/>
          <c:dLbls>
            <c:showLegendKey val="0"/>
            <c:showVal val="1"/>
            <c:showCatName val="0"/>
            <c:showSerName val="0"/>
            <c:showPercent val="0"/>
            <c:showBubbleSize val="0"/>
            <c:showLeaderLines val="0"/>
          </c:dLbls>
          <c:val>
            <c:numRef>
              <c:f>SES!$B$2:$B$6</c:f>
              <c:numCache>
                <c:formatCode>0%</c:formatCode>
                <c:ptCount val="5"/>
                <c:pt idx="0">
                  <c:v>0.13</c:v>
                </c:pt>
                <c:pt idx="1">
                  <c:v>0.22</c:v>
                </c:pt>
                <c:pt idx="2">
                  <c:v>0.2</c:v>
                </c:pt>
                <c:pt idx="3">
                  <c:v>0.23</c:v>
                </c:pt>
                <c:pt idx="4">
                  <c:v>0.22</c:v>
                </c:pt>
              </c:numCache>
            </c:numRef>
          </c:val>
        </c:ser>
        <c:ser>
          <c:idx val="1"/>
          <c:order val="1"/>
          <c:tx>
            <c:strRef>
              <c:f>SES!$C$1</c:f>
              <c:strCache>
                <c:ptCount val="1"/>
                <c:pt idx="0">
                  <c:v>YC participants (2011)</c:v>
                </c:pt>
              </c:strCache>
            </c:strRef>
          </c:tx>
          <c:spPr>
            <a:solidFill>
              <a:schemeClr val="tx2">
                <a:lumMod val="75000"/>
              </a:schemeClr>
            </a:solidFill>
          </c:spPr>
          <c:invertIfNegative val="0"/>
          <c:dLbls>
            <c:showLegendKey val="0"/>
            <c:showVal val="1"/>
            <c:showCatName val="0"/>
            <c:showSerName val="0"/>
            <c:showPercent val="0"/>
            <c:showBubbleSize val="0"/>
            <c:showLeaderLines val="0"/>
          </c:dLbls>
          <c:val>
            <c:numRef>
              <c:f>SES!$C$2:$C$6</c:f>
              <c:numCache>
                <c:formatCode>0%</c:formatCode>
                <c:ptCount val="5"/>
                <c:pt idx="0">
                  <c:v>0.39000000000000101</c:v>
                </c:pt>
                <c:pt idx="1">
                  <c:v>0.24</c:v>
                </c:pt>
                <c:pt idx="2">
                  <c:v>0.17</c:v>
                </c:pt>
                <c:pt idx="3">
                  <c:v>0.12</c:v>
                </c:pt>
                <c:pt idx="4">
                  <c:v>0.08</c:v>
                </c:pt>
              </c:numCache>
            </c:numRef>
          </c:val>
        </c:ser>
        <c:ser>
          <c:idx val="2"/>
          <c:order val="2"/>
          <c:tx>
            <c:strRef>
              <c:f>SES!$D$1</c:f>
              <c:strCache>
                <c:ptCount val="1"/>
                <c:pt idx="0">
                  <c:v>YC participants (2012)</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val>
            <c:numRef>
              <c:f>SES!$D$2:$D$6</c:f>
              <c:numCache>
                <c:formatCode>0%</c:formatCode>
                <c:ptCount val="5"/>
                <c:pt idx="0">
                  <c:v>0.41</c:v>
                </c:pt>
                <c:pt idx="1">
                  <c:v>0.25</c:v>
                </c:pt>
                <c:pt idx="2">
                  <c:v>0.16</c:v>
                </c:pt>
                <c:pt idx="3">
                  <c:v>0.11</c:v>
                </c:pt>
                <c:pt idx="4">
                  <c:v>7.0000000000000007E-2</c:v>
                </c:pt>
              </c:numCache>
            </c:numRef>
          </c:val>
        </c:ser>
        <c:dLbls>
          <c:showLegendKey val="0"/>
          <c:showVal val="0"/>
          <c:showCatName val="0"/>
          <c:showSerName val="0"/>
          <c:showPercent val="0"/>
          <c:showBubbleSize val="0"/>
        </c:dLbls>
        <c:gapWidth val="150"/>
        <c:axId val="203707904"/>
        <c:axId val="203709824"/>
      </c:barChart>
      <c:catAx>
        <c:axId val="203707904"/>
        <c:scaling>
          <c:orientation val="minMax"/>
        </c:scaling>
        <c:delete val="0"/>
        <c:axPos val="b"/>
        <c:title>
          <c:tx>
            <c:rich>
              <a:bodyPr/>
              <a:lstStyle/>
              <a:p>
                <a:pPr>
                  <a:defRPr/>
                </a:pPr>
                <a:r>
                  <a:rPr lang="en-US"/>
                  <a:t>SEIFA quintile</a:t>
                </a:r>
              </a:p>
            </c:rich>
          </c:tx>
          <c:overlay val="0"/>
        </c:title>
        <c:majorTickMark val="out"/>
        <c:minorTickMark val="none"/>
        <c:tickLblPos val="nextTo"/>
        <c:crossAx val="203709824"/>
        <c:crosses val="autoZero"/>
        <c:auto val="1"/>
        <c:lblAlgn val="ctr"/>
        <c:lblOffset val="100"/>
        <c:noMultiLvlLbl val="0"/>
      </c:catAx>
      <c:valAx>
        <c:axId val="203709824"/>
        <c:scaling>
          <c:orientation val="minMax"/>
        </c:scaling>
        <c:delete val="0"/>
        <c:axPos val="l"/>
        <c:title>
          <c:tx>
            <c:rich>
              <a:bodyPr rot="-5400000" vert="horz"/>
              <a:lstStyle/>
              <a:p>
                <a:pPr>
                  <a:defRPr/>
                </a:pPr>
                <a:r>
                  <a:rPr lang="en-US"/>
                  <a:t>Proportion</a:t>
                </a:r>
                <a:r>
                  <a:rPr lang="en-US" baseline="0"/>
                  <a:t> (%)</a:t>
                </a:r>
                <a:endParaRPr lang="en-US"/>
              </a:p>
            </c:rich>
          </c:tx>
          <c:overlay val="0"/>
        </c:title>
        <c:numFmt formatCode="0%" sourceLinked="1"/>
        <c:majorTickMark val="out"/>
        <c:minorTickMark val="none"/>
        <c:tickLblPos val="nextTo"/>
        <c:crossAx val="203707904"/>
        <c:crosses val="autoZero"/>
        <c:crossBetween val="between"/>
      </c:valAx>
    </c:plotArea>
    <c:legend>
      <c:legendPos val="b"/>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Needs!$A$30:$A$34</c:f>
              <c:strCache>
                <c:ptCount val="5"/>
                <c:pt idx="0">
                  <c:v>targets young people that can most benefit from the program</c:v>
                </c:pt>
                <c:pt idx="1">
                  <c:v>delivers services in places and ways that young people need and respond well to</c:v>
                </c:pt>
                <c:pt idx="2">
                  <c:v>delivers a service not delivered by other programs or organisations</c:v>
                </c:pt>
                <c:pt idx="3">
                  <c:v>delivers services that address the root causes of young people disconnecting from education and training</c:v>
                </c:pt>
                <c:pt idx="4">
                  <c:v>has enough capacity to meet demand for services</c:v>
                </c:pt>
              </c:strCache>
            </c:strRef>
          </c:cat>
          <c:val>
            <c:numRef>
              <c:f>Needs!$B$30:$B$34</c:f>
            </c:numRef>
          </c:val>
        </c:ser>
        <c:ser>
          <c:idx val="1"/>
          <c:order val="1"/>
          <c:invertIfNegative val="0"/>
          <c:cat>
            <c:strRef>
              <c:f>Needs!$A$30:$A$34</c:f>
              <c:strCache>
                <c:ptCount val="5"/>
                <c:pt idx="0">
                  <c:v>targets young people that can most benefit from the program</c:v>
                </c:pt>
                <c:pt idx="1">
                  <c:v>delivers services in places and ways that young people need and respond well to</c:v>
                </c:pt>
                <c:pt idx="2">
                  <c:v>delivers a service not delivered by other programs or organisations</c:v>
                </c:pt>
                <c:pt idx="3">
                  <c:v>delivers services that address the root causes of young people disconnecting from education and training</c:v>
                </c:pt>
                <c:pt idx="4">
                  <c:v>has enough capacity to meet demand for services</c:v>
                </c:pt>
              </c:strCache>
            </c:strRef>
          </c:cat>
          <c:val>
            <c:numRef>
              <c:f>Needs!$C$30:$C$34</c:f>
            </c:numRef>
          </c:val>
        </c:ser>
        <c:ser>
          <c:idx val="2"/>
          <c:order val="2"/>
          <c:spPr>
            <a:solidFill>
              <a:schemeClr val="accent1"/>
            </a:solidFill>
          </c:spPr>
          <c:invertIfNegative val="0"/>
          <c:dLbls>
            <c:showLegendKey val="0"/>
            <c:showVal val="1"/>
            <c:showCatName val="0"/>
            <c:showSerName val="0"/>
            <c:showPercent val="0"/>
            <c:showBubbleSize val="0"/>
            <c:showLeaderLines val="0"/>
          </c:dLbls>
          <c:cat>
            <c:strRef>
              <c:f>Needs!$A$30:$A$34</c:f>
              <c:strCache>
                <c:ptCount val="5"/>
                <c:pt idx="0">
                  <c:v>targets young people that can most benefit from the program</c:v>
                </c:pt>
                <c:pt idx="1">
                  <c:v>delivers services in places and ways that young people need and respond well to</c:v>
                </c:pt>
                <c:pt idx="2">
                  <c:v>delivers a service not delivered by other programs or organisations</c:v>
                </c:pt>
                <c:pt idx="3">
                  <c:v>delivers services that address the root causes of young people disconnecting from education and training</c:v>
                </c:pt>
                <c:pt idx="4">
                  <c:v>has enough capacity to meet demand for services</c:v>
                </c:pt>
              </c:strCache>
            </c:strRef>
          </c:cat>
          <c:val>
            <c:numRef>
              <c:f>Needs!$D$30:$D$34</c:f>
              <c:numCache>
                <c:formatCode>0%</c:formatCode>
                <c:ptCount val="5"/>
                <c:pt idx="0">
                  <c:v>0.94786729857820096</c:v>
                </c:pt>
                <c:pt idx="1">
                  <c:v>0.90140845070422404</c:v>
                </c:pt>
                <c:pt idx="2">
                  <c:v>0.87793427230047305</c:v>
                </c:pt>
                <c:pt idx="3">
                  <c:v>0.85581395348837397</c:v>
                </c:pt>
                <c:pt idx="4">
                  <c:v>0.30516431924882698</c:v>
                </c:pt>
              </c:numCache>
            </c:numRef>
          </c:val>
        </c:ser>
        <c:dLbls>
          <c:showLegendKey val="0"/>
          <c:showVal val="0"/>
          <c:showCatName val="0"/>
          <c:showSerName val="0"/>
          <c:showPercent val="0"/>
          <c:showBubbleSize val="0"/>
        </c:dLbls>
        <c:gapWidth val="150"/>
        <c:axId val="200292992"/>
        <c:axId val="200302976"/>
      </c:barChart>
      <c:catAx>
        <c:axId val="200292992"/>
        <c:scaling>
          <c:orientation val="minMax"/>
        </c:scaling>
        <c:delete val="0"/>
        <c:axPos val="b"/>
        <c:majorTickMark val="out"/>
        <c:minorTickMark val="none"/>
        <c:tickLblPos val="nextTo"/>
        <c:crossAx val="200302976"/>
        <c:crosses val="autoZero"/>
        <c:auto val="1"/>
        <c:lblAlgn val="ctr"/>
        <c:lblOffset val="100"/>
        <c:noMultiLvlLbl val="0"/>
      </c:catAx>
      <c:valAx>
        <c:axId val="200302976"/>
        <c:scaling>
          <c:orientation val="minMax"/>
        </c:scaling>
        <c:delete val="0"/>
        <c:axPos val="l"/>
        <c:title>
          <c:tx>
            <c:rich>
              <a:bodyPr rot="-5400000" vert="horz"/>
              <a:lstStyle/>
              <a:p>
                <a:pPr>
                  <a:defRPr/>
                </a:pPr>
                <a:r>
                  <a:rPr lang="en-US"/>
                  <a:t>Proportion</a:t>
                </a:r>
                <a:r>
                  <a:rPr lang="en-US" baseline="0"/>
                  <a:t> of service providers that agreee the YC program...</a:t>
                </a:r>
                <a:endParaRPr lang="en-US"/>
              </a:p>
            </c:rich>
          </c:tx>
          <c:overlay val="0"/>
        </c:title>
        <c:numFmt formatCode="0%" sourceLinked="1"/>
        <c:majorTickMark val="out"/>
        <c:minorTickMark val="none"/>
        <c:tickLblPos val="nextTo"/>
        <c:crossAx val="200292992"/>
        <c:crosses val="autoZero"/>
        <c:crossBetween val="between"/>
      </c:valAx>
      <c:spPr>
        <a:noFill/>
        <a:ln w="25400">
          <a:noFill/>
        </a:ln>
      </c:spPr>
    </c:plotArea>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Australia</c:v>
                </c:pt>
              </c:strCache>
            </c:strRef>
          </c:tx>
          <c:spPr>
            <a:solidFill>
              <a:schemeClr val="accent1"/>
            </a:solidFill>
          </c:spPr>
          <c:invertIfNegative val="0"/>
          <c:trendline>
            <c:spPr>
              <a:ln>
                <a:solidFill>
                  <a:schemeClr val="bg1">
                    <a:lumMod val="50000"/>
                  </a:schemeClr>
                </a:solidFill>
              </a:ln>
            </c:spPr>
            <c:trendlineType val="linear"/>
            <c:dispRSqr val="0"/>
            <c:dispEq val="0"/>
          </c:trendline>
          <c:cat>
            <c:numRef>
              <c:f>Sheet1!$B$1:$L$1</c:f>
              <c:numCache>
                <c:formatCode>@</c:formatCode>
                <c:ptCount val="11"/>
                <c:pt idx="0">
                  <c:v>2000</c:v>
                </c:pt>
                <c:pt idx="1">
                  <c:v>2001</c:v>
                </c:pt>
                <c:pt idx="2">
                  <c:v>2002</c:v>
                </c:pt>
                <c:pt idx="3">
                  <c:v>2003</c:v>
                </c:pt>
                <c:pt idx="4">
                  <c:v>2004</c:v>
                </c:pt>
                <c:pt idx="5">
                  <c:v>2005</c:v>
                </c:pt>
                <c:pt idx="6">
                  <c:v>2006</c:v>
                </c:pt>
                <c:pt idx="7">
                  <c:v>2007</c:v>
                </c:pt>
                <c:pt idx="8">
                  <c:v>2008</c:v>
                </c:pt>
                <c:pt idx="9">
                  <c:v>2009</c:v>
                </c:pt>
                <c:pt idx="10" formatCode="General">
                  <c:v>2010</c:v>
                </c:pt>
              </c:numCache>
            </c:numRef>
          </c:cat>
          <c:val>
            <c:numRef>
              <c:f>Sheet1!$B$2:$L$2</c:f>
              <c:numCache>
                <c:formatCode>[=0]0\ \ ;[&lt;0.05]\ \ "n.  ";0\ \ ;@\ \ </c:formatCode>
                <c:ptCount val="11"/>
                <c:pt idx="0">
                  <c:v>81.769826994339923</c:v>
                </c:pt>
                <c:pt idx="1">
                  <c:v>81.142730448291019</c:v>
                </c:pt>
                <c:pt idx="2">
                  <c:v>82.606195845173715</c:v>
                </c:pt>
                <c:pt idx="3">
                  <c:v>82.064005442280603</c:v>
                </c:pt>
                <c:pt idx="4">
                  <c:v>81.616716175698613</c:v>
                </c:pt>
                <c:pt idx="5">
                  <c:v>82.459596837257749</c:v>
                </c:pt>
                <c:pt idx="6">
                  <c:v>82.687595167280847</c:v>
                </c:pt>
                <c:pt idx="7">
                  <c:v>82.343110585288215</c:v>
                </c:pt>
                <c:pt idx="8">
                  <c:v>81.639329776025548</c:v>
                </c:pt>
                <c:pt idx="9">
                  <c:v>79.981644116778781</c:v>
                </c:pt>
                <c:pt idx="10" formatCode="[&lt;0.05]\ &quot;n   &quot;;0\ \ \ ;@\ \ \ ">
                  <c:v>81.373021250343882</c:v>
                </c:pt>
              </c:numCache>
            </c:numRef>
          </c:val>
        </c:ser>
        <c:ser>
          <c:idx val="1"/>
          <c:order val="1"/>
          <c:tx>
            <c:strRef>
              <c:f>Sheet1!$A$3</c:f>
              <c:strCache>
                <c:ptCount val="1"/>
                <c:pt idx="0">
                  <c:v>OECD average</c:v>
                </c:pt>
              </c:strCache>
            </c:strRef>
          </c:tx>
          <c:spPr>
            <a:solidFill>
              <a:schemeClr val="bg2">
                <a:lumMod val="50000"/>
              </a:schemeClr>
            </a:solidFill>
          </c:spPr>
          <c:invertIfNegative val="0"/>
          <c:trendline>
            <c:spPr>
              <a:ln>
                <a:solidFill>
                  <a:schemeClr val="accent1">
                    <a:lumMod val="75000"/>
                  </a:schemeClr>
                </a:solidFill>
              </a:ln>
            </c:spPr>
            <c:trendlineType val="linear"/>
            <c:dispRSqr val="0"/>
            <c:dispEq val="0"/>
          </c:trendline>
          <c:cat>
            <c:numRef>
              <c:f>Sheet1!$B$1:$L$1</c:f>
              <c:numCache>
                <c:formatCode>@</c:formatCode>
                <c:ptCount val="11"/>
                <c:pt idx="0">
                  <c:v>2000</c:v>
                </c:pt>
                <c:pt idx="1">
                  <c:v>2001</c:v>
                </c:pt>
                <c:pt idx="2">
                  <c:v>2002</c:v>
                </c:pt>
                <c:pt idx="3">
                  <c:v>2003</c:v>
                </c:pt>
                <c:pt idx="4">
                  <c:v>2004</c:v>
                </c:pt>
                <c:pt idx="5">
                  <c:v>2005</c:v>
                </c:pt>
                <c:pt idx="6">
                  <c:v>2006</c:v>
                </c:pt>
                <c:pt idx="7">
                  <c:v>2007</c:v>
                </c:pt>
                <c:pt idx="8">
                  <c:v>2008</c:v>
                </c:pt>
                <c:pt idx="9">
                  <c:v>2009</c:v>
                </c:pt>
                <c:pt idx="10" formatCode="General">
                  <c:v>2010</c:v>
                </c:pt>
              </c:numCache>
            </c:numRef>
          </c:cat>
          <c:val>
            <c:numRef>
              <c:f>Sheet1!$B$3:$L$3</c:f>
              <c:numCache>
                <c:formatCode>[=0]0\ \ ;[&lt;0.05]\ \ "n.  ";0\ \ ;@\ \ </c:formatCode>
                <c:ptCount val="11"/>
                <c:pt idx="0">
                  <c:v>76.728795780066278</c:v>
                </c:pt>
                <c:pt idx="1">
                  <c:v>77.659584577649412</c:v>
                </c:pt>
                <c:pt idx="2">
                  <c:v>78.202086046130972</c:v>
                </c:pt>
                <c:pt idx="3">
                  <c:v>78.975961846638739</c:v>
                </c:pt>
                <c:pt idx="4">
                  <c:v>80.259799182172102</c:v>
                </c:pt>
                <c:pt idx="5">
                  <c:v>81.234021692650501</c:v>
                </c:pt>
                <c:pt idx="6">
                  <c:v>81.196457821334008</c:v>
                </c:pt>
                <c:pt idx="7">
                  <c:v>81.507533547996417</c:v>
                </c:pt>
                <c:pt idx="8">
                  <c:v>81.594684552555947</c:v>
                </c:pt>
                <c:pt idx="9">
                  <c:v>82.147761812808781</c:v>
                </c:pt>
                <c:pt idx="10">
                  <c:v>83.011070893798546</c:v>
                </c:pt>
              </c:numCache>
            </c:numRef>
          </c:val>
        </c:ser>
        <c:dLbls>
          <c:showLegendKey val="0"/>
          <c:showVal val="0"/>
          <c:showCatName val="0"/>
          <c:showSerName val="0"/>
          <c:showPercent val="0"/>
          <c:showBubbleSize val="0"/>
        </c:dLbls>
        <c:gapWidth val="150"/>
        <c:axId val="200337280"/>
        <c:axId val="200338816"/>
      </c:barChart>
      <c:catAx>
        <c:axId val="200337280"/>
        <c:scaling>
          <c:orientation val="minMax"/>
        </c:scaling>
        <c:delete val="0"/>
        <c:axPos val="b"/>
        <c:numFmt formatCode="@" sourceLinked="1"/>
        <c:majorTickMark val="out"/>
        <c:minorTickMark val="none"/>
        <c:tickLblPos val="nextTo"/>
        <c:crossAx val="200338816"/>
        <c:crosses val="autoZero"/>
        <c:auto val="1"/>
        <c:lblAlgn val="ctr"/>
        <c:lblOffset val="100"/>
        <c:noMultiLvlLbl val="0"/>
      </c:catAx>
      <c:valAx>
        <c:axId val="200338816"/>
        <c:scaling>
          <c:orientation val="minMax"/>
        </c:scaling>
        <c:delete val="0"/>
        <c:axPos val="l"/>
        <c:title>
          <c:tx>
            <c:rich>
              <a:bodyPr rot="-5400000" vert="horz"/>
              <a:lstStyle/>
              <a:p>
                <a:pPr>
                  <a:defRPr/>
                </a:pPr>
                <a:r>
                  <a:rPr lang="en-US"/>
                  <a:t>Proportion of 15-19 year olds (%)</a:t>
                </a:r>
              </a:p>
            </c:rich>
          </c:tx>
          <c:layout>
            <c:manualLayout>
              <c:xMode val="edge"/>
              <c:yMode val="edge"/>
              <c:x val="2.1381227282446E-2"/>
              <c:y val="0.10144014284735201"/>
            </c:manualLayout>
          </c:layout>
          <c:overlay val="0"/>
        </c:title>
        <c:numFmt formatCode="[=0]0\ \ ;[&lt;0.05]\ \ &quot;n.  &quot;;0\ \ ;@\ \ " sourceLinked="1"/>
        <c:majorTickMark val="out"/>
        <c:minorTickMark val="none"/>
        <c:tickLblPos val="nextTo"/>
        <c:crossAx val="200337280"/>
        <c:crosses val="autoZero"/>
        <c:crossBetween val="between"/>
      </c:valAx>
    </c:plotArea>
    <c:legend>
      <c:legendPos val="b"/>
      <c:overlay val="0"/>
    </c:legend>
    <c:plotVisOnly val="1"/>
    <c:dispBlanksAs val="gap"/>
    <c:showDLblsOverMax val="0"/>
  </c:chart>
  <c:spPr>
    <a:ln>
      <a:noFill/>
    </a:ln>
  </c:spPr>
  <c:txPr>
    <a:bodyPr/>
    <a:lstStyle/>
    <a:p>
      <a:pPr>
        <a:defRPr sz="1000">
          <a:latin typeface="Arial Narrow"/>
          <a:cs typeface="Arial Narrow"/>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Sheet1!$A$2</c:f>
              <c:strCache>
                <c:ptCount val="1"/>
                <c:pt idx="0">
                  <c:v>School</c:v>
                </c:pt>
              </c:strCache>
            </c:strRef>
          </c:tx>
          <c:spPr>
            <a:solidFill>
              <a:schemeClr val="accent1"/>
            </a:solidFill>
          </c:spPr>
          <c:invertIfNegative val="0"/>
          <c:dLbls>
            <c:showLegendKey val="0"/>
            <c:showVal val="1"/>
            <c:showCatName val="0"/>
            <c:showSerName val="0"/>
            <c:showPercent val="0"/>
            <c:showBubbleSize val="0"/>
            <c:showLeaderLines val="0"/>
          </c:dLbls>
          <c:cat>
            <c:strRef>
              <c:f>Sheet1!$B$1:$D$1</c:f>
              <c:strCache>
                <c:ptCount val="3"/>
                <c:pt idx="0">
                  <c:v>Age 16</c:v>
                </c:pt>
                <c:pt idx="1">
                  <c:v>Age 17</c:v>
                </c:pt>
                <c:pt idx="2">
                  <c:v>Age 16-17</c:v>
                </c:pt>
              </c:strCache>
            </c:strRef>
          </c:cat>
          <c:val>
            <c:numRef>
              <c:f>Sheet1!$B$2:$D$2</c:f>
              <c:numCache>
                <c:formatCode>0</c:formatCode>
                <c:ptCount val="3"/>
                <c:pt idx="0">
                  <c:v>256.3</c:v>
                </c:pt>
                <c:pt idx="1">
                  <c:v>198.4</c:v>
                </c:pt>
                <c:pt idx="2">
                  <c:v>454.7</c:v>
                </c:pt>
              </c:numCache>
            </c:numRef>
          </c:val>
        </c:ser>
        <c:ser>
          <c:idx val="1"/>
          <c:order val="1"/>
          <c:tx>
            <c:strRef>
              <c:f>Sheet1!$A$3</c:f>
              <c:strCache>
                <c:ptCount val="1"/>
                <c:pt idx="0">
                  <c:v>Higher education</c:v>
                </c:pt>
              </c:strCache>
            </c:strRef>
          </c:tx>
          <c:spPr>
            <a:solidFill>
              <a:schemeClr val="tx2">
                <a:lumMod val="50000"/>
              </a:schemeClr>
            </a:solidFill>
          </c:spPr>
          <c:invertIfNegative val="0"/>
          <c:dLbls>
            <c:showLegendKey val="0"/>
            <c:showVal val="1"/>
            <c:showCatName val="0"/>
            <c:showSerName val="0"/>
            <c:showPercent val="0"/>
            <c:showBubbleSize val="0"/>
            <c:showLeaderLines val="0"/>
          </c:dLbls>
          <c:cat>
            <c:strRef>
              <c:f>Sheet1!$B$1:$D$1</c:f>
              <c:strCache>
                <c:ptCount val="3"/>
                <c:pt idx="0">
                  <c:v>Age 16</c:v>
                </c:pt>
                <c:pt idx="1">
                  <c:v>Age 17</c:v>
                </c:pt>
                <c:pt idx="2">
                  <c:v>Age 16-17</c:v>
                </c:pt>
              </c:strCache>
            </c:strRef>
          </c:cat>
          <c:val>
            <c:numRef>
              <c:f>Sheet1!$B$3:$D$3</c:f>
              <c:numCache>
                <c:formatCode>0</c:formatCode>
                <c:ptCount val="3"/>
                <c:pt idx="0">
                  <c:v>1.1000000000000001</c:v>
                </c:pt>
                <c:pt idx="1">
                  <c:v>37.5</c:v>
                </c:pt>
                <c:pt idx="2">
                  <c:v>38.6</c:v>
                </c:pt>
              </c:numCache>
            </c:numRef>
          </c:val>
        </c:ser>
        <c:ser>
          <c:idx val="2"/>
          <c:order val="2"/>
          <c:tx>
            <c:strRef>
              <c:f>Sheet1!$A$4</c:f>
              <c:strCache>
                <c:ptCount val="1"/>
                <c:pt idx="0">
                  <c:v>VET (non-school)</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Sheet1!$B$1:$D$1</c:f>
              <c:strCache>
                <c:ptCount val="3"/>
                <c:pt idx="0">
                  <c:v>Age 16</c:v>
                </c:pt>
                <c:pt idx="1">
                  <c:v>Age 17</c:v>
                </c:pt>
                <c:pt idx="2">
                  <c:v>Age 16-17</c:v>
                </c:pt>
              </c:strCache>
            </c:strRef>
          </c:cat>
          <c:val>
            <c:numRef>
              <c:f>Sheet1!$B$4:$D$4</c:f>
              <c:numCache>
                <c:formatCode>0</c:formatCode>
                <c:ptCount val="3"/>
                <c:pt idx="0">
                  <c:v>15.8</c:v>
                </c:pt>
                <c:pt idx="1">
                  <c:v>31.6</c:v>
                </c:pt>
                <c:pt idx="2">
                  <c:v>47.400000000000013</c:v>
                </c:pt>
              </c:numCache>
            </c:numRef>
          </c:val>
        </c:ser>
        <c:dLbls>
          <c:showLegendKey val="0"/>
          <c:showVal val="0"/>
          <c:showCatName val="0"/>
          <c:showSerName val="0"/>
          <c:showPercent val="0"/>
          <c:showBubbleSize val="0"/>
        </c:dLbls>
        <c:gapWidth val="150"/>
        <c:overlap val="100"/>
        <c:axId val="203806976"/>
        <c:axId val="206446592"/>
      </c:barChart>
      <c:catAx>
        <c:axId val="203806976"/>
        <c:scaling>
          <c:orientation val="minMax"/>
        </c:scaling>
        <c:delete val="0"/>
        <c:axPos val="b"/>
        <c:majorTickMark val="out"/>
        <c:minorTickMark val="none"/>
        <c:tickLblPos val="nextTo"/>
        <c:crossAx val="206446592"/>
        <c:crosses val="autoZero"/>
        <c:auto val="1"/>
        <c:lblAlgn val="ctr"/>
        <c:lblOffset val="100"/>
        <c:noMultiLvlLbl val="0"/>
      </c:catAx>
      <c:valAx>
        <c:axId val="206446592"/>
        <c:scaling>
          <c:orientation val="minMax"/>
        </c:scaling>
        <c:delete val="0"/>
        <c:axPos val="l"/>
        <c:title>
          <c:tx>
            <c:rich>
              <a:bodyPr rot="-5400000" vert="horz"/>
              <a:lstStyle/>
              <a:p>
                <a:pPr>
                  <a:defRPr/>
                </a:pPr>
                <a:r>
                  <a:rPr lang="en-US"/>
                  <a:t>Number of 16-17 year olds ('000)</a:t>
                </a:r>
              </a:p>
            </c:rich>
          </c:tx>
          <c:overlay val="0"/>
        </c:title>
        <c:numFmt formatCode="0" sourceLinked="1"/>
        <c:majorTickMark val="out"/>
        <c:minorTickMark val="none"/>
        <c:tickLblPos val="nextTo"/>
        <c:crossAx val="203806976"/>
        <c:crosses val="autoZero"/>
        <c:crossBetween val="between"/>
      </c:valAx>
    </c:plotArea>
    <c:legend>
      <c:legendPos val="r"/>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'Means and differences'!$F$6</c:f>
              <c:strCache>
                <c:ptCount val="1"/>
                <c:pt idx="0">
                  <c:v>Country</c:v>
                </c:pt>
              </c:strCache>
            </c:strRef>
          </c:tx>
          <c:invertIfNegative val="0"/>
          <c:val>
            <c:numRef>
              <c:f>'Means and differences'!$F$7:$F$40</c:f>
              <c:numCache>
                <c:formatCode>General</c:formatCode>
                <c:ptCount val="34"/>
                <c:pt idx="18">
                  <c:v>0</c:v>
                </c:pt>
              </c:numCache>
            </c:numRef>
          </c:val>
        </c:ser>
        <c:ser>
          <c:idx val="1"/>
          <c:order val="1"/>
          <c:tx>
            <c:strRef>
              <c:f>'Means and differences'!$G$6</c:f>
              <c:strCache>
                <c:ptCount val="1"/>
                <c:pt idx="0">
                  <c:v>Mean index</c:v>
                </c:pt>
              </c:strCache>
            </c:strRef>
          </c:tx>
          <c:invertIfNegative val="0"/>
          <c:val>
            <c:numRef>
              <c:f>'Means and differences'!$G$7:$G$40</c:f>
              <c:numCache>
                <c:formatCode>0.00</c:formatCode>
                <c:ptCount val="34"/>
                <c:pt idx="0">
                  <c:v>-0.31868852958293198</c:v>
                </c:pt>
                <c:pt idx="1">
                  <c:v>-0.199974489499219</c:v>
                </c:pt>
                <c:pt idx="2">
                  <c:v>-0.19522278310138599</c:v>
                </c:pt>
                <c:pt idx="3">
                  <c:v>-0.18936833250627599</c:v>
                </c:pt>
                <c:pt idx="4">
                  <c:v>-0.15962762051540999</c:v>
                </c:pt>
                <c:pt idx="5">
                  <c:v>-0.13172167350177899</c:v>
                </c:pt>
                <c:pt idx="6">
                  <c:v>-0.13033544716605799</c:v>
                </c:pt>
                <c:pt idx="7">
                  <c:v>-0.11672052567563999</c:v>
                </c:pt>
                <c:pt idx="8">
                  <c:v>-0.10570134991199499</c:v>
                </c:pt>
                <c:pt idx="9">
                  <c:v>-0.10187018348414301</c:v>
                </c:pt>
                <c:pt idx="10">
                  <c:v>-8.7153732639022305E-2</c:v>
                </c:pt>
                <c:pt idx="11">
                  <c:v>-7.8036935754934006E-2</c:v>
                </c:pt>
                <c:pt idx="12">
                  <c:v>-6.4212115338230805E-2</c:v>
                </c:pt>
                <c:pt idx="13">
                  <c:v>-6.3169146961123607E-2</c:v>
                </c:pt>
                <c:pt idx="14">
                  <c:v>-4.0972983974329497E-2</c:v>
                </c:pt>
                <c:pt idx="15">
                  <c:v>-3.8393017503093901E-2</c:v>
                </c:pt>
                <c:pt idx="16">
                  <c:v>-3.3508679385031701E-2</c:v>
                </c:pt>
                <c:pt idx="17">
                  <c:v>-1.18556077462656E-2</c:v>
                </c:pt>
                <c:pt idx="18">
                  <c:v>-1.9728480824160702E-3</c:v>
                </c:pt>
                <c:pt idx="19">
                  <c:v>1.39811412437333E-2</c:v>
                </c:pt>
                <c:pt idx="20">
                  <c:v>1.69434179924981E-2</c:v>
                </c:pt>
                <c:pt idx="21">
                  <c:v>4.67543041088581E-2</c:v>
                </c:pt>
                <c:pt idx="22">
                  <c:v>5.5988896616893498E-2</c:v>
                </c:pt>
                <c:pt idx="23">
                  <c:v>6.2781715783204198E-2</c:v>
                </c:pt>
                <c:pt idx="24">
                  <c:v>6.5144620158267094E-2</c:v>
                </c:pt>
                <c:pt idx="25">
                  <c:v>6.9278320024279097E-2</c:v>
                </c:pt>
                <c:pt idx="26">
                  <c:v>0.12910542156639801</c:v>
                </c:pt>
                <c:pt idx="27">
                  <c:v>0.13352953591613001</c:v>
                </c:pt>
                <c:pt idx="28">
                  <c:v>0.13365104727534199</c:v>
                </c:pt>
                <c:pt idx="29">
                  <c:v>0.13565418140417901</c:v>
                </c:pt>
                <c:pt idx="30">
                  <c:v>0.141335263472294</c:v>
                </c:pt>
                <c:pt idx="31">
                  <c:v>0.20110313625185899</c:v>
                </c:pt>
                <c:pt idx="32">
                  <c:v>0.207975841985578</c:v>
                </c:pt>
                <c:pt idx="33">
                  <c:v>0.63912558556853005</c:v>
                </c:pt>
              </c:numCache>
            </c:numRef>
          </c:val>
        </c:ser>
        <c:dLbls>
          <c:showLegendKey val="0"/>
          <c:showVal val="0"/>
          <c:showCatName val="0"/>
          <c:showSerName val="0"/>
          <c:showPercent val="0"/>
          <c:showBubbleSize val="0"/>
        </c:dLbls>
        <c:gapWidth val="150"/>
        <c:axId val="206473472"/>
        <c:axId val="206475264"/>
      </c:barChart>
      <c:catAx>
        <c:axId val="206473472"/>
        <c:scaling>
          <c:orientation val="minMax"/>
        </c:scaling>
        <c:delete val="0"/>
        <c:axPos val="b"/>
        <c:majorTickMark val="none"/>
        <c:minorTickMark val="none"/>
        <c:tickLblPos val="none"/>
        <c:spPr>
          <a:ln>
            <a:solidFill>
              <a:sysClr val="windowText" lastClr="000000"/>
            </a:solidFill>
          </a:ln>
        </c:spPr>
        <c:crossAx val="206475264"/>
        <c:crosses val="autoZero"/>
        <c:auto val="1"/>
        <c:lblAlgn val="ctr"/>
        <c:lblOffset val="100"/>
        <c:noMultiLvlLbl val="0"/>
      </c:catAx>
      <c:valAx>
        <c:axId val="206475264"/>
        <c:scaling>
          <c:orientation val="minMax"/>
        </c:scaling>
        <c:delete val="0"/>
        <c:axPos val="l"/>
        <c:numFmt formatCode="#,##0.0" sourceLinked="0"/>
        <c:majorTickMark val="in"/>
        <c:minorTickMark val="none"/>
        <c:tickLblPos val="nextTo"/>
        <c:spPr>
          <a:ln>
            <a:solidFill>
              <a:schemeClr val="tx1"/>
            </a:solidFill>
          </a:ln>
        </c:spPr>
        <c:crossAx val="206473472"/>
        <c:crosses val="autoZero"/>
        <c:crossBetween val="between"/>
      </c:valAx>
    </c:plotArea>
    <c:plotVisOnly val="1"/>
    <c:dispBlanksAs val="gap"/>
    <c:showDLblsOverMax val="0"/>
  </c:chart>
  <c:spPr>
    <a:ln>
      <a:noFill/>
    </a:ln>
  </c:sp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val>
            <c:numRef>
              <c:f>'Means and differences'!$C$7:$C$40</c:f>
              <c:numCache>
                <c:formatCode>General</c:formatCode>
                <c:ptCount val="34"/>
                <c:pt idx="0">
                  <c:v>0</c:v>
                </c:pt>
              </c:numCache>
            </c:numRef>
          </c:val>
          <c:smooth val="0"/>
        </c:ser>
        <c:ser>
          <c:idx val="1"/>
          <c:order val="1"/>
          <c:marker>
            <c:symbol val="none"/>
          </c:marker>
          <c:val>
            <c:numRef>
              <c:f>'Means and differences'!$D$7:$D$40</c:f>
              <c:numCache>
                <c:formatCode>0</c:formatCode>
                <c:ptCount val="34"/>
                <c:pt idx="0">
                  <c:v>133.52349190895271</c:v>
                </c:pt>
                <c:pt idx="1">
                  <c:v>127.0259634772875</c:v>
                </c:pt>
                <c:pt idx="2">
                  <c:v>126.5567848895476</c:v>
                </c:pt>
                <c:pt idx="3">
                  <c:v>122.6111280771003</c:v>
                </c:pt>
                <c:pt idx="4">
                  <c:v>121.9002814773422</c:v>
                </c:pt>
                <c:pt idx="5">
                  <c:v>120.5621305110009</c:v>
                </c:pt>
                <c:pt idx="6">
                  <c:v>120.3500974686139</c:v>
                </c:pt>
                <c:pt idx="7">
                  <c:v>116.582301069265</c:v>
                </c:pt>
                <c:pt idx="8">
                  <c:v>116.3143002842442</c:v>
                </c:pt>
                <c:pt idx="9">
                  <c:v>114.321496246801</c:v>
                </c:pt>
                <c:pt idx="10">
                  <c:v>114.29503856035031</c:v>
                </c:pt>
                <c:pt idx="11">
                  <c:v>111.6518288199602</c:v>
                </c:pt>
                <c:pt idx="12">
                  <c:v>110.4896736534123</c:v>
                </c:pt>
                <c:pt idx="13">
                  <c:v>110.41708474201999</c:v>
                </c:pt>
                <c:pt idx="14">
                  <c:v>110.01092950716129</c:v>
                </c:pt>
                <c:pt idx="15">
                  <c:v>108.9292692098154</c:v>
                </c:pt>
                <c:pt idx="16">
                  <c:v>108.816943527866</c:v>
                </c:pt>
                <c:pt idx="17">
                  <c:v>106.9084573815059</c:v>
                </c:pt>
                <c:pt idx="18">
                  <c:v>104.600259805871</c:v>
                </c:pt>
                <c:pt idx="19">
                  <c:v>101.5089501642273</c:v>
                </c:pt>
                <c:pt idx="20">
                  <c:v>100.820246009785</c:v>
                </c:pt>
                <c:pt idx="21">
                  <c:v>98.952087465503212</c:v>
                </c:pt>
                <c:pt idx="22">
                  <c:v>98.753680257840642</c:v>
                </c:pt>
                <c:pt idx="23">
                  <c:v>98.736201751270727</c:v>
                </c:pt>
                <c:pt idx="24">
                  <c:v>98.605411785951048</c:v>
                </c:pt>
                <c:pt idx="25">
                  <c:v>98.391111050889378</c:v>
                </c:pt>
                <c:pt idx="26">
                  <c:v>95.919639927482933</c:v>
                </c:pt>
                <c:pt idx="27">
                  <c:v>89.398225687485123</c:v>
                </c:pt>
                <c:pt idx="28">
                  <c:v>88.47650895420378</c:v>
                </c:pt>
                <c:pt idx="29">
                  <c:v>86.962226882142645</c:v>
                </c:pt>
                <c:pt idx="30">
                  <c:v>79.157616860872864</c:v>
                </c:pt>
                <c:pt idx="31">
                  <c:v>60.102898738410211</c:v>
                </c:pt>
                <c:pt idx="32">
                  <c:v>54.474959039627947</c:v>
                </c:pt>
                <c:pt idx="33">
                  <c:v>42.240857187736772</c:v>
                </c:pt>
              </c:numCache>
            </c:numRef>
          </c:val>
          <c:smooth val="0"/>
        </c:ser>
        <c:dLbls>
          <c:showLegendKey val="0"/>
          <c:showVal val="0"/>
          <c:showCatName val="0"/>
          <c:showSerName val="0"/>
          <c:showPercent val="0"/>
          <c:showBubbleSize val="0"/>
        </c:dLbls>
        <c:marker val="1"/>
        <c:smooth val="0"/>
        <c:axId val="206497280"/>
        <c:axId val="206498816"/>
      </c:lineChart>
      <c:catAx>
        <c:axId val="206497280"/>
        <c:scaling>
          <c:orientation val="minMax"/>
        </c:scaling>
        <c:delete val="0"/>
        <c:axPos val="b"/>
        <c:majorTickMark val="in"/>
        <c:minorTickMark val="none"/>
        <c:tickLblPos val="none"/>
        <c:spPr>
          <a:ln>
            <a:solidFill>
              <a:sysClr val="windowText" lastClr="000000"/>
            </a:solidFill>
          </a:ln>
        </c:spPr>
        <c:crossAx val="206498816"/>
        <c:crosses val="autoZero"/>
        <c:auto val="1"/>
        <c:lblAlgn val="ctr"/>
        <c:lblOffset val="100"/>
        <c:noMultiLvlLbl val="0"/>
      </c:catAx>
      <c:valAx>
        <c:axId val="206498816"/>
        <c:scaling>
          <c:orientation val="minMax"/>
        </c:scaling>
        <c:delete val="0"/>
        <c:axPos val="l"/>
        <c:numFmt formatCode="General" sourceLinked="1"/>
        <c:majorTickMark val="in"/>
        <c:minorTickMark val="none"/>
        <c:tickLblPos val="nextTo"/>
        <c:spPr>
          <a:ln>
            <a:solidFill>
              <a:sysClr val="windowText" lastClr="000000"/>
            </a:solidFill>
          </a:ln>
        </c:spPr>
        <c:crossAx val="206497280"/>
        <c:crosses val="autoZero"/>
        <c:crossBetween val="between"/>
      </c:valAx>
    </c:plotArea>
    <c:plotVisOnly val="1"/>
    <c:dispBlanksAs val="gap"/>
    <c:showDLblsOverMax val="0"/>
  </c:chart>
  <c:spPr>
    <a:ln>
      <a:solidFill>
        <a:schemeClr val="bg1"/>
      </a:solidFill>
    </a:ln>
  </c:sp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361387396042"/>
          <c:y val="6.1162079510703397E-2"/>
          <c:w val="0.83512667751408098"/>
          <c:h val="0.71189511685068996"/>
        </c:manualLayout>
      </c:layout>
      <c:scatterChart>
        <c:scatterStyle val="lineMarker"/>
        <c:varyColors val="0"/>
        <c:ser>
          <c:idx val="0"/>
          <c:order val="0"/>
          <c:tx>
            <c:strRef>
              <c:f>Sheet1!$C$1</c:f>
              <c:strCache>
                <c:ptCount val="1"/>
                <c:pt idx="0">
                  <c:v>NEET 2009</c:v>
                </c:pt>
              </c:strCache>
            </c:strRef>
          </c:tx>
          <c:spPr>
            <a:ln w="28575">
              <a:noFill/>
            </a:ln>
          </c:spPr>
          <c:dPt>
            <c:idx val="0"/>
            <c:marker>
              <c:spPr>
                <a:noFill/>
              </c:spPr>
            </c:marker>
            <c:bubble3D val="0"/>
          </c:dPt>
          <c:dPt>
            <c:idx val="5"/>
            <c:marker>
              <c:spPr>
                <a:solidFill>
                  <a:schemeClr val="bg2"/>
                </a:solidFill>
                <a:ln>
                  <a:solidFill>
                    <a:schemeClr val="bg2"/>
                  </a:solidFill>
                </a:ln>
              </c:spPr>
            </c:marker>
            <c:bubble3D val="0"/>
          </c:dPt>
          <c:dPt>
            <c:idx val="28"/>
            <c:marker>
              <c:spPr>
                <a:solidFill>
                  <a:schemeClr val="bg2"/>
                </a:solidFill>
                <a:ln>
                  <a:solidFill>
                    <a:schemeClr val="bg2"/>
                  </a:solidFill>
                </a:ln>
              </c:spPr>
            </c:marker>
            <c:bubble3D val="0"/>
          </c:dPt>
          <c:trendline>
            <c:trendlineType val="linear"/>
            <c:dispRSqr val="1"/>
            <c:dispEq val="0"/>
            <c:trendlineLbl>
              <c:layout>
                <c:manualLayout>
                  <c:x val="-0.27537340818508799"/>
                  <c:y val="-0.37657135067166903"/>
                </c:manualLayout>
              </c:layout>
              <c:numFmt formatCode="General" sourceLinked="0"/>
              <c:txPr>
                <a:bodyPr/>
                <a:lstStyle/>
                <a:p>
                  <a:pPr>
                    <a:defRPr/>
                  </a:pPr>
                  <a:endParaRPr lang="en-US"/>
                </a:p>
              </c:txPr>
            </c:trendlineLbl>
          </c:trendline>
          <c:xVal>
            <c:numRef>
              <c:f>Sheet1!$B$2:$B$32</c:f>
              <c:numCache>
                <c:formatCode>0.0</c:formatCode>
                <c:ptCount val="31"/>
                <c:pt idx="0">
                  <c:v>77.881773399014648</c:v>
                </c:pt>
                <c:pt idx="1">
                  <c:v>84.299720491099023</c:v>
                </c:pt>
                <c:pt idx="2">
                  <c:v>91.053881737365046</c:v>
                </c:pt>
                <c:pt idx="3">
                  <c:v>80.336509936074748</c:v>
                </c:pt>
                <c:pt idx="4">
                  <c:v>92.755026179992413</c:v>
                </c:pt>
                <c:pt idx="5">
                  <c:v>88.803506140589846</c:v>
                </c:pt>
                <c:pt idx="6">
                  <c:v>89.20801165025091</c:v>
                </c:pt>
                <c:pt idx="7">
                  <c:v>90.348570071174748</c:v>
                </c:pt>
                <c:pt idx="8">
                  <c:v>89.706714855680502</c:v>
                </c:pt>
                <c:pt idx="9">
                  <c:v>92.671923166833778</c:v>
                </c:pt>
                <c:pt idx="10">
                  <c:v>87.878914734262281</c:v>
                </c:pt>
                <c:pt idx="11">
                  <c:v>92.702111013735646</c:v>
                </c:pt>
                <c:pt idx="12">
                  <c:v>88.302674618995255</c:v>
                </c:pt>
                <c:pt idx="13">
                  <c:v>82.971942163247533</c:v>
                </c:pt>
                <c:pt idx="14">
                  <c:v>68.772724154487264</c:v>
                </c:pt>
                <c:pt idx="15">
                  <c:v>83.761377128223046</c:v>
                </c:pt>
                <c:pt idx="16">
                  <c:v>94.515464234578133</c:v>
                </c:pt>
                <c:pt idx="17">
                  <c:v>60.775308438306453</c:v>
                </c:pt>
                <c:pt idx="18">
                  <c:v>89.671851626206546</c:v>
                </c:pt>
                <c:pt idx="19">
                  <c:v>72.625350358142114</c:v>
                </c:pt>
                <c:pt idx="20">
                  <c:v>80.598877105424492</c:v>
                </c:pt>
                <c:pt idx="21">
                  <c:v>94.297098241236426</c:v>
                </c:pt>
                <c:pt idx="22">
                  <c:v>84.519872199984533</c:v>
                </c:pt>
                <c:pt idx="23">
                  <c:v>91.47640402325591</c:v>
                </c:pt>
                <c:pt idx="24">
                  <c:v>94.070170471705552</c:v>
                </c:pt>
                <c:pt idx="25">
                  <c:v>80.369336589742304</c:v>
                </c:pt>
                <c:pt idx="26">
                  <c:v>87.873367289075276</c:v>
                </c:pt>
                <c:pt idx="27">
                  <c:v>84.686323928994213</c:v>
                </c:pt>
                <c:pt idx="28">
                  <c:v>56.287726358148902</c:v>
                </c:pt>
                <c:pt idx="29">
                  <c:v>78.290916224469413</c:v>
                </c:pt>
                <c:pt idx="30">
                  <c:v>84.692428984623746</c:v>
                </c:pt>
              </c:numCache>
            </c:numRef>
          </c:xVal>
          <c:yVal>
            <c:numRef>
              <c:f>Sheet1!$C$2:$C$32</c:f>
              <c:numCache>
                <c:formatCode>0.0</c:formatCode>
                <c:ptCount val="31"/>
                <c:pt idx="0">
                  <c:v>8.3321604503870557</c:v>
                </c:pt>
                <c:pt idx="1">
                  <c:v>6.5049903515085754</c:v>
                </c:pt>
                <c:pt idx="2">
                  <c:v>5.6732262887219722</c:v>
                </c:pt>
                <c:pt idx="3">
                  <c:v>8.1463281311778513</c:v>
                </c:pt>
                <c:pt idx="4">
                  <c:v>3.5055417942452509</c:v>
                </c:pt>
                <c:pt idx="5">
                  <c:v>2.8742491946854298</c:v>
                </c:pt>
                <c:pt idx="6">
                  <c:v>7.9589583006070157</c:v>
                </c:pt>
                <c:pt idx="7">
                  <c:v>5.1257073776213664</c:v>
                </c:pt>
                <c:pt idx="8">
                  <c:v>6.8811413392909344</c:v>
                </c:pt>
                <c:pt idx="9">
                  <c:v>3.7614781121168201</c:v>
                </c:pt>
                <c:pt idx="10">
                  <c:v>7.9472747155750714</c:v>
                </c:pt>
                <c:pt idx="11">
                  <c:v>5.6309369113453647</c:v>
                </c:pt>
                <c:pt idx="12">
                  <c:v>3.6689198666168208</c:v>
                </c:pt>
                <c:pt idx="13">
                  <c:v>11.00428144953095</c:v>
                </c:pt>
                <c:pt idx="14">
                  <c:v>24.67887099122073</c:v>
                </c:pt>
                <c:pt idx="15">
                  <c:v>11.21578044071452</c:v>
                </c:pt>
                <c:pt idx="16">
                  <c:v>2.7074773302243802</c:v>
                </c:pt>
                <c:pt idx="17">
                  <c:v>18.422560479832178</c:v>
                </c:pt>
                <c:pt idx="18">
                  <c:v>3.574697612124162</c:v>
                </c:pt>
                <c:pt idx="19">
                  <c:v>12.39489255683587</c:v>
                </c:pt>
                <c:pt idx="20">
                  <c:v>4.1796631316282111</c:v>
                </c:pt>
                <c:pt idx="21">
                  <c:v>3.6261922968567641</c:v>
                </c:pt>
                <c:pt idx="22">
                  <c:v>6.9159469138403233</c:v>
                </c:pt>
                <c:pt idx="23">
                  <c:v>4.5481507238076713</c:v>
                </c:pt>
                <c:pt idx="24">
                  <c:v>2.5281602695012402</c:v>
                </c:pt>
                <c:pt idx="25">
                  <c:v>13.429779527820701</c:v>
                </c:pt>
                <c:pt idx="26">
                  <c:v>5.5428432477276557</c:v>
                </c:pt>
                <c:pt idx="27">
                  <c:v>7.9469130841932909</c:v>
                </c:pt>
                <c:pt idx="28">
                  <c:v>28.6887994634473</c:v>
                </c:pt>
                <c:pt idx="29">
                  <c:v>9.5968216398097006</c:v>
                </c:pt>
                <c:pt idx="30">
                  <c:v>8.7954288377200704</c:v>
                </c:pt>
              </c:numCache>
            </c:numRef>
          </c:yVal>
          <c:smooth val="0"/>
        </c:ser>
        <c:dLbls>
          <c:showLegendKey val="0"/>
          <c:showVal val="0"/>
          <c:showCatName val="0"/>
          <c:showSerName val="0"/>
          <c:showPercent val="0"/>
          <c:showBubbleSize val="0"/>
        </c:dLbls>
        <c:axId val="206555008"/>
        <c:axId val="206561280"/>
      </c:scatterChart>
      <c:valAx>
        <c:axId val="206555008"/>
        <c:scaling>
          <c:orientation val="minMax"/>
          <c:min val="50"/>
        </c:scaling>
        <c:delete val="0"/>
        <c:axPos val="b"/>
        <c:title>
          <c:tx>
            <c:rich>
              <a:bodyPr/>
              <a:lstStyle/>
              <a:p>
                <a:pPr>
                  <a:defRPr/>
                </a:pPr>
                <a:r>
                  <a:rPr lang="en-US" sz="1000" b="1" i="0" u="none" strike="noStrike" baseline="0" smtClean="0"/>
                  <a:t>Education participation rate for 15–19-year-olds </a:t>
                </a:r>
                <a:r>
                  <a:rPr lang="en-US"/>
                  <a:t>(%)</a:t>
                </a:r>
              </a:p>
            </c:rich>
          </c:tx>
          <c:layout>
            <c:manualLayout>
              <c:xMode val="edge"/>
              <c:yMode val="edge"/>
              <c:x val="0.29906814887395"/>
              <c:y val="0.92943361188486495"/>
            </c:manualLayout>
          </c:layout>
          <c:overlay val="0"/>
        </c:title>
        <c:numFmt formatCode="0.0" sourceLinked="1"/>
        <c:majorTickMark val="in"/>
        <c:minorTickMark val="none"/>
        <c:tickLblPos val="nextTo"/>
        <c:crossAx val="206561280"/>
        <c:crosses val="autoZero"/>
        <c:crossBetween val="midCat"/>
      </c:valAx>
      <c:valAx>
        <c:axId val="206561280"/>
        <c:scaling>
          <c:orientation val="minMax"/>
        </c:scaling>
        <c:delete val="0"/>
        <c:axPos val="l"/>
        <c:title>
          <c:tx>
            <c:rich>
              <a:bodyPr rot="-5400000" vert="horz"/>
              <a:lstStyle/>
              <a:p>
                <a:pPr>
                  <a:defRPr/>
                </a:pPr>
                <a:r>
                  <a:rPr lang="en-US" sz="1000" b="1" i="0" u="none" strike="noStrike" baseline="0" smtClean="0"/>
                  <a:t>NEET as share of all 15–19-year-olds </a:t>
                </a:r>
                <a:r>
                  <a:rPr lang="en-US"/>
                  <a:t>(%)</a:t>
                </a:r>
              </a:p>
            </c:rich>
          </c:tx>
          <c:layout>
            <c:manualLayout>
              <c:xMode val="edge"/>
              <c:yMode val="edge"/>
              <c:x val="1.9243104554201401E-2"/>
              <c:y val="0.12654427945810401"/>
            </c:manualLayout>
          </c:layout>
          <c:overlay val="0"/>
        </c:title>
        <c:numFmt formatCode="0.0" sourceLinked="1"/>
        <c:majorTickMark val="in"/>
        <c:minorTickMark val="none"/>
        <c:tickLblPos val="nextTo"/>
        <c:crossAx val="206555008"/>
        <c:crosses val="autoZero"/>
        <c:crossBetween val="midCat"/>
      </c:valAx>
    </c:plotArea>
    <c:plotVisOnly val="1"/>
    <c:dispBlanksAs val="gap"/>
    <c:showDLblsOverMax val="0"/>
  </c:chart>
  <c:spPr>
    <a:ln>
      <a:noFill/>
    </a:ln>
  </c:sp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1188470891801"/>
          <c:y val="1.8614559683107101E-2"/>
          <c:w val="0.84634562008397896"/>
          <c:h val="0.84195265089919002"/>
        </c:manualLayout>
      </c:layout>
      <c:scatterChart>
        <c:scatterStyle val="lineMarker"/>
        <c:varyColors val="0"/>
        <c:ser>
          <c:idx val="0"/>
          <c:order val="0"/>
          <c:tx>
            <c:strRef>
              <c:f>'15-19 NEET and ed partn'!$C$2</c:f>
              <c:strCache>
                <c:ptCount val="1"/>
                <c:pt idx="0">
                  <c:v>FT ed as share of population</c:v>
                </c:pt>
              </c:strCache>
            </c:strRef>
          </c:tx>
          <c:spPr>
            <a:ln w="28575">
              <a:noFill/>
            </a:ln>
          </c:spPr>
          <c:dPt>
            <c:idx val="0"/>
            <c:marker>
              <c:spPr>
                <a:solidFill>
                  <a:schemeClr val="bg2"/>
                </a:solidFill>
                <a:ln>
                  <a:solidFill>
                    <a:schemeClr val="bg2"/>
                  </a:solidFill>
                </a:ln>
              </c:spPr>
            </c:marker>
            <c:bubble3D val="0"/>
          </c:dPt>
          <c:dPt>
            <c:idx val="18"/>
            <c:marker>
              <c:spPr>
                <a:solidFill>
                  <a:schemeClr val="bg2"/>
                </a:solidFill>
                <a:ln>
                  <a:solidFill>
                    <a:schemeClr val="bg2"/>
                  </a:solidFill>
                </a:ln>
              </c:spPr>
            </c:marker>
            <c:bubble3D val="0"/>
          </c:dPt>
          <c:dPt>
            <c:idx val="19"/>
            <c:marker>
              <c:spPr>
                <a:noFill/>
              </c:spPr>
            </c:marker>
            <c:bubble3D val="0"/>
          </c:dPt>
          <c:trendline>
            <c:trendlineType val="linear"/>
            <c:dispRSqr val="1"/>
            <c:dispEq val="0"/>
            <c:trendlineLbl>
              <c:layout>
                <c:manualLayout>
                  <c:x val="-0.25174574074074102"/>
                  <c:y val="5.5470370370370404E-3"/>
                </c:manualLayout>
              </c:layout>
              <c:numFmt formatCode="General" sourceLinked="0"/>
              <c:txPr>
                <a:bodyPr/>
                <a:lstStyle/>
                <a:p>
                  <a:pPr>
                    <a:defRPr>
                      <a:latin typeface="Arial Narrow"/>
                      <a:cs typeface="Arial Narrow"/>
                    </a:defRPr>
                  </a:pPr>
                  <a:endParaRPr lang="en-US"/>
                </a:p>
              </c:txPr>
            </c:trendlineLbl>
          </c:trendline>
          <c:xVal>
            <c:numRef>
              <c:f>'15-19 NEET and ed partn'!$B$3:$B$25</c:f>
              <c:numCache>
                <c:formatCode>0;\-0;0;@</c:formatCode>
                <c:ptCount val="23"/>
                <c:pt idx="0">
                  <c:v>9.4829269738502227</c:v>
                </c:pt>
                <c:pt idx="1">
                  <c:v>11.466228195571491</c:v>
                </c:pt>
                <c:pt idx="2">
                  <c:v>11.75967383606107</c:v>
                </c:pt>
                <c:pt idx="3">
                  <c:v>11.50572183191111</c:v>
                </c:pt>
                <c:pt idx="4">
                  <c:v>11.48124498899211</c:v>
                </c:pt>
                <c:pt idx="5">
                  <c:v>10.169156074623221</c:v>
                </c:pt>
                <c:pt idx="6">
                  <c:v>10.187285030466111</c:v>
                </c:pt>
                <c:pt idx="7">
                  <c:v>9.2516818444858657</c:v>
                </c:pt>
                <c:pt idx="8">
                  <c:v>10.09905324676736</c:v>
                </c:pt>
                <c:pt idx="9">
                  <c:v>8.3776074635280207</c:v>
                </c:pt>
                <c:pt idx="10">
                  <c:v>7.9665779524873841</c:v>
                </c:pt>
                <c:pt idx="11">
                  <c:v>8.3377331556918151</c:v>
                </c:pt>
                <c:pt idx="12">
                  <c:v>8.2076572477478127</c:v>
                </c:pt>
                <c:pt idx="13">
                  <c:v>7.8281020889006747</c:v>
                </c:pt>
                <c:pt idx="14">
                  <c:v>8.0692640607507187</c:v>
                </c:pt>
                <c:pt idx="15">
                  <c:v>7.7735834545539921</c:v>
                </c:pt>
                <c:pt idx="16">
                  <c:v>7.8752986238774856</c:v>
                </c:pt>
                <c:pt idx="17">
                  <c:v>7.1150582907863287</c:v>
                </c:pt>
                <c:pt idx="18">
                  <c:v>6.7944798514588376</c:v>
                </c:pt>
                <c:pt idx="19">
                  <c:v>9.1490355743557217</c:v>
                </c:pt>
                <c:pt idx="20">
                  <c:v>9.1067217936904168</c:v>
                </c:pt>
                <c:pt idx="21">
                  <c:v>8.7287449735942673</c:v>
                </c:pt>
                <c:pt idx="22">
                  <c:v>7.762629901265333</c:v>
                </c:pt>
              </c:numCache>
            </c:numRef>
          </c:xVal>
          <c:yVal>
            <c:numRef>
              <c:f>'15-19 NEET and ed partn'!$C$3:$C$25</c:f>
              <c:numCache>
                <c:formatCode>0;\-0;0;@</c:formatCode>
                <c:ptCount val="23"/>
                <c:pt idx="0">
                  <c:v>57.471977898768998</c:v>
                </c:pt>
                <c:pt idx="1">
                  <c:v>62.042626846426508</c:v>
                </c:pt>
                <c:pt idx="2">
                  <c:v>64.785720658419578</c:v>
                </c:pt>
                <c:pt idx="3">
                  <c:v>65.347384422185982</c:v>
                </c:pt>
                <c:pt idx="4">
                  <c:v>66.094603769471135</c:v>
                </c:pt>
                <c:pt idx="5">
                  <c:v>65.944897197042636</c:v>
                </c:pt>
                <c:pt idx="6">
                  <c:v>66.197262418264216</c:v>
                </c:pt>
                <c:pt idx="7">
                  <c:v>69.067628017945424</c:v>
                </c:pt>
                <c:pt idx="8">
                  <c:v>68.476175040277923</c:v>
                </c:pt>
                <c:pt idx="9">
                  <c:v>69.406631147648881</c:v>
                </c:pt>
                <c:pt idx="10">
                  <c:v>69.176259200868415</c:v>
                </c:pt>
                <c:pt idx="11">
                  <c:v>69.748514142556488</c:v>
                </c:pt>
                <c:pt idx="12">
                  <c:v>69.575774951722991</c:v>
                </c:pt>
                <c:pt idx="13">
                  <c:v>69.591624260156735</c:v>
                </c:pt>
                <c:pt idx="14">
                  <c:v>68.98597008095561</c:v>
                </c:pt>
                <c:pt idx="15">
                  <c:v>68.835957782408443</c:v>
                </c:pt>
                <c:pt idx="16">
                  <c:v>70.145696215059147</c:v>
                </c:pt>
                <c:pt idx="17">
                  <c:v>70.140417277826046</c:v>
                </c:pt>
                <c:pt idx="18">
                  <c:v>69.9246489554682</c:v>
                </c:pt>
                <c:pt idx="19">
                  <c:v>69.515087399337446</c:v>
                </c:pt>
                <c:pt idx="20">
                  <c:v>70.242740406663046</c:v>
                </c:pt>
                <c:pt idx="21">
                  <c:v>71.714076716583236</c:v>
                </c:pt>
                <c:pt idx="22">
                  <c:v>73.363128121966682</c:v>
                </c:pt>
              </c:numCache>
            </c:numRef>
          </c:yVal>
          <c:smooth val="0"/>
        </c:ser>
        <c:dLbls>
          <c:showLegendKey val="0"/>
          <c:showVal val="0"/>
          <c:showCatName val="0"/>
          <c:showSerName val="0"/>
          <c:showPercent val="0"/>
          <c:showBubbleSize val="0"/>
        </c:dLbls>
        <c:axId val="206814592"/>
        <c:axId val="210568704"/>
      </c:scatterChart>
      <c:valAx>
        <c:axId val="206814592"/>
        <c:scaling>
          <c:orientation val="minMax"/>
          <c:max val="13"/>
          <c:min val="6"/>
        </c:scaling>
        <c:delete val="0"/>
        <c:axPos val="b"/>
        <c:title>
          <c:tx>
            <c:rich>
              <a:bodyPr/>
              <a:lstStyle/>
              <a:p>
                <a:pPr>
                  <a:defRPr/>
                </a:pPr>
                <a:r>
                  <a:rPr lang="en-US" sz="1000" b="1" i="0" u="none" strike="noStrike" baseline="0" smtClean="0"/>
                  <a:t>NEET as share of all 15–19-year-olds</a:t>
                </a:r>
                <a:endParaRPr lang="en-US"/>
              </a:p>
            </c:rich>
          </c:tx>
          <c:layout>
            <c:manualLayout>
              <c:xMode val="edge"/>
              <c:yMode val="edge"/>
              <c:x val="0.37064223567391003"/>
              <c:y val="0.93332098536766095"/>
            </c:manualLayout>
          </c:layout>
          <c:overlay val="0"/>
        </c:title>
        <c:numFmt formatCode="0;\-0;0;@" sourceLinked="1"/>
        <c:majorTickMark val="in"/>
        <c:minorTickMark val="none"/>
        <c:tickLblPos val="nextTo"/>
        <c:crossAx val="210568704"/>
        <c:crosses val="autoZero"/>
        <c:crossBetween val="midCat"/>
      </c:valAx>
      <c:valAx>
        <c:axId val="210568704"/>
        <c:scaling>
          <c:orientation val="minMax"/>
          <c:max val="75"/>
          <c:min val="55"/>
        </c:scaling>
        <c:delete val="0"/>
        <c:axPos val="l"/>
        <c:title>
          <c:tx>
            <c:rich>
              <a:bodyPr rot="-5400000" vert="horz"/>
              <a:lstStyle/>
              <a:p>
                <a:pPr>
                  <a:defRPr/>
                </a:pPr>
                <a:r>
                  <a:rPr lang="en-US"/>
                  <a:t>Full-time educational participation (%)</a:t>
                </a:r>
              </a:p>
            </c:rich>
          </c:tx>
          <c:layout>
            <c:manualLayout>
              <c:xMode val="edge"/>
              <c:yMode val="edge"/>
              <c:x val="1.91124065416448E-2"/>
              <c:y val="0.20563446424170101"/>
            </c:manualLayout>
          </c:layout>
          <c:overlay val="0"/>
        </c:title>
        <c:numFmt formatCode="0;\-0;0;@" sourceLinked="1"/>
        <c:majorTickMark val="in"/>
        <c:minorTickMark val="none"/>
        <c:tickLblPos val="nextTo"/>
        <c:crossAx val="206814592"/>
        <c:crosses val="autoZero"/>
        <c:crossBetween val="midCat"/>
        <c:majorUnit val="5"/>
      </c:valAx>
    </c:plotArea>
    <c:plotVisOnly val="1"/>
    <c:dispBlanksAs val="gap"/>
    <c:showDLblsOverMax val="0"/>
  </c:chart>
  <c:spPr>
    <a:ln>
      <a:noFill/>
    </a:ln>
  </c:sp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44717681838"/>
          <c:y val="3.89221556886227E-2"/>
          <c:w val="0.85455634628045296"/>
          <c:h val="0.81632750247536401"/>
        </c:manualLayout>
      </c:layout>
      <c:scatterChart>
        <c:scatterStyle val="lineMarker"/>
        <c:varyColors val="0"/>
        <c:ser>
          <c:idx val="0"/>
          <c:order val="0"/>
          <c:tx>
            <c:strRef>
              <c:f>'NEET and ue'!$I$2</c:f>
              <c:strCache>
                <c:ptCount val="1"/>
                <c:pt idx="0">
                  <c:v>Change</c:v>
                </c:pt>
              </c:strCache>
            </c:strRef>
          </c:tx>
          <c:spPr>
            <a:ln w="28575">
              <a:noFill/>
            </a:ln>
          </c:spPr>
          <c:dPt>
            <c:idx val="0"/>
            <c:marker>
              <c:spPr>
                <a:noFill/>
              </c:spPr>
            </c:marker>
            <c:bubble3D val="0"/>
          </c:dPt>
          <c:xVal>
            <c:numRef>
              <c:f>'NEET and ue'!$F$3:$F$32</c:f>
              <c:numCache>
                <c:formatCode>0.0</c:formatCode>
                <c:ptCount val="30"/>
                <c:pt idx="0">
                  <c:v>2.0072650380634389</c:v>
                </c:pt>
                <c:pt idx="1">
                  <c:v>0.87952956045133501</c:v>
                </c:pt>
                <c:pt idx="2">
                  <c:v>0.20000225279748299</c:v>
                </c:pt>
                <c:pt idx="3">
                  <c:v>0.88899697238173803</c:v>
                </c:pt>
                <c:pt idx="4">
                  <c:v>0.78749726365290695</c:v>
                </c:pt>
                <c:pt idx="5">
                  <c:v>5.75637209100801E-2</c:v>
                </c:pt>
                <c:pt idx="6">
                  <c:v>3.0939810644316781</c:v>
                </c:pt>
                <c:pt idx="7">
                  <c:v>4.9525071163663399E-2</c:v>
                </c:pt>
                <c:pt idx="8">
                  <c:v>1.580964842359873</c:v>
                </c:pt>
                <c:pt idx="9">
                  <c:v>4.7724025268780002E-2</c:v>
                </c:pt>
                <c:pt idx="10">
                  <c:v>-0.42925481502770602</c:v>
                </c:pt>
                <c:pt idx="11">
                  <c:v>-6.5985364771078595E-2</c:v>
                </c:pt>
                <c:pt idx="12">
                  <c:v>1.159363361802155</c:v>
                </c:pt>
                <c:pt idx="13">
                  <c:v>2.5164752042825071</c:v>
                </c:pt>
                <c:pt idx="14">
                  <c:v>2.4369399595582562</c:v>
                </c:pt>
                <c:pt idx="15">
                  <c:v>1.6280858896086139</c:v>
                </c:pt>
                <c:pt idx="16">
                  <c:v>0.58892158941814898</c:v>
                </c:pt>
                <c:pt idx="17">
                  <c:v>1.5170844433998829</c:v>
                </c:pt>
                <c:pt idx="18">
                  <c:v>3.9547550138536902</c:v>
                </c:pt>
                <c:pt idx="19">
                  <c:v>0.20239040435546901</c:v>
                </c:pt>
                <c:pt idx="20">
                  <c:v>1.2468845986450821</c:v>
                </c:pt>
                <c:pt idx="21">
                  <c:v>-0.15579333212426899</c:v>
                </c:pt>
                <c:pt idx="22">
                  <c:v>-1.1097611407348771</c:v>
                </c:pt>
                <c:pt idx="23">
                  <c:v>-1.8542084470551801</c:v>
                </c:pt>
                <c:pt idx="24">
                  <c:v>2.89368074180374</c:v>
                </c:pt>
                <c:pt idx="25">
                  <c:v>1.144581268513257</c:v>
                </c:pt>
                <c:pt idx="26">
                  <c:v>-1.4331735494318081</c:v>
                </c:pt>
                <c:pt idx="27">
                  <c:v>-3.863501791782785</c:v>
                </c:pt>
                <c:pt idx="28">
                  <c:v>0.430946984178254</c:v>
                </c:pt>
                <c:pt idx="29">
                  <c:v>1.549200873514188</c:v>
                </c:pt>
              </c:numCache>
            </c:numRef>
          </c:xVal>
          <c:yVal>
            <c:numRef>
              <c:f>'NEET and ue'!$I$3:$I$32</c:f>
              <c:numCache>
                <c:formatCode>0.0</c:formatCode>
                <c:ptCount val="30"/>
                <c:pt idx="0">
                  <c:v>1.3758859999999999</c:v>
                </c:pt>
                <c:pt idx="1">
                  <c:v>0.97499999999999998</c:v>
                </c:pt>
                <c:pt idx="2">
                  <c:v>0.92500000000000004</c:v>
                </c:pt>
                <c:pt idx="3">
                  <c:v>2.15</c:v>
                </c:pt>
                <c:pt idx="4">
                  <c:v>2.2999999999999998</c:v>
                </c:pt>
                <c:pt idx="5">
                  <c:v>2.625</c:v>
                </c:pt>
                <c:pt idx="6">
                  <c:v>8.4750000000000032</c:v>
                </c:pt>
                <c:pt idx="7">
                  <c:v>1.899999999999999</c:v>
                </c:pt>
                <c:pt idx="8">
                  <c:v>1.7250000000000001</c:v>
                </c:pt>
                <c:pt idx="9">
                  <c:v>0.25</c:v>
                </c:pt>
                <c:pt idx="10">
                  <c:v>1.8249999999999991</c:v>
                </c:pt>
                <c:pt idx="11">
                  <c:v>2.1750000000000012</c:v>
                </c:pt>
                <c:pt idx="12">
                  <c:v>4.4000000000000004</c:v>
                </c:pt>
                <c:pt idx="13">
                  <c:v>5.85</c:v>
                </c:pt>
                <c:pt idx="14">
                  <c:v>1.4776180000000001</c:v>
                </c:pt>
                <c:pt idx="15">
                  <c:v>1.125</c:v>
                </c:pt>
                <c:pt idx="16">
                  <c:v>0.100000000000001</c:v>
                </c:pt>
                <c:pt idx="17">
                  <c:v>0.72499999999999998</c:v>
                </c:pt>
                <c:pt idx="18">
                  <c:v>2.0279890000000012</c:v>
                </c:pt>
                <c:pt idx="19">
                  <c:v>0.57499999999999996</c:v>
                </c:pt>
                <c:pt idx="20">
                  <c:v>1.0750000000000011</c:v>
                </c:pt>
                <c:pt idx="21">
                  <c:v>1.9500000000000011</c:v>
                </c:pt>
                <c:pt idx="22">
                  <c:v>2.5</c:v>
                </c:pt>
                <c:pt idx="23">
                  <c:v>1.55</c:v>
                </c:pt>
                <c:pt idx="24">
                  <c:v>6.7000000000000011</c:v>
                </c:pt>
                <c:pt idx="25">
                  <c:v>2.15</c:v>
                </c:pt>
                <c:pt idx="26">
                  <c:v>0.8</c:v>
                </c:pt>
                <c:pt idx="27">
                  <c:v>2.9</c:v>
                </c:pt>
                <c:pt idx="28">
                  <c:v>1.9250000000000009</c:v>
                </c:pt>
                <c:pt idx="29">
                  <c:v>3.5303799999999992</c:v>
                </c:pt>
              </c:numCache>
            </c:numRef>
          </c:yVal>
          <c:smooth val="0"/>
        </c:ser>
        <c:dLbls>
          <c:showLegendKey val="0"/>
          <c:showVal val="0"/>
          <c:showCatName val="0"/>
          <c:showSerName val="0"/>
          <c:showPercent val="0"/>
          <c:showBubbleSize val="0"/>
        </c:dLbls>
        <c:axId val="210590720"/>
        <c:axId val="210609280"/>
      </c:scatterChart>
      <c:valAx>
        <c:axId val="210590720"/>
        <c:scaling>
          <c:orientation val="minMax"/>
        </c:scaling>
        <c:delete val="0"/>
        <c:axPos val="b"/>
        <c:title>
          <c:tx>
            <c:rich>
              <a:bodyPr/>
              <a:lstStyle/>
              <a:p>
                <a:pPr>
                  <a:defRPr/>
                </a:pPr>
                <a:r>
                  <a:rPr lang="en-US" sz="1000" b="1" i="0" u="none" strike="noStrike" baseline="0" smtClean="0"/>
                  <a:t>Change in NEET for 15–19-year-olds (percentage points)</a:t>
                </a:r>
                <a:endParaRPr lang="en-US"/>
              </a:p>
            </c:rich>
          </c:tx>
          <c:overlay val="0"/>
        </c:title>
        <c:numFmt formatCode="0.0" sourceLinked="1"/>
        <c:majorTickMark val="in"/>
        <c:minorTickMark val="none"/>
        <c:tickLblPos val="nextTo"/>
        <c:crossAx val="210609280"/>
        <c:crossesAt val="-5"/>
        <c:crossBetween val="midCat"/>
      </c:valAx>
      <c:valAx>
        <c:axId val="210609280"/>
        <c:scaling>
          <c:orientation val="minMax"/>
        </c:scaling>
        <c:delete val="0"/>
        <c:axPos val="l"/>
        <c:title>
          <c:tx>
            <c:rich>
              <a:bodyPr rot="-5400000" vert="horz"/>
              <a:lstStyle/>
              <a:p>
                <a:pPr>
                  <a:defRPr/>
                </a:pPr>
                <a:r>
                  <a:rPr lang="en-US" sz="1000" b="1" i="0" u="none" strike="noStrike" baseline="0" smtClean="0"/>
                  <a:t>Increase in unemployment rate for 15–64-year-olds (percentage points)</a:t>
                </a:r>
                <a:endParaRPr lang="en-US"/>
              </a:p>
            </c:rich>
          </c:tx>
          <c:layout>
            <c:manualLayout>
              <c:xMode val="edge"/>
              <c:yMode val="edge"/>
              <c:x val="4.9874132676275698E-3"/>
              <c:y val="9.1305672033892199E-2"/>
            </c:manualLayout>
          </c:layout>
          <c:overlay val="0"/>
        </c:title>
        <c:numFmt formatCode="0.0" sourceLinked="1"/>
        <c:majorTickMark val="in"/>
        <c:minorTickMark val="none"/>
        <c:tickLblPos val="nextTo"/>
        <c:crossAx val="210590720"/>
        <c:crossesAt val="-5"/>
        <c:crossBetween val="midCat"/>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179663025993"/>
          <c:y val="4.12319553805773E-2"/>
          <c:w val="0.61740048118985102"/>
          <c:h val="0.78278032954213905"/>
        </c:manualLayout>
      </c:layout>
      <c:lineChart>
        <c:grouping val="standard"/>
        <c:varyColors val="0"/>
        <c:ser>
          <c:idx val="0"/>
          <c:order val="0"/>
          <c:tx>
            <c:strRef>
              <c:f>Tables!$A$21</c:f>
              <c:strCache>
                <c:ptCount val="1"/>
                <c:pt idx="0">
                  <c:v>Years 9–10</c:v>
                </c:pt>
              </c:strCache>
            </c:strRef>
          </c:tx>
          <c:cat>
            <c:numRef>
              <c:f>Tables!$B$20:$M$20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Tables!$B$21:$M$21</c:f>
              <c:numCache>
                <c:formatCode>0.0</c:formatCode>
                <c:ptCount val="12"/>
                <c:pt idx="0">
                  <c:v>96.1</c:v>
                </c:pt>
                <c:pt idx="1">
                  <c:v>96.2</c:v>
                </c:pt>
                <c:pt idx="2">
                  <c:v>96.4</c:v>
                </c:pt>
                <c:pt idx="3">
                  <c:v>96.9</c:v>
                </c:pt>
                <c:pt idx="4">
                  <c:v>96.8</c:v>
                </c:pt>
                <c:pt idx="5">
                  <c:v>96.6</c:v>
                </c:pt>
                <c:pt idx="6">
                  <c:v>97</c:v>
                </c:pt>
                <c:pt idx="7">
                  <c:v>97</c:v>
                </c:pt>
                <c:pt idx="8">
                  <c:v>97.1</c:v>
                </c:pt>
                <c:pt idx="9">
                  <c:v>96.9</c:v>
                </c:pt>
                <c:pt idx="10">
                  <c:v>98.1</c:v>
                </c:pt>
                <c:pt idx="11">
                  <c:v>98.7</c:v>
                </c:pt>
              </c:numCache>
            </c:numRef>
          </c:val>
          <c:smooth val="0"/>
        </c:ser>
        <c:ser>
          <c:idx val="1"/>
          <c:order val="1"/>
          <c:tx>
            <c:strRef>
              <c:f>Tables!$A$22</c:f>
              <c:strCache>
                <c:ptCount val="1"/>
                <c:pt idx="0">
                  <c:v>Years 10–11</c:v>
                </c:pt>
              </c:strCache>
            </c:strRef>
          </c:tx>
          <c:cat>
            <c:numRef>
              <c:f>Tables!$B$20:$M$20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Tables!$B$22:$M$22</c:f>
              <c:numCache>
                <c:formatCode>0.0</c:formatCode>
                <c:ptCount val="12"/>
                <c:pt idx="0">
                  <c:v>85.5</c:v>
                </c:pt>
                <c:pt idx="1">
                  <c:v>86.2</c:v>
                </c:pt>
                <c:pt idx="2">
                  <c:v>86.7</c:v>
                </c:pt>
                <c:pt idx="3">
                  <c:v>87.6</c:v>
                </c:pt>
                <c:pt idx="4">
                  <c:v>87.1</c:v>
                </c:pt>
                <c:pt idx="5">
                  <c:v>86.5</c:v>
                </c:pt>
                <c:pt idx="6">
                  <c:v>87.4</c:v>
                </c:pt>
                <c:pt idx="7">
                  <c:v>87</c:v>
                </c:pt>
                <c:pt idx="8">
                  <c:v>86.6</c:v>
                </c:pt>
                <c:pt idx="9">
                  <c:v>87.9</c:v>
                </c:pt>
                <c:pt idx="10">
                  <c:v>89.3</c:v>
                </c:pt>
                <c:pt idx="11">
                  <c:v>90</c:v>
                </c:pt>
              </c:numCache>
            </c:numRef>
          </c:val>
          <c:smooth val="0"/>
        </c:ser>
        <c:ser>
          <c:idx val="2"/>
          <c:order val="2"/>
          <c:tx>
            <c:strRef>
              <c:f>Tables!$A$23</c:f>
              <c:strCache>
                <c:ptCount val="1"/>
                <c:pt idx="0">
                  <c:v>Years 11–12</c:v>
                </c:pt>
              </c:strCache>
            </c:strRef>
          </c:tx>
          <c:cat>
            <c:numRef>
              <c:f>Tables!$B$20:$M$20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Tables!$B$23:$M$23</c:f>
              <c:numCache>
                <c:formatCode>0.0</c:formatCode>
                <c:ptCount val="12"/>
                <c:pt idx="0">
                  <c:v>83.8</c:v>
                </c:pt>
                <c:pt idx="1">
                  <c:v>84.9</c:v>
                </c:pt>
                <c:pt idx="2">
                  <c:v>85.4</c:v>
                </c:pt>
                <c:pt idx="3">
                  <c:v>84.7</c:v>
                </c:pt>
                <c:pt idx="4">
                  <c:v>84.6</c:v>
                </c:pt>
                <c:pt idx="5">
                  <c:v>84.4</c:v>
                </c:pt>
                <c:pt idx="6">
                  <c:v>84.6</c:v>
                </c:pt>
                <c:pt idx="7">
                  <c:v>82.9</c:v>
                </c:pt>
                <c:pt idx="8">
                  <c:v>82.6</c:v>
                </c:pt>
                <c:pt idx="9">
                  <c:v>83.6</c:v>
                </c:pt>
                <c:pt idx="10">
                  <c:v>84.3</c:v>
                </c:pt>
                <c:pt idx="11">
                  <c:v>84.6</c:v>
                </c:pt>
              </c:numCache>
            </c:numRef>
          </c:val>
          <c:smooth val="0"/>
        </c:ser>
        <c:dLbls>
          <c:showLegendKey val="0"/>
          <c:showVal val="0"/>
          <c:showCatName val="0"/>
          <c:showSerName val="0"/>
          <c:showPercent val="0"/>
          <c:showBubbleSize val="0"/>
        </c:dLbls>
        <c:marker val="1"/>
        <c:smooth val="0"/>
        <c:axId val="198761472"/>
        <c:axId val="199099136"/>
      </c:lineChart>
      <c:catAx>
        <c:axId val="198761472"/>
        <c:scaling>
          <c:orientation val="minMax"/>
        </c:scaling>
        <c:delete val="0"/>
        <c:axPos val="b"/>
        <c:numFmt formatCode="General" sourceLinked="1"/>
        <c:majorTickMark val="out"/>
        <c:minorTickMark val="none"/>
        <c:tickLblPos val="nextTo"/>
        <c:crossAx val="199099136"/>
        <c:crosses val="autoZero"/>
        <c:auto val="1"/>
        <c:lblAlgn val="ctr"/>
        <c:lblOffset val="100"/>
        <c:noMultiLvlLbl val="0"/>
      </c:catAx>
      <c:valAx>
        <c:axId val="199099136"/>
        <c:scaling>
          <c:orientation val="minMax"/>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8761472"/>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'May Not in ed'!$J$5</c:f>
              <c:strCache>
                <c:ptCount val="1"/>
                <c:pt idx="0">
                  <c:v>Employed full-time</c:v>
                </c:pt>
              </c:strCache>
            </c:strRef>
          </c:tx>
          <c:spPr>
            <a:ln w="19050">
              <a:solidFill>
                <a:sysClr val="windowText" lastClr="000000"/>
              </a:solidFill>
            </a:ln>
          </c:spPr>
          <c:marker>
            <c:symbol val="none"/>
          </c:marker>
          <c:cat>
            <c:strRef>
              <c:f>'May Not in ed'!$I$6:$I$28</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'May Not in ed'!$J$6:$J$28</c:f>
              <c:numCache>
                <c:formatCode>0.0;\-0.0;0.0;@</c:formatCode>
                <c:ptCount val="23"/>
                <c:pt idx="0">
                  <c:v>67.629763660918414</c:v>
                </c:pt>
                <c:pt idx="1">
                  <c:v>56.990174612479613</c:v>
                </c:pt>
                <c:pt idx="2">
                  <c:v>51.908554859590012</c:v>
                </c:pt>
                <c:pt idx="3">
                  <c:v>51.686263803211851</c:v>
                </c:pt>
                <c:pt idx="4">
                  <c:v>49.754754412513051</c:v>
                </c:pt>
                <c:pt idx="5">
                  <c:v>53.761651439211953</c:v>
                </c:pt>
                <c:pt idx="6">
                  <c:v>51.877266440033772</c:v>
                </c:pt>
                <c:pt idx="7">
                  <c:v>51.005460145593602</c:v>
                </c:pt>
                <c:pt idx="8">
                  <c:v>50.533964391930603</c:v>
                </c:pt>
                <c:pt idx="9">
                  <c:v>52.798164623068011</c:v>
                </c:pt>
                <c:pt idx="10">
                  <c:v>53.634775035038132</c:v>
                </c:pt>
                <c:pt idx="11">
                  <c:v>50.67735769250725</c:v>
                </c:pt>
                <c:pt idx="12">
                  <c:v>50.463101026734201</c:v>
                </c:pt>
                <c:pt idx="13">
                  <c:v>51.473426629096188</c:v>
                </c:pt>
                <c:pt idx="14">
                  <c:v>50.918201709331953</c:v>
                </c:pt>
                <c:pt idx="15">
                  <c:v>52.039385205472833</c:v>
                </c:pt>
                <c:pt idx="16">
                  <c:v>51.581691817984897</c:v>
                </c:pt>
                <c:pt idx="17">
                  <c:v>53.786348839494359</c:v>
                </c:pt>
                <c:pt idx="18">
                  <c:v>55.500865638080363</c:v>
                </c:pt>
                <c:pt idx="19">
                  <c:v>45.954793702675197</c:v>
                </c:pt>
                <c:pt idx="20">
                  <c:v>44.880052328653107</c:v>
                </c:pt>
                <c:pt idx="21">
                  <c:v>45.32566086851795</c:v>
                </c:pt>
                <c:pt idx="22">
                  <c:v>45.671513197569482</c:v>
                </c:pt>
              </c:numCache>
            </c:numRef>
          </c:val>
          <c:smooth val="0"/>
        </c:ser>
        <c:ser>
          <c:idx val="1"/>
          <c:order val="1"/>
          <c:tx>
            <c:strRef>
              <c:f>'May Not in ed'!$K$5</c:f>
              <c:strCache>
                <c:ptCount val="1"/>
                <c:pt idx="0">
                  <c:v>Employed part-time</c:v>
                </c:pt>
              </c:strCache>
            </c:strRef>
          </c:tx>
          <c:spPr>
            <a:ln>
              <a:solidFill>
                <a:srgbClr val="800000"/>
              </a:solidFill>
              <a:prstDash val="sysDot"/>
            </a:ln>
          </c:spPr>
          <c:marker>
            <c:symbol val="none"/>
          </c:marker>
          <c:cat>
            <c:strRef>
              <c:f>'May Not in ed'!$I$6:$I$28</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'May Not in ed'!$K$6:$K$28</c:f>
              <c:numCache>
                <c:formatCode>0.0;\-0.0;0.0;@</c:formatCode>
                <c:ptCount val="23"/>
                <c:pt idx="0">
                  <c:v>10.07216906834824</c:v>
                </c:pt>
                <c:pt idx="1">
                  <c:v>12.801654347691439</c:v>
                </c:pt>
                <c:pt idx="2">
                  <c:v>14.69682779784956</c:v>
                </c:pt>
                <c:pt idx="3">
                  <c:v>15.11069611524808</c:v>
                </c:pt>
                <c:pt idx="4">
                  <c:v>16.382656513039109</c:v>
                </c:pt>
                <c:pt idx="5">
                  <c:v>16.377460619130229</c:v>
                </c:pt>
                <c:pt idx="6">
                  <c:v>17.98527793844459</c:v>
                </c:pt>
                <c:pt idx="7">
                  <c:v>19.085156071970459</c:v>
                </c:pt>
                <c:pt idx="8">
                  <c:v>17.429779666187649</c:v>
                </c:pt>
                <c:pt idx="9">
                  <c:v>19.81809903864313</c:v>
                </c:pt>
                <c:pt idx="10">
                  <c:v>20.519634047224091</c:v>
                </c:pt>
                <c:pt idx="11">
                  <c:v>21.76124188954249</c:v>
                </c:pt>
                <c:pt idx="12">
                  <c:v>22.559524086233569</c:v>
                </c:pt>
                <c:pt idx="13">
                  <c:v>22.783330254268751</c:v>
                </c:pt>
                <c:pt idx="14">
                  <c:v>23.063689423990411</c:v>
                </c:pt>
                <c:pt idx="15">
                  <c:v>23.016535303127259</c:v>
                </c:pt>
                <c:pt idx="16">
                  <c:v>22.03920158193969</c:v>
                </c:pt>
                <c:pt idx="17">
                  <c:v>22.385259606335701</c:v>
                </c:pt>
                <c:pt idx="18">
                  <c:v>21.907611352268209</c:v>
                </c:pt>
                <c:pt idx="19">
                  <c:v>24.033522464539409</c:v>
                </c:pt>
                <c:pt idx="20">
                  <c:v>24.516585998027601</c:v>
                </c:pt>
                <c:pt idx="21">
                  <c:v>23.815367740889531</c:v>
                </c:pt>
                <c:pt idx="22">
                  <c:v>25.18606371007429</c:v>
                </c:pt>
              </c:numCache>
            </c:numRef>
          </c:val>
          <c:smooth val="0"/>
        </c:ser>
        <c:dLbls>
          <c:showLegendKey val="0"/>
          <c:showVal val="0"/>
          <c:showCatName val="0"/>
          <c:showSerName val="0"/>
          <c:showPercent val="0"/>
          <c:showBubbleSize val="0"/>
        </c:dLbls>
        <c:marker val="1"/>
        <c:smooth val="0"/>
        <c:axId val="206379648"/>
        <c:axId val="206389632"/>
      </c:lineChart>
      <c:catAx>
        <c:axId val="206379648"/>
        <c:scaling>
          <c:orientation val="minMax"/>
        </c:scaling>
        <c:delete val="0"/>
        <c:axPos val="b"/>
        <c:majorTickMark val="in"/>
        <c:minorTickMark val="none"/>
        <c:tickLblPos val="nextTo"/>
        <c:spPr>
          <a:ln>
            <a:solidFill>
              <a:sysClr val="windowText" lastClr="000000"/>
            </a:solidFill>
          </a:ln>
        </c:spPr>
        <c:txPr>
          <a:bodyPr rot="-2700000"/>
          <a:lstStyle/>
          <a:p>
            <a:pPr>
              <a:defRPr/>
            </a:pPr>
            <a:endParaRPr lang="en-US"/>
          </a:p>
        </c:txPr>
        <c:crossAx val="206389632"/>
        <c:crosses val="autoZero"/>
        <c:auto val="1"/>
        <c:lblAlgn val="ctr"/>
        <c:lblOffset val="100"/>
        <c:noMultiLvlLbl val="0"/>
      </c:catAx>
      <c:valAx>
        <c:axId val="206389632"/>
        <c:scaling>
          <c:orientation val="minMax"/>
          <c:max val="70"/>
        </c:scaling>
        <c:delete val="0"/>
        <c:axPos val="l"/>
        <c:title>
          <c:tx>
            <c:rich>
              <a:bodyPr rot="-5400000" vert="horz"/>
              <a:lstStyle/>
              <a:p>
                <a:pPr>
                  <a:defRPr/>
                </a:pPr>
                <a:r>
                  <a:rPr lang="en-US"/>
                  <a:t>%</a:t>
                </a:r>
              </a:p>
            </c:rich>
          </c:tx>
          <c:overlay val="0"/>
        </c:title>
        <c:numFmt formatCode="0.0;\-0.0;0.0;@" sourceLinked="1"/>
        <c:majorTickMark val="in"/>
        <c:minorTickMark val="none"/>
        <c:tickLblPos val="nextTo"/>
        <c:spPr>
          <a:ln>
            <a:solidFill>
              <a:schemeClr val="tx1"/>
            </a:solidFill>
          </a:ln>
        </c:spPr>
        <c:crossAx val="206379648"/>
        <c:crosses val="autoZero"/>
        <c:crossBetween val="between"/>
      </c:valAx>
    </c:plotArea>
    <c:legend>
      <c:legendPos val="t"/>
      <c:overlay val="0"/>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'May Not in ed'!$L$5</c:f>
              <c:strCache>
                <c:ptCount val="1"/>
                <c:pt idx="0">
                  <c:v>Unemployed</c:v>
                </c:pt>
              </c:strCache>
            </c:strRef>
          </c:tx>
          <c:spPr>
            <a:ln w="19050">
              <a:solidFill>
                <a:sysClr val="windowText" lastClr="000000"/>
              </a:solidFill>
              <a:prstDash val="solid"/>
            </a:ln>
          </c:spPr>
          <c:marker>
            <c:symbol val="none"/>
          </c:marker>
          <c:cat>
            <c:strRef>
              <c:f>'May Not in ed'!$I$6:$I$28</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'May Not in ed'!$L$6:$L$28</c:f>
              <c:numCache>
                <c:formatCode>0.0;\-0.0;0.0;@</c:formatCode>
                <c:ptCount val="23"/>
                <c:pt idx="0">
                  <c:v>13.876233945275899</c:v>
                </c:pt>
                <c:pt idx="1">
                  <c:v>20.598976882606831</c:v>
                </c:pt>
                <c:pt idx="2">
                  <c:v>24.585391572070801</c:v>
                </c:pt>
                <c:pt idx="3">
                  <c:v>21.486645062458489</c:v>
                </c:pt>
                <c:pt idx="4">
                  <c:v>22.80335924251769</c:v>
                </c:pt>
                <c:pt idx="5">
                  <c:v>20.14372693831643</c:v>
                </c:pt>
                <c:pt idx="6">
                  <c:v>19.508942762662869</c:v>
                </c:pt>
                <c:pt idx="7">
                  <c:v>19.370098424676382</c:v>
                </c:pt>
                <c:pt idx="8">
                  <c:v>20.097767924042909</c:v>
                </c:pt>
                <c:pt idx="9">
                  <c:v>15.628737057553259</c:v>
                </c:pt>
                <c:pt idx="10">
                  <c:v>13.73205512875972</c:v>
                </c:pt>
                <c:pt idx="11">
                  <c:v>15.424711830192861</c:v>
                </c:pt>
                <c:pt idx="12">
                  <c:v>14.551652643328801</c:v>
                </c:pt>
                <c:pt idx="13">
                  <c:v>13.63460079941915</c:v>
                </c:pt>
                <c:pt idx="14">
                  <c:v>13.36006816005353</c:v>
                </c:pt>
                <c:pt idx="15">
                  <c:v>12.2506853548101</c:v>
                </c:pt>
                <c:pt idx="16">
                  <c:v>13.245070634008799</c:v>
                </c:pt>
                <c:pt idx="17">
                  <c:v>11.558406960630061</c:v>
                </c:pt>
                <c:pt idx="18">
                  <c:v>10.750118880553829</c:v>
                </c:pt>
                <c:pt idx="19">
                  <c:v>15.81717915694073</c:v>
                </c:pt>
                <c:pt idx="20">
                  <c:v>15.16066914740345</c:v>
                </c:pt>
                <c:pt idx="21">
                  <c:v>13.10252445107912</c:v>
                </c:pt>
                <c:pt idx="22">
                  <c:v>13.128779444747019</c:v>
                </c:pt>
              </c:numCache>
            </c:numRef>
          </c:val>
          <c:smooth val="0"/>
        </c:ser>
        <c:ser>
          <c:idx val="1"/>
          <c:order val="1"/>
          <c:tx>
            <c:strRef>
              <c:f>'May Not in ed'!$M$5</c:f>
              <c:strCache>
                <c:ptCount val="1"/>
                <c:pt idx="0">
                  <c:v>Not in the labour force</c:v>
                </c:pt>
              </c:strCache>
            </c:strRef>
          </c:tx>
          <c:spPr>
            <a:ln>
              <a:solidFill>
                <a:srgbClr val="800000"/>
              </a:solidFill>
            </a:ln>
          </c:spPr>
          <c:marker>
            <c:symbol val="none"/>
          </c:marker>
          <c:cat>
            <c:strRef>
              <c:f>'May Not in ed'!$I$6:$I$28</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'May Not in ed'!$M$6:$M$28</c:f>
              <c:numCache>
                <c:formatCode>0.0;\-0.0;0.0;@</c:formatCode>
                <c:ptCount val="23"/>
                <c:pt idx="0">
                  <c:v>8.4218333254577811</c:v>
                </c:pt>
                <c:pt idx="1">
                  <c:v>9.6091941572221966</c:v>
                </c:pt>
                <c:pt idx="2">
                  <c:v>8.80922577048905</c:v>
                </c:pt>
                <c:pt idx="3">
                  <c:v>11.716395019080901</c:v>
                </c:pt>
                <c:pt idx="4">
                  <c:v>11.059229831930001</c:v>
                </c:pt>
                <c:pt idx="5">
                  <c:v>9.717161003340248</c:v>
                </c:pt>
                <c:pt idx="6">
                  <c:v>10.62851285885845</c:v>
                </c:pt>
                <c:pt idx="7">
                  <c:v>10.53928535775955</c:v>
                </c:pt>
                <c:pt idx="8">
                  <c:v>11.93848801783882</c:v>
                </c:pt>
                <c:pt idx="9">
                  <c:v>11.75499928073557</c:v>
                </c:pt>
                <c:pt idx="10">
                  <c:v>12.11353578897805</c:v>
                </c:pt>
                <c:pt idx="11">
                  <c:v>12.13668858775738</c:v>
                </c:pt>
                <c:pt idx="12">
                  <c:v>12.425722243703429</c:v>
                </c:pt>
                <c:pt idx="13">
                  <c:v>12.10864231721435</c:v>
                </c:pt>
                <c:pt idx="14">
                  <c:v>12.658040706623581</c:v>
                </c:pt>
                <c:pt idx="15">
                  <c:v>12.693394136589751</c:v>
                </c:pt>
                <c:pt idx="16">
                  <c:v>13.1340359660666</c:v>
                </c:pt>
                <c:pt idx="17">
                  <c:v>12.269984593539681</c:v>
                </c:pt>
                <c:pt idx="18">
                  <c:v>11.84140412909756</c:v>
                </c:pt>
                <c:pt idx="19">
                  <c:v>14.19450467584468</c:v>
                </c:pt>
                <c:pt idx="20">
                  <c:v>15.442692525915851</c:v>
                </c:pt>
                <c:pt idx="21">
                  <c:v>17.756446939513161</c:v>
                </c:pt>
                <c:pt idx="22">
                  <c:v>16.013643647609189</c:v>
                </c:pt>
              </c:numCache>
            </c:numRef>
          </c:val>
          <c:smooth val="0"/>
        </c:ser>
        <c:dLbls>
          <c:showLegendKey val="0"/>
          <c:showVal val="0"/>
          <c:showCatName val="0"/>
          <c:showSerName val="0"/>
          <c:showPercent val="0"/>
          <c:showBubbleSize val="0"/>
        </c:dLbls>
        <c:marker val="1"/>
        <c:smooth val="0"/>
        <c:axId val="206406784"/>
        <c:axId val="206408320"/>
      </c:lineChart>
      <c:catAx>
        <c:axId val="206406784"/>
        <c:scaling>
          <c:orientation val="minMax"/>
        </c:scaling>
        <c:delete val="0"/>
        <c:axPos val="b"/>
        <c:majorTickMark val="in"/>
        <c:minorTickMark val="none"/>
        <c:tickLblPos val="nextTo"/>
        <c:spPr>
          <a:ln>
            <a:solidFill>
              <a:sysClr val="windowText" lastClr="000000"/>
            </a:solidFill>
          </a:ln>
        </c:spPr>
        <c:txPr>
          <a:bodyPr rot="-2700000"/>
          <a:lstStyle/>
          <a:p>
            <a:pPr>
              <a:defRPr/>
            </a:pPr>
            <a:endParaRPr lang="en-US"/>
          </a:p>
        </c:txPr>
        <c:crossAx val="206408320"/>
        <c:crosses val="autoZero"/>
        <c:auto val="1"/>
        <c:lblAlgn val="ctr"/>
        <c:lblOffset val="100"/>
        <c:noMultiLvlLbl val="0"/>
      </c:catAx>
      <c:valAx>
        <c:axId val="206408320"/>
        <c:scaling>
          <c:orientation val="minMax"/>
        </c:scaling>
        <c:delete val="0"/>
        <c:axPos val="l"/>
        <c:title>
          <c:tx>
            <c:rich>
              <a:bodyPr rot="-5400000" vert="horz"/>
              <a:lstStyle/>
              <a:p>
                <a:pPr>
                  <a:defRPr/>
                </a:pPr>
                <a:r>
                  <a:rPr lang="en-US"/>
                  <a:t>%</a:t>
                </a:r>
              </a:p>
            </c:rich>
          </c:tx>
          <c:overlay val="0"/>
        </c:title>
        <c:numFmt formatCode="0.0;\-0.0;0.0;@" sourceLinked="1"/>
        <c:majorTickMark val="in"/>
        <c:minorTickMark val="none"/>
        <c:tickLblPos val="nextTo"/>
        <c:spPr>
          <a:ln>
            <a:solidFill>
              <a:schemeClr val="tx1"/>
            </a:solidFill>
          </a:ln>
        </c:spPr>
        <c:crossAx val="206406784"/>
        <c:crosses val="autoZero"/>
        <c:crossBetween val="between"/>
      </c:valAx>
    </c:plotArea>
    <c:legend>
      <c:legendPos val="t"/>
      <c:overlay val="0"/>
      <c:txPr>
        <a:bodyPr/>
        <a:lstStyle/>
        <a:p>
          <a:pPr rtl="0">
            <a:defRPr/>
          </a:pPr>
          <a:endParaRPr lang="en-US"/>
        </a:p>
      </c:txPr>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Pt>
            <c:idx val="0"/>
            <c:bubble3D val="0"/>
            <c:spPr>
              <a:solidFill>
                <a:schemeClr val="accent1">
                  <a:lumMod val="40000"/>
                  <a:lumOff val="60000"/>
                </a:schemeClr>
              </a:solidFill>
            </c:spPr>
          </c:dPt>
          <c:dPt>
            <c:idx val="1"/>
            <c:bubble3D val="0"/>
            <c:spPr>
              <a:solidFill>
                <a:schemeClr val="bg2">
                  <a:lumMod val="20000"/>
                  <a:lumOff val="80000"/>
                </a:schemeClr>
              </a:solidFill>
            </c:spPr>
          </c:dPt>
          <c:dPt>
            <c:idx val="2"/>
            <c:bubble3D val="0"/>
            <c:spPr>
              <a:solidFill>
                <a:schemeClr val="tx2">
                  <a:lumMod val="60000"/>
                  <a:lumOff val="40000"/>
                </a:schemeClr>
              </a:solidFill>
            </c:spPr>
          </c:dPt>
          <c:dPt>
            <c:idx val="3"/>
            <c:bubble3D val="0"/>
            <c:spPr>
              <a:solidFill>
                <a:schemeClr val="tx2">
                  <a:lumMod val="75000"/>
                </a:schemeClr>
              </a:solidFill>
            </c:spPr>
          </c:dPt>
          <c:dPt>
            <c:idx val="4"/>
            <c:bubble3D val="0"/>
            <c:spPr>
              <a:solidFill>
                <a:schemeClr val="accent1"/>
              </a:solidFill>
            </c:spPr>
          </c:dPt>
          <c:dLbls>
            <c:dLblPos val="outEnd"/>
            <c:showLegendKey val="0"/>
            <c:showVal val="0"/>
            <c:showCatName val="0"/>
            <c:showSerName val="0"/>
            <c:showPercent val="1"/>
            <c:showBubbleSize val="0"/>
            <c:showLeaderLines val="1"/>
          </c:dLbls>
          <c:cat>
            <c:strRef>
              <c:f>Sheet1!$A$1:$A$5</c:f>
              <c:strCache>
                <c:ptCount val="5"/>
                <c:pt idx="0">
                  <c:v>Carer payment</c:v>
                </c:pt>
                <c:pt idx="1">
                  <c:v>Parenting payment (Partnered)</c:v>
                </c:pt>
                <c:pt idx="2">
                  <c:v>Parenting Payment (Single)</c:v>
                </c:pt>
                <c:pt idx="3">
                  <c:v>Disability pension</c:v>
                </c:pt>
                <c:pt idx="4">
                  <c:v>Other</c:v>
                </c:pt>
              </c:strCache>
            </c:strRef>
          </c:cat>
          <c:val>
            <c:numRef>
              <c:f>Sheet1!$B$1:$B$5</c:f>
              <c:numCache>
                <c:formatCode>#,##0</c:formatCode>
                <c:ptCount val="5"/>
                <c:pt idx="0">
                  <c:v>1872</c:v>
                </c:pt>
                <c:pt idx="1">
                  <c:v>3044</c:v>
                </c:pt>
                <c:pt idx="2">
                  <c:v>8514</c:v>
                </c:pt>
                <c:pt idx="3">
                  <c:v>19814</c:v>
                </c:pt>
                <c:pt idx="4">
                  <c:v>32154</c:v>
                </c:pt>
              </c:numCache>
            </c:numRef>
          </c:val>
        </c:ser>
        <c:dLbls>
          <c:showLegendKey val="0"/>
          <c:showVal val="0"/>
          <c:showCatName val="0"/>
          <c:showSerName val="0"/>
          <c:showPercent val="1"/>
          <c:showBubbleSize val="0"/>
          <c:showLeaderLines val="1"/>
        </c:dLbls>
        <c:firstSliceAng val="0"/>
      </c:pieChart>
    </c:plotArea>
    <c:legend>
      <c:legendPos val="b"/>
      <c:overlay val="0"/>
    </c:legend>
    <c:plotVisOnly val="1"/>
    <c:dispBlanksAs val="zero"/>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767533869043"/>
          <c:y val="2.2284122562674102E-2"/>
          <c:w val="0.85243687066377805"/>
          <c:h val="0.75638979667931505"/>
        </c:manualLayout>
      </c:layout>
      <c:lineChart>
        <c:grouping val="standard"/>
        <c:varyColors val="0"/>
        <c:ser>
          <c:idx val="0"/>
          <c:order val="0"/>
          <c:tx>
            <c:strRef>
              <c:f>'1990+'!$M$2</c:f>
              <c:strCache>
                <c:ptCount val="1"/>
                <c:pt idx="0">
                  <c:v>20-24</c:v>
                </c:pt>
              </c:strCache>
            </c:strRef>
          </c:tx>
          <c:spPr>
            <a:ln w="28575" cmpd="sng">
              <a:solidFill>
                <a:schemeClr val="tx1"/>
              </a:solidFill>
              <a:prstDash val="solid"/>
            </a:ln>
          </c:spPr>
          <c:marker>
            <c:symbol val="none"/>
          </c:marker>
          <c:trendline>
            <c:spPr>
              <a:ln>
                <a:prstDash val="dash"/>
              </a:ln>
            </c:spPr>
            <c:trendlineType val="linear"/>
            <c:dispRSqr val="0"/>
            <c:dispEq val="0"/>
          </c:trendline>
          <c:cat>
            <c:strRef>
              <c:f>'1990+'!$A$13:$A$25</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'1990+'!$M$13:$M$25</c:f>
              <c:numCache>
                <c:formatCode>0.0;\-0.0;0.0;@</c:formatCode>
                <c:ptCount val="13"/>
                <c:pt idx="0">
                  <c:v>15.71729430415655</c:v>
                </c:pt>
                <c:pt idx="1">
                  <c:v>21.674175498919599</c:v>
                </c:pt>
                <c:pt idx="2">
                  <c:v>20.16997107839309</c:v>
                </c:pt>
                <c:pt idx="3">
                  <c:v>27.472105841693111</c:v>
                </c:pt>
                <c:pt idx="4">
                  <c:v>25.67180591435751</c:v>
                </c:pt>
                <c:pt idx="5">
                  <c:v>27.95937032772299</c:v>
                </c:pt>
                <c:pt idx="6">
                  <c:v>23.64671937575811</c:v>
                </c:pt>
                <c:pt idx="7">
                  <c:v>27.854358823514922</c:v>
                </c:pt>
                <c:pt idx="8">
                  <c:v>28.391343309379678</c:v>
                </c:pt>
                <c:pt idx="9">
                  <c:v>20.0971537954415</c:v>
                </c:pt>
                <c:pt idx="10">
                  <c:v>25.412689871435109</c:v>
                </c:pt>
                <c:pt idx="11">
                  <c:v>24.660128220379899</c:v>
                </c:pt>
                <c:pt idx="12">
                  <c:v>34.385383211094002</c:v>
                </c:pt>
              </c:numCache>
            </c:numRef>
          </c:val>
          <c:smooth val="0"/>
        </c:ser>
        <c:ser>
          <c:idx val="1"/>
          <c:order val="1"/>
          <c:tx>
            <c:strRef>
              <c:f>'1990+'!$N$2</c:f>
              <c:strCache>
                <c:ptCount val="1"/>
                <c:pt idx="0">
                  <c:v>15-19</c:v>
                </c:pt>
              </c:strCache>
            </c:strRef>
          </c:tx>
          <c:spPr>
            <a:ln>
              <a:solidFill>
                <a:schemeClr val="tx2"/>
              </a:solidFill>
            </a:ln>
          </c:spPr>
          <c:marker>
            <c:symbol val="none"/>
          </c:marker>
          <c:trendline>
            <c:spPr>
              <a:ln>
                <a:solidFill>
                  <a:schemeClr val="tx2"/>
                </a:solidFill>
                <a:prstDash val="dash"/>
              </a:ln>
            </c:spPr>
            <c:trendlineType val="linear"/>
            <c:dispRSqr val="0"/>
            <c:dispEq val="0"/>
          </c:trendline>
          <c:cat>
            <c:strRef>
              <c:f>'1990+'!$A$13:$A$25</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'1990+'!$N$13:$N$25</c:f>
              <c:numCache>
                <c:formatCode>0.0;\-0.0;0.0;@</c:formatCode>
                <c:ptCount val="13"/>
                <c:pt idx="0">
                  <c:v>46.782646719917778</c:v>
                </c:pt>
                <c:pt idx="1">
                  <c:v>50.584491918890983</c:v>
                </c:pt>
                <c:pt idx="2">
                  <c:v>55.741943846865382</c:v>
                </c:pt>
                <c:pt idx="3">
                  <c:v>51.559775497755403</c:v>
                </c:pt>
                <c:pt idx="4">
                  <c:v>61.164260293744952</c:v>
                </c:pt>
                <c:pt idx="5">
                  <c:v>49.415060105960002</c:v>
                </c:pt>
                <c:pt idx="6">
                  <c:v>56.279865420030497</c:v>
                </c:pt>
                <c:pt idx="7">
                  <c:v>55.915958974038332</c:v>
                </c:pt>
                <c:pt idx="8">
                  <c:v>52.641645961801999</c:v>
                </c:pt>
                <c:pt idx="9">
                  <c:v>56.054547019174322</c:v>
                </c:pt>
                <c:pt idx="10">
                  <c:v>60.009802756896001</c:v>
                </c:pt>
                <c:pt idx="11">
                  <c:v>60.306984675909852</c:v>
                </c:pt>
                <c:pt idx="12">
                  <c:v>64.072800585684874</c:v>
                </c:pt>
              </c:numCache>
            </c:numRef>
          </c:val>
          <c:smooth val="0"/>
        </c:ser>
        <c:dLbls>
          <c:showLegendKey val="0"/>
          <c:showVal val="0"/>
          <c:showCatName val="0"/>
          <c:showSerName val="0"/>
          <c:showPercent val="0"/>
          <c:showBubbleSize val="0"/>
        </c:dLbls>
        <c:marker val="1"/>
        <c:smooth val="0"/>
        <c:axId val="210686720"/>
        <c:axId val="210688256"/>
      </c:lineChart>
      <c:catAx>
        <c:axId val="210686720"/>
        <c:scaling>
          <c:orientation val="minMax"/>
        </c:scaling>
        <c:delete val="0"/>
        <c:axPos val="b"/>
        <c:majorTickMark val="in"/>
        <c:minorTickMark val="none"/>
        <c:tickLblPos val="nextTo"/>
        <c:spPr>
          <a:ln>
            <a:solidFill>
              <a:schemeClr val="tx1"/>
            </a:solidFill>
          </a:ln>
        </c:spPr>
        <c:crossAx val="210688256"/>
        <c:crosses val="autoZero"/>
        <c:auto val="1"/>
        <c:lblAlgn val="ctr"/>
        <c:lblOffset val="100"/>
        <c:noMultiLvlLbl val="0"/>
      </c:catAx>
      <c:valAx>
        <c:axId val="210688256"/>
        <c:scaling>
          <c:orientation val="minMax"/>
        </c:scaling>
        <c:delete val="0"/>
        <c:axPos val="l"/>
        <c:title>
          <c:tx>
            <c:rich>
              <a:bodyPr rot="-5400000" vert="horz"/>
              <a:lstStyle/>
              <a:p>
                <a:pPr>
                  <a:defRPr/>
                </a:pPr>
                <a:r>
                  <a:rPr lang="en-US"/>
                  <a:t>% of unemployed looking for first full-time job</a:t>
                </a:r>
              </a:p>
            </c:rich>
          </c:tx>
          <c:layout>
            <c:manualLayout>
              <c:xMode val="edge"/>
              <c:yMode val="edge"/>
              <c:x val="4.2762454564892003E-3"/>
              <c:y val="5.51399670665726E-2"/>
            </c:manualLayout>
          </c:layout>
          <c:overlay val="0"/>
        </c:title>
        <c:numFmt formatCode="0.0;\-0.0;0.0;@" sourceLinked="1"/>
        <c:majorTickMark val="in"/>
        <c:minorTickMark val="none"/>
        <c:tickLblPos val="nextTo"/>
        <c:spPr>
          <a:ln>
            <a:solidFill>
              <a:sysClr val="windowText" lastClr="000000"/>
            </a:solidFill>
          </a:ln>
        </c:spPr>
        <c:crossAx val="210686720"/>
        <c:crosses val="autoZero"/>
        <c:crossBetween val="between"/>
      </c:valAx>
    </c:plotArea>
    <c:legend>
      <c:legendPos val="b"/>
      <c:overlay val="0"/>
    </c:legend>
    <c:plotVisOnly val="1"/>
    <c:dispBlanksAs val="gap"/>
    <c:showDLblsOverMax val="0"/>
  </c:chart>
  <c:spPr>
    <a:ln>
      <a:noFill/>
    </a:ln>
  </c:spPr>
  <c:txPr>
    <a:bodyPr/>
    <a:lstStyle/>
    <a:p>
      <a:pPr>
        <a:defRPr sz="1000">
          <a:latin typeface="Arial Narrow"/>
          <a:cs typeface="Arial Narrow"/>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Summary!$A$22</c:f>
              <c:strCache>
                <c:ptCount val="1"/>
                <c:pt idx="0">
                  <c:v>Predictors</c:v>
                </c:pt>
              </c:strCache>
            </c:strRef>
          </c:tx>
          <c:spPr>
            <a:ln>
              <a:solidFill>
                <a:schemeClr val="tx2"/>
              </a:solidFill>
            </a:ln>
          </c:spPr>
          <c:marker>
            <c:symbol val="none"/>
          </c:marker>
          <c:dLbls>
            <c:dLblPos val="t"/>
            <c:showLegendKey val="0"/>
            <c:showVal val="1"/>
            <c:showCatName val="0"/>
            <c:showSerName val="0"/>
            <c:showPercent val="0"/>
            <c:showBubbleSize val="0"/>
            <c:showLeaderLines val="0"/>
          </c:dLbls>
          <c:cat>
            <c:strRef>
              <c:f>Summary!$B$21:$G$21</c:f>
              <c:strCache>
                <c:ptCount val="6"/>
                <c:pt idx="0">
                  <c:v>Australia</c:v>
                </c:pt>
                <c:pt idx="1">
                  <c:v>Canada</c:v>
                </c:pt>
                <c:pt idx="2">
                  <c:v>Denmark</c:v>
                </c:pt>
                <c:pt idx="3">
                  <c:v>Netherlands</c:v>
                </c:pt>
                <c:pt idx="4">
                  <c:v>Norway</c:v>
                </c:pt>
                <c:pt idx="5">
                  <c:v>Switzerland</c:v>
                </c:pt>
              </c:strCache>
            </c:strRef>
          </c:cat>
          <c:val>
            <c:numRef>
              <c:f>Summary!$B$22:$G$22</c:f>
              <c:numCache>
                <c:formatCode>0.00</c:formatCode>
                <c:ptCount val="6"/>
                <c:pt idx="0">
                  <c:v>0.81709449524720401</c:v>
                </c:pt>
                <c:pt idx="1">
                  <c:v>0.80296572676269296</c:v>
                </c:pt>
                <c:pt idx="2">
                  <c:v>0.81536916706600104</c:v>
                </c:pt>
                <c:pt idx="3">
                  <c:v>0.98040751680957705</c:v>
                </c:pt>
                <c:pt idx="4">
                  <c:v>0.97893547590030705</c:v>
                </c:pt>
                <c:pt idx="5">
                  <c:v>0.88065348607255101</c:v>
                </c:pt>
              </c:numCache>
            </c:numRef>
          </c:val>
          <c:smooth val="0"/>
        </c:ser>
        <c:ser>
          <c:idx val="1"/>
          <c:order val="1"/>
          <c:tx>
            <c:strRef>
              <c:f>Summary!$A$23</c:f>
              <c:strCache>
                <c:ptCount val="1"/>
                <c:pt idx="0">
                  <c:v>Outcomes</c:v>
                </c:pt>
              </c:strCache>
            </c:strRef>
          </c:tx>
          <c:spPr>
            <a:ln>
              <a:solidFill>
                <a:schemeClr val="accent1"/>
              </a:solidFill>
              <a:prstDash val="dash"/>
            </a:ln>
          </c:spPr>
          <c:marker>
            <c:symbol val="none"/>
          </c:marker>
          <c:dLbls>
            <c:dLblPos val="b"/>
            <c:showLegendKey val="0"/>
            <c:showVal val="1"/>
            <c:showCatName val="0"/>
            <c:showSerName val="0"/>
            <c:showPercent val="0"/>
            <c:showBubbleSize val="0"/>
            <c:showLeaderLines val="0"/>
          </c:dLbls>
          <c:cat>
            <c:strRef>
              <c:f>Summary!$B$21:$G$21</c:f>
              <c:strCache>
                <c:ptCount val="6"/>
                <c:pt idx="0">
                  <c:v>Australia</c:v>
                </c:pt>
                <c:pt idx="1">
                  <c:v>Canada</c:v>
                </c:pt>
                <c:pt idx="2">
                  <c:v>Denmark</c:v>
                </c:pt>
                <c:pt idx="3">
                  <c:v>Netherlands</c:v>
                </c:pt>
                <c:pt idx="4">
                  <c:v>Norway</c:v>
                </c:pt>
                <c:pt idx="5">
                  <c:v>Switzerland</c:v>
                </c:pt>
              </c:strCache>
            </c:strRef>
          </c:cat>
          <c:val>
            <c:numRef>
              <c:f>Summary!$B$23:$G$23</c:f>
              <c:numCache>
                <c:formatCode>0.00</c:formatCode>
                <c:ptCount val="6"/>
                <c:pt idx="0">
                  <c:v>0.38324324146121302</c:v>
                </c:pt>
                <c:pt idx="1">
                  <c:v>0.71591158777234098</c:v>
                </c:pt>
                <c:pt idx="2">
                  <c:v>0.66754397009083499</c:v>
                </c:pt>
                <c:pt idx="3">
                  <c:v>0.68210393581965101</c:v>
                </c:pt>
                <c:pt idx="4">
                  <c:v>0.75634727152239301</c:v>
                </c:pt>
                <c:pt idx="5">
                  <c:v>0.54340945956738695</c:v>
                </c:pt>
              </c:numCache>
            </c:numRef>
          </c:val>
          <c:smooth val="0"/>
        </c:ser>
        <c:dLbls>
          <c:showLegendKey val="0"/>
          <c:showVal val="0"/>
          <c:showCatName val="0"/>
          <c:showSerName val="0"/>
          <c:showPercent val="0"/>
          <c:showBubbleSize val="0"/>
        </c:dLbls>
        <c:hiLowLines>
          <c:spPr>
            <a:ln w="6350">
              <a:solidFill>
                <a:schemeClr val="tx1">
                  <a:lumMod val="50000"/>
                  <a:lumOff val="50000"/>
                </a:schemeClr>
              </a:solidFill>
              <a:prstDash val="dash"/>
            </a:ln>
          </c:spPr>
        </c:hiLowLines>
        <c:marker val="1"/>
        <c:smooth val="0"/>
        <c:axId val="210809216"/>
        <c:axId val="210810752"/>
      </c:lineChart>
      <c:catAx>
        <c:axId val="210809216"/>
        <c:scaling>
          <c:orientation val="minMax"/>
        </c:scaling>
        <c:delete val="0"/>
        <c:axPos val="b"/>
        <c:majorTickMark val="in"/>
        <c:minorTickMark val="none"/>
        <c:tickLblPos val="nextTo"/>
        <c:spPr>
          <a:ln>
            <a:solidFill>
              <a:schemeClr val="tx2"/>
            </a:solidFill>
          </a:ln>
        </c:spPr>
        <c:crossAx val="210810752"/>
        <c:crosses val="autoZero"/>
        <c:auto val="1"/>
        <c:lblAlgn val="ctr"/>
        <c:lblOffset val="100"/>
        <c:noMultiLvlLbl val="0"/>
      </c:catAx>
      <c:valAx>
        <c:axId val="210810752"/>
        <c:scaling>
          <c:orientation val="minMax"/>
        </c:scaling>
        <c:delete val="0"/>
        <c:axPos val="l"/>
        <c:title>
          <c:tx>
            <c:rich>
              <a:bodyPr rot="-5400000" vert="horz"/>
              <a:lstStyle/>
              <a:p>
                <a:pPr>
                  <a:defRPr/>
                </a:pPr>
                <a:r>
                  <a:rPr lang="en-US"/>
                  <a:t>Average score</a:t>
                </a:r>
              </a:p>
            </c:rich>
          </c:tx>
          <c:layout>
            <c:manualLayout>
              <c:xMode val="edge"/>
              <c:yMode val="edge"/>
              <c:x val="1.9243104554201401E-2"/>
              <c:y val="0.32766018926533302"/>
            </c:manualLayout>
          </c:layout>
          <c:overlay val="0"/>
        </c:title>
        <c:numFmt formatCode="0.00" sourceLinked="1"/>
        <c:majorTickMark val="in"/>
        <c:minorTickMark val="none"/>
        <c:tickLblPos val="nextTo"/>
        <c:spPr>
          <a:ln>
            <a:solidFill>
              <a:schemeClr val="tx2"/>
            </a:solidFill>
          </a:ln>
        </c:spPr>
        <c:crossAx val="210809216"/>
        <c:crosses val="autoZero"/>
        <c:crossBetween val="between"/>
      </c:valAx>
    </c:plotArea>
    <c:legend>
      <c:legendPos val="b"/>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Tables!$A$53</c:f>
              <c:strCache>
                <c:ptCount val="1"/>
                <c:pt idx="0">
                  <c:v>15 to 19 years</c:v>
                </c:pt>
              </c:strCache>
            </c:strRef>
          </c:tx>
          <c:cat>
            <c:numRef>
              <c:f>Tables!$B$52:$K$52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Tables!$B$53:$K$53</c:f>
              <c:numCache>
                <c:formatCode>0.0</c:formatCode>
                <c:ptCount val="10"/>
                <c:pt idx="0">
                  <c:v>12.6979421482643</c:v>
                </c:pt>
                <c:pt idx="1">
                  <c:v>12.260095166337649</c:v>
                </c:pt>
                <c:pt idx="2">
                  <c:v>11.96492073755066</c:v>
                </c:pt>
                <c:pt idx="3">
                  <c:v>12.25022024417272</c:v>
                </c:pt>
                <c:pt idx="4">
                  <c:v>12.34266413699782</c:v>
                </c:pt>
                <c:pt idx="5">
                  <c:v>11.94873704419361</c:v>
                </c:pt>
                <c:pt idx="6">
                  <c:v>11.66486672064252</c:v>
                </c:pt>
                <c:pt idx="7">
                  <c:v>11.546839795762461</c:v>
                </c:pt>
                <c:pt idx="8">
                  <c:v>11.57451131287255</c:v>
                </c:pt>
                <c:pt idx="9">
                  <c:v>12.2</c:v>
                </c:pt>
              </c:numCache>
            </c:numRef>
          </c:val>
          <c:smooth val="0"/>
        </c:ser>
        <c:ser>
          <c:idx val="1"/>
          <c:order val="1"/>
          <c:tx>
            <c:strRef>
              <c:f>Tables!$A$54</c:f>
              <c:strCache>
                <c:ptCount val="1"/>
                <c:pt idx="0">
                  <c:v>20 to 24 years</c:v>
                </c:pt>
              </c:strCache>
            </c:strRef>
          </c:tx>
          <c:cat>
            <c:numRef>
              <c:f>Tables!$B$52:$K$52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Tables!$B$54:$K$54</c:f>
              <c:numCache>
                <c:formatCode>0.0</c:formatCode>
                <c:ptCount val="10"/>
                <c:pt idx="0">
                  <c:v>9.6609302989978278</c:v>
                </c:pt>
                <c:pt idx="1">
                  <c:v>9.6758875118352385</c:v>
                </c:pt>
                <c:pt idx="2">
                  <c:v>9.0362207582232053</c:v>
                </c:pt>
                <c:pt idx="3">
                  <c:v>8.8695715155255073</c:v>
                </c:pt>
                <c:pt idx="4">
                  <c:v>8.7490097550171182</c:v>
                </c:pt>
                <c:pt idx="5">
                  <c:v>8.1158107855473194</c:v>
                </c:pt>
                <c:pt idx="6">
                  <c:v>7.4147985885274386</c:v>
                </c:pt>
                <c:pt idx="7">
                  <c:v>7.406163145589403</c:v>
                </c:pt>
                <c:pt idx="8">
                  <c:v>7.7835888648773066</c:v>
                </c:pt>
                <c:pt idx="9">
                  <c:v>8.1</c:v>
                </c:pt>
              </c:numCache>
            </c:numRef>
          </c:val>
          <c:smooth val="0"/>
        </c:ser>
        <c:ser>
          <c:idx val="2"/>
          <c:order val="2"/>
          <c:tx>
            <c:strRef>
              <c:f>Tables!$A$55</c:f>
              <c:strCache>
                <c:ptCount val="1"/>
                <c:pt idx="0">
                  <c:v>16 to 17 years</c:v>
                </c:pt>
              </c:strCache>
            </c:strRef>
          </c:tx>
          <c:cat>
            <c:numRef>
              <c:f>Tables!$B$52:$K$52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Tables!$B$55:$K$55</c:f>
              <c:numCache>
                <c:formatCode>0.0</c:formatCode>
                <c:ptCount val="10"/>
                <c:pt idx="0">
                  <c:v>13.374552079283131</c:v>
                </c:pt>
                <c:pt idx="1">
                  <c:v>12.77500596996971</c:v>
                </c:pt>
                <c:pt idx="2">
                  <c:v>12.48813452888607</c:v>
                </c:pt>
                <c:pt idx="3">
                  <c:v>12.73101172120429</c:v>
                </c:pt>
                <c:pt idx="4">
                  <c:v>12.89270240721477</c:v>
                </c:pt>
                <c:pt idx="5">
                  <c:v>12.737720053849699</c:v>
                </c:pt>
                <c:pt idx="6">
                  <c:v>12.79626989115973</c:v>
                </c:pt>
                <c:pt idx="7">
                  <c:v>12.3613223241715</c:v>
                </c:pt>
                <c:pt idx="8">
                  <c:v>12.04005142287501</c:v>
                </c:pt>
                <c:pt idx="9">
                  <c:v>12.5</c:v>
                </c:pt>
              </c:numCache>
            </c:numRef>
          </c:val>
          <c:smooth val="0"/>
        </c:ser>
        <c:dLbls>
          <c:showLegendKey val="0"/>
          <c:showVal val="0"/>
          <c:showCatName val="0"/>
          <c:showSerName val="0"/>
          <c:showPercent val="0"/>
          <c:showBubbleSize val="0"/>
        </c:dLbls>
        <c:marker val="1"/>
        <c:smooth val="0"/>
        <c:axId val="199114112"/>
        <c:axId val="199136384"/>
      </c:lineChart>
      <c:catAx>
        <c:axId val="199114112"/>
        <c:scaling>
          <c:orientation val="minMax"/>
        </c:scaling>
        <c:delete val="0"/>
        <c:axPos val="b"/>
        <c:numFmt formatCode="General" sourceLinked="1"/>
        <c:majorTickMark val="out"/>
        <c:minorTickMark val="none"/>
        <c:tickLblPos val="nextTo"/>
        <c:crossAx val="199136384"/>
        <c:crosses val="autoZero"/>
        <c:auto val="1"/>
        <c:lblAlgn val="ctr"/>
        <c:lblOffset val="100"/>
        <c:noMultiLvlLbl val="0"/>
      </c:catAx>
      <c:valAx>
        <c:axId val="199136384"/>
        <c:scaling>
          <c:orientation val="minMax"/>
          <c:min val="6"/>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91141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Tables!$A$58</c:f>
              <c:strCache>
                <c:ptCount val="1"/>
                <c:pt idx="0">
                  <c:v> Certificate III or higher</c:v>
                </c:pt>
              </c:strCache>
            </c:strRef>
          </c:tx>
          <c:cat>
            <c:numRef>
              <c:f>Tables!$B$57:$K$57</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Tables!$B$58:$K$58</c:f>
              <c:numCache>
                <c:formatCode>0.0</c:formatCode>
                <c:ptCount val="10"/>
                <c:pt idx="0">
                  <c:v>5.9077780266465227</c:v>
                </c:pt>
                <c:pt idx="1">
                  <c:v>5.9201773997022524</c:v>
                </c:pt>
                <c:pt idx="2">
                  <c:v>6.1058208541640209</c:v>
                </c:pt>
                <c:pt idx="3">
                  <c:v>6.4713561110702811</c:v>
                </c:pt>
                <c:pt idx="4">
                  <c:v>6.7566889602566418</c:v>
                </c:pt>
                <c:pt idx="5">
                  <c:v>6.7079004944328924</c:v>
                </c:pt>
                <c:pt idx="6">
                  <c:v>6.8231921355649954</c:v>
                </c:pt>
                <c:pt idx="7">
                  <c:v>6.8356725821183524</c:v>
                </c:pt>
                <c:pt idx="8">
                  <c:v>6.9495791420518911</c:v>
                </c:pt>
                <c:pt idx="9">
                  <c:v>7.4525243772396754</c:v>
                </c:pt>
              </c:numCache>
            </c:numRef>
          </c:val>
          <c:smooth val="0"/>
        </c:ser>
        <c:ser>
          <c:idx val="1"/>
          <c:order val="1"/>
          <c:tx>
            <c:strRef>
              <c:f>Tables!$A$59</c:f>
              <c:strCache>
                <c:ptCount val="1"/>
                <c:pt idx="0">
                  <c:v>Certificate II</c:v>
                </c:pt>
              </c:strCache>
            </c:strRef>
          </c:tx>
          <c:cat>
            <c:numRef>
              <c:f>Tables!$B$57:$K$57</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Tables!$B$59:$K$59</c:f>
              <c:numCache>
                <c:formatCode>0.0</c:formatCode>
                <c:ptCount val="10"/>
                <c:pt idx="0">
                  <c:v>3.2059418144873808</c:v>
                </c:pt>
                <c:pt idx="1">
                  <c:v>2.8576057869968392</c:v>
                </c:pt>
                <c:pt idx="2">
                  <c:v>2.7052712703929451</c:v>
                </c:pt>
                <c:pt idx="3">
                  <c:v>2.50767550048836</c:v>
                </c:pt>
                <c:pt idx="4">
                  <c:v>2.4860002614462222</c:v>
                </c:pt>
                <c:pt idx="5">
                  <c:v>2.4358263149931498</c:v>
                </c:pt>
                <c:pt idx="6">
                  <c:v>2.2645528677262812</c:v>
                </c:pt>
                <c:pt idx="7">
                  <c:v>2.385706841877401</c:v>
                </c:pt>
                <c:pt idx="8">
                  <c:v>2.678526733540286</c:v>
                </c:pt>
                <c:pt idx="9">
                  <c:v>2.9279466402632832</c:v>
                </c:pt>
              </c:numCache>
            </c:numRef>
          </c:val>
          <c:smooth val="0"/>
        </c:ser>
        <c:ser>
          <c:idx val="2"/>
          <c:order val="2"/>
          <c:tx>
            <c:strRef>
              <c:f>Tables!$A$60</c:f>
              <c:strCache>
                <c:ptCount val="1"/>
                <c:pt idx="0">
                  <c:v>Certificate I - Other</c:v>
                </c:pt>
              </c:strCache>
            </c:strRef>
          </c:tx>
          <c:cat>
            <c:numRef>
              <c:f>Tables!$B$57:$K$57</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Tables!$B$60:$K$60</c:f>
              <c:numCache>
                <c:formatCode>0.0</c:formatCode>
                <c:ptCount val="10"/>
                <c:pt idx="0">
                  <c:v>3.5842223071303851</c:v>
                </c:pt>
                <c:pt idx="1">
                  <c:v>3.4823119796385602</c:v>
                </c:pt>
                <c:pt idx="2">
                  <c:v>3.1538286129937272</c:v>
                </c:pt>
                <c:pt idx="3">
                  <c:v>3.2711886326141428</c:v>
                </c:pt>
                <c:pt idx="4">
                  <c:v>3.0999749152949572</c:v>
                </c:pt>
                <c:pt idx="5">
                  <c:v>2.8050102347675372</c:v>
                </c:pt>
                <c:pt idx="6">
                  <c:v>2.577121717351285</c:v>
                </c:pt>
                <c:pt idx="7">
                  <c:v>2.3254603717667561</c:v>
                </c:pt>
                <c:pt idx="8">
                  <c:v>1.946405437280452</c:v>
                </c:pt>
                <c:pt idx="9">
                  <c:v>1.864006553239232</c:v>
                </c:pt>
              </c:numCache>
            </c:numRef>
          </c:val>
          <c:smooth val="0"/>
        </c:ser>
        <c:dLbls>
          <c:showLegendKey val="0"/>
          <c:showVal val="0"/>
          <c:showCatName val="0"/>
          <c:showSerName val="0"/>
          <c:showPercent val="0"/>
          <c:showBubbleSize val="0"/>
        </c:dLbls>
        <c:marker val="1"/>
        <c:smooth val="0"/>
        <c:axId val="199429120"/>
        <c:axId val="199430912"/>
      </c:lineChart>
      <c:catAx>
        <c:axId val="199429120"/>
        <c:scaling>
          <c:orientation val="minMax"/>
        </c:scaling>
        <c:delete val="0"/>
        <c:axPos val="b"/>
        <c:numFmt formatCode="General" sourceLinked="1"/>
        <c:majorTickMark val="out"/>
        <c:minorTickMark val="none"/>
        <c:tickLblPos val="nextTo"/>
        <c:crossAx val="199430912"/>
        <c:crosses val="autoZero"/>
        <c:auto val="1"/>
        <c:lblAlgn val="ctr"/>
        <c:lblOffset val="100"/>
        <c:noMultiLvlLbl val="0"/>
      </c:catAx>
      <c:valAx>
        <c:axId val="199430912"/>
        <c:scaling>
          <c:orientation val="minMax"/>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94291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Tables!$A$63</c:f>
              <c:strCache>
                <c:ptCount val="1"/>
                <c:pt idx="0">
                  <c:v>Certificate III or higher</c:v>
                </c:pt>
              </c:strCache>
            </c:strRef>
          </c:tx>
          <c:cat>
            <c:numRef>
              <c:f>Tables!$B$62:$K$62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Tables!$B$63:$K$63</c:f>
              <c:numCache>
                <c:formatCode>0.0</c:formatCode>
                <c:ptCount val="10"/>
                <c:pt idx="0">
                  <c:v>4.8754614280022004</c:v>
                </c:pt>
                <c:pt idx="1">
                  <c:v>5.02222163686465</c:v>
                </c:pt>
                <c:pt idx="2">
                  <c:v>4.9432472152304934</c:v>
                </c:pt>
                <c:pt idx="3">
                  <c:v>4.9402534163290523</c:v>
                </c:pt>
                <c:pt idx="4">
                  <c:v>5.1068785168134374</c:v>
                </c:pt>
                <c:pt idx="5">
                  <c:v>4.7687456991592558</c:v>
                </c:pt>
                <c:pt idx="6">
                  <c:v>4.3787172583721743</c:v>
                </c:pt>
                <c:pt idx="7">
                  <c:v>4.5953963598316996</c:v>
                </c:pt>
                <c:pt idx="8">
                  <c:v>4.9703366634942174</c:v>
                </c:pt>
                <c:pt idx="9">
                  <c:v>5.5</c:v>
                </c:pt>
              </c:numCache>
            </c:numRef>
          </c:val>
          <c:smooth val="0"/>
        </c:ser>
        <c:ser>
          <c:idx val="1"/>
          <c:order val="1"/>
          <c:tx>
            <c:strRef>
              <c:f>Tables!$A$64</c:f>
              <c:strCache>
                <c:ptCount val="1"/>
                <c:pt idx="0">
                  <c:v>Certificate II</c:v>
                </c:pt>
              </c:strCache>
            </c:strRef>
          </c:tx>
          <c:cat>
            <c:numRef>
              <c:f>Tables!$B$62:$K$62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Tables!$B$64:$K$64</c:f>
              <c:numCache>
                <c:formatCode>0.0</c:formatCode>
                <c:ptCount val="10"/>
                <c:pt idx="0">
                  <c:v>1.6623437159332699</c:v>
                </c:pt>
                <c:pt idx="1">
                  <c:v>1.5143200413262461</c:v>
                </c:pt>
                <c:pt idx="2">
                  <c:v>1.3646817421572419</c:v>
                </c:pt>
                <c:pt idx="3">
                  <c:v>1.21471023707812</c:v>
                </c:pt>
                <c:pt idx="4">
                  <c:v>1.1971942945583061</c:v>
                </c:pt>
                <c:pt idx="5">
                  <c:v>1.045593221013162</c:v>
                </c:pt>
                <c:pt idx="6">
                  <c:v>0.97857379511774301</c:v>
                </c:pt>
                <c:pt idx="7">
                  <c:v>1.0736165897657779</c:v>
                </c:pt>
                <c:pt idx="8">
                  <c:v>1.2065667922859971</c:v>
                </c:pt>
                <c:pt idx="9">
                  <c:v>1.1900847388601139</c:v>
                </c:pt>
              </c:numCache>
            </c:numRef>
          </c:val>
          <c:smooth val="0"/>
        </c:ser>
        <c:ser>
          <c:idx val="2"/>
          <c:order val="2"/>
          <c:tx>
            <c:strRef>
              <c:f>Tables!$A$65</c:f>
              <c:strCache>
                <c:ptCount val="1"/>
                <c:pt idx="0">
                  <c:v>Certificate I - Other</c:v>
                </c:pt>
              </c:strCache>
            </c:strRef>
          </c:tx>
          <c:cat>
            <c:numRef>
              <c:f>Tables!$B$62:$K$62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Tables!$B$65:$K$65</c:f>
              <c:numCache>
                <c:formatCode>0.0</c:formatCode>
                <c:ptCount val="10"/>
                <c:pt idx="0">
                  <c:v>3.1231251550624002</c:v>
                </c:pt>
                <c:pt idx="1">
                  <c:v>3.139345833644235</c:v>
                </c:pt>
                <c:pt idx="2">
                  <c:v>2.7282918008355161</c:v>
                </c:pt>
                <c:pt idx="3">
                  <c:v>2.7146078621183412</c:v>
                </c:pt>
                <c:pt idx="4">
                  <c:v>2.4449369436453812</c:v>
                </c:pt>
                <c:pt idx="5">
                  <c:v>2.3014718653749</c:v>
                </c:pt>
                <c:pt idx="6">
                  <c:v>2.0575075350375251</c:v>
                </c:pt>
                <c:pt idx="7">
                  <c:v>1.737150195991898</c:v>
                </c:pt>
                <c:pt idx="8">
                  <c:v>1.6066854090970819</c:v>
                </c:pt>
                <c:pt idx="9">
                  <c:v>1.3639064946348141</c:v>
                </c:pt>
              </c:numCache>
            </c:numRef>
          </c:val>
          <c:smooth val="0"/>
        </c:ser>
        <c:dLbls>
          <c:showLegendKey val="0"/>
          <c:showVal val="0"/>
          <c:showCatName val="0"/>
          <c:showSerName val="0"/>
          <c:showPercent val="0"/>
          <c:showBubbleSize val="0"/>
        </c:dLbls>
        <c:marker val="1"/>
        <c:smooth val="0"/>
        <c:axId val="199465984"/>
        <c:axId val="199471872"/>
      </c:lineChart>
      <c:catAx>
        <c:axId val="199465984"/>
        <c:scaling>
          <c:orientation val="minMax"/>
        </c:scaling>
        <c:delete val="0"/>
        <c:axPos val="b"/>
        <c:numFmt formatCode="General" sourceLinked="1"/>
        <c:majorTickMark val="out"/>
        <c:minorTickMark val="none"/>
        <c:tickLblPos val="nextTo"/>
        <c:crossAx val="199471872"/>
        <c:crosses val="autoZero"/>
        <c:auto val="1"/>
        <c:lblAlgn val="ctr"/>
        <c:lblOffset val="100"/>
        <c:noMultiLvlLbl val="0"/>
      </c:catAx>
      <c:valAx>
        <c:axId val="199471872"/>
        <c:scaling>
          <c:orientation val="minMax"/>
        </c:scaling>
        <c:delete val="0"/>
        <c:axPos val="l"/>
        <c:title>
          <c:tx>
            <c:rich>
              <a:bodyPr rot="-5400000" vert="horz"/>
              <a:lstStyle/>
              <a:p>
                <a:pPr>
                  <a:defRPr/>
                </a:pPr>
                <a:r>
                  <a:rPr lang="en-AU"/>
                  <a:t>Percentage</a:t>
                </a:r>
              </a:p>
            </c:rich>
          </c:tx>
          <c:overlay val="0"/>
        </c:title>
        <c:numFmt formatCode="0" sourceLinked="0"/>
        <c:majorTickMark val="out"/>
        <c:minorTickMark val="none"/>
        <c:tickLblPos val="nextTo"/>
        <c:crossAx val="1994659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570384951881001"/>
          <c:y val="5.3703703703703698E-2"/>
          <c:w val="0.82818503937007903"/>
          <c:h val="0.82945975503062097"/>
        </c:manualLayout>
      </c:layout>
      <c:lineChart>
        <c:grouping val="standard"/>
        <c:varyColors val="0"/>
        <c:ser>
          <c:idx val="0"/>
          <c:order val="0"/>
          <c:tx>
            <c:strRef>
              <c:f>'% to percentage'!$A$33</c:f>
              <c:strCache>
                <c:ptCount val="1"/>
              </c:strCache>
            </c:strRef>
          </c:tx>
          <c:cat>
            <c:numRef>
              <c:f>'% to percentage'!$B$32:$G$32</c:f>
              <c:numCache>
                <c:formatCode>General</c:formatCode>
                <c:ptCount val="6"/>
                <c:pt idx="0">
                  <c:v>2006</c:v>
                </c:pt>
                <c:pt idx="1">
                  <c:v>2007</c:v>
                </c:pt>
                <c:pt idx="2">
                  <c:v>2008</c:v>
                </c:pt>
                <c:pt idx="3">
                  <c:v>2009</c:v>
                </c:pt>
                <c:pt idx="4">
                  <c:v>2010</c:v>
                </c:pt>
                <c:pt idx="5">
                  <c:v>2011</c:v>
                </c:pt>
              </c:numCache>
            </c:numRef>
          </c:cat>
          <c:val>
            <c:numRef>
              <c:f>'% to percentage'!$B$33:$G$33</c:f>
              <c:numCache>
                <c:formatCode>General</c:formatCode>
                <c:ptCount val="6"/>
                <c:pt idx="0">
                  <c:v>27.5</c:v>
                </c:pt>
                <c:pt idx="1">
                  <c:v>28.499999999999989</c:v>
                </c:pt>
                <c:pt idx="2">
                  <c:v>28.9</c:v>
                </c:pt>
                <c:pt idx="3">
                  <c:v>30</c:v>
                </c:pt>
                <c:pt idx="4">
                  <c:v>31.2</c:v>
                </c:pt>
                <c:pt idx="5">
                  <c:v>33</c:v>
                </c:pt>
              </c:numCache>
            </c:numRef>
          </c:val>
          <c:smooth val="0"/>
        </c:ser>
        <c:dLbls>
          <c:showLegendKey val="0"/>
          <c:showVal val="0"/>
          <c:showCatName val="0"/>
          <c:showSerName val="0"/>
          <c:showPercent val="0"/>
          <c:showBubbleSize val="0"/>
        </c:dLbls>
        <c:marker val="1"/>
        <c:smooth val="0"/>
        <c:axId val="199496448"/>
        <c:axId val="199497984"/>
      </c:lineChart>
      <c:catAx>
        <c:axId val="199496448"/>
        <c:scaling>
          <c:orientation val="minMax"/>
        </c:scaling>
        <c:delete val="0"/>
        <c:axPos val="b"/>
        <c:numFmt formatCode="General" sourceLinked="1"/>
        <c:majorTickMark val="out"/>
        <c:minorTickMark val="none"/>
        <c:tickLblPos val="nextTo"/>
        <c:crossAx val="199497984"/>
        <c:crosses val="autoZero"/>
        <c:auto val="1"/>
        <c:lblAlgn val="ctr"/>
        <c:lblOffset val="100"/>
        <c:noMultiLvlLbl val="0"/>
      </c:catAx>
      <c:valAx>
        <c:axId val="199497984"/>
        <c:scaling>
          <c:orientation val="minMax"/>
          <c:min val="25"/>
        </c:scaling>
        <c:delete val="0"/>
        <c:axPos val="l"/>
        <c:title>
          <c:tx>
            <c:rich>
              <a:bodyPr rot="-5400000" vert="horz"/>
              <a:lstStyle/>
              <a:p>
                <a:pPr>
                  <a:defRPr/>
                </a:pPr>
                <a:r>
                  <a:rPr lang="en-AU"/>
                  <a:t>Percentage</a:t>
                </a:r>
              </a:p>
            </c:rich>
          </c:tx>
          <c:overlay val="0"/>
        </c:title>
        <c:numFmt formatCode="General" sourceLinked="1"/>
        <c:majorTickMark val="out"/>
        <c:minorTickMark val="none"/>
        <c:tickLblPos val="nextTo"/>
        <c:crossAx val="199496448"/>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0.48218</cdr:x>
      <cdr:y>0.02996</cdr:y>
    </cdr:from>
    <cdr:to>
      <cdr:x>0.48218</cdr:x>
      <cdr:y>0.64515</cdr:y>
    </cdr:to>
    <cdr:cxnSp macro="">
      <cdr:nvCxnSpPr>
        <cdr:cNvPr id="2" name="Straight Connector 1"/>
        <cdr:cNvCxnSpPr/>
      </cdr:nvCxnSpPr>
      <cdr:spPr>
        <a:xfrm xmlns:a="http://schemas.openxmlformats.org/drawingml/2006/main" flipV="1">
          <a:off x="2645410" y="94615"/>
          <a:ext cx="0" cy="1943100"/>
        </a:xfrm>
        <a:prstGeom xmlns:a="http://schemas.openxmlformats.org/drawingml/2006/main" prst="line">
          <a:avLst/>
        </a:prstGeom>
        <a:ln xmlns:a="http://schemas.openxmlformats.org/drawingml/2006/main" w="12700">
          <a:prstDash val="sys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0.14817</cdr:x>
      <cdr:y>0.38806</cdr:y>
    </cdr:from>
    <cdr:to>
      <cdr:x>0.94544</cdr:x>
      <cdr:y>0.38806</cdr:y>
    </cdr:to>
    <cdr:sp macro="" textlink="">
      <cdr:nvSpPr>
        <cdr:cNvPr id="3" name="Straight Connector 2"/>
        <cdr:cNvSpPr/>
      </cdr:nvSpPr>
      <cdr:spPr>
        <a:xfrm xmlns:a="http://schemas.openxmlformats.org/drawingml/2006/main">
          <a:off x="400050" y="1047750"/>
          <a:ext cx="2152650" cy="0"/>
        </a:xfrm>
        <a:prstGeom xmlns:a="http://schemas.openxmlformats.org/drawingml/2006/main" prst="line">
          <a:avLst/>
        </a:prstGeom>
        <a:ln xmlns:a="http://schemas.openxmlformats.org/drawingml/2006/main" w="6350">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0.15169</cdr:x>
      <cdr:y>0.05292</cdr:y>
    </cdr:from>
    <cdr:to>
      <cdr:x>0.47272</cdr:x>
      <cdr:y>0.15875</cdr:y>
    </cdr:to>
    <cdr:sp macro="" textlink="">
      <cdr:nvSpPr>
        <cdr:cNvPr id="4" name="TextBox 3"/>
        <cdr:cNvSpPr txBox="1"/>
      </cdr:nvSpPr>
      <cdr:spPr>
        <a:xfrm xmlns:a="http://schemas.openxmlformats.org/drawingml/2006/main">
          <a:off x="409575" y="142875"/>
          <a:ext cx="86677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000" b="0"/>
            <a:t>Australia</a:t>
          </a:r>
        </a:p>
      </cdr:txBody>
    </cdr:sp>
  </cdr:relSizeAnchor>
  <cdr:relSizeAnchor xmlns:cdr="http://schemas.openxmlformats.org/drawingml/2006/chartDrawing">
    <cdr:from>
      <cdr:x>0.37394</cdr:x>
      <cdr:y>0.47625</cdr:y>
    </cdr:from>
    <cdr:to>
      <cdr:x>0.70908</cdr:x>
      <cdr:y>0.56797</cdr:y>
    </cdr:to>
    <cdr:sp macro="" textlink="">
      <cdr:nvSpPr>
        <cdr:cNvPr id="5" name="TextBox 4"/>
        <cdr:cNvSpPr txBox="1"/>
      </cdr:nvSpPr>
      <cdr:spPr>
        <a:xfrm xmlns:a="http://schemas.openxmlformats.org/drawingml/2006/main">
          <a:off x="1009650" y="1285875"/>
          <a:ext cx="90487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000" b="0"/>
            <a:t>OECD average</a:t>
          </a:r>
        </a:p>
      </cdr:txBody>
    </cdr:sp>
  </cdr:relSizeAnchor>
  <cdr:relSizeAnchor xmlns:cdr="http://schemas.openxmlformats.org/drawingml/2006/chartDrawing">
    <cdr:from>
      <cdr:x>0.16581</cdr:x>
      <cdr:y>0.13406</cdr:y>
    </cdr:from>
    <cdr:to>
      <cdr:x>0.25047</cdr:x>
      <cdr:y>0.1905</cdr:y>
    </cdr:to>
    <cdr:sp macro="" textlink="">
      <cdr:nvSpPr>
        <cdr:cNvPr id="7" name="Straight Arrow Connector 6"/>
        <cdr:cNvSpPr/>
      </cdr:nvSpPr>
      <cdr:spPr>
        <a:xfrm xmlns:a="http://schemas.openxmlformats.org/drawingml/2006/main" flipH="1">
          <a:off x="447675" y="361950"/>
          <a:ext cx="228600" cy="152400"/>
        </a:xfrm>
        <a:prstGeom xmlns:a="http://schemas.openxmlformats.org/drawingml/2006/main" prst="straightConnector1">
          <a:avLst/>
        </a:prstGeom>
        <a:ln xmlns:a="http://schemas.openxmlformats.org/drawingml/2006/main">
          <a:solidFill>
            <a:schemeClr val="accent2"/>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0.58914</cdr:x>
      <cdr:y>0.39158</cdr:y>
    </cdr:from>
    <cdr:to>
      <cdr:x>0.65264</cdr:x>
      <cdr:y>0.51153</cdr:y>
    </cdr:to>
    <cdr:sp macro="" textlink="">
      <cdr:nvSpPr>
        <cdr:cNvPr id="8" name="Straight Arrow Connector 7"/>
        <cdr:cNvSpPr/>
      </cdr:nvSpPr>
      <cdr:spPr>
        <a:xfrm xmlns:a="http://schemas.openxmlformats.org/drawingml/2006/main" flipV="1">
          <a:off x="1590675" y="1057275"/>
          <a:ext cx="171450" cy="323850"/>
        </a:xfrm>
        <a:prstGeom xmlns:a="http://schemas.openxmlformats.org/drawingml/2006/main" prst="straightConnector1">
          <a:avLst/>
        </a:prstGeom>
        <a:ln xmlns:a="http://schemas.openxmlformats.org/drawingml/2006/main">
          <a:solidFill>
            <a:schemeClr val="accent2"/>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0.53238</cdr:x>
      <cdr:y>0.61405</cdr:y>
    </cdr:from>
    <cdr:to>
      <cdr:x>0.61113</cdr:x>
      <cdr:y>0.6936</cdr:y>
    </cdr:to>
    <cdr:sp macro="" textlink="">
      <cdr:nvSpPr>
        <cdr:cNvPr id="2" name="TextBox 1"/>
        <cdr:cNvSpPr txBox="1"/>
      </cdr:nvSpPr>
      <cdr:spPr>
        <a:xfrm xmlns:a="http://schemas.openxmlformats.org/drawingml/2006/main">
          <a:off x="3175423" y="1657562"/>
          <a:ext cx="469709" cy="2147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b="1" dirty="0" smtClean="0">
              <a:solidFill>
                <a:srgbClr val="C00000"/>
              </a:solidFill>
              <a:latin typeface="Arial Narrow"/>
              <a:cs typeface="Arial Narrow"/>
            </a:rPr>
            <a:t>AUS</a:t>
          </a:r>
          <a:endParaRPr lang="en-US" sz="1000" b="1" dirty="0">
            <a:solidFill>
              <a:srgbClr val="C00000"/>
            </a:solidFill>
            <a:latin typeface="Arial Narrow"/>
            <a:cs typeface="Arial Narrow"/>
          </a:endParaRPr>
        </a:p>
      </cdr:txBody>
    </cdr:sp>
  </cdr:relSizeAnchor>
  <cdr:relSizeAnchor xmlns:cdr="http://schemas.openxmlformats.org/drawingml/2006/chartDrawing">
    <cdr:from>
      <cdr:x>0.71337</cdr:x>
      <cdr:y>0.69874</cdr:y>
    </cdr:from>
    <cdr:to>
      <cdr:x>0.79212</cdr:x>
      <cdr:y>0.77829</cdr:y>
    </cdr:to>
    <cdr:sp macro="" textlink="">
      <cdr:nvSpPr>
        <cdr:cNvPr id="6" name="TextBox 1"/>
        <cdr:cNvSpPr txBox="1"/>
      </cdr:nvSpPr>
      <cdr:spPr>
        <a:xfrm xmlns:a="http://schemas.openxmlformats.org/drawingml/2006/main">
          <a:off x="4254923" y="1886162"/>
          <a:ext cx="469709" cy="2147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dirty="0" smtClean="0">
              <a:solidFill>
                <a:schemeClr val="tx1"/>
              </a:solidFill>
              <a:latin typeface="Arial Narrow"/>
              <a:cs typeface="Arial Narrow"/>
            </a:rPr>
            <a:t>DNK</a:t>
          </a:r>
          <a:endParaRPr lang="en-US" sz="1000" b="1" dirty="0">
            <a:solidFill>
              <a:schemeClr val="tx1"/>
            </a:solidFill>
            <a:latin typeface="Arial Narrow"/>
            <a:cs typeface="Arial Narrow"/>
          </a:endParaRPr>
        </a:p>
      </cdr:txBody>
    </cdr:sp>
  </cdr:relSizeAnchor>
  <cdr:relSizeAnchor xmlns:cdr="http://schemas.openxmlformats.org/drawingml/2006/chartDrawing">
    <cdr:from>
      <cdr:x>0.23429</cdr:x>
      <cdr:y>0.14828</cdr:y>
    </cdr:from>
    <cdr:to>
      <cdr:x>0.31304</cdr:x>
      <cdr:y>0.22783</cdr:y>
    </cdr:to>
    <cdr:sp macro="" textlink="">
      <cdr:nvSpPr>
        <cdr:cNvPr id="7" name="TextBox 1"/>
        <cdr:cNvSpPr txBox="1"/>
      </cdr:nvSpPr>
      <cdr:spPr>
        <a:xfrm xmlns:a="http://schemas.openxmlformats.org/drawingml/2006/main">
          <a:off x="1397423" y="400262"/>
          <a:ext cx="469709" cy="2147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dirty="0" smtClean="0">
              <a:solidFill>
                <a:srgbClr val="141313"/>
              </a:solidFill>
              <a:latin typeface="Arial Narrow"/>
              <a:cs typeface="Arial Narrow"/>
            </a:rPr>
            <a:t>TUR</a:t>
          </a:r>
          <a:endParaRPr lang="en-US" sz="1000" b="1" dirty="0">
            <a:solidFill>
              <a:srgbClr val="141313"/>
            </a:solidFill>
            <a:latin typeface="Arial Narrow"/>
            <a:cs typeface="Arial Narrow"/>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0.19093</cdr:x>
      <cdr:y>0.26352</cdr:y>
    </cdr:from>
    <cdr:to>
      <cdr:x>0.26854</cdr:x>
      <cdr:y>0.3623</cdr:y>
    </cdr:to>
    <cdr:sp macro="" textlink="">
      <cdr:nvSpPr>
        <cdr:cNvPr id="3" name="TextBox 2"/>
        <cdr:cNvSpPr txBox="1"/>
      </cdr:nvSpPr>
      <cdr:spPr>
        <a:xfrm xmlns:a="http://schemas.openxmlformats.org/drawingml/2006/main">
          <a:off x="1138813" y="903442"/>
          <a:ext cx="462909" cy="3386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Arial Narrow" pitchFamily="34" charset="0"/>
            </a:rPr>
            <a:t>2008</a:t>
          </a:r>
        </a:p>
      </cdr:txBody>
    </cdr:sp>
  </cdr:relSizeAnchor>
  <cdr:relSizeAnchor xmlns:cdr="http://schemas.openxmlformats.org/drawingml/2006/chartDrawing">
    <cdr:from>
      <cdr:x>0.53238</cdr:x>
      <cdr:y>0.11848</cdr:y>
    </cdr:from>
    <cdr:to>
      <cdr:x>0.60594</cdr:x>
      <cdr:y>0.18261</cdr:y>
    </cdr:to>
    <cdr:sp macro="" textlink="">
      <cdr:nvSpPr>
        <cdr:cNvPr id="4" name="TextBox 3"/>
        <cdr:cNvSpPr txBox="1"/>
      </cdr:nvSpPr>
      <cdr:spPr>
        <a:xfrm xmlns:a="http://schemas.openxmlformats.org/drawingml/2006/main">
          <a:off x="3175423" y="319828"/>
          <a:ext cx="438753" cy="1731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Arial Narrow" pitchFamily="34" charset="0"/>
            </a:rPr>
            <a:t>2009</a:t>
          </a:r>
        </a:p>
      </cdr:txBody>
    </cdr:sp>
  </cdr:relSizeAnchor>
  <cdr:relSizeAnchor xmlns:cdr="http://schemas.openxmlformats.org/drawingml/2006/chartDrawing">
    <cdr:from>
      <cdr:x>0.51109</cdr:x>
      <cdr:y>0.20317</cdr:y>
    </cdr:from>
    <cdr:to>
      <cdr:x>0.55367</cdr:x>
      <cdr:y>0.26412</cdr:y>
    </cdr:to>
    <cdr:sp macro="" textlink="">
      <cdr:nvSpPr>
        <cdr:cNvPr id="8" name="Straight Arrow Connector 7"/>
        <cdr:cNvSpPr/>
      </cdr:nvSpPr>
      <cdr:spPr>
        <a:xfrm xmlns:a="http://schemas.openxmlformats.org/drawingml/2006/main" flipH="1">
          <a:off x="3048423" y="548428"/>
          <a:ext cx="254000" cy="164527"/>
        </a:xfrm>
        <a:prstGeom xmlns:a="http://schemas.openxmlformats.org/drawingml/2006/main" prst="straightConnector1">
          <a:avLst/>
        </a:prstGeom>
        <a:ln xmlns:a="http://schemas.openxmlformats.org/drawingml/2006/main">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0.74453</cdr:x>
      <cdr:y>0.29686</cdr:y>
    </cdr:from>
    <cdr:to>
      <cdr:x>0.84795</cdr:x>
      <cdr:y>0.36818</cdr:y>
    </cdr:to>
    <cdr:sp macro="" textlink="">
      <cdr:nvSpPr>
        <cdr:cNvPr id="9" name="TextBox 8"/>
        <cdr:cNvSpPr txBox="1"/>
      </cdr:nvSpPr>
      <cdr:spPr>
        <a:xfrm xmlns:a="http://schemas.openxmlformats.org/drawingml/2006/main">
          <a:off x="4440813" y="1017742"/>
          <a:ext cx="616854" cy="2445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Arial Narrow" pitchFamily="34" charset="0"/>
            </a:rPr>
            <a:t>1994</a:t>
          </a:r>
        </a:p>
      </cdr:txBody>
    </cdr:sp>
  </cdr:relSizeAnchor>
  <cdr:relSizeAnchor xmlns:cdr="http://schemas.openxmlformats.org/drawingml/2006/chartDrawing">
    <cdr:from>
      <cdr:x>0.74453</cdr:x>
      <cdr:y>0.59691</cdr:y>
    </cdr:from>
    <cdr:to>
      <cdr:x>0.84795</cdr:x>
      <cdr:y>0.66823</cdr:y>
    </cdr:to>
    <cdr:sp macro="" textlink="">
      <cdr:nvSpPr>
        <cdr:cNvPr id="6" name="Text Box 5"/>
        <cdr:cNvSpPr txBox="1"/>
      </cdr:nvSpPr>
      <cdr:spPr>
        <a:xfrm xmlns:a="http://schemas.openxmlformats.org/drawingml/2006/main">
          <a:off x="4440813" y="2046442"/>
          <a:ext cx="616854" cy="244511"/>
        </a:xfrm>
        <a:prstGeom xmlns:a="http://schemas.openxmlformats.org/drawingml/2006/main" prst="rect">
          <a:avLst/>
        </a:prstGeom>
      </cdr:spPr>
    </cdr:sp>
  </cdr:relSizeAnchor>
  <cdr:relSizeAnchor xmlns:cdr="http://schemas.openxmlformats.org/drawingml/2006/chartDrawing">
    <cdr:from>
      <cdr:x>0.76583</cdr:x>
      <cdr:y>0.63025</cdr:y>
    </cdr:from>
    <cdr:to>
      <cdr:x>0.91913</cdr:x>
      <cdr:y>0.89697</cdr:y>
    </cdr:to>
    <cdr:sp macro="" textlink="">
      <cdr:nvSpPr>
        <cdr:cNvPr id="2" name="Text Box 1"/>
        <cdr:cNvSpPr txBox="1"/>
      </cdr:nvSpPr>
      <cdr:spPr>
        <a:xfrm xmlns:a="http://schemas.openxmlformats.org/drawingml/2006/main">
          <a:off x="4567813" y="216074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t>1991</a:t>
          </a:r>
        </a:p>
      </cdr:txBody>
    </cdr:sp>
  </cdr:relSizeAnchor>
</c:userShapes>
</file>

<file path=word/drawings/drawing13.xml><?xml version="1.0" encoding="utf-8"?>
<c:userShapes xmlns:c="http://schemas.openxmlformats.org/drawingml/2006/chart">
  <cdr:relSizeAnchor xmlns:cdr="http://schemas.openxmlformats.org/drawingml/2006/chartDrawing">
    <cdr:from>
      <cdr:x>0.6913</cdr:x>
      <cdr:y>0.59836</cdr:y>
    </cdr:from>
    <cdr:to>
      <cdr:x>0.83417</cdr:x>
      <cdr:y>0.69008</cdr:y>
    </cdr:to>
    <cdr:sp macro="" textlink="">
      <cdr:nvSpPr>
        <cdr:cNvPr id="2" name="TextBox 1"/>
        <cdr:cNvSpPr txBox="1"/>
      </cdr:nvSpPr>
      <cdr:spPr>
        <a:xfrm xmlns:a="http://schemas.openxmlformats.org/drawingml/2006/main">
          <a:off x="4123313" y="2043046"/>
          <a:ext cx="852156" cy="3131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Arial Narrow"/>
              <a:cs typeface="Arial Narrow"/>
            </a:rPr>
            <a:t>Australia</a:t>
          </a:r>
        </a:p>
      </cdr:txBody>
    </cdr:sp>
  </cdr:relSizeAnchor>
  <cdr:relSizeAnchor xmlns:cdr="http://schemas.openxmlformats.org/drawingml/2006/chartDrawing">
    <cdr:from>
      <cdr:x>0.7126</cdr:x>
      <cdr:y>0.66531</cdr:y>
    </cdr:from>
    <cdr:to>
      <cdr:x>0.73815</cdr:x>
      <cdr:y>0.70995</cdr:y>
    </cdr:to>
    <cdr:cxnSp macro="">
      <cdr:nvCxnSpPr>
        <cdr:cNvPr id="3" name="Straight Arrow Connector 2"/>
        <cdr:cNvCxnSpPr/>
      </cdr:nvCxnSpPr>
      <cdr:spPr>
        <a:xfrm xmlns:a="http://schemas.openxmlformats.org/drawingml/2006/main" flipH="1">
          <a:off x="4250313" y="2271646"/>
          <a:ext cx="152394" cy="15241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0.1614</cdr:x>
      <cdr:y>0.53367</cdr:y>
    </cdr:from>
    <cdr:to>
      <cdr:x>0.46253</cdr:x>
      <cdr:y>0.60107</cdr:y>
    </cdr:to>
    <cdr:sp macro="" textlink="">
      <cdr:nvSpPr>
        <cdr:cNvPr id="2" name="Text Box 1"/>
        <cdr:cNvSpPr txBox="1"/>
      </cdr:nvSpPr>
      <cdr:spPr>
        <a:xfrm xmlns:a="http://schemas.openxmlformats.org/drawingml/2006/main">
          <a:off x="952923" y="1809962"/>
          <a:ext cx="1777990" cy="22859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nchor="ctr"/>
        <a:lstStyle xmlns:a="http://schemas.openxmlformats.org/drawingml/2006/main"/>
        <a:p xmlns:a="http://schemas.openxmlformats.org/drawingml/2006/main">
          <a:pPr algn="r"/>
          <a:r>
            <a:rPr lang="en-US" sz="1000"/>
            <a:t>Unstable living</a:t>
          </a:r>
          <a:r>
            <a:rPr lang="en-US" sz="1000" baseline="0"/>
            <a:t> arrangements</a:t>
          </a:r>
        </a:p>
        <a:p xmlns:a="http://schemas.openxmlformats.org/drawingml/2006/main">
          <a:pPr algn="r"/>
          <a:endParaRPr lang="en-US" sz="1000"/>
        </a:p>
      </cdr:txBody>
    </cdr:sp>
  </cdr:relSizeAnchor>
</c:userShapes>
</file>

<file path=word/drawings/drawing3.xml><?xml version="1.0" encoding="utf-8"?>
<c:userShapes xmlns:c="http://schemas.openxmlformats.org/drawingml/2006/chart">
  <cdr:relSizeAnchor xmlns:cdr="http://schemas.openxmlformats.org/drawingml/2006/chartDrawing">
    <cdr:from>
      <cdr:x>0.25155</cdr:x>
      <cdr:y>0.04888</cdr:y>
    </cdr:from>
    <cdr:to>
      <cdr:x>0.76729</cdr:x>
      <cdr:y>0.20765</cdr:y>
    </cdr:to>
    <cdr:sp macro="" textlink="">
      <cdr:nvSpPr>
        <cdr:cNvPr id="2" name="TextBox 1"/>
        <cdr:cNvSpPr txBox="1"/>
      </cdr:nvSpPr>
      <cdr:spPr>
        <a:xfrm xmlns:a="http://schemas.openxmlformats.org/drawingml/2006/main">
          <a:off x="724455" y="123171"/>
          <a:ext cx="1485345" cy="40011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US" sz="1000" dirty="0" smtClean="0">
              <a:solidFill>
                <a:srgbClr val="800000"/>
              </a:solidFill>
              <a:latin typeface="Arial Narrow"/>
              <a:cs typeface="Arial Narrow"/>
            </a:rPr>
            <a:t>15</a:t>
          </a:r>
          <a:r>
            <a:rPr lang="en-US" sz="1000" baseline="0" dirty="0" smtClean="0">
              <a:solidFill>
                <a:srgbClr val="800000"/>
              </a:solidFill>
              <a:latin typeface="Arial Narrow"/>
              <a:cs typeface="Arial Narrow"/>
            </a:rPr>
            <a:t> year olds</a:t>
          </a:r>
          <a:r>
            <a:rPr lang="en-US" sz="1000" dirty="0" smtClean="0">
              <a:solidFill>
                <a:srgbClr val="800000"/>
              </a:solidFill>
              <a:latin typeface="Arial Narrow"/>
              <a:cs typeface="Arial Narrow"/>
            </a:rPr>
            <a:t>: upward kick to a pre-existing trend</a:t>
          </a:r>
          <a:endParaRPr lang="en-US" sz="1000" dirty="0">
            <a:solidFill>
              <a:srgbClr val="800000"/>
            </a:solidFill>
            <a:latin typeface="Arial Narrow"/>
            <a:cs typeface="Arial Narrow"/>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0.24187</cdr:x>
      <cdr:y>0.05392</cdr:y>
    </cdr:from>
    <cdr:to>
      <cdr:x>0.91181</cdr:x>
      <cdr:y>0.21269</cdr:y>
    </cdr:to>
    <cdr:sp macro="" textlink="">
      <cdr:nvSpPr>
        <cdr:cNvPr id="2" name="TextBox 1"/>
        <cdr:cNvSpPr txBox="1"/>
      </cdr:nvSpPr>
      <cdr:spPr>
        <a:xfrm xmlns:a="http://schemas.openxmlformats.org/drawingml/2006/main">
          <a:off x="696573" y="135871"/>
          <a:ext cx="1929427" cy="40011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US" sz="1000" dirty="0" smtClean="0">
              <a:solidFill>
                <a:srgbClr val="800000"/>
              </a:solidFill>
              <a:latin typeface="Arial Narrow"/>
              <a:cs typeface="Arial Narrow"/>
            </a:rPr>
            <a:t>16yos: very substantial boost to previous trend for slow increase</a:t>
          </a:r>
          <a:endParaRPr lang="en-US" sz="1000" dirty="0">
            <a:solidFill>
              <a:srgbClr val="800000"/>
            </a:solidFill>
            <a:latin typeface="Arial Narrow"/>
            <a:cs typeface="Arial Narrow"/>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0.23391</cdr:x>
      <cdr:y>0.0618</cdr:y>
    </cdr:from>
    <cdr:to>
      <cdr:x>0.90839</cdr:x>
      <cdr:y>0.22057</cdr:y>
    </cdr:to>
    <cdr:sp macro="" textlink="">
      <cdr:nvSpPr>
        <cdr:cNvPr id="2" name="TextBox 1"/>
        <cdr:cNvSpPr txBox="1"/>
      </cdr:nvSpPr>
      <cdr:spPr>
        <a:xfrm xmlns:a="http://schemas.openxmlformats.org/drawingml/2006/main">
          <a:off x="673655" y="155736"/>
          <a:ext cx="1942520" cy="40011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US" sz="1000" dirty="0" smtClean="0">
              <a:solidFill>
                <a:srgbClr val="800000"/>
              </a:solidFill>
              <a:latin typeface="Arial Narrow"/>
              <a:cs typeface="Arial Narrow"/>
            </a:rPr>
            <a:t>17</a:t>
          </a:r>
          <a:r>
            <a:rPr lang="en-US" sz="1000" baseline="0" dirty="0" smtClean="0">
              <a:solidFill>
                <a:srgbClr val="800000"/>
              </a:solidFill>
              <a:latin typeface="Arial Narrow"/>
              <a:cs typeface="Arial Narrow"/>
            </a:rPr>
            <a:t> year olds</a:t>
          </a:r>
          <a:r>
            <a:rPr lang="en-US" sz="1000" dirty="0" smtClean="0">
              <a:solidFill>
                <a:srgbClr val="800000"/>
              </a:solidFill>
              <a:latin typeface="Arial Narrow"/>
              <a:cs typeface="Arial Narrow"/>
            </a:rPr>
            <a:t>: dramatic reversal of a trend for flat/declining participation</a:t>
          </a:r>
          <a:endParaRPr lang="en-US" sz="1000" dirty="0">
            <a:solidFill>
              <a:srgbClr val="800000"/>
            </a:solidFill>
            <a:latin typeface="Arial Narrow"/>
            <a:cs typeface="Arial Narrow"/>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0.23291</cdr:x>
      <cdr:y>0.0618</cdr:y>
    </cdr:from>
    <cdr:to>
      <cdr:x>0.9074</cdr:x>
      <cdr:y>0.22057</cdr:y>
    </cdr:to>
    <cdr:sp macro="" textlink="">
      <cdr:nvSpPr>
        <cdr:cNvPr id="2" name="TextBox 1"/>
        <cdr:cNvSpPr txBox="1"/>
      </cdr:nvSpPr>
      <cdr:spPr>
        <a:xfrm xmlns:a="http://schemas.openxmlformats.org/drawingml/2006/main">
          <a:off x="670780" y="155736"/>
          <a:ext cx="1942520" cy="40011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US" sz="1000" dirty="0" smtClean="0">
              <a:solidFill>
                <a:srgbClr val="800000"/>
              </a:solidFill>
              <a:latin typeface="Arial Narrow"/>
              <a:cs typeface="Arial Narrow"/>
            </a:rPr>
            <a:t>18yos: </a:t>
          </a:r>
          <a:r>
            <a:rPr lang="en-US" sz="1000" dirty="0">
              <a:solidFill>
                <a:srgbClr val="800000"/>
              </a:solidFill>
              <a:latin typeface="Arial Narrow"/>
              <a:cs typeface="Arial Narrow"/>
            </a:rPr>
            <a:t>very substantial boost to previous trend for slow </a:t>
          </a:r>
          <a:r>
            <a:rPr lang="en-US" sz="1000" dirty="0" smtClean="0">
              <a:solidFill>
                <a:srgbClr val="800000"/>
              </a:solidFill>
              <a:latin typeface="Arial Narrow"/>
              <a:cs typeface="Arial Narrow"/>
            </a:rPr>
            <a:t>increase</a:t>
          </a:r>
          <a:endParaRPr lang="en-US" sz="1000" dirty="0">
            <a:solidFill>
              <a:srgbClr val="800000"/>
            </a:solidFill>
            <a:latin typeface="Arial Narrow"/>
            <a:cs typeface="Arial Narrow"/>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0.70537</cdr:x>
      <cdr:y>0.0559</cdr:y>
    </cdr:from>
    <cdr:to>
      <cdr:x>0.71606</cdr:x>
      <cdr:y>0.78232</cdr:y>
    </cdr:to>
    <cdr:cxnSp macro="">
      <cdr:nvCxnSpPr>
        <cdr:cNvPr id="6" name="Straight Connector 5"/>
        <cdr:cNvCxnSpPr/>
      </cdr:nvCxnSpPr>
      <cdr:spPr>
        <a:xfrm xmlns:a="http://schemas.openxmlformats.org/drawingml/2006/main" flipH="1" flipV="1">
          <a:off x="4189730" y="191135"/>
          <a:ext cx="63500" cy="2484000"/>
        </a:xfrm>
        <a:prstGeom xmlns:a="http://schemas.openxmlformats.org/drawingml/2006/main" prst="line">
          <a:avLst/>
        </a:prstGeom>
        <a:ln xmlns:a="http://schemas.openxmlformats.org/drawingml/2006/main" w="12700">
          <a:prstDash val="sys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0.61984</cdr:x>
      <cdr:y>0</cdr:y>
    </cdr:from>
    <cdr:to>
      <cdr:x>0.80158</cdr:x>
      <cdr:y>0.06685</cdr:y>
    </cdr:to>
    <cdr:sp macro="" textlink="">
      <cdr:nvSpPr>
        <cdr:cNvPr id="10" name="Text Box 9"/>
        <cdr:cNvSpPr txBox="1"/>
      </cdr:nvSpPr>
      <cdr:spPr>
        <a:xfrm xmlns:a="http://schemas.openxmlformats.org/drawingml/2006/main">
          <a:off x="3681730" y="-2550160"/>
          <a:ext cx="1079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solidFill>
                <a:srgbClr val="800000"/>
              </a:solidFill>
            </a:rPr>
            <a:t>Compact introduced</a:t>
          </a:r>
        </a:p>
      </cdr:txBody>
    </cdr:sp>
  </cdr:relSizeAnchor>
</c:userShapes>
</file>

<file path=word/drawings/drawing8.xml><?xml version="1.0" encoding="utf-8"?>
<c:userShapes xmlns:c="http://schemas.openxmlformats.org/drawingml/2006/chart">
  <cdr:relSizeAnchor xmlns:cdr="http://schemas.openxmlformats.org/drawingml/2006/chartDrawing">
    <cdr:from>
      <cdr:x>0.11767</cdr:x>
      <cdr:y>0.79672</cdr:y>
    </cdr:from>
    <cdr:to>
      <cdr:x>0.29941</cdr:x>
      <cdr:y>0.86357</cdr:y>
    </cdr:to>
    <cdr:sp macro="" textlink="">
      <cdr:nvSpPr>
        <cdr:cNvPr id="2" name="Text Box 1"/>
        <cdr:cNvSpPr txBox="1"/>
      </cdr:nvSpPr>
      <cdr:spPr>
        <a:xfrm xmlns:a="http://schemas.openxmlformats.org/drawingml/2006/main">
          <a:off x="698923" y="2724362"/>
          <a:ext cx="1079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Most</a:t>
          </a:r>
          <a:r>
            <a:rPr lang="en-US" sz="1100"/>
            <a:t> </a:t>
          </a:r>
          <a:r>
            <a:rPr lang="en-US" sz="900"/>
            <a:t>disadvantaged</a:t>
          </a:r>
        </a:p>
      </cdr:txBody>
    </cdr:sp>
  </cdr:relSizeAnchor>
  <cdr:relSizeAnchor xmlns:cdr="http://schemas.openxmlformats.org/drawingml/2006/chartDrawing">
    <cdr:from>
      <cdr:x>0.79118</cdr:x>
      <cdr:y>0.79672</cdr:y>
    </cdr:from>
    <cdr:to>
      <cdr:x>0.97292</cdr:x>
      <cdr:y>0.86357</cdr:y>
    </cdr:to>
    <cdr:sp macro="" textlink="">
      <cdr:nvSpPr>
        <cdr:cNvPr id="3" name="Text Box 1"/>
        <cdr:cNvSpPr txBox="1"/>
      </cdr:nvSpPr>
      <cdr:spPr>
        <a:xfrm xmlns:a="http://schemas.openxmlformats.org/drawingml/2006/main">
          <a:off x="4699423" y="2724362"/>
          <a:ext cx="10795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Least disadvantaged</a:t>
          </a:r>
        </a:p>
      </cdr:txBody>
    </cdr:sp>
  </cdr:relSizeAnchor>
</c:userShapes>
</file>

<file path=word/drawings/drawing9.xml><?xml version="1.0" encoding="utf-8"?>
<c:userShapes xmlns:c="http://schemas.openxmlformats.org/drawingml/2006/chart">
  <cdr:relSizeAnchor xmlns:cdr="http://schemas.openxmlformats.org/drawingml/2006/chartDrawing">
    <cdr:from>
      <cdr:x>0.16394</cdr:x>
      <cdr:y>0.39158</cdr:y>
    </cdr:from>
    <cdr:to>
      <cdr:x>0.42686</cdr:x>
      <cdr:y>0.5715</cdr:y>
    </cdr:to>
    <cdr:sp macro="" textlink="">
      <cdr:nvSpPr>
        <cdr:cNvPr id="2" name="TextBox 1"/>
        <cdr:cNvSpPr txBox="1"/>
      </cdr:nvSpPr>
      <cdr:spPr>
        <a:xfrm xmlns:a="http://schemas.openxmlformats.org/drawingml/2006/main">
          <a:off x="442626" y="1057282"/>
          <a:ext cx="709899" cy="4857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000" b="0" dirty="0"/>
            <a:t>OECD </a:t>
          </a:r>
        </a:p>
        <a:p xmlns:a="http://schemas.openxmlformats.org/drawingml/2006/main">
          <a:pPr algn="ctr"/>
          <a:r>
            <a:rPr lang="en-US" sz="1000" b="0" dirty="0"/>
            <a:t>average</a:t>
          </a:r>
        </a:p>
      </cdr:txBody>
    </cdr:sp>
  </cdr:relSizeAnchor>
  <cdr:relSizeAnchor xmlns:cdr="http://schemas.openxmlformats.org/drawingml/2006/chartDrawing">
    <cdr:from>
      <cdr:x>0.15454</cdr:x>
      <cdr:y>0.54416</cdr:y>
    </cdr:from>
    <cdr:to>
      <cdr:x>0.23524</cdr:x>
      <cdr:y>0.65264</cdr:y>
    </cdr:to>
    <cdr:sp macro="" textlink="">
      <cdr:nvSpPr>
        <cdr:cNvPr id="10" name="Straight Arrow Connector 9"/>
        <cdr:cNvSpPr/>
      </cdr:nvSpPr>
      <cdr:spPr>
        <a:xfrm xmlns:a="http://schemas.openxmlformats.org/drawingml/2006/main" flipH="1">
          <a:off x="417264" y="1469231"/>
          <a:ext cx="217890" cy="292898"/>
        </a:xfrm>
        <a:prstGeom xmlns:a="http://schemas.openxmlformats.org/drawingml/2006/main" prst="straightConnector1">
          <a:avLst/>
        </a:prstGeom>
        <a:ln xmlns:a="http://schemas.openxmlformats.org/drawingml/2006/main">
          <a:solidFill>
            <a:schemeClr val="accent2"/>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0.47859</cdr:x>
      <cdr:y>0.4765</cdr:y>
    </cdr:from>
    <cdr:to>
      <cdr:x>0.66955</cdr:x>
      <cdr:y>0.55605</cdr:y>
    </cdr:to>
    <cdr:sp macro="" textlink="">
      <cdr:nvSpPr>
        <cdr:cNvPr id="5" name="TextBox 4"/>
        <cdr:cNvSpPr txBox="1"/>
      </cdr:nvSpPr>
      <cdr:spPr>
        <a:xfrm xmlns:a="http://schemas.openxmlformats.org/drawingml/2006/main">
          <a:off x="1933575" y="1882775"/>
          <a:ext cx="77152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b="0" dirty="0" smtClean="0">
              <a:latin typeface="+mn-lt"/>
            </a:rPr>
            <a:t>Australia</a:t>
          </a:r>
          <a:endParaRPr lang="en-US" sz="1000" b="0" dirty="0">
            <a:latin typeface="+mn-lt"/>
          </a:endParaRPr>
        </a:p>
      </cdr:txBody>
    </cdr:sp>
  </cdr:relSizeAnchor>
  <cdr:relSizeAnchor xmlns:cdr="http://schemas.openxmlformats.org/drawingml/2006/chartDrawing">
    <cdr:from>
      <cdr:x>0.57053</cdr:x>
      <cdr:y>0.56328</cdr:y>
    </cdr:from>
    <cdr:to>
      <cdr:x>0.57053</cdr:x>
      <cdr:y>0.65247</cdr:y>
    </cdr:to>
    <cdr:sp macro="" textlink="">
      <cdr:nvSpPr>
        <cdr:cNvPr id="7" name="Straight Arrow Connector 6"/>
        <cdr:cNvSpPr/>
      </cdr:nvSpPr>
      <cdr:spPr>
        <a:xfrm xmlns:a="http://schemas.openxmlformats.org/drawingml/2006/main">
          <a:off x="2305050" y="2225675"/>
          <a:ext cx="0" cy="352425"/>
        </a:xfrm>
        <a:prstGeom xmlns:a="http://schemas.openxmlformats.org/drawingml/2006/main" prst="straightConnector1">
          <a:avLst/>
        </a:prstGeom>
        <a:ln xmlns:a="http://schemas.openxmlformats.org/drawingml/2006/main" w="6350">
          <a:prstDash val="dash"/>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52CE256526DB488092C0487FE6F677"/>
        <w:category>
          <w:name w:val="General"/>
          <w:gallery w:val="placeholder"/>
        </w:category>
        <w:types>
          <w:type w:val="bbPlcHdr"/>
        </w:types>
        <w:behaviors>
          <w:behavior w:val="content"/>
        </w:behaviors>
        <w:guid w:val="{5EB212C0-0715-264E-83DE-97553D4FFB81}"/>
      </w:docPartPr>
      <w:docPartBody>
        <w:p w:rsidR="00521BB0" w:rsidRDefault="00521BB0">
          <w:pPr>
            <w:pStyle w:val="9052CE256526DB488092C0487FE6F677"/>
          </w:pPr>
          <w:r w:rsidRPr="00AF378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21BB0"/>
    <w:rsid w:val="00334BE0"/>
    <w:rsid w:val="00441112"/>
    <w:rsid w:val="00474504"/>
    <w:rsid w:val="00521BB0"/>
    <w:rsid w:val="005E2B16"/>
    <w:rsid w:val="00657C36"/>
    <w:rsid w:val="0078624C"/>
    <w:rsid w:val="007F1A09"/>
    <w:rsid w:val="0085087D"/>
    <w:rsid w:val="00982BBF"/>
    <w:rsid w:val="00AC36B0"/>
    <w:rsid w:val="00C96A27"/>
    <w:rsid w:val="00DC0701"/>
    <w:rsid w:val="00E34FB0"/>
    <w:rsid w:val="00E50FB1"/>
    <w:rsid w:val="00F27F83"/>
    <w:rsid w:val="00F63AD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E34FB0"/>
    <w:rPr>
      <w:color w:val="808080"/>
    </w:rPr>
  </w:style>
  <w:style w:type="paragraph" w:customStyle="1" w:styleId="9052CE256526DB488092C0487FE6F677">
    <w:name w:val="9052CE256526DB488092C0487FE6F677"/>
    <w:rsid w:val="00E34FB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Dandolo">
      <a:dk1>
        <a:sysClr val="windowText" lastClr="000000"/>
      </a:dk1>
      <a:lt1>
        <a:sysClr val="window" lastClr="FFFFFF"/>
      </a:lt1>
      <a:dk2>
        <a:srgbClr val="3C3C3B"/>
      </a:dk2>
      <a:lt2>
        <a:srgbClr val="808080"/>
      </a:lt2>
      <a:accent1>
        <a:srgbClr val="931B2F"/>
      </a:accent1>
      <a:accent2>
        <a:srgbClr val="3C3C3B"/>
      </a:accent2>
      <a:accent3>
        <a:srgbClr val="808080"/>
      </a:accent3>
      <a:accent4>
        <a:srgbClr val="12679B"/>
      </a:accent4>
      <a:accent5>
        <a:srgbClr val="149A9A"/>
      </a:accent5>
      <a:accent6>
        <a:srgbClr val="679B41"/>
      </a:accent6>
      <a:hlink>
        <a:srgbClr val="3C3C3B"/>
      </a:hlink>
      <a:folHlink>
        <a:srgbClr val="931B2F"/>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5">
    <a:dk1>
      <a:srgbClr val="141313"/>
    </a:dk1>
    <a:lt1>
      <a:srgbClr val="FFFFFE"/>
    </a:lt1>
    <a:dk2>
      <a:srgbClr val="931B2F"/>
    </a:dk2>
    <a:lt2>
      <a:srgbClr val="EEECE1"/>
    </a:lt2>
    <a:accent1>
      <a:srgbClr val="141313"/>
    </a:accent1>
    <a:accent2>
      <a:srgbClr val="931B2F"/>
    </a:accent2>
    <a:accent3>
      <a:srgbClr val="505150"/>
    </a:accent3>
    <a:accent4>
      <a:srgbClr val="E4E5E3"/>
    </a:accent4>
    <a:accent5>
      <a:srgbClr val="4BACC6"/>
    </a:accent5>
    <a:accent6>
      <a:srgbClr val="F79646"/>
    </a:accent6>
    <a:hlink>
      <a:srgbClr val="931B2F"/>
    </a:hlink>
    <a:folHlink>
      <a:srgbClr val="141313"/>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F38D7F-F640-4FE1-AA6A-83D3CDF2DCFE}"/>
</file>

<file path=customXml/itemProps2.xml><?xml version="1.0" encoding="utf-8"?>
<ds:datastoreItem xmlns:ds="http://schemas.openxmlformats.org/officeDocument/2006/customXml" ds:itemID="{ED1ACEEC-855F-4955-A070-D3C11E96A47D}"/>
</file>

<file path=customXml/itemProps3.xml><?xml version="1.0" encoding="utf-8"?>
<ds:datastoreItem xmlns:ds="http://schemas.openxmlformats.org/officeDocument/2006/customXml" ds:itemID="{EEF69864-8CC2-421F-BF11-49DB7399B366}"/>
</file>

<file path=customXml/itemProps4.xml><?xml version="1.0" encoding="utf-8"?>
<ds:datastoreItem xmlns:ds="http://schemas.openxmlformats.org/officeDocument/2006/customXml" ds:itemID="{C493A3E7-213E-4C39-9A73-3D917C80636B}"/>
</file>

<file path=docProps/app.xml><?xml version="1.0" encoding="utf-8"?>
<Properties xmlns="http://schemas.openxmlformats.org/officeDocument/2006/extended-properties" xmlns:vt="http://schemas.openxmlformats.org/officeDocument/2006/docPropsVTypes">
  <Template>89BC8389.dotm</Template>
  <TotalTime>1</TotalTime>
  <Pages>108</Pages>
  <Words>43526</Words>
  <Characters>248099</Characters>
  <Application>Microsoft Office Word</Application>
  <DocSecurity>4</DocSecurity>
  <Lines>2067</Lines>
  <Paragraphs>582</Paragraphs>
  <ScaleCrop>false</ScaleCrop>
  <HeadingPairs>
    <vt:vector size="2" baseType="variant">
      <vt:variant>
        <vt:lpstr>Title</vt:lpstr>
      </vt:variant>
      <vt:variant>
        <vt:i4>1</vt:i4>
      </vt:variant>
    </vt:vector>
  </HeadingPairs>
  <TitlesOfParts>
    <vt:vector size="1" baseType="lpstr">
      <vt:lpstr/>
    </vt:vector>
  </TitlesOfParts>
  <Company>dandolo partners</Company>
  <LinksUpToDate>false</LinksUpToDate>
  <CharactersWithSpaces>291043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Crabb</dc:creator>
  <cp:lastModifiedBy>Nicole Ram</cp:lastModifiedBy>
  <cp:revision>2</cp:revision>
  <cp:lastPrinted>2012-10-29T05:52:00Z</cp:lastPrinted>
  <dcterms:created xsi:type="dcterms:W3CDTF">2013-01-10T02:09:00Z</dcterms:created>
  <dcterms:modified xsi:type="dcterms:W3CDTF">2013-01-10T02:09:00Z</dcterms:modified>
</cp:coreProperties>
</file>