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A0C7D" w14:textId="77777777" w:rsidR="006E5D6E" w:rsidRPr="00B035DA" w:rsidRDefault="00350FFA" w:rsidP="00350FFA">
      <w:pPr>
        <w:ind w:left="-1474"/>
      </w:pPr>
      <w:r w:rsidRPr="00B035DA">
        <w:rPr>
          <w:noProof/>
          <w:lang w:eastAsia="en-AU"/>
        </w:rPr>
        <w:drawing>
          <wp:inline distT="0" distB="0" distL="0" distR="0" wp14:anchorId="776E10B7" wp14:editId="33A4FA25">
            <wp:extent cx="7624633" cy="2176709"/>
            <wp:effectExtent l="0" t="0" r="0" b="0"/>
            <wp:docPr id="7" name="Picture 7"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7624633" cy="2176709"/>
                    </a:xfrm>
                    <a:prstGeom prst="rect">
                      <a:avLst/>
                    </a:prstGeom>
                  </pic:spPr>
                </pic:pic>
              </a:graphicData>
            </a:graphic>
          </wp:inline>
        </w:drawing>
      </w:r>
    </w:p>
    <w:p w14:paraId="2C7E178B" w14:textId="77777777" w:rsidR="008507C1" w:rsidRPr="00B035DA" w:rsidRDefault="008507C1" w:rsidP="006E5D6E">
      <w:pPr>
        <w:ind w:left="-1418"/>
        <w:sectPr w:rsidR="008507C1" w:rsidRPr="00B035DA" w:rsidSect="000A453D">
          <w:headerReference w:type="default" r:id="rId12"/>
          <w:footerReference w:type="default" r:id="rId13"/>
          <w:pgSz w:w="11906" w:h="16838"/>
          <w:pgMar w:top="0" w:right="1440" w:bottom="1440" w:left="1418" w:header="708" w:footer="708" w:gutter="0"/>
          <w:cols w:space="708"/>
          <w:docGrid w:linePitch="360"/>
        </w:sectPr>
      </w:pPr>
    </w:p>
    <w:p w14:paraId="7C59EAE9" w14:textId="3E89E0A7" w:rsidR="002B1CE5" w:rsidRPr="00B035DA" w:rsidRDefault="00657CAA" w:rsidP="002B1CE5">
      <w:pPr>
        <w:pStyle w:val="Title"/>
      </w:pPr>
      <w:r w:rsidRPr="00B035DA">
        <w:t xml:space="preserve">What is </w:t>
      </w:r>
      <w:r w:rsidR="00AA0308">
        <w:t xml:space="preserve">a </w:t>
      </w:r>
      <w:r w:rsidR="007D1C75">
        <w:t>Refined Area</w:t>
      </w:r>
      <w:r w:rsidR="007C3003">
        <w:t xml:space="preserve"> </w:t>
      </w:r>
      <w:r w:rsidR="007D1C75">
        <w:t>Based</w:t>
      </w:r>
      <w:r w:rsidR="00867E36">
        <w:t xml:space="preserve"> </w:t>
      </w:r>
      <w:r w:rsidR="00735C81">
        <w:t>s</w:t>
      </w:r>
      <w:r w:rsidR="007D1C75">
        <w:t>core</w:t>
      </w:r>
      <w:r w:rsidRPr="00B035DA">
        <w:t>?</w:t>
      </w:r>
    </w:p>
    <w:p w14:paraId="244DAF20" w14:textId="1D26C228" w:rsidR="002C450A" w:rsidRPr="002C450A" w:rsidRDefault="002C450A" w:rsidP="002C450A">
      <w:r w:rsidRPr="002C450A">
        <w:t xml:space="preserve">From 2022, a </w:t>
      </w:r>
      <w:r w:rsidR="00F73A03">
        <w:t>Refined Area Based (</w:t>
      </w:r>
      <w:r w:rsidRPr="002C450A">
        <w:t>RAB</w:t>
      </w:r>
      <w:r w:rsidR="00F73A03">
        <w:t>)</w:t>
      </w:r>
      <w:r w:rsidRPr="002C450A">
        <w:t xml:space="preserve"> score is used for a school’s Capacity to Contribute (CTC) score when the school’s </w:t>
      </w:r>
      <w:r>
        <w:t>3</w:t>
      </w:r>
      <w:r>
        <w:noBreakHyphen/>
        <w:t xml:space="preserve">year </w:t>
      </w:r>
      <w:r w:rsidRPr="002C450A">
        <w:t xml:space="preserve">average </w:t>
      </w:r>
      <w:hyperlink r:id="rId14" w:history="1">
        <w:r w:rsidRPr="002C450A">
          <w:rPr>
            <w:rStyle w:val="Hyperlink"/>
          </w:rPr>
          <w:t>Direct Measure of Income</w:t>
        </w:r>
      </w:hyperlink>
      <w:r w:rsidRPr="002C450A">
        <w:t xml:space="preserve"> (DMI) score cannot be used.</w:t>
      </w:r>
    </w:p>
    <w:p w14:paraId="53441EC3" w14:textId="4A7C4634" w:rsidR="002C450A" w:rsidRPr="002C450A" w:rsidRDefault="002C450A" w:rsidP="002C450A">
      <w:r w:rsidRPr="002C450A">
        <w:t>A CTC score applies to most non-government schools. It is a measure of the capacity of the parents and guardians responsible for students at a school to contribute financially to the operation of the school relative to capacity at other non</w:t>
      </w:r>
      <w:r w:rsidRPr="002C450A">
        <w:noBreakHyphen/>
        <w:t xml:space="preserve">government schools. Each CTC score corresponds with a percentage by which the base amount of a school’s </w:t>
      </w:r>
      <w:hyperlink r:id="rId15">
        <w:r w:rsidRPr="002C450A">
          <w:rPr>
            <w:rStyle w:val="Hyperlink"/>
          </w:rPr>
          <w:t>Schooling Resource Standard</w:t>
        </w:r>
      </w:hyperlink>
      <w:r w:rsidRPr="002C450A">
        <w:t xml:space="preserve"> (also known as an SRS) is discounted. These percentages are provided at subsection 54(3) of the </w:t>
      </w:r>
      <w:hyperlink r:id="rId16" w:history="1">
        <w:r w:rsidR="001859DA" w:rsidRPr="00F73A03">
          <w:rPr>
            <w:rStyle w:val="Hyperlink"/>
            <w:i/>
            <w:iCs/>
          </w:rPr>
          <w:t>Australian Education Act 2013</w:t>
        </w:r>
      </w:hyperlink>
      <w:r w:rsidRPr="002C450A">
        <w:t xml:space="preserve">. </w:t>
      </w:r>
    </w:p>
    <w:p w14:paraId="775D0B42" w14:textId="02C2D83F" w:rsidR="002C450A" w:rsidRPr="002C450A" w:rsidRDefault="002C450A" w:rsidP="002C450A">
      <w:r w:rsidRPr="002C450A">
        <w:t>A school’s RAB score is based on family and household income information</w:t>
      </w:r>
      <w:r>
        <w:t xml:space="preserve"> of the areas where parents and guardians of students at a school </w:t>
      </w:r>
      <w:r w:rsidR="00CB4E2D">
        <w:t>live</w:t>
      </w:r>
      <w:r>
        <w:t>. The data used is</w:t>
      </w:r>
      <w:r w:rsidRPr="002C450A">
        <w:t xml:space="preserve"> from the latest available Australian Bureau of Statistics</w:t>
      </w:r>
      <w:r w:rsidR="001859DA">
        <w:t xml:space="preserve"> (ABS)</w:t>
      </w:r>
      <w:r w:rsidRPr="002C450A">
        <w:t xml:space="preserve"> </w:t>
      </w:r>
      <w:hyperlink r:id="rId17" w:history="1">
        <w:r w:rsidRPr="002C450A">
          <w:rPr>
            <w:rStyle w:val="Hyperlink"/>
          </w:rPr>
          <w:t>Census of Population and Housing</w:t>
        </w:r>
      </w:hyperlink>
      <w:r w:rsidRPr="002C450A">
        <w:t xml:space="preserve"> data combined with the latest available statement of addresses from the Student Residential Address and Other Information Collection (the Address Collection) completed by a school’s approved authority each year. </w:t>
      </w:r>
    </w:p>
    <w:p w14:paraId="77D7A59B" w14:textId="65EA9D7B" w:rsidR="00657CAA" w:rsidRPr="00B035DA" w:rsidRDefault="007D1C75" w:rsidP="00657CAA">
      <w:pPr>
        <w:pStyle w:val="Heading1"/>
      </w:pPr>
      <w:r>
        <w:t>When is the RAB</w:t>
      </w:r>
      <w:r w:rsidR="00867E36">
        <w:t xml:space="preserve"> score</w:t>
      </w:r>
      <w:r>
        <w:t xml:space="preserve"> used</w:t>
      </w:r>
      <w:r w:rsidR="00657CAA" w:rsidRPr="00B035DA">
        <w:t>?</w:t>
      </w:r>
    </w:p>
    <w:p w14:paraId="0AE1A8D4" w14:textId="1DD8E5FE" w:rsidR="00867E36" w:rsidRDefault="00232571" w:rsidP="00657CAA">
      <w:pPr>
        <w:rPr>
          <w:rFonts w:eastAsia="Times New Roman"/>
        </w:rPr>
      </w:pPr>
      <w:r>
        <w:t xml:space="preserve">As outlined in the </w:t>
      </w:r>
      <w:hyperlink r:id="rId18" w:history="1">
        <w:r w:rsidRPr="00E470D6">
          <w:rPr>
            <w:rStyle w:val="Hyperlink"/>
            <w:i/>
            <w:iCs/>
          </w:rPr>
          <w:t>Austra</w:t>
        </w:r>
        <w:r w:rsidRPr="00E470D6">
          <w:rPr>
            <w:rStyle w:val="Hyperlink"/>
            <w:i/>
            <w:iCs/>
          </w:rPr>
          <w:t>l</w:t>
        </w:r>
        <w:r w:rsidRPr="00E470D6">
          <w:rPr>
            <w:rStyle w:val="Hyperlink"/>
            <w:i/>
            <w:iCs/>
          </w:rPr>
          <w:t>ian Education Regulation 2013</w:t>
        </w:r>
      </w:hyperlink>
      <w:r>
        <w:rPr>
          <w:i/>
          <w:iCs/>
        </w:rPr>
        <w:t xml:space="preserve"> </w:t>
      </w:r>
      <w:r w:rsidRPr="00E470D6">
        <w:t>(the Regulation)</w:t>
      </w:r>
      <w:r w:rsidRPr="00232571">
        <w:t>,</w:t>
      </w:r>
      <w:r>
        <w:t xml:space="preserve"> a</w:t>
      </w:r>
      <w:r w:rsidR="003B23E0">
        <w:t xml:space="preserve"> RAB score is used when </w:t>
      </w:r>
      <w:r w:rsidR="00CA6629">
        <w:t>a school’s</w:t>
      </w:r>
      <w:r w:rsidR="00F73A03">
        <w:t xml:space="preserve"> </w:t>
      </w:r>
      <w:r w:rsidR="00912EBF">
        <w:t xml:space="preserve">average </w:t>
      </w:r>
      <w:r w:rsidR="00CA6629">
        <w:t>DMI score</w:t>
      </w:r>
      <w:r w:rsidR="00F11FD5">
        <w:t xml:space="preserve"> cannot be used</w:t>
      </w:r>
      <w:r w:rsidR="00CA6629">
        <w:t xml:space="preserve"> </w:t>
      </w:r>
      <w:r w:rsidR="003B23E0">
        <w:t>because</w:t>
      </w:r>
      <w:r w:rsidR="00CA6629">
        <w:t>:</w:t>
      </w:r>
    </w:p>
    <w:p w14:paraId="10BC4E68" w14:textId="113D0508" w:rsidR="00867E36" w:rsidRDefault="00FA7282" w:rsidP="00391C35">
      <w:pPr>
        <w:pStyle w:val="ListParagraph"/>
        <w:numPr>
          <w:ilvl w:val="0"/>
          <w:numId w:val="15"/>
        </w:numPr>
        <w:spacing w:line="240" w:lineRule="auto"/>
        <w:ind w:left="714" w:hanging="357"/>
        <w:contextualSpacing w:val="0"/>
        <w:rPr>
          <w:rFonts w:eastAsia="Times New Roman"/>
        </w:rPr>
      </w:pPr>
      <w:r>
        <w:rPr>
          <w:rFonts w:eastAsia="Times New Roman"/>
        </w:rPr>
        <w:t>t</w:t>
      </w:r>
      <w:r w:rsidR="00867E36">
        <w:rPr>
          <w:rFonts w:eastAsia="Times New Roman"/>
        </w:rPr>
        <w:t>here is less than 3 years of information to calculate the average DMI score for the school for the year</w:t>
      </w:r>
      <w:r w:rsidR="003B23E0">
        <w:rPr>
          <w:rFonts w:eastAsia="Times New Roman"/>
        </w:rPr>
        <w:t>, or</w:t>
      </w:r>
    </w:p>
    <w:p w14:paraId="5263D991" w14:textId="6CF6BFEC" w:rsidR="00867E36" w:rsidRDefault="00FA7282" w:rsidP="00391C35">
      <w:pPr>
        <w:pStyle w:val="ListParagraph"/>
        <w:numPr>
          <w:ilvl w:val="0"/>
          <w:numId w:val="15"/>
        </w:numPr>
        <w:spacing w:line="240" w:lineRule="auto"/>
        <w:ind w:left="714" w:hanging="357"/>
        <w:contextualSpacing w:val="0"/>
        <w:rPr>
          <w:rFonts w:eastAsia="Times New Roman"/>
        </w:rPr>
      </w:pPr>
      <w:r>
        <w:rPr>
          <w:rFonts w:eastAsia="Times New Roman"/>
        </w:rPr>
        <w:t>t</w:t>
      </w:r>
      <w:r w:rsidR="00867E36">
        <w:rPr>
          <w:rFonts w:eastAsia="Times New Roman"/>
        </w:rPr>
        <w:t xml:space="preserve">he number of parents and guardians for students at a school is too low to ensure that information about individuals cannot be </w:t>
      </w:r>
      <w:r w:rsidR="00AA0308">
        <w:rPr>
          <w:rFonts w:eastAsia="Times New Roman"/>
        </w:rPr>
        <w:t xml:space="preserve">identified </w:t>
      </w:r>
      <w:r w:rsidR="00867E36">
        <w:rPr>
          <w:rFonts w:eastAsia="Times New Roman"/>
        </w:rPr>
        <w:t xml:space="preserve">from the </w:t>
      </w:r>
      <w:r w:rsidR="00BC3BC1">
        <w:rPr>
          <w:rFonts w:eastAsia="Times New Roman"/>
        </w:rPr>
        <w:t>DMI score</w:t>
      </w:r>
      <w:r w:rsidR="003B23E0">
        <w:rPr>
          <w:rFonts w:eastAsia="Times New Roman"/>
        </w:rPr>
        <w:t>, or</w:t>
      </w:r>
    </w:p>
    <w:p w14:paraId="274A6F09" w14:textId="5E41B2E9" w:rsidR="00277893" w:rsidRPr="003A27DD" w:rsidRDefault="00FA7282" w:rsidP="00391C35">
      <w:pPr>
        <w:pStyle w:val="ListParagraph"/>
        <w:numPr>
          <w:ilvl w:val="0"/>
          <w:numId w:val="15"/>
        </w:numPr>
        <w:spacing w:line="240" w:lineRule="auto"/>
        <w:ind w:left="714" w:hanging="357"/>
        <w:contextualSpacing w:val="0"/>
        <w:rPr>
          <w:rFonts w:eastAsia="Times New Roman"/>
        </w:rPr>
      </w:pPr>
      <w:r>
        <w:rPr>
          <w:rFonts w:eastAsia="Times New Roman"/>
        </w:rPr>
        <w:t>t</w:t>
      </w:r>
      <w:r w:rsidR="00BC3BC1">
        <w:rPr>
          <w:rFonts w:eastAsia="Times New Roman"/>
        </w:rPr>
        <w:t xml:space="preserve">he data available to calculate the DMI </w:t>
      </w:r>
      <w:r w:rsidR="00F73A03">
        <w:rPr>
          <w:rFonts w:eastAsia="Times New Roman"/>
        </w:rPr>
        <w:t xml:space="preserve">score </w:t>
      </w:r>
      <w:r w:rsidR="00BC3BC1">
        <w:rPr>
          <w:rFonts w:eastAsia="Times New Roman"/>
        </w:rPr>
        <w:t xml:space="preserve">does not meet the standards outlined in the </w:t>
      </w:r>
      <w:hyperlink r:id="rId19" w:history="1">
        <w:r w:rsidR="00BC3BC1" w:rsidRPr="00BC3BC1">
          <w:rPr>
            <w:rStyle w:val="Hyperlink"/>
            <w:rFonts w:eastAsia="Times New Roman"/>
          </w:rPr>
          <w:t>Capacity to Contribute Data Validation and Quality Assurance Process</w:t>
        </w:r>
      </w:hyperlink>
    </w:p>
    <w:p w14:paraId="590285BE" w14:textId="71567681" w:rsidR="00277893" w:rsidRDefault="00FA7282" w:rsidP="003A27DD">
      <w:r>
        <w:t>When an average DMI score cannot be used for one or more of these reasons</w:t>
      </w:r>
      <w:r w:rsidR="00AA0308">
        <w:t>,</w:t>
      </w:r>
      <w:r w:rsidR="00277893">
        <w:t xml:space="preserve"> a RAB score will be</w:t>
      </w:r>
      <w:r w:rsidR="00DB2402">
        <w:t xml:space="preserve"> used as the school’s CTC score</w:t>
      </w:r>
      <w:r w:rsidR="00277893">
        <w:t xml:space="preserve"> until a</w:t>
      </w:r>
      <w:r w:rsidR="002C450A">
        <w:t>n</w:t>
      </w:r>
      <w:r w:rsidR="00277893">
        <w:t xml:space="preserve"> average DMI score can </w:t>
      </w:r>
      <w:r w:rsidR="004250BA">
        <w:t xml:space="preserve">be </w:t>
      </w:r>
      <w:r w:rsidR="00EF33DC">
        <w:t xml:space="preserve">calculated for </w:t>
      </w:r>
      <w:r w:rsidR="004250BA">
        <w:t>the</w:t>
      </w:r>
      <w:r w:rsidR="00EF33DC">
        <w:t xml:space="preserve"> school. </w:t>
      </w:r>
    </w:p>
    <w:p w14:paraId="7882148A" w14:textId="6903FCB4" w:rsidR="00657CAA" w:rsidRPr="00B035DA" w:rsidRDefault="007D1C75" w:rsidP="00657CAA">
      <w:pPr>
        <w:pStyle w:val="Heading1"/>
      </w:pPr>
      <w:r>
        <w:t>How is the RAB</w:t>
      </w:r>
      <w:r w:rsidR="00867E36">
        <w:t xml:space="preserve"> score</w:t>
      </w:r>
      <w:r>
        <w:t xml:space="preserve"> calculated?</w:t>
      </w:r>
    </w:p>
    <w:p w14:paraId="48F2DF69" w14:textId="10B25BF2" w:rsidR="0058721C" w:rsidRDefault="003B23E0" w:rsidP="00AD4E31">
      <w:r>
        <w:t xml:space="preserve">RAB scores are calculated annually for eligible schools based on the latest </w:t>
      </w:r>
      <w:r w:rsidR="004250BA">
        <w:t>student</w:t>
      </w:r>
      <w:r w:rsidR="00657CAA" w:rsidRPr="00B035DA">
        <w:t xml:space="preserve"> addresses </w:t>
      </w:r>
      <w:r>
        <w:t>provided in the Address Collection. The student address</w:t>
      </w:r>
      <w:r w:rsidR="001F4FAB">
        <w:t>es</w:t>
      </w:r>
      <w:r>
        <w:t xml:space="preserve"> are </w:t>
      </w:r>
      <w:r w:rsidR="00657CAA" w:rsidRPr="00B035DA">
        <w:t xml:space="preserve">linked to </w:t>
      </w:r>
      <w:r w:rsidR="00BC3BC1">
        <w:t>geographical areas</w:t>
      </w:r>
      <w:r w:rsidR="00391C35">
        <w:t xml:space="preserve"> </w:t>
      </w:r>
      <w:r w:rsidR="00BC3BC1">
        <w:t xml:space="preserve">as defined in the </w:t>
      </w:r>
      <w:hyperlink r:id="rId20" w:history="1">
        <w:r w:rsidR="00BC3BC1" w:rsidRPr="001679AF">
          <w:rPr>
            <w:rStyle w:val="Hyperlink"/>
          </w:rPr>
          <w:t xml:space="preserve">Australian </w:t>
        </w:r>
        <w:r w:rsidR="001679AF" w:rsidRPr="001679AF">
          <w:rPr>
            <w:rStyle w:val="Hyperlink"/>
          </w:rPr>
          <w:t>Statistical Geography Standard</w:t>
        </w:r>
      </w:hyperlink>
      <w:r w:rsidR="00391C35" w:rsidRPr="00391C35">
        <w:t xml:space="preserve"> </w:t>
      </w:r>
      <w:r w:rsidR="00391C35">
        <w:t>known as Statistical Area Level 1s (SA1</w:t>
      </w:r>
      <w:r w:rsidR="002C450A">
        <w:t>s</w:t>
      </w:r>
      <w:r w:rsidR="00391C35">
        <w:t>)</w:t>
      </w:r>
      <w:r w:rsidR="00BC3BC1">
        <w:t>.</w:t>
      </w:r>
      <w:r w:rsidR="001679AF">
        <w:t xml:space="preserve"> </w:t>
      </w:r>
      <w:r w:rsidR="006D760D">
        <w:t>The ABS uses data</w:t>
      </w:r>
      <w:r w:rsidR="008C6B08">
        <w:t xml:space="preserve"> from the </w:t>
      </w:r>
      <w:hyperlink r:id="rId21" w:history="1">
        <w:r w:rsidR="00976087" w:rsidRPr="00976087">
          <w:rPr>
            <w:rStyle w:val="Hyperlink"/>
          </w:rPr>
          <w:t>Census of Population and Housing</w:t>
        </w:r>
      </w:hyperlink>
      <w:r w:rsidR="00976087">
        <w:t xml:space="preserve"> to calculate </w:t>
      </w:r>
      <w:r>
        <w:t>dimension</w:t>
      </w:r>
      <w:r w:rsidR="00976087">
        <w:t xml:space="preserve"> </w:t>
      </w:r>
      <w:r w:rsidR="00AC2448">
        <w:t xml:space="preserve">scores representing </w:t>
      </w:r>
      <w:r w:rsidR="0058721C">
        <w:t xml:space="preserve">the household income and family income for every </w:t>
      </w:r>
      <w:r w:rsidR="001F4FAB">
        <w:t>SA1</w:t>
      </w:r>
      <w:r w:rsidR="0058721C">
        <w:t xml:space="preserve">. </w:t>
      </w:r>
      <w:r w:rsidR="006D760D">
        <w:t>Th</w:t>
      </w:r>
      <w:r w:rsidR="0058721C">
        <w:t xml:space="preserve">e </w:t>
      </w:r>
      <w:r w:rsidR="002913A5">
        <w:t>average</w:t>
      </w:r>
      <w:r w:rsidR="0058721C">
        <w:t xml:space="preserve"> </w:t>
      </w:r>
      <w:r w:rsidR="004250BA">
        <w:t>household income and average family income dimension</w:t>
      </w:r>
      <w:r>
        <w:t xml:space="preserve"> </w:t>
      </w:r>
      <w:r w:rsidR="00B96497">
        <w:t>s</w:t>
      </w:r>
      <w:r>
        <w:t>cores</w:t>
      </w:r>
      <w:r w:rsidR="002913A5">
        <w:t xml:space="preserve"> </w:t>
      </w:r>
      <w:r w:rsidR="006D760D">
        <w:t xml:space="preserve">are calculated for </w:t>
      </w:r>
      <w:r w:rsidR="00532846">
        <w:t>the</w:t>
      </w:r>
      <w:r w:rsidR="006D760D">
        <w:t xml:space="preserve"> school</w:t>
      </w:r>
      <w:r w:rsidR="001F4FAB">
        <w:t xml:space="preserve"> and t</w:t>
      </w:r>
      <w:r w:rsidR="006D760D">
        <w:t>hese two average scores are then used</w:t>
      </w:r>
      <w:r w:rsidR="00532846">
        <w:t xml:space="preserve"> to calculate a RAB score for the school</w:t>
      </w:r>
      <w:r w:rsidR="0058721C">
        <w:t>.</w:t>
      </w:r>
    </w:p>
    <w:p w14:paraId="088938F8" w14:textId="25633758" w:rsidR="00292575" w:rsidRDefault="00292575" w:rsidP="00292575">
      <w:pPr>
        <w:rPr>
          <w:rFonts w:cstheme="minorHAnsi"/>
        </w:rPr>
      </w:pPr>
      <w:r>
        <w:t xml:space="preserve">The method for calculating the RAB score is </w:t>
      </w:r>
      <w:r w:rsidR="006D760D">
        <w:t xml:space="preserve">set out in </w:t>
      </w:r>
      <w:r w:rsidR="009879B8">
        <w:t>sub</w:t>
      </w:r>
      <w:r w:rsidR="006D760D">
        <w:t xml:space="preserve">section </w:t>
      </w:r>
      <w:r w:rsidR="002913A5">
        <w:t>23(2)</w:t>
      </w:r>
      <w:r w:rsidR="006D760D">
        <w:t xml:space="preserve"> of the </w:t>
      </w:r>
      <w:proofErr w:type="spellStart"/>
      <w:r w:rsidR="009879B8">
        <w:t>the</w:t>
      </w:r>
      <w:proofErr w:type="spellEnd"/>
      <w:r w:rsidR="009879B8">
        <w:t xml:space="preserve"> Regulation</w:t>
      </w:r>
      <w:r w:rsidR="006D760D">
        <w:t xml:space="preserve">. </w:t>
      </w:r>
    </w:p>
    <w:p w14:paraId="4B9ABD49" w14:textId="6F6AC511" w:rsidR="00DD12C9" w:rsidRDefault="00EE330C" w:rsidP="00250D3A">
      <w:pPr>
        <w:pStyle w:val="Heading1"/>
      </w:pPr>
      <w:r>
        <w:t xml:space="preserve">What avenues are available to seek a review of </w:t>
      </w:r>
      <w:r w:rsidR="00EB1546">
        <w:t>a RAB-based CTC score</w:t>
      </w:r>
      <w:r w:rsidR="00DD12C9">
        <w:t>?</w:t>
      </w:r>
    </w:p>
    <w:p w14:paraId="14D388AC" w14:textId="6E17039A" w:rsidR="00DB2402" w:rsidRDefault="00DB2402" w:rsidP="00DB2402">
      <w:pPr>
        <w:rPr>
          <w:rFonts w:cs="Arial"/>
        </w:rPr>
      </w:pPr>
      <w:r w:rsidRPr="007163DF">
        <w:rPr>
          <w:rFonts w:cs="Arial"/>
        </w:rPr>
        <w:t xml:space="preserve">An approved authority may seek an </w:t>
      </w:r>
      <w:r w:rsidRPr="007163DF">
        <w:rPr>
          <w:rFonts w:cs="Arial"/>
          <w:b/>
        </w:rPr>
        <w:t>internal review</w:t>
      </w:r>
      <w:r w:rsidRPr="007163DF">
        <w:rPr>
          <w:rFonts w:cs="Arial"/>
        </w:rPr>
        <w:t xml:space="preserve"> of </w:t>
      </w:r>
      <w:r>
        <w:rPr>
          <w:rFonts w:cs="Arial"/>
        </w:rPr>
        <w:t>any</w:t>
      </w:r>
      <w:r w:rsidRPr="007163DF">
        <w:rPr>
          <w:rFonts w:cs="Arial"/>
        </w:rPr>
        <w:t xml:space="preserve"> CTC score determined by the Minister’s delegate</w:t>
      </w:r>
      <w:r>
        <w:rPr>
          <w:rFonts w:cs="Arial"/>
        </w:rPr>
        <w:t xml:space="preserve"> within </w:t>
      </w:r>
      <w:r w:rsidR="002C450A">
        <w:rPr>
          <w:rFonts w:cs="Arial"/>
        </w:rPr>
        <w:t>6</w:t>
      </w:r>
      <w:r>
        <w:rPr>
          <w:rFonts w:cs="Arial"/>
        </w:rPr>
        <w:t xml:space="preserve">0 days of the determination being made. </w:t>
      </w:r>
      <w:r w:rsidRPr="00871E32">
        <w:rPr>
          <w:rFonts w:cs="Arial"/>
        </w:rPr>
        <w:t xml:space="preserve">An internal review is a </w:t>
      </w:r>
      <w:proofErr w:type="gramStart"/>
      <w:r w:rsidRPr="00871E32">
        <w:rPr>
          <w:rFonts w:cs="Arial"/>
        </w:rPr>
        <w:t>merits</w:t>
      </w:r>
      <w:proofErr w:type="gramEnd"/>
      <w:r w:rsidRPr="00871E32">
        <w:rPr>
          <w:rFonts w:cs="Arial"/>
        </w:rPr>
        <w:t xml:space="preserve"> review of a decision made by an officer in a government agency by another officer in that agency who was not involved in making the original decision. An internal review is primarily concerned with whether procedural aspects of the decision were in accordance with relevant legislation or administrative policies.</w:t>
      </w:r>
    </w:p>
    <w:p w14:paraId="122EEACE" w14:textId="77777777" w:rsidR="00DB2402" w:rsidRPr="00517575" w:rsidRDefault="00DB2402" w:rsidP="00DB2402">
      <w:pPr>
        <w:rPr>
          <w:rFonts w:cs="Arial"/>
        </w:rPr>
      </w:pPr>
      <w:r>
        <w:rPr>
          <w:rFonts w:cs="Arial"/>
        </w:rPr>
        <w:lastRenderedPageBreak/>
        <w:t>I</w:t>
      </w:r>
      <w:r w:rsidRPr="00517575">
        <w:rPr>
          <w:rFonts w:cs="Arial"/>
        </w:rPr>
        <w:t xml:space="preserve">f an approved authority is not satisfied with the outcome of an internal review, it may apply to the </w:t>
      </w:r>
      <w:hyperlink r:id="rId22" w:history="1">
        <w:r w:rsidRPr="00517575">
          <w:rPr>
            <w:rFonts w:cs="Arial"/>
          </w:rPr>
          <w:t>Administrative Appeals Tribunal</w:t>
        </w:r>
      </w:hyperlink>
      <w:r w:rsidRPr="00517575">
        <w:rPr>
          <w:rFonts w:cs="Arial"/>
        </w:rPr>
        <w:t xml:space="preserve"> (AAT) to have that decision </w:t>
      </w:r>
      <w:r w:rsidRPr="00A418FB">
        <w:rPr>
          <w:rFonts w:cs="Arial"/>
          <w:b/>
          <w:bCs/>
        </w:rPr>
        <w:t>externally reviewed</w:t>
      </w:r>
      <w:r w:rsidRPr="00517575">
        <w:rPr>
          <w:rFonts w:cs="Arial"/>
        </w:rPr>
        <w:t xml:space="preserve">. Information on applying for a review by the AAT can be found at </w:t>
      </w:r>
      <w:hyperlink r:id="rId23" w:history="1">
        <w:r w:rsidRPr="00391C35">
          <w:rPr>
            <w:rStyle w:val="Hyperlink"/>
          </w:rPr>
          <w:t>www.aat.gov.au</w:t>
        </w:r>
      </w:hyperlink>
      <w:r w:rsidRPr="00517575">
        <w:rPr>
          <w:rFonts w:cs="Arial"/>
        </w:rPr>
        <w:t>.</w:t>
      </w:r>
    </w:p>
    <w:p w14:paraId="7A809249" w14:textId="786ED097" w:rsidR="00FB5F27" w:rsidRPr="005B1383" w:rsidRDefault="00FB5F27" w:rsidP="00FB5F27">
      <w:pPr>
        <w:rPr>
          <w:lang w:val="en"/>
        </w:rPr>
      </w:pPr>
      <w:r>
        <w:t xml:space="preserve">An approved authority can also make an application for a review of </w:t>
      </w:r>
      <w:r w:rsidRPr="007F2B6D">
        <w:t xml:space="preserve">its </w:t>
      </w:r>
      <w:r w:rsidRPr="00B86EA1">
        <w:t>CTC score</w:t>
      </w:r>
      <w:r>
        <w:t>, unde</w:t>
      </w:r>
      <w:r w:rsidR="00C45F7A">
        <w:t>r</w:t>
      </w:r>
      <w:r>
        <w:t xml:space="preserve"> section 53(</w:t>
      </w:r>
      <w:r w:rsidR="00C45F7A">
        <w:t>2</w:t>
      </w:r>
      <w:r>
        <w:t xml:space="preserve">) of the Act, </w:t>
      </w:r>
      <w:r w:rsidRPr="00B86EA1">
        <w:t xml:space="preserve">if it </w:t>
      </w:r>
      <w:r>
        <w:t xml:space="preserve">believes it </w:t>
      </w:r>
      <w:r w:rsidRPr="005B1383">
        <w:t xml:space="preserve">does not accurately reflect the school community’s </w:t>
      </w:r>
      <w:r>
        <w:t>capacity to contribute financially to the operation of the school</w:t>
      </w:r>
      <w:r w:rsidRPr="005B1383">
        <w:t xml:space="preserve">. </w:t>
      </w:r>
      <w:r>
        <w:t xml:space="preserve">More information on the CTC review process and possible reasons to seek a review, including Guidelines and the application form, is available at the </w:t>
      </w:r>
      <w:hyperlink r:id="rId24" w:history="1">
        <w:r w:rsidRPr="00DB2402">
          <w:rPr>
            <w:rStyle w:val="Hyperlink"/>
          </w:rPr>
          <w:t>department’s website</w:t>
        </w:r>
      </w:hyperlink>
      <w:r>
        <w:t>.</w:t>
      </w:r>
    </w:p>
    <w:p w14:paraId="4F65294E" w14:textId="5112CA3D" w:rsidR="00F705D8" w:rsidRPr="00BF5E76" w:rsidRDefault="00F705D8" w:rsidP="00657CAA">
      <w:pPr>
        <w:rPr>
          <w:rFonts w:eastAsia="Times New Roman" w:cstheme="minorHAnsi"/>
        </w:rPr>
      </w:pPr>
    </w:p>
    <w:sectPr w:rsidR="00F705D8" w:rsidRPr="00BF5E76"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0058B" w14:textId="77777777" w:rsidR="00FF7EF7" w:rsidRDefault="00FF7EF7" w:rsidP="0051352E">
      <w:pPr>
        <w:spacing w:after="0" w:line="240" w:lineRule="auto"/>
      </w:pPr>
      <w:r>
        <w:separator/>
      </w:r>
    </w:p>
  </w:endnote>
  <w:endnote w:type="continuationSeparator" w:id="0">
    <w:p w14:paraId="7F9B66DB" w14:textId="77777777" w:rsidR="00FF7EF7" w:rsidRDefault="00FF7EF7" w:rsidP="0051352E">
      <w:pPr>
        <w:spacing w:after="0" w:line="240" w:lineRule="auto"/>
      </w:pPr>
      <w:r>
        <w:continuationSeparator/>
      </w:r>
    </w:p>
  </w:endnote>
  <w:endnote w:type="continuationNotice" w:id="1">
    <w:p w14:paraId="4F335DF8" w14:textId="77777777" w:rsidR="00FF7EF7" w:rsidRDefault="00FF7E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90F8F" w14:textId="77777777" w:rsidR="00250D3A" w:rsidRDefault="00250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4A85B" w14:textId="77777777" w:rsidR="00FF7EF7" w:rsidRDefault="00FF7EF7" w:rsidP="0051352E">
      <w:pPr>
        <w:spacing w:after="0" w:line="240" w:lineRule="auto"/>
      </w:pPr>
      <w:r>
        <w:separator/>
      </w:r>
    </w:p>
  </w:footnote>
  <w:footnote w:type="continuationSeparator" w:id="0">
    <w:p w14:paraId="6C0C3F2E" w14:textId="77777777" w:rsidR="00FF7EF7" w:rsidRDefault="00FF7EF7" w:rsidP="0051352E">
      <w:pPr>
        <w:spacing w:after="0" w:line="240" w:lineRule="auto"/>
      </w:pPr>
      <w:r>
        <w:continuationSeparator/>
      </w:r>
    </w:p>
  </w:footnote>
  <w:footnote w:type="continuationNotice" w:id="1">
    <w:p w14:paraId="4514BCC2" w14:textId="77777777" w:rsidR="00FF7EF7" w:rsidRDefault="00FF7E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D6FE1" w14:textId="77777777" w:rsidR="00250D3A" w:rsidRDefault="00250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18017A"/>
    <w:multiLevelType w:val="hybridMultilevel"/>
    <w:tmpl w:val="9F4C9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992BB5"/>
    <w:multiLevelType w:val="hybridMultilevel"/>
    <w:tmpl w:val="242E4912"/>
    <w:lvl w:ilvl="0" w:tplc="2146C124">
      <w:start w:val="1"/>
      <w:numFmt w:val="lowerRoman"/>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CAA"/>
    <w:rsid w:val="00000BA2"/>
    <w:rsid w:val="000306E1"/>
    <w:rsid w:val="00052BBC"/>
    <w:rsid w:val="00071BF3"/>
    <w:rsid w:val="00072BFE"/>
    <w:rsid w:val="000765BD"/>
    <w:rsid w:val="00081F7D"/>
    <w:rsid w:val="000A453D"/>
    <w:rsid w:val="000E3F55"/>
    <w:rsid w:val="001132D2"/>
    <w:rsid w:val="00126ECA"/>
    <w:rsid w:val="001561ED"/>
    <w:rsid w:val="00157F35"/>
    <w:rsid w:val="001679AF"/>
    <w:rsid w:val="001859DA"/>
    <w:rsid w:val="001B252F"/>
    <w:rsid w:val="001E6AB9"/>
    <w:rsid w:val="001F4FAB"/>
    <w:rsid w:val="00217EAB"/>
    <w:rsid w:val="0022498C"/>
    <w:rsid w:val="00232571"/>
    <w:rsid w:val="00250D3A"/>
    <w:rsid w:val="002724D0"/>
    <w:rsid w:val="00277893"/>
    <w:rsid w:val="002913A5"/>
    <w:rsid w:val="00292575"/>
    <w:rsid w:val="00295641"/>
    <w:rsid w:val="002B1CE5"/>
    <w:rsid w:val="002B63F1"/>
    <w:rsid w:val="002C450A"/>
    <w:rsid w:val="002F4DB3"/>
    <w:rsid w:val="0032399D"/>
    <w:rsid w:val="00350FFA"/>
    <w:rsid w:val="00356363"/>
    <w:rsid w:val="00382F07"/>
    <w:rsid w:val="00387D90"/>
    <w:rsid w:val="00391C35"/>
    <w:rsid w:val="00392983"/>
    <w:rsid w:val="003A27DD"/>
    <w:rsid w:val="003B23E0"/>
    <w:rsid w:val="003E55E5"/>
    <w:rsid w:val="003E5A01"/>
    <w:rsid w:val="00411D98"/>
    <w:rsid w:val="004250BA"/>
    <w:rsid w:val="004453E8"/>
    <w:rsid w:val="00453827"/>
    <w:rsid w:val="00453C04"/>
    <w:rsid w:val="00464D6D"/>
    <w:rsid w:val="004830B8"/>
    <w:rsid w:val="00497764"/>
    <w:rsid w:val="0051352E"/>
    <w:rsid w:val="00517DA7"/>
    <w:rsid w:val="00520A33"/>
    <w:rsid w:val="00527AE4"/>
    <w:rsid w:val="00531B8C"/>
    <w:rsid w:val="00532846"/>
    <w:rsid w:val="0054066E"/>
    <w:rsid w:val="00556C14"/>
    <w:rsid w:val="0058721C"/>
    <w:rsid w:val="005F7551"/>
    <w:rsid w:val="006002CF"/>
    <w:rsid w:val="006144D1"/>
    <w:rsid w:val="00630DDF"/>
    <w:rsid w:val="00646CDD"/>
    <w:rsid w:val="00656E2F"/>
    <w:rsid w:val="00657CAA"/>
    <w:rsid w:val="00684084"/>
    <w:rsid w:val="006B60B8"/>
    <w:rsid w:val="006C0800"/>
    <w:rsid w:val="006C3957"/>
    <w:rsid w:val="006D760D"/>
    <w:rsid w:val="006E5D6E"/>
    <w:rsid w:val="00721B03"/>
    <w:rsid w:val="00735C81"/>
    <w:rsid w:val="00752354"/>
    <w:rsid w:val="007570DC"/>
    <w:rsid w:val="00775F31"/>
    <w:rsid w:val="00792518"/>
    <w:rsid w:val="007A51BA"/>
    <w:rsid w:val="007B1ABA"/>
    <w:rsid w:val="007B74C5"/>
    <w:rsid w:val="007C3003"/>
    <w:rsid w:val="007C3FF6"/>
    <w:rsid w:val="007C4149"/>
    <w:rsid w:val="007C47DF"/>
    <w:rsid w:val="007D1C75"/>
    <w:rsid w:val="007D2E87"/>
    <w:rsid w:val="007F2B6D"/>
    <w:rsid w:val="00806FAF"/>
    <w:rsid w:val="00844F19"/>
    <w:rsid w:val="00845D1D"/>
    <w:rsid w:val="00847861"/>
    <w:rsid w:val="008507C1"/>
    <w:rsid w:val="00861934"/>
    <w:rsid w:val="00867E36"/>
    <w:rsid w:val="008751FA"/>
    <w:rsid w:val="00887163"/>
    <w:rsid w:val="0089031B"/>
    <w:rsid w:val="0089050D"/>
    <w:rsid w:val="00893061"/>
    <w:rsid w:val="00897098"/>
    <w:rsid w:val="008A5B44"/>
    <w:rsid w:val="008C6B08"/>
    <w:rsid w:val="008D4318"/>
    <w:rsid w:val="008F0AC9"/>
    <w:rsid w:val="008F0C89"/>
    <w:rsid w:val="00906C67"/>
    <w:rsid w:val="0091135C"/>
    <w:rsid w:val="00912EBF"/>
    <w:rsid w:val="0093473D"/>
    <w:rsid w:val="00972F57"/>
    <w:rsid w:val="00976087"/>
    <w:rsid w:val="00981287"/>
    <w:rsid w:val="009879B8"/>
    <w:rsid w:val="00995280"/>
    <w:rsid w:val="009A4350"/>
    <w:rsid w:val="009C116F"/>
    <w:rsid w:val="009C60F6"/>
    <w:rsid w:val="009F2339"/>
    <w:rsid w:val="009F475A"/>
    <w:rsid w:val="009F7C5B"/>
    <w:rsid w:val="00A24E6E"/>
    <w:rsid w:val="00A3518A"/>
    <w:rsid w:val="00A351DD"/>
    <w:rsid w:val="00A43694"/>
    <w:rsid w:val="00A56FC7"/>
    <w:rsid w:val="00A61529"/>
    <w:rsid w:val="00A72575"/>
    <w:rsid w:val="00A74071"/>
    <w:rsid w:val="00AA0308"/>
    <w:rsid w:val="00AA124A"/>
    <w:rsid w:val="00AA2A96"/>
    <w:rsid w:val="00AC2448"/>
    <w:rsid w:val="00AD4E31"/>
    <w:rsid w:val="00AD673B"/>
    <w:rsid w:val="00B035DA"/>
    <w:rsid w:val="00B100CC"/>
    <w:rsid w:val="00B13C1A"/>
    <w:rsid w:val="00B35200"/>
    <w:rsid w:val="00B4686C"/>
    <w:rsid w:val="00B6689D"/>
    <w:rsid w:val="00B72368"/>
    <w:rsid w:val="00B86EA1"/>
    <w:rsid w:val="00B878FA"/>
    <w:rsid w:val="00B96497"/>
    <w:rsid w:val="00BB3B98"/>
    <w:rsid w:val="00BC3BC1"/>
    <w:rsid w:val="00BD46C5"/>
    <w:rsid w:val="00C23B35"/>
    <w:rsid w:val="00C24B09"/>
    <w:rsid w:val="00C45714"/>
    <w:rsid w:val="00C45F7A"/>
    <w:rsid w:val="00C54D58"/>
    <w:rsid w:val="00C573E1"/>
    <w:rsid w:val="00C92640"/>
    <w:rsid w:val="00C95DF6"/>
    <w:rsid w:val="00CA6629"/>
    <w:rsid w:val="00CB4E2D"/>
    <w:rsid w:val="00CE6A97"/>
    <w:rsid w:val="00CF3824"/>
    <w:rsid w:val="00D12E42"/>
    <w:rsid w:val="00D450A5"/>
    <w:rsid w:val="00D63004"/>
    <w:rsid w:val="00D73642"/>
    <w:rsid w:val="00DA1B7B"/>
    <w:rsid w:val="00DB2402"/>
    <w:rsid w:val="00DB79DF"/>
    <w:rsid w:val="00DC18A6"/>
    <w:rsid w:val="00DD12C9"/>
    <w:rsid w:val="00E2552D"/>
    <w:rsid w:val="00E470D6"/>
    <w:rsid w:val="00E5281C"/>
    <w:rsid w:val="00E54191"/>
    <w:rsid w:val="00EA32F7"/>
    <w:rsid w:val="00EB1546"/>
    <w:rsid w:val="00EE330C"/>
    <w:rsid w:val="00EF1F41"/>
    <w:rsid w:val="00EF33DC"/>
    <w:rsid w:val="00F113E0"/>
    <w:rsid w:val="00F11FD5"/>
    <w:rsid w:val="00F1624C"/>
    <w:rsid w:val="00F1644D"/>
    <w:rsid w:val="00F230CD"/>
    <w:rsid w:val="00F36AD4"/>
    <w:rsid w:val="00F51C18"/>
    <w:rsid w:val="00F54144"/>
    <w:rsid w:val="00F705D8"/>
    <w:rsid w:val="00F73A03"/>
    <w:rsid w:val="00F82CF4"/>
    <w:rsid w:val="00F84998"/>
    <w:rsid w:val="00F874A0"/>
    <w:rsid w:val="00FA29C4"/>
    <w:rsid w:val="00FA31E2"/>
    <w:rsid w:val="00FA7282"/>
    <w:rsid w:val="00FB1132"/>
    <w:rsid w:val="00FB5F27"/>
    <w:rsid w:val="00FE5D7B"/>
    <w:rsid w:val="00FF5B70"/>
    <w:rsid w:val="00FF5BB9"/>
    <w:rsid w:val="00FF6518"/>
    <w:rsid w:val="00FF7EF7"/>
    <w:rsid w:val="047B73C4"/>
    <w:rsid w:val="06AC9279"/>
    <w:rsid w:val="1FB99F03"/>
    <w:rsid w:val="33A4FA25"/>
    <w:rsid w:val="360B217E"/>
    <w:rsid w:val="3854AE64"/>
    <w:rsid w:val="41BC8BFD"/>
    <w:rsid w:val="498C6FD7"/>
    <w:rsid w:val="68C4A6CB"/>
    <w:rsid w:val="7F1409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339A7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CommentReference">
    <w:name w:val="annotation reference"/>
    <w:basedOn w:val="DefaultParagraphFont"/>
    <w:uiPriority w:val="99"/>
    <w:semiHidden/>
    <w:unhideWhenUsed/>
    <w:rsid w:val="00657CAA"/>
    <w:rPr>
      <w:sz w:val="16"/>
      <w:szCs w:val="16"/>
    </w:rPr>
  </w:style>
  <w:style w:type="paragraph" w:styleId="CommentText">
    <w:name w:val="annotation text"/>
    <w:basedOn w:val="Normal"/>
    <w:link w:val="CommentTextChar"/>
    <w:uiPriority w:val="99"/>
    <w:semiHidden/>
    <w:unhideWhenUsed/>
    <w:rsid w:val="00657CAA"/>
    <w:pPr>
      <w:spacing w:before="120" w:after="120" w:line="240" w:lineRule="auto"/>
    </w:pPr>
    <w:rPr>
      <w:sz w:val="20"/>
      <w:szCs w:val="20"/>
    </w:rPr>
  </w:style>
  <w:style w:type="character" w:customStyle="1" w:styleId="CommentTextChar">
    <w:name w:val="Comment Text Char"/>
    <w:basedOn w:val="DefaultParagraphFont"/>
    <w:link w:val="CommentText"/>
    <w:uiPriority w:val="99"/>
    <w:semiHidden/>
    <w:rsid w:val="00657CAA"/>
    <w:rPr>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qFormat/>
    <w:locked/>
    <w:rsid w:val="00657CAA"/>
  </w:style>
  <w:style w:type="character" w:styleId="FollowedHyperlink">
    <w:name w:val="FollowedHyperlink"/>
    <w:basedOn w:val="DefaultParagraphFont"/>
    <w:uiPriority w:val="99"/>
    <w:semiHidden/>
    <w:unhideWhenUsed/>
    <w:rsid w:val="00000BA2"/>
    <w:rPr>
      <w:color w:val="002D3F" w:themeColor="followedHyperlink"/>
      <w:u w:val="single"/>
    </w:rPr>
  </w:style>
  <w:style w:type="paragraph" w:styleId="CommentSubject">
    <w:name w:val="annotation subject"/>
    <w:basedOn w:val="CommentText"/>
    <w:next w:val="CommentText"/>
    <w:link w:val="CommentSubjectChar"/>
    <w:uiPriority w:val="99"/>
    <w:semiHidden/>
    <w:unhideWhenUsed/>
    <w:rsid w:val="00FB1132"/>
    <w:pPr>
      <w:spacing w:before="0" w:after="200"/>
    </w:pPr>
    <w:rPr>
      <w:b/>
      <w:bCs/>
    </w:rPr>
  </w:style>
  <w:style w:type="character" w:customStyle="1" w:styleId="CommentSubjectChar">
    <w:name w:val="Comment Subject Char"/>
    <w:basedOn w:val="CommentTextChar"/>
    <w:link w:val="CommentSubject"/>
    <w:uiPriority w:val="99"/>
    <w:semiHidden/>
    <w:rsid w:val="00FB1132"/>
    <w:rPr>
      <w:b/>
      <w:bCs/>
      <w:sz w:val="20"/>
      <w:szCs w:val="20"/>
    </w:rPr>
  </w:style>
  <w:style w:type="paragraph" w:styleId="FootnoteText">
    <w:name w:val="footnote text"/>
    <w:basedOn w:val="Normal"/>
    <w:link w:val="FootnoteTextChar"/>
    <w:uiPriority w:val="99"/>
    <w:semiHidden/>
    <w:unhideWhenUsed/>
    <w:rsid w:val="009F2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2339"/>
    <w:rPr>
      <w:sz w:val="20"/>
      <w:szCs w:val="20"/>
    </w:rPr>
  </w:style>
  <w:style w:type="character" w:styleId="FootnoteReference">
    <w:name w:val="footnote reference"/>
    <w:basedOn w:val="DefaultParagraphFont"/>
    <w:uiPriority w:val="99"/>
    <w:semiHidden/>
    <w:unhideWhenUsed/>
    <w:rsid w:val="009F2339"/>
    <w:rPr>
      <w:vertAlign w:val="superscript"/>
    </w:rPr>
  </w:style>
  <w:style w:type="character" w:styleId="UnresolvedMention">
    <w:name w:val="Unresolved Mention"/>
    <w:basedOn w:val="DefaultParagraphFont"/>
    <w:uiPriority w:val="99"/>
    <w:semiHidden/>
    <w:unhideWhenUsed/>
    <w:rsid w:val="001132D2"/>
    <w:rPr>
      <w:color w:val="605E5C"/>
      <w:shd w:val="clear" w:color="auto" w:fill="E1DFDD"/>
    </w:rPr>
  </w:style>
  <w:style w:type="paragraph" w:styleId="Revision">
    <w:name w:val="Revision"/>
    <w:hidden/>
    <w:uiPriority w:val="99"/>
    <w:semiHidden/>
    <w:rsid w:val="00EF1F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054794">
      <w:bodyDiv w:val="1"/>
      <w:marLeft w:val="0"/>
      <w:marRight w:val="0"/>
      <w:marTop w:val="0"/>
      <w:marBottom w:val="0"/>
      <w:divBdr>
        <w:top w:val="none" w:sz="0" w:space="0" w:color="auto"/>
        <w:left w:val="none" w:sz="0" w:space="0" w:color="auto"/>
        <w:bottom w:val="none" w:sz="0" w:space="0" w:color="auto"/>
        <w:right w:val="none" w:sz="0" w:space="0" w:color="auto"/>
      </w:divBdr>
    </w:div>
    <w:div w:id="699822087">
      <w:bodyDiv w:val="1"/>
      <w:marLeft w:val="0"/>
      <w:marRight w:val="0"/>
      <w:marTop w:val="0"/>
      <w:marBottom w:val="0"/>
      <w:divBdr>
        <w:top w:val="none" w:sz="0" w:space="0" w:color="auto"/>
        <w:left w:val="none" w:sz="0" w:space="0" w:color="auto"/>
        <w:bottom w:val="none" w:sz="0" w:space="0" w:color="auto"/>
        <w:right w:val="none" w:sz="0" w:space="0" w:color="auto"/>
      </w:divBdr>
    </w:div>
    <w:div w:id="728000058">
      <w:bodyDiv w:val="1"/>
      <w:marLeft w:val="0"/>
      <w:marRight w:val="0"/>
      <w:marTop w:val="0"/>
      <w:marBottom w:val="0"/>
      <w:divBdr>
        <w:top w:val="none" w:sz="0" w:space="0" w:color="auto"/>
        <w:left w:val="none" w:sz="0" w:space="0" w:color="auto"/>
        <w:bottom w:val="none" w:sz="0" w:space="0" w:color="auto"/>
        <w:right w:val="none" w:sz="0" w:space="0" w:color="auto"/>
      </w:divBdr>
    </w:div>
    <w:div w:id="1041125127">
      <w:bodyDiv w:val="1"/>
      <w:marLeft w:val="0"/>
      <w:marRight w:val="0"/>
      <w:marTop w:val="0"/>
      <w:marBottom w:val="0"/>
      <w:divBdr>
        <w:top w:val="none" w:sz="0" w:space="0" w:color="auto"/>
        <w:left w:val="none" w:sz="0" w:space="0" w:color="auto"/>
        <w:bottom w:val="none" w:sz="0" w:space="0" w:color="auto"/>
        <w:right w:val="none" w:sz="0" w:space="0" w:color="auto"/>
      </w:divBdr>
    </w:div>
    <w:div w:id="1602755895">
      <w:bodyDiv w:val="1"/>
      <w:marLeft w:val="0"/>
      <w:marRight w:val="0"/>
      <w:marTop w:val="0"/>
      <w:marBottom w:val="0"/>
      <w:divBdr>
        <w:top w:val="none" w:sz="0" w:space="0" w:color="auto"/>
        <w:left w:val="none" w:sz="0" w:space="0" w:color="auto"/>
        <w:bottom w:val="none" w:sz="0" w:space="0" w:color="auto"/>
        <w:right w:val="none" w:sz="0" w:space="0" w:color="auto"/>
      </w:divBdr>
    </w:div>
    <w:div w:id="211124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au/Series/F2013L0147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bs.gov.au/censu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bs.gov.au/cens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Series/C2013A00067" TargetMode="External"/><Relationship Id="rId20" Type="http://schemas.openxmlformats.org/officeDocument/2006/relationships/hyperlink" Target="https://www.abs.gov.au/websitedbs/D3310114.nsf/home/Australian+Statistical+Geography+Standard+(AS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file://C:\Users\ar3048\AppData\Local\Microsoft\Windows\INetCache\Content.Outlook\OAVQSDK9\An%20approved%20authority%20may%20seek%20a%20CTC%20Review%20if%20it%20believes%20its%20school&#8217;s%20CTC%20score%20does%20not%20accurately%20reflect%20the%20school%20community&#8217;s%20capacity%20to%20contribute%20financially%20to%20the%20operation%20of%20the%20school.%20More%20information%20on%20the%20CTC%20review%20process%20and%20possible%20reasons%20to%20seek%20a%20review,%20including%20Guidelines%20and%20the%20application%20form,%20is%20available%20at:%20Capacity%20to%20Contribute%20scores%20for%20non-government%20schools%20-%20Department%20of%20Education,%20Skills%20and%20Employment,%20Australian%20Government%20(dese.gov.au)" TargetMode="External"/><Relationship Id="rId5" Type="http://schemas.openxmlformats.org/officeDocument/2006/relationships/numbering" Target="numbering.xml"/><Relationship Id="rId15" Type="http://schemas.openxmlformats.org/officeDocument/2006/relationships/hyperlink" Target="https://www.dese.gov.au/quality-schools-package/fact-sheets/what-schooling-resource-standard-and-how-does-it-work" TargetMode="External"/><Relationship Id="rId23" Type="http://schemas.openxmlformats.org/officeDocument/2006/relationships/hyperlink" Target="http://www.aat.gov.au" TargetMode="External"/><Relationship Id="rId10" Type="http://schemas.openxmlformats.org/officeDocument/2006/relationships/endnotes" Target="endnotes.xml"/><Relationship Id="rId19" Type="http://schemas.openxmlformats.org/officeDocument/2006/relationships/hyperlink" Target="https://www.dese.gov.au/quality-schools-package/resources/capacity-contribute-data-validation-and-quality-assurance-pro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se.gov.au/quality-schools-package/fact-sheets/what-direct-measure-income" TargetMode="External"/><Relationship Id="rId22" Type="http://schemas.openxmlformats.org/officeDocument/2006/relationships/hyperlink" Target="http://www.aat.gov.au/"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E1B37B002490499D3216A7D49F8B53" ma:contentTypeVersion="12" ma:contentTypeDescription="Create a new document." ma:contentTypeScope="" ma:versionID="6f0393e44272342f65c963e728319a77">
  <xsd:schema xmlns:xsd="http://www.w3.org/2001/XMLSchema" xmlns:xs="http://www.w3.org/2001/XMLSchema" xmlns:p="http://schemas.microsoft.com/office/2006/metadata/properties" xmlns:ns3="4f82b2c8-b39e-44d7-889e-e80134e1437b" xmlns:ns4="1ae72af5-a0ba-4c17-b737-ede9b947c58d" targetNamespace="http://schemas.microsoft.com/office/2006/metadata/properties" ma:root="true" ma:fieldsID="4350c9f90dc77f33791695dd37afdb10" ns3:_="" ns4:_="">
    <xsd:import namespace="4f82b2c8-b39e-44d7-889e-e80134e1437b"/>
    <xsd:import namespace="1ae72af5-a0ba-4c17-b737-ede9b947c5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2b2c8-b39e-44d7-889e-e80134e14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72af5-a0ba-4c17-b737-ede9b947c5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F498E-AF32-41A7-9FD3-1737EA7F5CDF}">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purl.org/dc/terms/"/>
    <ds:schemaRef ds:uri="1ae72af5-a0ba-4c17-b737-ede9b947c58d"/>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4f82b2c8-b39e-44d7-889e-e80134e1437b"/>
    <ds:schemaRef ds:uri="http://www.w3.org/XML/1998/namespace"/>
  </ds:schemaRefs>
</ds:datastoreItem>
</file>

<file path=customXml/itemProps4.xml><?xml version="1.0" encoding="utf-8"?>
<ds:datastoreItem xmlns:ds="http://schemas.openxmlformats.org/officeDocument/2006/customXml" ds:itemID="{35901350-F0A9-4A22-B287-745355EEA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2b2c8-b39e-44d7-889e-e80134e1437b"/>
    <ds:schemaRef ds:uri="1ae72af5-a0ba-4c17-b737-ede9b947c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What is the methodology for the Direct Measure of Income (DMI)?</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methodology for the Direct Measure of Income (DMI)?</dc:title>
  <dc:subject/>
  <dc:creator/>
  <cp:keywords/>
  <dc:description/>
  <cp:lastModifiedBy/>
  <cp:revision>1</cp:revision>
  <dcterms:created xsi:type="dcterms:W3CDTF">2021-11-04T23:11:00Z</dcterms:created>
  <dcterms:modified xsi:type="dcterms:W3CDTF">2021-11-04T23:11:00Z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0x01010073E1B37B002490499D3216A7D49F8B53</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