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0E4CA" w14:textId="6E98B116" w:rsidR="006E5D6E" w:rsidRDefault="00350FFA" w:rsidP="00350FFA">
      <w:pPr>
        <w:ind w:left="-1474"/>
      </w:pPr>
      <w:r w:rsidRPr="00350FFA">
        <w:rPr>
          <w:noProof/>
          <w:lang w:eastAsia="en-AU"/>
        </w:rPr>
        <w:drawing>
          <wp:anchor distT="0" distB="0" distL="114300" distR="114300" simplePos="0" relativeHeight="251658240" behindDoc="1" locked="1" layoutInCell="1" allowOverlap="1" wp14:anchorId="44A2F6E6" wp14:editId="72CE7D52">
            <wp:simplePos x="0" y="0"/>
            <wp:positionH relativeFrom="page">
              <wp:align>left</wp:align>
            </wp:positionH>
            <wp:positionV relativeFrom="page">
              <wp:posOffset>-14605</wp:posOffset>
            </wp:positionV>
            <wp:extent cx="7624800" cy="1078560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800" cy="107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5EB81" w14:textId="77777777" w:rsidR="00930CDA" w:rsidRDefault="00930CDA" w:rsidP="00930CDA">
      <w:pPr>
        <w:spacing w:after="160" w:line="720" w:lineRule="auto"/>
        <w:rPr>
          <w:noProof/>
          <w:lang w:eastAsia="en-AU"/>
        </w:rPr>
      </w:pPr>
      <w:r>
        <w:rPr>
          <w:noProof/>
          <w:lang w:eastAsia="en-AU"/>
        </w:rPr>
        <w:drawing>
          <wp:inline distT="0" distB="0" distL="0" distR="0" wp14:anchorId="3E878B81" wp14:editId="70FF97AC">
            <wp:extent cx="2331725" cy="716281"/>
            <wp:effectExtent l="0" t="0" r="0" b="7620"/>
            <wp:docPr id="4" name="Picture 4"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2331725" cy="716281"/>
                    </a:xfrm>
                    <a:prstGeom prst="rect">
                      <a:avLst/>
                    </a:prstGeom>
                  </pic:spPr>
                </pic:pic>
              </a:graphicData>
            </a:graphic>
          </wp:inline>
        </w:drawing>
      </w:r>
    </w:p>
    <w:p w14:paraId="74F890B2" w14:textId="0F3962AA" w:rsidR="00930CDA" w:rsidRDefault="00A90923" w:rsidP="007855CC">
      <w:pPr>
        <w:pStyle w:val="Title"/>
        <w:spacing w:line="240" w:lineRule="auto"/>
        <w:ind w:left="1276"/>
        <w:rPr>
          <w:noProof/>
          <w:lang w:eastAsia="en-AU"/>
        </w:rPr>
      </w:pPr>
      <w:r>
        <w:rPr>
          <w:noProof/>
          <w:lang w:eastAsia="en-AU"/>
        </w:rPr>
        <w:t>Undergraduate applications, offers and accept</w:t>
      </w:r>
      <w:r w:rsidR="00D53AAC">
        <w:rPr>
          <w:noProof/>
          <w:lang w:eastAsia="en-AU"/>
        </w:rPr>
        <w:t>a</w:t>
      </w:r>
      <w:r>
        <w:rPr>
          <w:noProof/>
          <w:lang w:eastAsia="en-AU"/>
        </w:rPr>
        <w:t>nces 202</w:t>
      </w:r>
      <w:r w:rsidR="009A1AA8">
        <w:rPr>
          <w:noProof/>
          <w:lang w:eastAsia="en-AU"/>
        </w:rPr>
        <w:t>1</w:t>
      </w:r>
    </w:p>
    <w:p w14:paraId="0D0AE80C" w14:textId="632649C5" w:rsidR="00A13341" w:rsidRDefault="005D3969" w:rsidP="00C561F2">
      <w:pPr>
        <w:pStyle w:val="Subtitle"/>
        <w:spacing w:before="240"/>
        <w:ind w:left="1276"/>
        <w:rPr>
          <w:noProof/>
          <w:lang w:eastAsia="en-AU"/>
        </w:rPr>
        <w:sectPr w:rsidR="00A13341" w:rsidSect="00EA67FC">
          <w:footerReference w:type="default" r:id="rId13"/>
          <w:type w:val="continuous"/>
          <w:pgSz w:w="11906" w:h="16838"/>
          <w:pgMar w:top="1418" w:right="1440" w:bottom="1560" w:left="1276" w:header="708" w:footer="708" w:gutter="0"/>
          <w:cols w:space="708"/>
          <w:titlePg/>
          <w:docGrid w:linePitch="360"/>
        </w:sectPr>
      </w:pPr>
      <w:r>
        <w:rPr>
          <w:noProof/>
          <w:lang w:eastAsia="en-AU"/>
        </w:rPr>
        <w:t>October</w:t>
      </w:r>
      <w:r w:rsidR="00A90923">
        <w:rPr>
          <w:noProof/>
          <w:lang w:eastAsia="en-AU"/>
        </w:rPr>
        <w:t xml:space="preserve"> 2</w:t>
      </w:r>
      <w:r w:rsidR="009A1AA8">
        <w:rPr>
          <w:noProof/>
          <w:lang w:eastAsia="en-AU"/>
        </w:rPr>
        <w:t>021</w:t>
      </w:r>
    </w:p>
    <w:p w14:paraId="783D70F4" w14:textId="7C1A410B" w:rsidR="004E747B" w:rsidRPr="008E4DA0" w:rsidRDefault="00A90923" w:rsidP="00A90923">
      <w:r w:rsidRPr="008E4DA0">
        <w:lastRenderedPageBreak/>
        <w:t>ISBN</w:t>
      </w:r>
      <w:r>
        <w:t>:</w:t>
      </w:r>
      <w:r w:rsidR="004E747B" w:rsidRPr="004E747B">
        <w:t xml:space="preserve"> </w:t>
      </w:r>
      <w:r w:rsidR="008136A8">
        <w:t>978-176114-952-8</w:t>
      </w:r>
    </w:p>
    <w:p w14:paraId="7DD4F781" w14:textId="77777777" w:rsidR="00A90923" w:rsidRDefault="00A90923" w:rsidP="00A90923">
      <w:pPr>
        <w:pStyle w:val="numberedpara"/>
        <w:numPr>
          <w:ilvl w:val="0"/>
          <w:numId w:val="0"/>
        </w:numPr>
        <w:tabs>
          <w:tab w:val="left" w:pos="720"/>
        </w:tabs>
        <w:rPr>
          <w:sz w:val="20"/>
          <w:szCs w:val="20"/>
        </w:rPr>
      </w:pPr>
      <w:r>
        <w:rPr>
          <w:noProof/>
          <w:sz w:val="20"/>
          <w:szCs w:val="20"/>
        </w:rPr>
        <w:drawing>
          <wp:inline distT="0" distB="0" distL="0" distR="0" wp14:anchorId="3914F829" wp14:editId="7480FC6E">
            <wp:extent cx="847725" cy="285750"/>
            <wp:effectExtent l="0" t="0" r="9525" b="0"/>
            <wp:docPr id="8"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E2819CE" w14:textId="77777777" w:rsidR="00A90923" w:rsidRPr="000462F1" w:rsidRDefault="00A90923" w:rsidP="00A90923">
      <w:r w:rsidRPr="000462F1">
        <w:t xml:space="preserve">With the exception of the Commonwealth Coat of Arms, the Department’s logo, any material protected by a trade mark and where otherwise noted all material presented in this document is provided under a </w:t>
      </w:r>
      <w:hyperlink r:id="rId16" w:history="1">
        <w:r w:rsidRPr="004164A2">
          <w:rPr>
            <w:rStyle w:val="Hyperlink"/>
          </w:rPr>
          <w:t>Creative Commons Attribution 4.0 International</w:t>
        </w:r>
      </w:hyperlink>
      <w:r>
        <w:t xml:space="preserve"> </w:t>
      </w:r>
      <w:r w:rsidRPr="000462F1">
        <w:t>(</w:t>
      </w:r>
      <w:r w:rsidRPr="00EC78E7">
        <w:t>http://creativecommons.org/licenses/by/3.0/au/</w:t>
      </w:r>
      <w:r w:rsidRPr="000462F1">
        <w:t xml:space="preserve">) licence. </w:t>
      </w:r>
    </w:p>
    <w:p w14:paraId="1372DD1D" w14:textId="77777777" w:rsidR="00A90923" w:rsidRPr="000462F1" w:rsidRDefault="00A90923" w:rsidP="00A90923">
      <w:r w:rsidRPr="000462F1">
        <w:t xml:space="preserve">The details of the relevant licence conditions are available on the Creative Commons website (accessible using the links provided) as is the full legal code for the </w:t>
      </w:r>
      <w:hyperlink r:id="rId17" w:history="1">
        <w:r w:rsidRPr="004164A2">
          <w:rPr>
            <w:rStyle w:val="Hyperlink"/>
          </w:rPr>
          <w:t>CC BY 4.0 International</w:t>
        </w:r>
      </w:hyperlink>
      <w:r w:rsidRPr="000462F1">
        <w:t xml:space="preserve"> (</w:t>
      </w:r>
      <w:r w:rsidRPr="00EC78E7">
        <w:t>http://creativecommons.org/licenses/by/</w:t>
      </w:r>
      <w:r>
        <w:t>4</w:t>
      </w:r>
      <w:r w:rsidRPr="00EC78E7">
        <w:t>.0</w:t>
      </w:r>
      <w:r>
        <w:t>/</w:t>
      </w:r>
      <w:r w:rsidRPr="00EC78E7">
        <w:t>legalcode</w:t>
      </w:r>
      <w:r w:rsidRPr="000462F1">
        <w:t xml:space="preserve">). </w:t>
      </w:r>
    </w:p>
    <w:p w14:paraId="38995CF4" w14:textId="5EC5D9AF" w:rsidR="00A90923" w:rsidRDefault="00A90923" w:rsidP="00A90923">
      <w:pPr>
        <w:widowControl w:val="0"/>
        <w:rPr>
          <w:sz w:val="20"/>
          <w:szCs w:val="20"/>
        </w:rPr>
      </w:pPr>
      <w:r w:rsidRPr="000462F1">
        <w:t>The document must be attributed as the</w:t>
      </w:r>
      <w:r>
        <w:t xml:space="preserve"> Undergraduate applications, offers and acceptances</w:t>
      </w:r>
      <w:r w:rsidRPr="001D20E1">
        <w:t xml:space="preserve"> 20</w:t>
      </w:r>
      <w:r w:rsidR="0093114E">
        <w:t>21</w:t>
      </w:r>
      <w:r>
        <w:t>.</w:t>
      </w:r>
    </w:p>
    <w:p w14:paraId="6E8FD80D" w14:textId="77777777" w:rsidR="00A90923" w:rsidRDefault="00A90923" w:rsidP="00A90923">
      <w:pPr>
        <w:pStyle w:val="numberedpara"/>
        <w:numPr>
          <w:ilvl w:val="0"/>
          <w:numId w:val="0"/>
        </w:numPr>
        <w:tabs>
          <w:tab w:val="left" w:pos="720"/>
        </w:tabs>
        <w:spacing w:after="120"/>
        <w:rPr>
          <w:sz w:val="20"/>
          <w:szCs w:val="20"/>
        </w:rPr>
        <w:sectPr w:rsidR="00A90923" w:rsidSect="00A90923">
          <w:pgSz w:w="11906" w:h="16838"/>
          <w:pgMar w:top="10632" w:right="1440" w:bottom="1440" w:left="1440" w:header="708" w:footer="708" w:gutter="0"/>
          <w:cols w:space="708"/>
          <w:docGrid w:linePitch="360"/>
        </w:sectPr>
      </w:pPr>
    </w:p>
    <w:sdt>
      <w:sdtPr>
        <w:rPr>
          <w:rFonts w:asciiTheme="minorHAnsi" w:eastAsiaTheme="minorEastAsia" w:hAnsiTheme="minorHAnsi" w:cstheme="minorBidi"/>
          <w:b w:val="0"/>
          <w:bCs/>
          <w:color w:val="auto"/>
          <w:sz w:val="22"/>
          <w:szCs w:val="22"/>
        </w:rPr>
        <w:id w:val="-139263470"/>
        <w:docPartObj>
          <w:docPartGallery w:val="Table of Contents"/>
          <w:docPartUnique/>
        </w:docPartObj>
      </w:sdtPr>
      <w:sdtEndPr>
        <w:rPr>
          <w:rFonts w:eastAsiaTheme="minorHAnsi"/>
          <w:bCs w:val="0"/>
          <w:noProof/>
        </w:rPr>
      </w:sdtEndPr>
      <w:sdtContent>
        <w:p w14:paraId="1F605BA4" w14:textId="77777777" w:rsidR="00A90923" w:rsidRPr="00A90923" w:rsidRDefault="00A90923" w:rsidP="00A90923">
          <w:pPr>
            <w:pStyle w:val="TOCHeading"/>
            <w:rPr>
              <w:b w:val="0"/>
            </w:rPr>
          </w:pPr>
          <w:r w:rsidRPr="00A90923">
            <w:rPr>
              <w:b w:val="0"/>
            </w:rPr>
            <w:t>Contents</w:t>
          </w:r>
        </w:p>
        <w:p w14:paraId="4EA8723A" w14:textId="5E868461" w:rsidR="00A90923" w:rsidRPr="00A90923" w:rsidRDefault="00A90923" w:rsidP="00A90923">
          <w:pPr>
            <w:pStyle w:val="TOC1"/>
            <w:tabs>
              <w:tab w:val="right" w:leader="dot" w:pos="9016"/>
            </w:tabs>
            <w:rPr>
              <w:b w:val="0"/>
              <w:noProof/>
              <w:lang w:eastAsia="en-AU"/>
            </w:rPr>
          </w:pPr>
          <w:r w:rsidRPr="00A90923">
            <w:rPr>
              <w:b w:val="0"/>
            </w:rPr>
            <w:fldChar w:fldCharType="begin"/>
          </w:r>
          <w:r w:rsidRPr="00A90923">
            <w:rPr>
              <w:b w:val="0"/>
            </w:rPr>
            <w:instrText xml:space="preserve"> TOC \o "1-3" \h \z \u </w:instrText>
          </w:r>
          <w:r w:rsidRPr="00A90923">
            <w:rPr>
              <w:b w:val="0"/>
            </w:rPr>
            <w:fldChar w:fldCharType="separate"/>
          </w:r>
          <w:hyperlink w:anchor="_Toc12955267" w:history="1">
            <w:r w:rsidRPr="00A90923">
              <w:rPr>
                <w:rStyle w:val="Hyperlink"/>
                <w:b w:val="0"/>
                <w:noProof/>
              </w:rPr>
              <w:t>Introduction</w:t>
            </w:r>
            <w:r w:rsidRPr="00A90923">
              <w:rPr>
                <w:b w:val="0"/>
                <w:noProof/>
                <w:webHidden/>
              </w:rPr>
              <w:tab/>
            </w:r>
            <w:r w:rsidRPr="00A90923">
              <w:rPr>
                <w:b w:val="0"/>
                <w:noProof/>
                <w:webHidden/>
              </w:rPr>
              <w:fldChar w:fldCharType="begin"/>
            </w:r>
            <w:r w:rsidRPr="00A90923">
              <w:rPr>
                <w:b w:val="0"/>
                <w:noProof/>
                <w:webHidden/>
              </w:rPr>
              <w:instrText xml:space="preserve"> PAGEREF _Toc12955267 \h </w:instrText>
            </w:r>
            <w:r w:rsidRPr="00A90923">
              <w:rPr>
                <w:b w:val="0"/>
                <w:noProof/>
                <w:webHidden/>
              </w:rPr>
            </w:r>
            <w:r w:rsidRPr="00A90923">
              <w:rPr>
                <w:b w:val="0"/>
                <w:noProof/>
                <w:webHidden/>
              </w:rPr>
              <w:fldChar w:fldCharType="separate"/>
            </w:r>
            <w:r w:rsidR="00D4422E">
              <w:rPr>
                <w:b w:val="0"/>
                <w:noProof/>
                <w:webHidden/>
              </w:rPr>
              <w:t>4</w:t>
            </w:r>
            <w:r w:rsidRPr="00A90923">
              <w:rPr>
                <w:b w:val="0"/>
                <w:noProof/>
                <w:webHidden/>
              </w:rPr>
              <w:fldChar w:fldCharType="end"/>
            </w:r>
          </w:hyperlink>
        </w:p>
        <w:p w14:paraId="2F32F822" w14:textId="03A393E8" w:rsidR="00A90923" w:rsidRPr="00A90923" w:rsidRDefault="00F13218" w:rsidP="00A90923">
          <w:pPr>
            <w:pStyle w:val="TOC2"/>
            <w:tabs>
              <w:tab w:val="right" w:leader="dot" w:pos="9016"/>
            </w:tabs>
            <w:rPr>
              <w:noProof/>
              <w:lang w:eastAsia="en-AU"/>
            </w:rPr>
          </w:pPr>
          <w:hyperlink w:anchor="_Toc12955268" w:history="1">
            <w:r w:rsidR="00A90923" w:rsidRPr="00A90923">
              <w:rPr>
                <w:rStyle w:val="Hyperlink"/>
                <w:noProof/>
              </w:rPr>
              <w:t>Purpose of the report</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_Toc12955268 \h </w:instrText>
            </w:r>
            <w:r w:rsidR="00A90923" w:rsidRPr="00A90923">
              <w:rPr>
                <w:noProof/>
                <w:webHidden/>
              </w:rPr>
            </w:r>
            <w:r w:rsidR="00A90923" w:rsidRPr="00A90923">
              <w:rPr>
                <w:noProof/>
                <w:webHidden/>
              </w:rPr>
              <w:fldChar w:fldCharType="separate"/>
            </w:r>
            <w:r w:rsidR="00D4422E">
              <w:rPr>
                <w:noProof/>
                <w:webHidden/>
              </w:rPr>
              <w:t>4</w:t>
            </w:r>
            <w:r w:rsidR="00A90923" w:rsidRPr="00A90923">
              <w:rPr>
                <w:noProof/>
                <w:webHidden/>
              </w:rPr>
              <w:fldChar w:fldCharType="end"/>
            </w:r>
          </w:hyperlink>
        </w:p>
        <w:p w14:paraId="5165FAC1" w14:textId="507267E5" w:rsidR="00A90923" w:rsidRPr="00A90923" w:rsidRDefault="00F13218" w:rsidP="00A90923">
          <w:pPr>
            <w:pStyle w:val="TOC2"/>
            <w:tabs>
              <w:tab w:val="right" w:leader="dot" w:pos="9016"/>
            </w:tabs>
            <w:rPr>
              <w:noProof/>
              <w:lang w:eastAsia="en-AU"/>
            </w:rPr>
          </w:pPr>
          <w:hyperlink w:anchor="_Toc12955269" w:history="1">
            <w:r w:rsidR="00A90923" w:rsidRPr="00A90923">
              <w:rPr>
                <w:rStyle w:val="Hyperlink"/>
                <w:noProof/>
              </w:rPr>
              <w:t>Overview of the data</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_Toc12955269 \h </w:instrText>
            </w:r>
            <w:r w:rsidR="00A90923" w:rsidRPr="00A90923">
              <w:rPr>
                <w:noProof/>
                <w:webHidden/>
              </w:rPr>
            </w:r>
            <w:r w:rsidR="00A90923" w:rsidRPr="00A90923">
              <w:rPr>
                <w:noProof/>
                <w:webHidden/>
              </w:rPr>
              <w:fldChar w:fldCharType="separate"/>
            </w:r>
            <w:r w:rsidR="00D4422E">
              <w:rPr>
                <w:noProof/>
                <w:webHidden/>
              </w:rPr>
              <w:t>4</w:t>
            </w:r>
            <w:r w:rsidR="00A90923" w:rsidRPr="00A90923">
              <w:rPr>
                <w:noProof/>
                <w:webHidden/>
              </w:rPr>
              <w:fldChar w:fldCharType="end"/>
            </w:r>
          </w:hyperlink>
        </w:p>
        <w:p w14:paraId="5051A61D" w14:textId="72B016C0" w:rsidR="00A90923" w:rsidRPr="00A90923" w:rsidRDefault="00F13218" w:rsidP="00A90923">
          <w:pPr>
            <w:pStyle w:val="TOC2"/>
            <w:tabs>
              <w:tab w:val="right" w:leader="dot" w:pos="9016"/>
            </w:tabs>
            <w:rPr>
              <w:noProof/>
              <w:lang w:eastAsia="en-AU"/>
            </w:rPr>
          </w:pPr>
          <w:hyperlink w:anchor="_Toc12955270" w:history="1">
            <w:r w:rsidR="00A90923" w:rsidRPr="00A90923">
              <w:rPr>
                <w:rStyle w:val="Hyperlink"/>
                <w:noProof/>
              </w:rPr>
              <w:t>Acknowledgements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_Toc12955270 \h </w:instrText>
            </w:r>
            <w:r w:rsidR="00A90923" w:rsidRPr="00A90923">
              <w:rPr>
                <w:noProof/>
                <w:webHidden/>
              </w:rPr>
            </w:r>
            <w:r w:rsidR="00A90923" w:rsidRPr="00A90923">
              <w:rPr>
                <w:noProof/>
                <w:webHidden/>
              </w:rPr>
              <w:fldChar w:fldCharType="separate"/>
            </w:r>
            <w:r w:rsidR="00D4422E">
              <w:rPr>
                <w:noProof/>
                <w:webHidden/>
              </w:rPr>
              <w:t>4</w:t>
            </w:r>
            <w:r w:rsidR="00A90923" w:rsidRPr="00A90923">
              <w:rPr>
                <w:noProof/>
                <w:webHidden/>
              </w:rPr>
              <w:fldChar w:fldCharType="end"/>
            </w:r>
          </w:hyperlink>
        </w:p>
        <w:p w14:paraId="675E84DE" w14:textId="21A58A34" w:rsidR="00A90923" w:rsidRPr="00A90923" w:rsidRDefault="00F13218" w:rsidP="00A90923">
          <w:pPr>
            <w:pStyle w:val="TOC1"/>
            <w:tabs>
              <w:tab w:val="right" w:leader="dot" w:pos="9016"/>
            </w:tabs>
            <w:rPr>
              <w:b w:val="0"/>
              <w:noProof/>
              <w:lang w:eastAsia="en-AU"/>
            </w:rPr>
          </w:pPr>
          <w:hyperlink w:anchor="_Toc12955271" w:history="1">
            <w:r w:rsidR="00A90923" w:rsidRPr="00A90923">
              <w:rPr>
                <w:rStyle w:val="Hyperlink"/>
                <w:b w:val="0"/>
                <w:noProof/>
              </w:rPr>
              <w:t>Highlights</w:t>
            </w:r>
            <w:r w:rsidR="00A90923" w:rsidRPr="00A90923">
              <w:rPr>
                <w:b w:val="0"/>
                <w:noProof/>
                <w:webHidden/>
              </w:rPr>
              <w:tab/>
            </w:r>
            <w:r w:rsidR="00A90923" w:rsidRPr="00A90923">
              <w:rPr>
                <w:b w:val="0"/>
                <w:noProof/>
                <w:webHidden/>
              </w:rPr>
              <w:fldChar w:fldCharType="begin"/>
            </w:r>
            <w:r w:rsidR="00A90923" w:rsidRPr="00A90923">
              <w:rPr>
                <w:b w:val="0"/>
                <w:noProof/>
                <w:webHidden/>
              </w:rPr>
              <w:instrText xml:space="preserve"> PAGEREF _Toc12955271 \h </w:instrText>
            </w:r>
            <w:r w:rsidR="00A90923" w:rsidRPr="00A90923">
              <w:rPr>
                <w:b w:val="0"/>
                <w:noProof/>
                <w:webHidden/>
              </w:rPr>
            </w:r>
            <w:r w:rsidR="00A90923" w:rsidRPr="00A90923">
              <w:rPr>
                <w:b w:val="0"/>
                <w:noProof/>
                <w:webHidden/>
              </w:rPr>
              <w:fldChar w:fldCharType="separate"/>
            </w:r>
            <w:r w:rsidR="00D4422E">
              <w:rPr>
                <w:b w:val="0"/>
                <w:noProof/>
                <w:webHidden/>
              </w:rPr>
              <w:t>5</w:t>
            </w:r>
            <w:r w:rsidR="00A90923" w:rsidRPr="00A90923">
              <w:rPr>
                <w:b w:val="0"/>
                <w:noProof/>
                <w:webHidden/>
              </w:rPr>
              <w:fldChar w:fldCharType="end"/>
            </w:r>
          </w:hyperlink>
        </w:p>
        <w:p w14:paraId="301C2CCA" w14:textId="14E25EE6" w:rsidR="00A90923" w:rsidRPr="00A90923" w:rsidRDefault="00F13218" w:rsidP="00A90923">
          <w:pPr>
            <w:pStyle w:val="TOC2"/>
            <w:tabs>
              <w:tab w:val="right" w:leader="dot" w:pos="9016"/>
            </w:tabs>
            <w:rPr>
              <w:noProof/>
              <w:lang w:eastAsia="en-AU"/>
            </w:rPr>
          </w:pPr>
          <w:hyperlink w:anchor="_Toc12955272" w:history="1">
            <w:r w:rsidR="00A90923" w:rsidRPr="00A90923">
              <w:rPr>
                <w:rStyle w:val="Hyperlink"/>
                <w:noProof/>
              </w:rPr>
              <w:t>Application numbers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_Toc12955272 \h </w:instrText>
            </w:r>
            <w:r w:rsidR="00A90923" w:rsidRPr="00A90923">
              <w:rPr>
                <w:noProof/>
                <w:webHidden/>
              </w:rPr>
            </w:r>
            <w:r w:rsidR="00A90923" w:rsidRPr="00A90923">
              <w:rPr>
                <w:noProof/>
                <w:webHidden/>
              </w:rPr>
              <w:fldChar w:fldCharType="separate"/>
            </w:r>
            <w:r w:rsidR="00D4422E">
              <w:rPr>
                <w:noProof/>
                <w:webHidden/>
              </w:rPr>
              <w:t>5</w:t>
            </w:r>
            <w:r w:rsidR="00A90923" w:rsidRPr="00A90923">
              <w:rPr>
                <w:noProof/>
                <w:webHidden/>
              </w:rPr>
              <w:fldChar w:fldCharType="end"/>
            </w:r>
          </w:hyperlink>
        </w:p>
        <w:p w14:paraId="43EF09B0" w14:textId="26046B6E" w:rsidR="00A90923" w:rsidRPr="00A90923" w:rsidRDefault="00F13218" w:rsidP="00A90923">
          <w:pPr>
            <w:pStyle w:val="TOC2"/>
            <w:tabs>
              <w:tab w:val="right" w:leader="dot" w:pos="9016"/>
            </w:tabs>
            <w:rPr>
              <w:noProof/>
              <w:lang w:eastAsia="en-AU"/>
            </w:rPr>
          </w:pPr>
          <w:hyperlink w:anchor="_Toc12955273" w:history="1">
            <w:r w:rsidR="00A90923" w:rsidRPr="00A90923">
              <w:rPr>
                <w:rStyle w:val="Hyperlink"/>
                <w:noProof/>
              </w:rPr>
              <w:t>Offer numbers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_Toc12955273 \h </w:instrText>
            </w:r>
            <w:r w:rsidR="00A90923" w:rsidRPr="00A90923">
              <w:rPr>
                <w:noProof/>
                <w:webHidden/>
              </w:rPr>
            </w:r>
            <w:r w:rsidR="00A90923" w:rsidRPr="00A90923">
              <w:rPr>
                <w:noProof/>
                <w:webHidden/>
              </w:rPr>
              <w:fldChar w:fldCharType="separate"/>
            </w:r>
            <w:r w:rsidR="00D4422E">
              <w:rPr>
                <w:noProof/>
                <w:webHidden/>
              </w:rPr>
              <w:t>5</w:t>
            </w:r>
            <w:r w:rsidR="00A90923" w:rsidRPr="00A90923">
              <w:rPr>
                <w:noProof/>
                <w:webHidden/>
              </w:rPr>
              <w:fldChar w:fldCharType="end"/>
            </w:r>
          </w:hyperlink>
        </w:p>
        <w:p w14:paraId="445389A4" w14:textId="3CE07C93" w:rsidR="00A90923" w:rsidRPr="00A90923" w:rsidRDefault="00F13218" w:rsidP="00A90923">
          <w:pPr>
            <w:pStyle w:val="TOC2"/>
            <w:tabs>
              <w:tab w:val="right" w:leader="dot" w:pos="9016"/>
            </w:tabs>
            <w:rPr>
              <w:noProof/>
              <w:lang w:eastAsia="en-AU"/>
            </w:rPr>
          </w:pPr>
          <w:hyperlink w:anchor="_Toc12955274" w:history="1">
            <w:r w:rsidR="00A90923" w:rsidRPr="00A90923">
              <w:rPr>
                <w:rStyle w:val="Hyperlink"/>
                <w:noProof/>
              </w:rPr>
              <w:t>Offer rate</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_Toc12955274 \h </w:instrText>
            </w:r>
            <w:r w:rsidR="00A90923" w:rsidRPr="00A90923">
              <w:rPr>
                <w:noProof/>
                <w:webHidden/>
              </w:rPr>
            </w:r>
            <w:r w:rsidR="00A90923" w:rsidRPr="00A90923">
              <w:rPr>
                <w:noProof/>
                <w:webHidden/>
              </w:rPr>
              <w:fldChar w:fldCharType="separate"/>
            </w:r>
            <w:r w:rsidR="00D4422E">
              <w:rPr>
                <w:noProof/>
                <w:webHidden/>
              </w:rPr>
              <w:t>5</w:t>
            </w:r>
            <w:r w:rsidR="00A90923" w:rsidRPr="00A90923">
              <w:rPr>
                <w:noProof/>
                <w:webHidden/>
              </w:rPr>
              <w:fldChar w:fldCharType="end"/>
            </w:r>
          </w:hyperlink>
        </w:p>
        <w:p w14:paraId="53D43736" w14:textId="2D62F2D0" w:rsidR="00A90923" w:rsidRPr="00A90923" w:rsidRDefault="00F13218" w:rsidP="00A90923">
          <w:pPr>
            <w:pStyle w:val="TOC2"/>
            <w:tabs>
              <w:tab w:val="right" w:leader="dot" w:pos="9016"/>
            </w:tabs>
            <w:rPr>
              <w:noProof/>
              <w:lang w:eastAsia="en-AU"/>
            </w:rPr>
          </w:pPr>
          <w:hyperlink w:anchor="_Toc12955275" w:history="1">
            <w:r w:rsidR="00A90923" w:rsidRPr="00A90923">
              <w:rPr>
                <w:rStyle w:val="Hyperlink"/>
                <w:noProof/>
              </w:rPr>
              <w:t>Breakdown by key factors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_Toc12955275 \h </w:instrText>
            </w:r>
            <w:r w:rsidR="00A90923" w:rsidRPr="00A90923">
              <w:rPr>
                <w:noProof/>
                <w:webHidden/>
              </w:rPr>
            </w:r>
            <w:r w:rsidR="00A90923" w:rsidRPr="00A90923">
              <w:rPr>
                <w:noProof/>
                <w:webHidden/>
              </w:rPr>
              <w:fldChar w:fldCharType="separate"/>
            </w:r>
            <w:r w:rsidR="00D4422E">
              <w:rPr>
                <w:noProof/>
                <w:webHidden/>
              </w:rPr>
              <w:t>6</w:t>
            </w:r>
            <w:r w:rsidR="00A90923" w:rsidRPr="00A90923">
              <w:rPr>
                <w:noProof/>
                <w:webHidden/>
              </w:rPr>
              <w:fldChar w:fldCharType="end"/>
            </w:r>
          </w:hyperlink>
        </w:p>
        <w:p w14:paraId="0F56FC45" w14:textId="3DD38F61" w:rsidR="00A90923" w:rsidRPr="00A90923" w:rsidRDefault="00F13218" w:rsidP="00A90923">
          <w:pPr>
            <w:pStyle w:val="TOC3"/>
            <w:tabs>
              <w:tab w:val="right" w:leader="dot" w:pos="9016"/>
            </w:tabs>
            <w:rPr>
              <w:noProof/>
              <w:lang w:eastAsia="en-AU"/>
            </w:rPr>
          </w:pPr>
          <w:hyperlink w:anchor="_Toc12955276" w:history="1">
            <w:r w:rsidR="00A90923" w:rsidRPr="00A90923">
              <w:rPr>
                <w:rStyle w:val="Hyperlink"/>
                <w:noProof/>
              </w:rPr>
              <w:t>State and territory</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_Toc12955276 \h </w:instrText>
            </w:r>
            <w:r w:rsidR="00A90923" w:rsidRPr="00A90923">
              <w:rPr>
                <w:noProof/>
                <w:webHidden/>
              </w:rPr>
            </w:r>
            <w:r w:rsidR="00A90923" w:rsidRPr="00A90923">
              <w:rPr>
                <w:noProof/>
                <w:webHidden/>
              </w:rPr>
              <w:fldChar w:fldCharType="separate"/>
            </w:r>
            <w:r w:rsidR="00D4422E">
              <w:rPr>
                <w:noProof/>
                <w:webHidden/>
              </w:rPr>
              <w:t>6</w:t>
            </w:r>
            <w:r w:rsidR="00A90923" w:rsidRPr="00A90923">
              <w:rPr>
                <w:noProof/>
                <w:webHidden/>
              </w:rPr>
              <w:fldChar w:fldCharType="end"/>
            </w:r>
          </w:hyperlink>
        </w:p>
        <w:p w14:paraId="17189AE4" w14:textId="6F6645D3" w:rsidR="00A90923" w:rsidRPr="00A90923" w:rsidRDefault="00F13218" w:rsidP="00A90923">
          <w:pPr>
            <w:pStyle w:val="TOC3"/>
            <w:tabs>
              <w:tab w:val="right" w:leader="dot" w:pos="9016"/>
            </w:tabs>
            <w:rPr>
              <w:noProof/>
              <w:lang w:eastAsia="en-AU"/>
            </w:rPr>
          </w:pPr>
          <w:hyperlink w:anchor="_Toc12955277" w:history="1">
            <w:r w:rsidR="00A90923" w:rsidRPr="00A90923">
              <w:rPr>
                <w:rStyle w:val="Hyperlink"/>
                <w:noProof/>
              </w:rPr>
              <w:t>Year 12 and Non-Year 12 applicants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_Toc12955277 \h </w:instrText>
            </w:r>
            <w:r w:rsidR="00A90923" w:rsidRPr="00A90923">
              <w:rPr>
                <w:noProof/>
                <w:webHidden/>
              </w:rPr>
            </w:r>
            <w:r w:rsidR="00A90923" w:rsidRPr="00A90923">
              <w:rPr>
                <w:noProof/>
                <w:webHidden/>
              </w:rPr>
              <w:fldChar w:fldCharType="separate"/>
            </w:r>
            <w:r w:rsidR="00D4422E">
              <w:rPr>
                <w:noProof/>
                <w:webHidden/>
              </w:rPr>
              <w:t>6</w:t>
            </w:r>
            <w:r w:rsidR="00A90923" w:rsidRPr="00A90923">
              <w:rPr>
                <w:noProof/>
                <w:webHidden/>
              </w:rPr>
              <w:fldChar w:fldCharType="end"/>
            </w:r>
          </w:hyperlink>
        </w:p>
        <w:p w14:paraId="25FADCAB" w14:textId="0D19F60D" w:rsidR="00A90923" w:rsidRPr="00A90923" w:rsidRDefault="00F13218" w:rsidP="00A90923">
          <w:pPr>
            <w:pStyle w:val="TOC3"/>
            <w:tabs>
              <w:tab w:val="right" w:leader="dot" w:pos="9016"/>
            </w:tabs>
            <w:rPr>
              <w:noProof/>
              <w:lang w:eastAsia="en-AU"/>
            </w:rPr>
          </w:pPr>
          <w:hyperlink w:anchor="_Toc12955278" w:history="1">
            <w:r w:rsidR="00A90923" w:rsidRPr="00A90923">
              <w:rPr>
                <w:rStyle w:val="Hyperlink"/>
                <w:noProof/>
              </w:rPr>
              <w:t>Field of education</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_Toc12955278 \h </w:instrText>
            </w:r>
            <w:r w:rsidR="00A90923" w:rsidRPr="00A90923">
              <w:rPr>
                <w:noProof/>
                <w:webHidden/>
              </w:rPr>
            </w:r>
            <w:r w:rsidR="00A90923" w:rsidRPr="00A90923">
              <w:rPr>
                <w:noProof/>
                <w:webHidden/>
              </w:rPr>
              <w:fldChar w:fldCharType="separate"/>
            </w:r>
            <w:r w:rsidR="00D4422E">
              <w:rPr>
                <w:noProof/>
                <w:webHidden/>
              </w:rPr>
              <w:t>6</w:t>
            </w:r>
            <w:r w:rsidR="00A90923" w:rsidRPr="00A90923">
              <w:rPr>
                <w:noProof/>
                <w:webHidden/>
              </w:rPr>
              <w:fldChar w:fldCharType="end"/>
            </w:r>
          </w:hyperlink>
        </w:p>
        <w:p w14:paraId="23F05CAC" w14:textId="19C8CD2D" w:rsidR="00A90923" w:rsidRPr="00A90923" w:rsidRDefault="00F13218" w:rsidP="00A90923">
          <w:pPr>
            <w:pStyle w:val="TOC3"/>
            <w:tabs>
              <w:tab w:val="right" w:leader="dot" w:pos="9016"/>
            </w:tabs>
            <w:rPr>
              <w:noProof/>
              <w:lang w:eastAsia="en-AU"/>
            </w:rPr>
          </w:pPr>
          <w:hyperlink w:anchor="_Toc12955279" w:history="1">
            <w:r w:rsidR="00A90923" w:rsidRPr="00A90923">
              <w:rPr>
                <w:rStyle w:val="Hyperlink"/>
                <w:noProof/>
              </w:rPr>
              <w:t>Australian Tertiary Admission Rank (ATAR)</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_Toc12955279 \h </w:instrText>
            </w:r>
            <w:r w:rsidR="00A90923" w:rsidRPr="00A90923">
              <w:rPr>
                <w:noProof/>
                <w:webHidden/>
              </w:rPr>
            </w:r>
            <w:r w:rsidR="00A90923" w:rsidRPr="00A90923">
              <w:rPr>
                <w:noProof/>
                <w:webHidden/>
              </w:rPr>
              <w:fldChar w:fldCharType="separate"/>
            </w:r>
            <w:r w:rsidR="00D4422E">
              <w:rPr>
                <w:noProof/>
                <w:webHidden/>
              </w:rPr>
              <w:t>7</w:t>
            </w:r>
            <w:r w:rsidR="00A90923" w:rsidRPr="00A90923">
              <w:rPr>
                <w:noProof/>
                <w:webHidden/>
              </w:rPr>
              <w:fldChar w:fldCharType="end"/>
            </w:r>
          </w:hyperlink>
        </w:p>
        <w:p w14:paraId="571FF013" w14:textId="47A7F3EF" w:rsidR="00A90923" w:rsidRPr="00A90923" w:rsidRDefault="00F13218" w:rsidP="00A90923">
          <w:pPr>
            <w:pStyle w:val="TOC3"/>
            <w:tabs>
              <w:tab w:val="right" w:leader="dot" w:pos="9016"/>
            </w:tabs>
            <w:rPr>
              <w:noProof/>
              <w:lang w:eastAsia="en-AU"/>
            </w:rPr>
          </w:pPr>
          <w:hyperlink w:anchor="_Toc12955280" w:history="1">
            <w:r w:rsidR="00A90923" w:rsidRPr="00A90923">
              <w:rPr>
                <w:rStyle w:val="Hyperlink"/>
                <w:noProof/>
              </w:rPr>
              <w:t>Underrepresented groups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_Toc12955280 \h </w:instrText>
            </w:r>
            <w:r w:rsidR="00A90923" w:rsidRPr="00A90923">
              <w:rPr>
                <w:noProof/>
                <w:webHidden/>
              </w:rPr>
            </w:r>
            <w:r w:rsidR="00A90923" w:rsidRPr="00A90923">
              <w:rPr>
                <w:noProof/>
                <w:webHidden/>
              </w:rPr>
              <w:fldChar w:fldCharType="separate"/>
            </w:r>
            <w:r w:rsidR="00D4422E">
              <w:rPr>
                <w:noProof/>
                <w:webHidden/>
              </w:rPr>
              <w:t>8</w:t>
            </w:r>
            <w:r w:rsidR="00A90923" w:rsidRPr="00A90923">
              <w:rPr>
                <w:noProof/>
                <w:webHidden/>
              </w:rPr>
              <w:fldChar w:fldCharType="end"/>
            </w:r>
          </w:hyperlink>
        </w:p>
        <w:p w14:paraId="7F49EE94" w14:textId="41DC495F" w:rsidR="00A90923" w:rsidRPr="00A90923" w:rsidRDefault="00F13218" w:rsidP="00A90923">
          <w:pPr>
            <w:pStyle w:val="TOC3"/>
            <w:tabs>
              <w:tab w:val="right" w:leader="dot" w:pos="9016"/>
            </w:tabs>
            <w:rPr>
              <w:noProof/>
              <w:lang w:eastAsia="en-AU"/>
            </w:rPr>
          </w:pPr>
          <w:hyperlink w:anchor="_Toc12955281" w:history="1">
            <w:r w:rsidR="00A90923" w:rsidRPr="00A90923">
              <w:rPr>
                <w:rStyle w:val="Hyperlink"/>
                <w:noProof/>
              </w:rPr>
              <w:t>University groups</w:t>
            </w:r>
            <w:r w:rsidR="00A90923" w:rsidRPr="00A90923">
              <w:rPr>
                <w:noProof/>
                <w:webHidden/>
              </w:rPr>
              <w:tab/>
            </w:r>
            <w:r w:rsidR="00A90923" w:rsidRPr="00A90923">
              <w:rPr>
                <w:noProof/>
                <w:webHidden/>
              </w:rPr>
              <w:fldChar w:fldCharType="begin"/>
            </w:r>
            <w:r w:rsidR="00A90923" w:rsidRPr="00A90923">
              <w:rPr>
                <w:noProof/>
                <w:webHidden/>
              </w:rPr>
              <w:instrText xml:space="preserve"> PAGEREF _Toc12955281 \h </w:instrText>
            </w:r>
            <w:r w:rsidR="00A90923" w:rsidRPr="00A90923">
              <w:rPr>
                <w:noProof/>
                <w:webHidden/>
              </w:rPr>
            </w:r>
            <w:r w:rsidR="00A90923" w:rsidRPr="00A90923">
              <w:rPr>
                <w:noProof/>
                <w:webHidden/>
              </w:rPr>
              <w:fldChar w:fldCharType="separate"/>
            </w:r>
            <w:r w:rsidR="00D4422E">
              <w:rPr>
                <w:noProof/>
                <w:webHidden/>
              </w:rPr>
              <w:t>8</w:t>
            </w:r>
            <w:r w:rsidR="00A90923" w:rsidRPr="00A90923">
              <w:rPr>
                <w:noProof/>
                <w:webHidden/>
              </w:rPr>
              <w:fldChar w:fldCharType="end"/>
            </w:r>
          </w:hyperlink>
        </w:p>
        <w:p w14:paraId="52529043" w14:textId="4868B95C" w:rsidR="00A90923" w:rsidRPr="00A90923" w:rsidRDefault="00F13218" w:rsidP="00A90923">
          <w:pPr>
            <w:pStyle w:val="TOC1"/>
            <w:tabs>
              <w:tab w:val="right" w:leader="dot" w:pos="9016"/>
            </w:tabs>
            <w:rPr>
              <w:b w:val="0"/>
              <w:noProof/>
              <w:lang w:eastAsia="en-AU"/>
            </w:rPr>
          </w:pPr>
          <w:hyperlink w:anchor="_Toc12955282" w:history="1">
            <w:r w:rsidR="00A90923" w:rsidRPr="00A90923">
              <w:rPr>
                <w:rStyle w:val="Hyperlink"/>
                <w:b w:val="0"/>
                <w:noProof/>
              </w:rPr>
              <w:t>Data Qualifications</w:t>
            </w:r>
            <w:r w:rsidR="00A90923" w:rsidRPr="00A90923">
              <w:rPr>
                <w:b w:val="0"/>
                <w:noProof/>
                <w:webHidden/>
              </w:rPr>
              <w:tab/>
            </w:r>
            <w:r w:rsidR="00A90923" w:rsidRPr="00A90923">
              <w:rPr>
                <w:b w:val="0"/>
                <w:noProof/>
                <w:webHidden/>
              </w:rPr>
              <w:fldChar w:fldCharType="begin"/>
            </w:r>
            <w:r w:rsidR="00A90923" w:rsidRPr="00A90923">
              <w:rPr>
                <w:b w:val="0"/>
                <w:noProof/>
                <w:webHidden/>
              </w:rPr>
              <w:instrText xml:space="preserve"> PAGEREF _Toc12955282 \h </w:instrText>
            </w:r>
            <w:r w:rsidR="00A90923" w:rsidRPr="00A90923">
              <w:rPr>
                <w:b w:val="0"/>
                <w:noProof/>
                <w:webHidden/>
              </w:rPr>
            </w:r>
            <w:r w:rsidR="00A90923" w:rsidRPr="00A90923">
              <w:rPr>
                <w:b w:val="0"/>
                <w:noProof/>
                <w:webHidden/>
              </w:rPr>
              <w:fldChar w:fldCharType="separate"/>
            </w:r>
            <w:r w:rsidR="00D4422E">
              <w:rPr>
                <w:b w:val="0"/>
                <w:noProof/>
                <w:webHidden/>
              </w:rPr>
              <w:t>9</w:t>
            </w:r>
            <w:r w:rsidR="00A90923" w:rsidRPr="00A90923">
              <w:rPr>
                <w:b w:val="0"/>
                <w:noProof/>
                <w:webHidden/>
              </w:rPr>
              <w:fldChar w:fldCharType="end"/>
            </w:r>
          </w:hyperlink>
        </w:p>
        <w:p w14:paraId="447534C7" w14:textId="17CD4AA6" w:rsidR="00A90923" w:rsidRPr="00A90923" w:rsidRDefault="00F13218" w:rsidP="00A90923">
          <w:pPr>
            <w:pStyle w:val="TOC1"/>
            <w:tabs>
              <w:tab w:val="right" w:leader="dot" w:pos="9016"/>
            </w:tabs>
            <w:rPr>
              <w:b w:val="0"/>
              <w:noProof/>
              <w:lang w:eastAsia="en-AU"/>
            </w:rPr>
          </w:pPr>
          <w:hyperlink w:anchor="_Toc12955283" w:history="1">
            <w:r w:rsidR="00A90923" w:rsidRPr="00A90923">
              <w:rPr>
                <w:rStyle w:val="Hyperlink"/>
                <w:b w:val="0"/>
                <w:noProof/>
              </w:rPr>
              <w:t>Glossary</w:t>
            </w:r>
            <w:r w:rsidR="00A90923" w:rsidRPr="00A90923">
              <w:rPr>
                <w:b w:val="0"/>
                <w:noProof/>
                <w:webHidden/>
              </w:rPr>
              <w:tab/>
            </w:r>
            <w:r w:rsidR="00A90923" w:rsidRPr="00A90923">
              <w:rPr>
                <w:b w:val="0"/>
                <w:noProof/>
                <w:webHidden/>
              </w:rPr>
              <w:fldChar w:fldCharType="begin"/>
            </w:r>
            <w:r w:rsidR="00A90923" w:rsidRPr="00A90923">
              <w:rPr>
                <w:b w:val="0"/>
                <w:noProof/>
                <w:webHidden/>
              </w:rPr>
              <w:instrText xml:space="preserve"> PAGEREF _Toc12955283 \h </w:instrText>
            </w:r>
            <w:r w:rsidR="00A90923" w:rsidRPr="00A90923">
              <w:rPr>
                <w:b w:val="0"/>
                <w:noProof/>
                <w:webHidden/>
              </w:rPr>
            </w:r>
            <w:r w:rsidR="00A90923" w:rsidRPr="00A90923">
              <w:rPr>
                <w:b w:val="0"/>
                <w:noProof/>
                <w:webHidden/>
              </w:rPr>
              <w:fldChar w:fldCharType="separate"/>
            </w:r>
            <w:r w:rsidR="00D4422E">
              <w:rPr>
                <w:b w:val="0"/>
                <w:noProof/>
                <w:webHidden/>
              </w:rPr>
              <w:t>10</w:t>
            </w:r>
            <w:r w:rsidR="00A90923" w:rsidRPr="00A90923">
              <w:rPr>
                <w:b w:val="0"/>
                <w:noProof/>
                <w:webHidden/>
              </w:rPr>
              <w:fldChar w:fldCharType="end"/>
            </w:r>
          </w:hyperlink>
        </w:p>
        <w:p w14:paraId="5F769959" w14:textId="77777777" w:rsidR="00A90923" w:rsidRDefault="00A90923" w:rsidP="00A90923">
          <w:r w:rsidRPr="00A90923">
            <w:rPr>
              <w:bCs/>
              <w:noProof/>
            </w:rPr>
            <w:fldChar w:fldCharType="end"/>
          </w:r>
        </w:p>
      </w:sdtContent>
    </w:sdt>
    <w:p w14:paraId="63E5CA1D" w14:textId="77777777" w:rsidR="00A90923" w:rsidRDefault="00A90923" w:rsidP="00A90923">
      <w:pPr>
        <w:pStyle w:val="numberedpara"/>
        <w:numPr>
          <w:ilvl w:val="0"/>
          <w:numId w:val="0"/>
        </w:numPr>
        <w:tabs>
          <w:tab w:val="left" w:pos="720"/>
        </w:tabs>
        <w:spacing w:after="120"/>
        <w:rPr>
          <w:sz w:val="20"/>
          <w:szCs w:val="20"/>
        </w:rPr>
        <w:sectPr w:rsidR="00A90923" w:rsidSect="00262EAB">
          <w:type w:val="continuous"/>
          <w:pgSz w:w="11906" w:h="16838"/>
          <w:pgMar w:top="1560" w:right="1440" w:bottom="1440" w:left="1440" w:header="708" w:footer="708" w:gutter="0"/>
          <w:cols w:space="708"/>
          <w:docGrid w:linePitch="360"/>
        </w:sectPr>
      </w:pPr>
    </w:p>
    <w:p w14:paraId="0187B220" w14:textId="77777777" w:rsidR="00A90923" w:rsidRDefault="00A90923" w:rsidP="00A90923">
      <w:pPr>
        <w:rPr>
          <w:rFonts w:ascii="Calibri" w:eastAsiaTheme="majorEastAsia" w:hAnsi="Calibri" w:cstheme="majorBidi"/>
          <w:b/>
          <w:spacing w:val="5"/>
          <w:sz w:val="56"/>
          <w:szCs w:val="52"/>
        </w:rPr>
      </w:pPr>
      <w:r>
        <w:br w:type="page"/>
      </w:r>
    </w:p>
    <w:p w14:paraId="32368D70" w14:textId="02E7D9AE" w:rsidR="00A90923" w:rsidRDefault="00A90923" w:rsidP="00A90923">
      <w:pPr>
        <w:pStyle w:val="Heading1"/>
      </w:pPr>
      <w:bookmarkStart w:id="0" w:name="_Toc12955267"/>
      <w:r>
        <w:lastRenderedPageBreak/>
        <w:t>Introductio</w:t>
      </w:r>
      <w:bookmarkEnd w:id="0"/>
      <w:r w:rsidR="00F13218">
        <w:t>n</w:t>
      </w:r>
    </w:p>
    <w:p w14:paraId="71DCDAC6" w14:textId="77777777" w:rsidR="00A90923" w:rsidRPr="00C75D49" w:rsidRDefault="00A90923" w:rsidP="00A90923">
      <w:pPr>
        <w:pStyle w:val="Heading2"/>
        <w:rPr>
          <w:color w:val="auto"/>
        </w:rPr>
      </w:pPr>
      <w:bookmarkStart w:id="1" w:name="_Toc12955268"/>
      <w:r w:rsidRPr="00C75D49">
        <w:rPr>
          <w:color w:val="auto"/>
        </w:rPr>
        <w:t>Purpose of the report</w:t>
      </w:r>
      <w:bookmarkEnd w:id="1"/>
    </w:p>
    <w:p w14:paraId="40C1DD02" w14:textId="33FBE0BD" w:rsidR="00A90923" w:rsidRDefault="00A90923" w:rsidP="00A90923">
      <w:r>
        <w:t>To identify</w:t>
      </w:r>
      <w:r w:rsidRPr="001D20E1">
        <w:t xml:space="preserve"> trends in number</w:t>
      </w:r>
      <w:r>
        <w:t>s</w:t>
      </w:r>
      <w:r w:rsidRPr="001D20E1">
        <w:t xml:space="preserve"> of applications</w:t>
      </w:r>
      <w:r>
        <w:t xml:space="preserve">, </w:t>
      </w:r>
      <w:r w:rsidRPr="001D20E1">
        <w:t xml:space="preserve">offers and </w:t>
      </w:r>
      <w:r>
        <w:t xml:space="preserve">acceptances and the </w:t>
      </w:r>
      <w:r w:rsidRPr="001D20E1">
        <w:t>characteristics of applicants</w:t>
      </w:r>
      <w:r>
        <w:t xml:space="preserve">, </w:t>
      </w:r>
      <w:r w:rsidR="00E61DBC">
        <w:t xml:space="preserve">showing </w:t>
      </w:r>
      <w:r w:rsidRPr="001D20E1">
        <w:t>the dem</w:t>
      </w:r>
      <w:r>
        <w:t>and for higher education in 202</w:t>
      </w:r>
      <w:r w:rsidR="007E4DE1">
        <w:t>1</w:t>
      </w:r>
      <w:r w:rsidRPr="001D20E1">
        <w:t>.</w:t>
      </w:r>
    </w:p>
    <w:p w14:paraId="684871F6" w14:textId="117B5343" w:rsidR="00A90923" w:rsidRDefault="00A90923" w:rsidP="00A90923">
      <w:r w:rsidRPr="001D20E1">
        <w:t xml:space="preserve">This report </w:t>
      </w:r>
      <w:r>
        <w:t xml:space="preserve">analyses data on applications, offers and acceptances for university admission </w:t>
      </w:r>
      <w:r w:rsidRPr="001D20E1">
        <w:t>fo</w:t>
      </w:r>
      <w:r>
        <w:t>r the first semester of the 202</w:t>
      </w:r>
      <w:r w:rsidR="00CB6F81">
        <w:t>1</w:t>
      </w:r>
      <w:r w:rsidRPr="001D20E1">
        <w:t xml:space="preserve"> academic year</w:t>
      </w:r>
      <w:r>
        <w:t xml:space="preserve">, as of </w:t>
      </w:r>
      <w:r w:rsidRPr="0054402D">
        <w:t>1</w:t>
      </w:r>
      <w:r w:rsidR="007E4DE1" w:rsidRPr="0054402D">
        <w:t>5</w:t>
      </w:r>
      <w:r w:rsidRPr="00493E01">
        <w:t xml:space="preserve"> May 202</w:t>
      </w:r>
      <w:r w:rsidR="00CB6F81">
        <w:t>1</w:t>
      </w:r>
      <w:r>
        <w:t xml:space="preserve">. </w:t>
      </w:r>
    </w:p>
    <w:p w14:paraId="3E48DB36" w14:textId="77777777" w:rsidR="00A90923" w:rsidRPr="00C75D49" w:rsidRDefault="00A90923" w:rsidP="00A90923">
      <w:pPr>
        <w:pStyle w:val="Heading2"/>
        <w:rPr>
          <w:color w:val="auto"/>
        </w:rPr>
      </w:pPr>
      <w:bookmarkStart w:id="2" w:name="_Toc12955269"/>
      <w:r w:rsidRPr="00C75D49">
        <w:rPr>
          <w:color w:val="auto"/>
        </w:rPr>
        <w:t>Overview of the data</w:t>
      </w:r>
      <w:bookmarkEnd w:id="2"/>
    </w:p>
    <w:p w14:paraId="0C0E6F3A" w14:textId="3CCC2C59" w:rsidR="00A90923" w:rsidRDefault="00A90923" w:rsidP="00A90923">
      <w:r>
        <w:t xml:space="preserve">Data are derived from the University Applications and Offers Data Collection. The data refer to domestic undergraduate student applications, offers and acceptances as of </w:t>
      </w:r>
      <w:r w:rsidRPr="00493E01">
        <w:t>1</w:t>
      </w:r>
      <w:r w:rsidR="007E4DE1">
        <w:t>5</w:t>
      </w:r>
      <w:r w:rsidRPr="00493E01">
        <w:t xml:space="preserve"> May 202</w:t>
      </w:r>
      <w:r w:rsidR="00CB6F81">
        <w:t>1</w:t>
      </w:r>
      <w:r>
        <w:t>. It consists of data on:</w:t>
      </w:r>
    </w:p>
    <w:p w14:paraId="20CDB7EC" w14:textId="77777777" w:rsidR="00A90923" w:rsidRDefault="00A90923" w:rsidP="00A90923">
      <w:pPr>
        <w:pStyle w:val="ListBullet"/>
        <w:numPr>
          <w:ilvl w:val="0"/>
          <w:numId w:val="21"/>
        </w:numPr>
        <w:spacing w:after="120" w:line="276" w:lineRule="auto"/>
      </w:pPr>
      <w:r w:rsidRPr="001D20E1">
        <w:t>applications and offers processed through Tertiary Admissions Centres (TACs)</w:t>
      </w:r>
      <w:r>
        <w:t xml:space="preserve">, </w:t>
      </w:r>
      <w:r w:rsidRPr="001D20E1">
        <w:t xml:space="preserve">and </w:t>
      </w:r>
    </w:p>
    <w:p w14:paraId="0F15A6E3" w14:textId="77777777" w:rsidR="00A90923" w:rsidRDefault="00A90923" w:rsidP="00A90923">
      <w:pPr>
        <w:pStyle w:val="ListBullet"/>
        <w:numPr>
          <w:ilvl w:val="0"/>
          <w:numId w:val="21"/>
        </w:numPr>
        <w:spacing w:after="120" w:line="276" w:lineRule="auto"/>
      </w:pPr>
      <w:r w:rsidRPr="001D20E1">
        <w:t>applications made directly to universities</w:t>
      </w:r>
      <w:r>
        <w:t xml:space="preserve"> </w:t>
      </w:r>
      <w:r w:rsidRPr="001D20E1">
        <w:t xml:space="preserve">and </w:t>
      </w:r>
      <w:r>
        <w:t xml:space="preserve">resulting </w:t>
      </w:r>
      <w:r w:rsidRPr="001D20E1">
        <w:t xml:space="preserve">offers. </w:t>
      </w:r>
    </w:p>
    <w:p w14:paraId="4CB01740" w14:textId="77777777" w:rsidR="00A90923" w:rsidRDefault="00A90923" w:rsidP="00A90923">
      <w:pPr>
        <w:rPr>
          <w:rStyle w:val="Hyperlink"/>
        </w:rPr>
      </w:pPr>
      <w:r>
        <w:t xml:space="preserve">The full data is available in visual analytics form on the department’s website, along with previous Applications and offers reports and data at:  </w:t>
      </w:r>
      <w:hyperlink r:id="rId18" w:history="1">
        <w:r w:rsidRPr="008052B7">
          <w:rPr>
            <w:rStyle w:val="Hyperlink"/>
          </w:rPr>
          <w:t>https://www.education.gov.au/undergraduate-applications-offers-and-acceptances-publications</w:t>
        </w:r>
      </w:hyperlink>
    </w:p>
    <w:p w14:paraId="1A78C25A" w14:textId="556A7379" w:rsidR="00A90923" w:rsidRPr="003D44F9" w:rsidRDefault="00A90923" w:rsidP="00D4422E">
      <w:pPr>
        <w:pStyle w:val="ListBullet"/>
        <w:numPr>
          <w:ilvl w:val="0"/>
          <w:numId w:val="0"/>
        </w:numPr>
      </w:pPr>
      <w:r w:rsidRPr="003D44F9">
        <w:t xml:space="preserve">In 2007, the Queensland </w:t>
      </w:r>
      <w:r w:rsidR="00D22F63">
        <w:t>G</w:t>
      </w:r>
      <w:r w:rsidRPr="003D44F9">
        <w:t>overnment introduced an additional year of schooling before Year 1 with</w:t>
      </w:r>
    </w:p>
    <w:p w14:paraId="25C4B0D7" w14:textId="77777777" w:rsidR="00A90923" w:rsidRPr="003D44F9" w:rsidRDefault="00A90923" w:rsidP="00D4422E">
      <w:pPr>
        <w:pStyle w:val="ListBullet"/>
        <w:numPr>
          <w:ilvl w:val="0"/>
          <w:numId w:val="0"/>
        </w:numPr>
      </w:pPr>
      <w:r w:rsidRPr="003D44F9">
        <w:t>only a half-cohort of students enrolling that year. As a result of the Queensland half-year cohort</w:t>
      </w:r>
    </w:p>
    <w:p w14:paraId="05C10026" w14:textId="77777777" w:rsidR="00A90923" w:rsidRPr="003D44F9" w:rsidRDefault="00A90923" w:rsidP="00D4422E">
      <w:pPr>
        <w:pStyle w:val="ListBullet"/>
        <w:numPr>
          <w:ilvl w:val="0"/>
          <w:numId w:val="0"/>
        </w:numPr>
      </w:pPr>
      <w:r w:rsidRPr="003D44F9">
        <w:t>effect, the number of Year 12 students in Queensland in 2019 was around 30 per cent less than the</w:t>
      </w:r>
    </w:p>
    <w:p w14:paraId="582F75B0" w14:textId="77777777" w:rsidR="00A90923" w:rsidRPr="003D44F9" w:rsidRDefault="00A90923" w:rsidP="00D4422E">
      <w:pPr>
        <w:pStyle w:val="ListBullet"/>
        <w:numPr>
          <w:ilvl w:val="0"/>
          <w:numId w:val="0"/>
        </w:numPr>
      </w:pPr>
      <w:r w:rsidRPr="003D44F9">
        <w:t>previous year leading to lower applications for higher education among Queensland school leavers</w:t>
      </w:r>
    </w:p>
    <w:p w14:paraId="2FDF0F15" w14:textId="60E987C7" w:rsidR="00CD00CD" w:rsidRDefault="00A90923" w:rsidP="00D4422E">
      <w:pPr>
        <w:pStyle w:val="ListBullet"/>
        <w:numPr>
          <w:ilvl w:val="0"/>
          <w:numId w:val="0"/>
        </w:numPr>
      </w:pPr>
      <w:r w:rsidRPr="003D44F9">
        <w:t xml:space="preserve">in 2020. </w:t>
      </w:r>
      <w:r w:rsidR="00CD00CD">
        <w:t>In 2021, the half-year cohort effect in 2020 has been reversed and application</w:t>
      </w:r>
      <w:r w:rsidR="00E61DBC">
        <w:t>s</w:t>
      </w:r>
      <w:r w:rsidR="00CD00CD">
        <w:t xml:space="preserve"> </w:t>
      </w:r>
    </w:p>
    <w:p w14:paraId="2FC2D082" w14:textId="4849F5C8" w:rsidR="00CD00CD" w:rsidRPr="003D44F9" w:rsidRDefault="00CD00CD" w:rsidP="00D4422E">
      <w:pPr>
        <w:pStyle w:val="ListBullet"/>
        <w:numPr>
          <w:ilvl w:val="0"/>
          <w:numId w:val="0"/>
        </w:numPr>
      </w:pPr>
      <w:r>
        <w:t xml:space="preserve">from Queensland school leavers have increased. </w:t>
      </w:r>
      <w:r w:rsidR="00E61DBC">
        <w:t>As a result,</w:t>
      </w:r>
      <w:r>
        <w:t xml:space="preserve"> much of this report provides year </w:t>
      </w:r>
      <w:r w:rsidR="00E61DBC">
        <w:t>on</w:t>
      </w:r>
      <w:r>
        <w:t xml:space="preserve"> year comparison</w:t>
      </w:r>
      <w:r w:rsidR="00E61DBC">
        <w:t>s</w:t>
      </w:r>
      <w:r>
        <w:t xml:space="preserve"> without Queensland data processed through Queensland </w:t>
      </w:r>
      <w:r w:rsidR="0054402D">
        <w:t>T</w:t>
      </w:r>
      <w:r>
        <w:t>ertiary Admissions Centre</w:t>
      </w:r>
      <w:r w:rsidR="00D4422E">
        <w:t xml:space="preserve"> (QTAC) so as to compare like with like.</w:t>
      </w:r>
    </w:p>
    <w:p w14:paraId="695E3449" w14:textId="1E7972D8" w:rsidR="00A90923" w:rsidRDefault="00A90923" w:rsidP="00A90923">
      <w:pPr>
        <w:pStyle w:val="ListBullet"/>
        <w:numPr>
          <w:ilvl w:val="0"/>
          <w:numId w:val="0"/>
        </w:numPr>
        <w:ind w:left="360" w:hanging="360"/>
      </w:pPr>
    </w:p>
    <w:p w14:paraId="5E08D52B" w14:textId="77777777" w:rsidR="00A90923" w:rsidRPr="00C75D49" w:rsidRDefault="00A90923" w:rsidP="00A90923">
      <w:pPr>
        <w:pStyle w:val="Heading2"/>
        <w:rPr>
          <w:color w:val="auto"/>
        </w:rPr>
      </w:pPr>
      <w:bookmarkStart w:id="3" w:name="_Toc12955270"/>
      <w:r w:rsidRPr="00C75D49">
        <w:rPr>
          <w:color w:val="auto"/>
        </w:rPr>
        <w:t>Acknowledgements</w:t>
      </w:r>
      <w:bookmarkEnd w:id="3"/>
    </w:p>
    <w:p w14:paraId="13E6CE1B" w14:textId="2137000A" w:rsidR="00A90923" w:rsidRDefault="00A90923" w:rsidP="00A90923">
      <w:r w:rsidRPr="001D20E1">
        <w:t>The department would like to thank all officers of TACs and universities for submitting high quality applicati</w:t>
      </w:r>
      <w:r>
        <w:t>ons and offers data for the 202</w:t>
      </w:r>
      <w:r w:rsidR="007E4DE1">
        <w:t>1</w:t>
      </w:r>
      <w:r w:rsidRPr="001D20E1">
        <w:t xml:space="preserve"> academic year.</w:t>
      </w:r>
    </w:p>
    <w:p w14:paraId="187DA279" w14:textId="77777777" w:rsidR="00A90923" w:rsidRDefault="00A90923" w:rsidP="00A90923">
      <w:pPr>
        <w:rPr>
          <w:rFonts w:ascii="Calibri" w:eastAsiaTheme="majorEastAsia" w:hAnsi="Calibri" w:cstheme="majorBidi"/>
          <w:b/>
          <w:bCs/>
          <w:color w:val="522761"/>
          <w:sz w:val="36"/>
          <w:szCs w:val="28"/>
        </w:rPr>
      </w:pPr>
      <w:r>
        <w:br w:type="page"/>
      </w:r>
    </w:p>
    <w:p w14:paraId="26CECC6F" w14:textId="77777777" w:rsidR="00A90923" w:rsidRDefault="00A90923" w:rsidP="00BA703C">
      <w:pPr>
        <w:pStyle w:val="Heading1"/>
        <w:spacing w:before="0"/>
      </w:pPr>
      <w:bookmarkStart w:id="4" w:name="_Toc12955271"/>
      <w:r>
        <w:lastRenderedPageBreak/>
        <w:t>Highlights</w:t>
      </w:r>
      <w:bookmarkEnd w:id="4"/>
    </w:p>
    <w:p w14:paraId="668574F2" w14:textId="77777777" w:rsidR="00A90923" w:rsidRPr="00C75D49" w:rsidRDefault="00A90923" w:rsidP="00D22F63">
      <w:pPr>
        <w:pStyle w:val="Heading2"/>
        <w:spacing w:before="0"/>
        <w:rPr>
          <w:color w:val="auto"/>
        </w:rPr>
      </w:pPr>
      <w:bookmarkStart w:id="5" w:name="_Toc12955272"/>
      <w:r w:rsidRPr="00C75D49">
        <w:rPr>
          <w:color w:val="auto"/>
        </w:rPr>
        <w:t>Application numbers</w:t>
      </w:r>
      <w:bookmarkEnd w:id="5"/>
    </w:p>
    <w:p w14:paraId="28E451B7" w14:textId="71247EDB" w:rsidR="00A90923" w:rsidRDefault="00A90923" w:rsidP="00A90923">
      <w:pPr>
        <w:pStyle w:val="ListBullet"/>
        <w:numPr>
          <w:ilvl w:val="0"/>
          <w:numId w:val="21"/>
        </w:numPr>
        <w:spacing w:after="120" w:line="276" w:lineRule="auto"/>
      </w:pPr>
      <w:r>
        <w:t xml:space="preserve">The actual number of individuals applying either through a TAC (excluding Queensland </w:t>
      </w:r>
      <w:r w:rsidRPr="00943C6F">
        <w:t>TAC applicants</w:t>
      </w:r>
      <w:r>
        <w:t>) or directly for a university place in 202</w:t>
      </w:r>
      <w:r w:rsidR="00CB6F81">
        <w:t>1</w:t>
      </w:r>
      <w:r>
        <w:t xml:space="preserve"> was </w:t>
      </w:r>
      <w:r w:rsidR="00CB6F81">
        <w:t>295,095</w:t>
      </w:r>
      <w:r>
        <w:t xml:space="preserve">, an increase of </w:t>
      </w:r>
      <w:r w:rsidR="007E6F60">
        <w:t>2</w:t>
      </w:r>
      <w:r w:rsidR="00CB6F81">
        <w:t>.</w:t>
      </w:r>
      <w:r w:rsidR="007E6F60">
        <w:t>3</w:t>
      </w:r>
      <w:r>
        <w:t> per cent on the previous year. This follows a</w:t>
      </w:r>
      <w:r w:rsidR="007E6F60">
        <w:t>n</w:t>
      </w:r>
      <w:r>
        <w:t xml:space="preserve"> </w:t>
      </w:r>
      <w:r w:rsidR="007E6F60">
        <w:t>in</w:t>
      </w:r>
      <w:r>
        <w:t>crease of 1.</w:t>
      </w:r>
      <w:r w:rsidR="007E6F60">
        <w:t>2</w:t>
      </w:r>
      <w:r>
        <w:t> per cent in 20</w:t>
      </w:r>
      <w:r w:rsidR="007E6F60">
        <w:t>20</w:t>
      </w:r>
      <w:r>
        <w:t>.</w:t>
      </w:r>
    </w:p>
    <w:p w14:paraId="5A1F9F3D" w14:textId="31F54760" w:rsidR="00A90923" w:rsidRDefault="00A90923" w:rsidP="00BA703C">
      <w:pPr>
        <w:pStyle w:val="ListBullet"/>
        <w:numPr>
          <w:ilvl w:val="0"/>
          <w:numId w:val="21"/>
        </w:numPr>
        <w:spacing w:after="0" w:line="276" w:lineRule="auto"/>
        <w:ind w:left="357" w:hanging="357"/>
      </w:pPr>
      <w:r>
        <w:t xml:space="preserve">Direct applicants made up </w:t>
      </w:r>
      <w:r w:rsidR="00AE57C7" w:rsidRPr="00AE57C7">
        <w:t>40</w:t>
      </w:r>
      <w:r w:rsidRPr="00AE57C7">
        <w:t>.</w:t>
      </w:r>
      <w:r w:rsidR="00AE57C7" w:rsidRPr="00AE57C7">
        <w:t>0</w:t>
      </w:r>
      <w:r>
        <w:t> per cent of total applicants in 202</w:t>
      </w:r>
      <w:r w:rsidR="00CB6F81">
        <w:t>1</w:t>
      </w:r>
      <w:r>
        <w:t>.</w:t>
      </w:r>
    </w:p>
    <w:p w14:paraId="0A2CC520" w14:textId="77777777" w:rsidR="00A90923" w:rsidRPr="00C75D49" w:rsidRDefault="00A90923" w:rsidP="00D22F63">
      <w:pPr>
        <w:pStyle w:val="Heading2"/>
        <w:spacing w:before="120"/>
        <w:rPr>
          <w:color w:val="auto"/>
        </w:rPr>
      </w:pPr>
      <w:bookmarkStart w:id="6" w:name="_Toc12955273"/>
      <w:r w:rsidRPr="00C75D49">
        <w:rPr>
          <w:color w:val="auto"/>
        </w:rPr>
        <w:t>Offer numbers</w:t>
      </w:r>
      <w:bookmarkEnd w:id="6"/>
    </w:p>
    <w:p w14:paraId="7293078E" w14:textId="12FE79F8" w:rsidR="00A90923" w:rsidRDefault="00A90923" w:rsidP="00A90923">
      <w:pPr>
        <w:pStyle w:val="ListBullet"/>
        <w:numPr>
          <w:ilvl w:val="0"/>
          <w:numId w:val="21"/>
        </w:numPr>
        <w:spacing w:after="120" w:line="276" w:lineRule="auto"/>
      </w:pPr>
      <w:r>
        <w:t xml:space="preserve">There were </w:t>
      </w:r>
      <w:r w:rsidR="00CB6F81">
        <w:t>241,55</w:t>
      </w:r>
      <w:r w:rsidR="00693C11">
        <w:t>8</w:t>
      </w:r>
      <w:r w:rsidRPr="009617BA">
        <w:t xml:space="preserve"> </w:t>
      </w:r>
      <w:r>
        <w:t>unique offers made in 202</w:t>
      </w:r>
      <w:r w:rsidR="00CB6F81">
        <w:t>1</w:t>
      </w:r>
      <w:r>
        <w:t xml:space="preserve">, an increase of </w:t>
      </w:r>
      <w:r w:rsidR="00CB6F81">
        <w:t>1.2</w:t>
      </w:r>
      <w:r>
        <w:t> per cent on the previous year. This follows a</w:t>
      </w:r>
      <w:r w:rsidR="00754A08">
        <w:t>n</w:t>
      </w:r>
      <w:r>
        <w:t xml:space="preserve"> </w:t>
      </w:r>
      <w:r w:rsidR="00754A08">
        <w:t>in</w:t>
      </w:r>
      <w:r>
        <w:t>crease of 1.</w:t>
      </w:r>
      <w:r w:rsidR="00CB6F81">
        <w:t>3</w:t>
      </w:r>
      <w:r>
        <w:t> per cent in 20</w:t>
      </w:r>
      <w:r w:rsidR="007E6F60">
        <w:t>20</w:t>
      </w:r>
      <w:r>
        <w:t>.</w:t>
      </w:r>
    </w:p>
    <w:p w14:paraId="0D95D5DD" w14:textId="03BDF577" w:rsidR="00A90923" w:rsidRDefault="00A90923" w:rsidP="00BA703C">
      <w:pPr>
        <w:pStyle w:val="ListBullet"/>
        <w:numPr>
          <w:ilvl w:val="0"/>
          <w:numId w:val="21"/>
        </w:numPr>
        <w:spacing w:after="0" w:line="276" w:lineRule="auto"/>
        <w:ind w:left="357" w:hanging="357"/>
      </w:pPr>
      <w:r>
        <w:t xml:space="preserve">Direct offers accounted </w:t>
      </w:r>
      <w:r w:rsidRPr="00AE57C7">
        <w:t>for 3</w:t>
      </w:r>
      <w:r w:rsidR="00AE57C7" w:rsidRPr="00AE57C7">
        <w:t>8.6</w:t>
      </w:r>
      <w:r>
        <w:t> per cent of total offers in 202</w:t>
      </w:r>
      <w:r w:rsidR="005048E1">
        <w:t>1</w:t>
      </w:r>
      <w:r>
        <w:t>.</w:t>
      </w:r>
    </w:p>
    <w:p w14:paraId="483A3BC1" w14:textId="77777777" w:rsidR="00A90923" w:rsidRPr="00C75D49" w:rsidRDefault="00A90923" w:rsidP="00D22F63">
      <w:pPr>
        <w:pStyle w:val="Heading2"/>
        <w:spacing w:before="0"/>
        <w:rPr>
          <w:color w:val="auto"/>
        </w:rPr>
      </w:pPr>
      <w:bookmarkStart w:id="7" w:name="_Toc12955274"/>
      <w:r w:rsidRPr="00C75D49">
        <w:rPr>
          <w:color w:val="auto"/>
        </w:rPr>
        <w:t>Offer rate</w:t>
      </w:r>
      <w:bookmarkEnd w:id="7"/>
    </w:p>
    <w:p w14:paraId="7D1324FD" w14:textId="77777777" w:rsidR="00A90923" w:rsidRDefault="00A90923" w:rsidP="00A90923">
      <w:pPr>
        <w:pStyle w:val="ListBullet"/>
        <w:numPr>
          <w:ilvl w:val="0"/>
          <w:numId w:val="21"/>
        </w:numPr>
        <w:spacing w:after="120" w:line="276" w:lineRule="auto"/>
      </w:pPr>
      <w:r w:rsidRPr="00AC1937">
        <w:t xml:space="preserve">The offer rate </w:t>
      </w:r>
      <w:r>
        <w:t>measures the way in which universities choose to respond to student demand.</w:t>
      </w:r>
    </w:p>
    <w:p w14:paraId="627F01DB" w14:textId="17B0C985" w:rsidR="00A90923" w:rsidRDefault="00A90923" w:rsidP="00A90923">
      <w:pPr>
        <w:pStyle w:val="ListBullet"/>
        <w:numPr>
          <w:ilvl w:val="0"/>
          <w:numId w:val="21"/>
        </w:numPr>
        <w:spacing w:after="120" w:line="276" w:lineRule="auto"/>
      </w:pPr>
      <w:r>
        <w:t>In 202</w:t>
      </w:r>
      <w:r w:rsidR="005048E1">
        <w:t>1</w:t>
      </w:r>
      <w:r w:rsidR="007E6F60">
        <w:t>,</w:t>
      </w:r>
      <w:r>
        <w:t xml:space="preserve"> the offer rate</w:t>
      </w:r>
      <w:r w:rsidRPr="00AC1937">
        <w:t xml:space="preserve"> </w:t>
      </w:r>
      <w:r>
        <w:t>was</w:t>
      </w:r>
      <w:r w:rsidRPr="00AC1937">
        <w:t xml:space="preserve"> </w:t>
      </w:r>
      <w:r>
        <w:t>8</w:t>
      </w:r>
      <w:r w:rsidR="005048E1">
        <w:t>1.9</w:t>
      </w:r>
      <w:r>
        <w:t xml:space="preserve"> per cent, down from </w:t>
      </w:r>
      <w:r w:rsidR="005048E1">
        <w:t>82.8</w:t>
      </w:r>
      <w:r>
        <w:t> per cent in 20</w:t>
      </w:r>
      <w:r w:rsidR="005048E1">
        <w:t>20</w:t>
      </w:r>
      <w:r>
        <w:t xml:space="preserve"> and 83.</w:t>
      </w:r>
      <w:r w:rsidR="005048E1">
        <w:t>6</w:t>
      </w:r>
      <w:r>
        <w:t xml:space="preserve"> per cent in 201</w:t>
      </w:r>
      <w:r w:rsidR="005048E1">
        <w:t>9</w:t>
      </w:r>
      <w:r w:rsidR="00E61DBC">
        <w:t xml:space="preserve"> and was the lowest </w:t>
      </w:r>
      <w:r w:rsidR="001F751A">
        <w:t>offer rate since 80.8 per cent in 2011</w:t>
      </w:r>
      <w:r>
        <w:t>.</w:t>
      </w:r>
    </w:p>
    <w:p w14:paraId="3D7729D1" w14:textId="72DBB0F8" w:rsidR="00A90923" w:rsidRPr="0067164B" w:rsidRDefault="00A90923" w:rsidP="00A90923">
      <w:pPr>
        <w:spacing w:after="0" w:line="240" w:lineRule="auto"/>
        <w:rPr>
          <w:rFonts w:ascii="Calibri" w:eastAsia="Times New Roman" w:hAnsi="Calibri" w:cs="Times New Roman"/>
          <w:b/>
          <w:bCs/>
          <w:lang w:eastAsia="en-AU"/>
        </w:rPr>
      </w:pPr>
      <w:bookmarkStart w:id="8" w:name="_Toc523920952"/>
      <w:r w:rsidRPr="0067164B">
        <w:rPr>
          <w:rFonts w:ascii="Calibri" w:eastAsia="Times New Roman" w:hAnsi="Calibri" w:cs="Times New Roman"/>
          <w:b/>
          <w:bCs/>
          <w:lang w:eastAsia="en-AU"/>
        </w:rPr>
        <w:t xml:space="preserve">Table </w:t>
      </w:r>
      <w:r w:rsidRPr="0067164B">
        <w:rPr>
          <w:rFonts w:ascii="Calibri" w:eastAsia="Times New Roman" w:hAnsi="Calibri" w:cs="Times New Roman"/>
          <w:b/>
          <w:bCs/>
          <w:lang w:eastAsia="en-AU"/>
        </w:rPr>
        <w:fldChar w:fldCharType="begin"/>
      </w:r>
      <w:r w:rsidRPr="0067164B">
        <w:rPr>
          <w:rFonts w:ascii="Calibri" w:eastAsia="Times New Roman" w:hAnsi="Calibri" w:cs="Times New Roman"/>
          <w:b/>
          <w:bCs/>
          <w:lang w:eastAsia="en-AU"/>
        </w:rPr>
        <w:instrText xml:space="preserve"> SEQ Table \* ARABIC </w:instrText>
      </w:r>
      <w:r w:rsidRPr="0067164B">
        <w:rPr>
          <w:rFonts w:ascii="Calibri" w:eastAsia="Times New Roman" w:hAnsi="Calibri" w:cs="Times New Roman"/>
          <w:b/>
          <w:bCs/>
          <w:lang w:eastAsia="en-AU"/>
        </w:rPr>
        <w:fldChar w:fldCharType="separate"/>
      </w:r>
      <w:r w:rsidR="00D4422E">
        <w:rPr>
          <w:rFonts w:ascii="Calibri" w:eastAsia="Times New Roman" w:hAnsi="Calibri" w:cs="Times New Roman"/>
          <w:b/>
          <w:bCs/>
          <w:noProof/>
          <w:lang w:eastAsia="en-AU"/>
        </w:rPr>
        <w:t>1</w:t>
      </w:r>
      <w:r w:rsidRPr="0067164B">
        <w:rPr>
          <w:rFonts w:ascii="Calibri" w:eastAsia="Times New Roman" w:hAnsi="Calibri" w:cs="Times New Roman"/>
          <w:b/>
          <w:bCs/>
          <w:lang w:eastAsia="en-AU"/>
        </w:rPr>
        <w:fldChar w:fldCharType="end"/>
      </w:r>
      <w:r w:rsidRPr="0067164B">
        <w:rPr>
          <w:rFonts w:ascii="Calibri" w:eastAsia="Times New Roman" w:hAnsi="Calibri" w:cs="Times New Roman"/>
          <w:b/>
          <w:bCs/>
          <w:lang w:eastAsia="en-AU"/>
        </w:rPr>
        <w:t>: Growth in applicants</w:t>
      </w:r>
      <w:r w:rsidR="0071574B">
        <w:rPr>
          <w:rFonts w:ascii="Calibri" w:eastAsia="Times New Roman" w:hAnsi="Calibri" w:cs="Times New Roman"/>
          <w:b/>
          <w:bCs/>
          <w:lang w:eastAsia="en-AU"/>
        </w:rPr>
        <w:t xml:space="preserve">, </w:t>
      </w:r>
      <w:r w:rsidRPr="0067164B">
        <w:rPr>
          <w:rFonts w:ascii="Calibri" w:eastAsia="Times New Roman" w:hAnsi="Calibri" w:cs="Times New Roman"/>
          <w:b/>
          <w:bCs/>
          <w:lang w:eastAsia="en-AU"/>
        </w:rPr>
        <w:t>offers and</w:t>
      </w:r>
      <w:r w:rsidR="0071574B">
        <w:rPr>
          <w:rFonts w:ascii="Calibri" w:eastAsia="Times New Roman" w:hAnsi="Calibri" w:cs="Times New Roman"/>
          <w:b/>
          <w:bCs/>
          <w:lang w:eastAsia="en-AU"/>
        </w:rPr>
        <w:t xml:space="preserve"> </w:t>
      </w:r>
      <w:r w:rsidRPr="0067164B">
        <w:rPr>
          <w:rFonts w:ascii="Calibri" w:eastAsia="Times New Roman" w:hAnsi="Calibri" w:cs="Times New Roman"/>
          <w:b/>
          <w:bCs/>
          <w:lang w:eastAsia="en-AU"/>
        </w:rPr>
        <w:t>offer rate, 2010-20</w:t>
      </w:r>
      <w:bookmarkEnd w:id="8"/>
      <w:r>
        <w:rPr>
          <w:rFonts w:ascii="Calibri" w:eastAsia="Times New Roman" w:hAnsi="Calibri" w:cs="Times New Roman"/>
          <w:b/>
          <w:bCs/>
          <w:lang w:eastAsia="en-AU"/>
        </w:rPr>
        <w:t>2</w:t>
      </w:r>
      <w:r w:rsidR="005048E1">
        <w:rPr>
          <w:rFonts w:ascii="Calibri" w:eastAsia="Times New Roman" w:hAnsi="Calibri" w:cs="Times New Roman"/>
          <w:b/>
          <w:bCs/>
          <w:lang w:eastAsia="en-AU"/>
        </w:rPr>
        <w:t>1</w:t>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3"/>
        <w:gridCol w:w="2268"/>
        <w:gridCol w:w="2127"/>
        <w:gridCol w:w="2126"/>
      </w:tblGrid>
      <w:tr w:rsidR="00A90923" w:rsidRPr="00913729" w14:paraId="3CADF1C1" w14:textId="77777777" w:rsidTr="007C28EC">
        <w:trPr>
          <w:trHeight w:val="277"/>
          <w:tblHeader/>
        </w:trPr>
        <w:tc>
          <w:tcPr>
            <w:tcW w:w="2253" w:type="dxa"/>
            <w:shd w:val="clear" w:color="auto" w:fill="FFC000"/>
            <w:vAlign w:val="center"/>
          </w:tcPr>
          <w:p w14:paraId="1F8C090D" w14:textId="77777777" w:rsidR="00A90923" w:rsidRPr="00A87CFE" w:rsidRDefault="00A90923" w:rsidP="007C28EC">
            <w:pPr>
              <w:spacing w:after="0" w:line="240" w:lineRule="auto"/>
              <w:jc w:val="center"/>
              <w:rPr>
                <w:rFonts w:ascii="Calibri" w:eastAsia="Times New Roman" w:hAnsi="Calibri" w:cs="Times New Roman"/>
                <w:b/>
                <w:sz w:val="20"/>
                <w:szCs w:val="20"/>
                <w:lang w:eastAsia="en-AU"/>
              </w:rPr>
            </w:pPr>
            <w:r>
              <w:rPr>
                <w:rFonts w:ascii="Calibri" w:eastAsia="Times New Roman" w:hAnsi="Calibri" w:cs="Times New Roman"/>
                <w:b/>
                <w:bCs/>
                <w:sz w:val="20"/>
                <w:szCs w:val="20"/>
                <w:lang w:eastAsia="en-AU"/>
              </w:rPr>
              <w:t>Australia</w:t>
            </w:r>
          </w:p>
        </w:tc>
        <w:tc>
          <w:tcPr>
            <w:tcW w:w="2268" w:type="dxa"/>
            <w:shd w:val="clear" w:color="auto" w:fill="FFC000"/>
            <w:vAlign w:val="center"/>
          </w:tcPr>
          <w:p w14:paraId="5A43EE32" w14:textId="77777777" w:rsidR="00A90923" w:rsidRDefault="00A90923" w:rsidP="007C28EC">
            <w:pPr>
              <w:spacing w:after="0" w:line="240" w:lineRule="auto"/>
              <w:jc w:val="center"/>
              <w:rPr>
                <w:rFonts w:ascii="Calibri" w:eastAsia="Times New Roman" w:hAnsi="Calibri" w:cs="Times New Roman"/>
                <w:b/>
                <w:bCs/>
                <w:sz w:val="20"/>
                <w:szCs w:val="20"/>
                <w:lang w:eastAsia="en-AU"/>
              </w:rPr>
            </w:pPr>
          </w:p>
          <w:p w14:paraId="7B15D006" w14:textId="77777777" w:rsidR="00A90923" w:rsidRDefault="00A90923" w:rsidP="007C28EC">
            <w:pPr>
              <w:spacing w:after="0" w:line="240" w:lineRule="auto"/>
              <w:jc w:val="center"/>
              <w:rPr>
                <w:rFonts w:ascii="Calibri" w:eastAsia="Times New Roman" w:hAnsi="Calibri" w:cs="Times New Roman"/>
                <w:b/>
                <w:bCs/>
                <w:sz w:val="20"/>
                <w:szCs w:val="20"/>
                <w:lang w:eastAsia="en-AU"/>
              </w:rPr>
            </w:pPr>
            <w:r>
              <w:rPr>
                <w:rFonts w:ascii="Calibri" w:eastAsia="Times New Roman" w:hAnsi="Calibri" w:cs="Times New Roman"/>
                <w:b/>
                <w:bCs/>
                <w:sz w:val="20"/>
                <w:szCs w:val="20"/>
                <w:lang w:eastAsia="en-AU"/>
              </w:rPr>
              <w:t>Applicants</w:t>
            </w:r>
          </w:p>
          <w:p w14:paraId="0EDA6A8C" w14:textId="77777777" w:rsidR="00A90923" w:rsidRPr="00A87CFE" w:rsidRDefault="00A90923" w:rsidP="007C28EC">
            <w:pPr>
              <w:spacing w:after="0" w:line="240" w:lineRule="auto"/>
              <w:jc w:val="center"/>
              <w:rPr>
                <w:rFonts w:ascii="Calibri" w:eastAsia="Times New Roman" w:hAnsi="Calibri" w:cs="Times New Roman"/>
                <w:b/>
                <w:bCs/>
                <w:sz w:val="20"/>
                <w:szCs w:val="20"/>
                <w:lang w:eastAsia="en-AU"/>
              </w:rPr>
            </w:pPr>
          </w:p>
        </w:tc>
        <w:tc>
          <w:tcPr>
            <w:tcW w:w="2127" w:type="dxa"/>
            <w:shd w:val="clear" w:color="auto" w:fill="FFC000"/>
          </w:tcPr>
          <w:p w14:paraId="6C3633C8" w14:textId="77777777" w:rsidR="00A90923" w:rsidRDefault="00A90923" w:rsidP="007C28EC">
            <w:pPr>
              <w:spacing w:after="0" w:line="240" w:lineRule="auto"/>
              <w:jc w:val="center"/>
              <w:rPr>
                <w:rFonts w:ascii="Calibri" w:eastAsia="Times New Roman" w:hAnsi="Calibri" w:cs="Times New Roman"/>
                <w:b/>
                <w:bCs/>
                <w:sz w:val="20"/>
                <w:szCs w:val="20"/>
                <w:lang w:eastAsia="en-AU"/>
              </w:rPr>
            </w:pPr>
          </w:p>
          <w:p w14:paraId="766D5EF6" w14:textId="77777777" w:rsidR="00A90923" w:rsidRDefault="00A90923" w:rsidP="007C28EC">
            <w:pPr>
              <w:spacing w:after="0" w:line="240" w:lineRule="auto"/>
              <w:jc w:val="center"/>
              <w:rPr>
                <w:rFonts w:ascii="Calibri" w:eastAsia="Times New Roman" w:hAnsi="Calibri" w:cs="Times New Roman"/>
                <w:b/>
                <w:bCs/>
                <w:sz w:val="20"/>
                <w:szCs w:val="20"/>
                <w:lang w:eastAsia="en-AU"/>
              </w:rPr>
            </w:pPr>
            <w:r>
              <w:rPr>
                <w:rFonts w:ascii="Calibri" w:eastAsia="Times New Roman" w:hAnsi="Calibri" w:cs="Times New Roman"/>
                <w:b/>
                <w:bCs/>
                <w:sz w:val="20"/>
                <w:szCs w:val="20"/>
                <w:lang w:eastAsia="en-AU"/>
              </w:rPr>
              <w:t>Offers</w:t>
            </w:r>
          </w:p>
        </w:tc>
        <w:tc>
          <w:tcPr>
            <w:tcW w:w="2126" w:type="dxa"/>
            <w:shd w:val="clear" w:color="auto" w:fill="FFC000"/>
          </w:tcPr>
          <w:p w14:paraId="5CE1055E" w14:textId="77777777" w:rsidR="00A90923" w:rsidRDefault="00A90923" w:rsidP="007C28EC">
            <w:pPr>
              <w:spacing w:after="0" w:line="240" w:lineRule="auto"/>
              <w:jc w:val="center"/>
              <w:rPr>
                <w:rFonts w:ascii="Calibri" w:eastAsia="Times New Roman" w:hAnsi="Calibri" w:cs="Times New Roman"/>
                <w:b/>
                <w:bCs/>
                <w:sz w:val="20"/>
                <w:szCs w:val="20"/>
                <w:lang w:eastAsia="en-AU"/>
              </w:rPr>
            </w:pPr>
          </w:p>
          <w:p w14:paraId="3F97C6AF" w14:textId="77777777" w:rsidR="00A90923" w:rsidRDefault="00A90923" w:rsidP="007C28EC">
            <w:pPr>
              <w:spacing w:after="0" w:line="240" w:lineRule="auto"/>
              <w:jc w:val="center"/>
              <w:rPr>
                <w:rFonts w:ascii="Calibri" w:eastAsia="Times New Roman" w:hAnsi="Calibri" w:cs="Times New Roman"/>
                <w:b/>
                <w:bCs/>
                <w:sz w:val="20"/>
                <w:szCs w:val="20"/>
                <w:lang w:eastAsia="en-AU"/>
              </w:rPr>
            </w:pPr>
            <w:r>
              <w:rPr>
                <w:rFonts w:ascii="Calibri" w:eastAsia="Times New Roman" w:hAnsi="Calibri" w:cs="Times New Roman"/>
                <w:b/>
                <w:bCs/>
                <w:sz w:val="20"/>
                <w:szCs w:val="20"/>
                <w:lang w:eastAsia="en-AU"/>
              </w:rPr>
              <w:t>Offer rate</w:t>
            </w:r>
          </w:p>
        </w:tc>
      </w:tr>
      <w:tr w:rsidR="00C45D7C" w:rsidRPr="00F42121" w14:paraId="180C7CB2" w14:textId="77777777" w:rsidTr="007C28EC">
        <w:trPr>
          <w:trHeight w:val="260"/>
          <w:tblHeader/>
        </w:trPr>
        <w:tc>
          <w:tcPr>
            <w:tcW w:w="2253" w:type="dxa"/>
          </w:tcPr>
          <w:p w14:paraId="78204C35"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2010</w:t>
            </w:r>
          </w:p>
        </w:tc>
        <w:tc>
          <w:tcPr>
            <w:tcW w:w="2268" w:type="dxa"/>
          </w:tcPr>
          <w:p w14:paraId="0A1877F5"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p>
        </w:tc>
        <w:tc>
          <w:tcPr>
            <w:tcW w:w="2127" w:type="dxa"/>
          </w:tcPr>
          <w:p w14:paraId="67BE984A"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p>
        </w:tc>
        <w:tc>
          <w:tcPr>
            <w:tcW w:w="2126" w:type="dxa"/>
          </w:tcPr>
          <w:p w14:paraId="15E5481F" w14:textId="50F98A22"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80.2%</w:t>
            </w:r>
          </w:p>
        </w:tc>
      </w:tr>
      <w:tr w:rsidR="00C45D7C" w:rsidRPr="00F42121" w14:paraId="076392C6" w14:textId="77777777" w:rsidTr="007C28EC">
        <w:trPr>
          <w:trHeight w:val="268"/>
          <w:tblHeader/>
        </w:trPr>
        <w:tc>
          <w:tcPr>
            <w:tcW w:w="2253" w:type="dxa"/>
          </w:tcPr>
          <w:p w14:paraId="32186B51"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2011</w:t>
            </w:r>
          </w:p>
        </w:tc>
        <w:tc>
          <w:tcPr>
            <w:tcW w:w="2268" w:type="dxa"/>
          </w:tcPr>
          <w:p w14:paraId="6DD9D42C" w14:textId="21CB7BAE"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3.3</w:t>
            </w:r>
            <w:r>
              <w:rPr>
                <w:rFonts w:ascii="Calibri" w:eastAsia="Times New Roman" w:hAnsi="Calibri" w:cs="Calibri"/>
                <w:color w:val="000000"/>
                <w:sz w:val="20"/>
                <w:szCs w:val="20"/>
                <w:lang w:eastAsia="en-AU"/>
              </w:rPr>
              <w:t xml:space="preserve"> %</w:t>
            </w:r>
          </w:p>
        </w:tc>
        <w:tc>
          <w:tcPr>
            <w:tcW w:w="2127" w:type="dxa"/>
          </w:tcPr>
          <w:p w14:paraId="58AD7C57" w14:textId="32E152E9"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4.0</w:t>
            </w:r>
            <w:r>
              <w:rPr>
                <w:rFonts w:ascii="Calibri" w:eastAsia="Times New Roman" w:hAnsi="Calibri" w:cs="Calibri"/>
                <w:color w:val="000000"/>
                <w:sz w:val="20"/>
                <w:szCs w:val="20"/>
                <w:lang w:eastAsia="en-AU"/>
              </w:rPr>
              <w:t xml:space="preserve"> %</w:t>
            </w:r>
          </w:p>
        </w:tc>
        <w:tc>
          <w:tcPr>
            <w:tcW w:w="2126" w:type="dxa"/>
          </w:tcPr>
          <w:p w14:paraId="1288063A" w14:textId="612BD843"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80.8%</w:t>
            </w:r>
          </w:p>
        </w:tc>
      </w:tr>
      <w:tr w:rsidR="00C45D7C" w:rsidRPr="00F42121" w14:paraId="54843955" w14:textId="77777777" w:rsidTr="007C28EC">
        <w:trPr>
          <w:trHeight w:val="268"/>
          <w:tblHeader/>
        </w:trPr>
        <w:tc>
          <w:tcPr>
            <w:tcW w:w="2253" w:type="dxa"/>
          </w:tcPr>
          <w:p w14:paraId="12027625"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2012</w:t>
            </w:r>
          </w:p>
        </w:tc>
        <w:tc>
          <w:tcPr>
            <w:tcW w:w="2268" w:type="dxa"/>
          </w:tcPr>
          <w:p w14:paraId="037B3679" w14:textId="661C9182"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2.4</w:t>
            </w:r>
            <w:r>
              <w:rPr>
                <w:rFonts w:ascii="Calibri" w:eastAsia="Times New Roman" w:hAnsi="Calibri" w:cs="Calibri"/>
                <w:color w:val="000000"/>
                <w:sz w:val="20"/>
                <w:szCs w:val="20"/>
                <w:lang w:eastAsia="en-AU"/>
              </w:rPr>
              <w:t xml:space="preserve"> %</w:t>
            </w:r>
          </w:p>
        </w:tc>
        <w:tc>
          <w:tcPr>
            <w:tcW w:w="2127" w:type="dxa"/>
          </w:tcPr>
          <w:p w14:paraId="28E568F2" w14:textId="60BF4430"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4.9</w:t>
            </w:r>
            <w:r>
              <w:rPr>
                <w:rFonts w:ascii="Calibri" w:eastAsia="Times New Roman" w:hAnsi="Calibri" w:cs="Calibri"/>
                <w:color w:val="000000"/>
                <w:sz w:val="20"/>
                <w:szCs w:val="20"/>
                <w:lang w:eastAsia="en-AU"/>
              </w:rPr>
              <w:t xml:space="preserve"> %</w:t>
            </w:r>
          </w:p>
        </w:tc>
        <w:tc>
          <w:tcPr>
            <w:tcW w:w="2126" w:type="dxa"/>
          </w:tcPr>
          <w:p w14:paraId="03F7CD1B" w14:textId="2C4349D0"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82.8%</w:t>
            </w:r>
          </w:p>
        </w:tc>
      </w:tr>
      <w:tr w:rsidR="00C45D7C" w:rsidRPr="00F42121" w14:paraId="6395BF2A" w14:textId="77777777" w:rsidTr="007C28EC">
        <w:trPr>
          <w:trHeight w:val="260"/>
          <w:tblHeader/>
        </w:trPr>
        <w:tc>
          <w:tcPr>
            <w:tcW w:w="2253" w:type="dxa"/>
          </w:tcPr>
          <w:p w14:paraId="6F985861"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2013</w:t>
            </w:r>
          </w:p>
        </w:tc>
        <w:tc>
          <w:tcPr>
            <w:tcW w:w="2268" w:type="dxa"/>
          </w:tcPr>
          <w:p w14:paraId="42836DA9" w14:textId="51D52E84"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2.3</w:t>
            </w:r>
            <w:r>
              <w:rPr>
                <w:rFonts w:ascii="Calibri" w:eastAsia="Times New Roman" w:hAnsi="Calibri" w:cs="Calibri"/>
                <w:color w:val="000000"/>
                <w:sz w:val="20"/>
                <w:szCs w:val="20"/>
                <w:lang w:eastAsia="en-AU"/>
              </w:rPr>
              <w:t xml:space="preserve"> %</w:t>
            </w:r>
          </w:p>
        </w:tc>
        <w:tc>
          <w:tcPr>
            <w:tcW w:w="2127" w:type="dxa"/>
          </w:tcPr>
          <w:p w14:paraId="4712BFF1" w14:textId="19705361"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4.2</w:t>
            </w:r>
            <w:r>
              <w:rPr>
                <w:rFonts w:ascii="Calibri" w:eastAsia="Times New Roman" w:hAnsi="Calibri" w:cs="Calibri"/>
                <w:color w:val="000000"/>
                <w:sz w:val="20"/>
                <w:szCs w:val="20"/>
                <w:lang w:eastAsia="en-AU"/>
              </w:rPr>
              <w:t xml:space="preserve"> %</w:t>
            </w:r>
          </w:p>
        </w:tc>
        <w:tc>
          <w:tcPr>
            <w:tcW w:w="2126" w:type="dxa"/>
          </w:tcPr>
          <w:p w14:paraId="355A4855" w14:textId="65247F06"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84.4%</w:t>
            </w:r>
          </w:p>
        </w:tc>
      </w:tr>
      <w:tr w:rsidR="00C45D7C" w:rsidRPr="00F42121" w14:paraId="15F4531D" w14:textId="77777777" w:rsidTr="007C28EC">
        <w:trPr>
          <w:trHeight w:val="268"/>
          <w:tblHeader/>
        </w:trPr>
        <w:tc>
          <w:tcPr>
            <w:tcW w:w="2253" w:type="dxa"/>
          </w:tcPr>
          <w:p w14:paraId="02D3A9BE" w14:textId="2AA1FD03"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2014</w:t>
            </w:r>
            <w:r w:rsidR="00A43ECE">
              <w:rPr>
                <w:rFonts w:ascii="Calibri" w:eastAsia="Times New Roman" w:hAnsi="Calibri" w:cs="Calibri"/>
                <w:color w:val="000000"/>
                <w:sz w:val="20"/>
                <w:szCs w:val="20"/>
                <w:lang w:eastAsia="en-AU"/>
              </w:rPr>
              <w:t>*</w:t>
            </w:r>
          </w:p>
        </w:tc>
        <w:tc>
          <w:tcPr>
            <w:tcW w:w="2268" w:type="dxa"/>
          </w:tcPr>
          <w:p w14:paraId="0D239EB1" w14:textId="50A6BB5D"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2.6</w:t>
            </w:r>
            <w:r>
              <w:rPr>
                <w:rFonts w:ascii="Calibri" w:eastAsia="Times New Roman" w:hAnsi="Calibri" w:cs="Calibri"/>
                <w:color w:val="000000"/>
                <w:sz w:val="20"/>
                <w:szCs w:val="20"/>
                <w:lang w:eastAsia="en-AU"/>
              </w:rPr>
              <w:t xml:space="preserve"> %</w:t>
            </w:r>
          </w:p>
        </w:tc>
        <w:tc>
          <w:tcPr>
            <w:tcW w:w="2127" w:type="dxa"/>
          </w:tcPr>
          <w:p w14:paraId="2A8B966A" w14:textId="3A534574"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1.8</w:t>
            </w:r>
            <w:r>
              <w:rPr>
                <w:rFonts w:ascii="Calibri" w:eastAsia="Times New Roman" w:hAnsi="Calibri" w:cs="Calibri"/>
                <w:color w:val="000000"/>
                <w:sz w:val="20"/>
                <w:szCs w:val="20"/>
                <w:lang w:eastAsia="en-AU"/>
              </w:rPr>
              <w:t xml:space="preserve"> %</w:t>
            </w:r>
          </w:p>
        </w:tc>
        <w:tc>
          <w:tcPr>
            <w:tcW w:w="2126" w:type="dxa"/>
          </w:tcPr>
          <w:p w14:paraId="48162E20" w14:textId="2DC269FB"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w:t>
            </w:r>
            <w:r w:rsidR="0071574B">
              <w:t>3.8</w:t>
            </w:r>
            <w:r w:rsidRPr="001901FD">
              <w:t>%</w:t>
            </w:r>
          </w:p>
        </w:tc>
      </w:tr>
      <w:tr w:rsidR="00C45D7C" w:rsidRPr="00F42121" w14:paraId="79C78D6B" w14:textId="77777777" w:rsidTr="007C28EC">
        <w:trPr>
          <w:trHeight w:val="260"/>
          <w:tblHeader/>
        </w:trPr>
        <w:tc>
          <w:tcPr>
            <w:tcW w:w="2253" w:type="dxa"/>
          </w:tcPr>
          <w:p w14:paraId="59253449"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2015</w:t>
            </w:r>
            <w:r>
              <w:rPr>
                <w:rFonts w:ascii="Calibri" w:eastAsia="Times New Roman" w:hAnsi="Calibri" w:cs="Calibri"/>
                <w:color w:val="000000"/>
                <w:sz w:val="20"/>
                <w:szCs w:val="20"/>
                <w:lang w:eastAsia="en-AU"/>
              </w:rPr>
              <w:t>*</w:t>
            </w:r>
          </w:p>
        </w:tc>
        <w:tc>
          <w:tcPr>
            <w:tcW w:w="2268" w:type="dxa"/>
          </w:tcPr>
          <w:p w14:paraId="0353A991" w14:textId="34658F6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3.9 %</w:t>
            </w:r>
          </w:p>
        </w:tc>
        <w:tc>
          <w:tcPr>
            <w:tcW w:w="2127" w:type="dxa"/>
          </w:tcPr>
          <w:p w14:paraId="3B9CD95F" w14:textId="412221E6"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2.9</w:t>
            </w:r>
            <w:r>
              <w:rPr>
                <w:rFonts w:ascii="Calibri" w:eastAsia="Times New Roman" w:hAnsi="Calibri" w:cs="Calibri"/>
                <w:color w:val="000000"/>
                <w:sz w:val="20"/>
                <w:szCs w:val="20"/>
                <w:lang w:eastAsia="en-AU"/>
              </w:rPr>
              <w:t xml:space="preserve"> %</w:t>
            </w:r>
          </w:p>
        </w:tc>
        <w:tc>
          <w:tcPr>
            <w:tcW w:w="2126" w:type="dxa"/>
          </w:tcPr>
          <w:p w14:paraId="0B4BE61D" w14:textId="00B04693"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83.5%</w:t>
            </w:r>
          </w:p>
        </w:tc>
      </w:tr>
      <w:tr w:rsidR="00C45D7C" w:rsidRPr="00F42121" w14:paraId="130CDFCD" w14:textId="77777777" w:rsidTr="007C28EC">
        <w:trPr>
          <w:trHeight w:val="260"/>
          <w:tblHeader/>
        </w:trPr>
        <w:tc>
          <w:tcPr>
            <w:tcW w:w="2253" w:type="dxa"/>
          </w:tcPr>
          <w:p w14:paraId="77894C7C"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974C69">
              <w:rPr>
                <w:rFonts w:ascii="Calibri" w:eastAsia="Times New Roman" w:hAnsi="Calibri" w:cs="Calibri"/>
                <w:color w:val="000000"/>
                <w:sz w:val="20"/>
                <w:szCs w:val="20"/>
                <w:lang w:eastAsia="en-AU"/>
              </w:rPr>
              <w:t>2016</w:t>
            </w:r>
            <w:r>
              <w:rPr>
                <w:rFonts w:ascii="Calibri" w:eastAsia="Times New Roman" w:hAnsi="Calibri" w:cs="Calibri"/>
                <w:color w:val="000000"/>
                <w:sz w:val="20"/>
                <w:szCs w:val="20"/>
                <w:lang w:eastAsia="en-AU"/>
              </w:rPr>
              <w:t>*</w:t>
            </w:r>
          </w:p>
        </w:tc>
        <w:tc>
          <w:tcPr>
            <w:tcW w:w="2268" w:type="dxa"/>
          </w:tcPr>
          <w:p w14:paraId="694832BF" w14:textId="1C85E77D"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1.7 %</w:t>
            </w:r>
          </w:p>
        </w:tc>
        <w:tc>
          <w:tcPr>
            <w:tcW w:w="2127" w:type="dxa"/>
          </w:tcPr>
          <w:p w14:paraId="11CFB36A" w14:textId="1F19D777"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1.6 %</w:t>
            </w:r>
          </w:p>
        </w:tc>
        <w:tc>
          <w:tcPr>
            <w:tcW w:w="2126" w:type="dxa"/>
          </w:tcPr>
          <w:p w14:paraId="68229DCE" w14:textId="046C2936"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83.5%</w:t>
            </w:r>
          </w:p>
        </w:tc>
      </w:tr>
      <w:tr w:rsidR="00C45D7C" w:rsidRPr="00F42121" w14:paraId="0DD7C873" w14:textId="77777777" w:rsidTr="007C28EC">
        <w:trPr>
          <w:trHeight w:val="260"/>
          <w:tblHeader/>
        </w:trPr>
        <w:tc>
          <w:tcPr>
            <w:tcW w:w="2253" w:type="dxa"/>
          </w:tcPr>
          <w:p w14:paraId="6FF26787" w14:textId="77777777"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2017</w:t>
            </w:r>
          </w:p>
        </w:tc>
        <w:tc>
          <w:tcPr>
            <w:tcW w:w="2268" w:type="dxa"/>
          </w:tcPr>
          <w:p w14:paraId="417A9EC1" w14:textId="447A7DC4" w:rsidR="00C45D7C" w:rsidRPr="00974C69"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1.6 %</w:t>
            </w:r>
          </w:p>
        </w:tc>
        <w:tc>
          <w:tcPr>
            <w:tcW w:w="2127" w:type="dxa"/>
          </w:tcPr>
          <w:p w14:paraId="18291D92" w14:textId="28EB80F8"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8B149D">
              <w:rPr>
                <w:rFonts w:ascii="Calibri" w:eastAsia="Times New Roman" w:hAnsi="Calibri" w:cs="Calibri"/>
                <w:color w:val="000000"/>
                <w:sz w:val="20"/>
                <w:szCs w:val="20"/>
                <w:lang w:eastAsia="en-AU"/>
              </w:rPr>
              <w:t>0.1</w:t>
            </w:r>
            <w:r>
              <w:rPr>
                <w:rFonts w:ascii="Calibri" w:eastAsia="Times New Roman" w:hAnsi="Calibri" w:cs="Calibri"/>
                <w:color w:val="000000"/>
                <w:sz w:val="20"/>
                <w:szCs w:val="20"/>
                <w:lang w:eastAsia="en-AU"/>
              </w:rPr>
              <w:t xml:space="preserve"> %</w:t>
            </w:r>
          </w:p>
        </w:tc>
        <w:tc>
          <w:tcPr>
            <w:tcW w:w="2126" w:type="dxa"/>
          </w:tcPr>
          <w:p w14:paraId="7C601A24" w14:textId="724038D7"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82.5%</w:t>
            </w:r>
          </w:p>
        </w:tc>
      </w:tr>
      <w:tr w:rsidR="00C45D7C" w:rsidRPr="00F42121" w14:paraId="52C03AB4" w14:textId="77777777" w:rsidTr="007C28EC">
        <w:trPr>
          <w:trHeight w:val="260"/>
          <w:tblHeader/>
        </w:trPr>
        <w:tc>
          <w:tcPr>
            <w:tcW w:w="2253" w:type="dxa"/>
          </w:tcPr>
          <w:p w14:paraId="2A319083" w14:textId="77777777"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2018</w:t>
            </w:r>
          </w:p>
        </w:tc>
        <w:tc>
          <w:tcPr>
            <w:tcW w:w="2268" w:type="dxa"/>
          </w:tcPr>
          <w:p w14:paraId="4A81B5ED" w14:textId="5176EA4F"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-2.6 %</w:t>
            </w:r>
          </w:p>
        </w:tc>
        <w:tc>
          <w:tcPr>
            <w:tcW w:w="2127" w:type="dxa"/>
          </w:tcPr>
          <w:p w14:paraId="6D2D11BF" w14:textId="2DBFDEEE"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-1.9 %</w:t>
            </w:r>
          </w:p>
        </w:tc>
        <w:tc>
          <w:tcPr>
            <w:tcW w:w="2126" w:type="dxa"/>
          </w:tcPr>
          <w:p w14:paraId="750EC59E" w14:textId="145272A1"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83.8%</w:t>
            </w:r>
          </w:p>
        </w:tc>
      </w:tr>
      <w:tr w:rsidR="00C45D7C" w:rsidRPr="00F42121" w14:paraId="1FD641D0" w14:textId="77777777" w:rsidTr="007C28EC">
        <w:trPr>
          <w:trHeight w:val="260"/>
          <w:tblHeader/>
        </w:trPr>
        <w:tc>
          <w:tcPr>
            <w:tcW w:w="2253" w:type="dxa"/>
          </w:tcPr>
          <w:p w14:paraId="3398F26B" w14:textId="3B8805AB"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2019</w:t>
            </w:r>
            <w:r w:rsidR="00A43ECE">
              <w:rPr>
                <w:rFonts w:ascii="Calibri" w:eastAsia="Times New Roman" w:hAnsi="Calibri" w:cs="Calibri"/>
                <w:color w:val="000000"/>
                <w:sz w:val="20"/>
                <w:szCs w:val="20"/>
                <w:lang w:eastAsia="en-AU"/>
              </w:rPr>
              <w:t>**</w:t>
            </w:r>
          </w:p>
        </w:tc>
        <w:tc>
          <w:tcPr>
            <w:tcW w:w="2268" w:type="dxa"/>
          </w:tcPr>
          <w:p w14:paraId="0D98C359" w14:textId="319B9A33"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-1.3 %</w:t>
            </w:r>
          </w:p>
        </w:tc>
        <w:tc>
          <w:tcPr>
            <w:tcW w:w="2127" w:type="dxa"/>
          </w:tcPr>
          <w:p w14:paraId="388AE3F5" w14:textId="39BEB44F"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-1.5 %</w:t>
            </w:r>
          </w:p>
        </w:tc>
        <w:tc>
          <w:tcPr>
            <w:tcW w:w="2126" w:type="dxa"/>
          </w:tcPr>
          <w:p w14:paraId="4357F171" w14:textId="294E28F4"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w:t>
            </w:r>
            <w:r w:rsidR="0071574B">
              <w:t>3.6</w:t>
            </w:r>
            <w:r w:rsidRPr="001901FD">
              <w:t>%</w:t>
            </w:r>
          </w:p>
        </w:tc>
      </w:tr>
      <w:tr w:rsidR="00C45D7C" w:rsidRPr="00F42121" w14:paraId="260D480D" w14:textId="77777777" w:rsidTr="007C28EC">
        <w:trPr>
          <w:trHeight w:val="260"/>
          <w:tblHeader/>
        </w:trPr>
        <w:tc>
          <w:tcPr>
            <w:tcW w:w="2253" w:type="dxa"/>
          </w:tcPr>
          <w:p w14:paraId="79A78028" w14:textId="77777777"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2020**</w:t>
            </w:r>
          </w:p>
        </w:tc>
        <w:tc>
          <w:tcPr>
            <w:tcW w:w="2268" w:type="dxa"/>
          </w:tcPr>
          <w:p w14:paraId="29EC7632" w14:textId="48B2FCB5"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1.2 %</w:t>
            </w:r>
          </w:p>
        </w:tc>
        <w:tc>
          <w:tcPr>
            <w:tcW w:w="2127" w:type="dxa"/>
          </w:tcPr>
          <w:p w14:paraId="6F7F12C9" w14:textId="02150689"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1.3 %</w:t>
            </w:r>
          </w:p>
        </w:tc>
        <w:tc>
          <w:tcPr>
            <w:tcW w:w="2126" w:type="dxa"/>
          </w:tcPr>
          <w:p w14:paraId="790092D1" w14:textId="14F38423"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82.8%</w:t>
            </w:r>
          </w:p>
        </w:tc>
      </w:tr>
      <w:tr w:rsidR="00C45D7C" w:rsidRPr="00F42121" w14:paraId="16F9B211" w14:textId="77777777" w:rsidTr="007C28EC">
        <w:trPr>
          <w:trHeight w:val="260"/>
          <w:tblHeader/>
        </w:trPr>
        <w:tc>
          <w:tcPr>
            <w:tcW w:w="2253" w:type="dxa"/>
          </w:tcPr>
          <w:p w14:paraId="1ED3AECD" w14:textId="3D535BEF"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2021**</w:t>
            </w:r>
          </w:p>
        </w:tc>
        <w:tc>
          <w:tcPr>
            <w:tcW w:w="2268" w:type="dxa"/>
          </w:tcPr>
          <w:p w14:paraId="39E5B56E" w14:textId="1C111CEE"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2.3 %</w:t>
            </w:r>
          </w:p>
        </w:tc>
        <w:tc>
          <w:tcPr>
            <w:tcW w:w="2127" w:type="dxa"/>
          </w:tcPr>
          <w:p w14:paraId="3C6E1753" w14:textId="70BA5E67"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5048E1">
              <w:rPr>
                <w:rFonts w:ascii="Calibri" w:eastAsia="Times New Roman" w:hAnsi="Calibri" w:cs="Calibri"/>
                <w:color w:val="000000"/>
                <w:sz w:val="20"/>
                <w:szCs w:val="20"/>
                <w:lang w:eastAsia="en-AU"/>
              </w:rPr>
              <w:t xml:space="preserve">1.2 </w:t>
            </w:r>
            <w:r>
              <w:rPr>
                <w:rFonts w:ascii="Calibri" w:eastAsia="Times New Roman" w:hAnsi="Calibri" w:cs="Calibri"/>
                <w:color w:val="000000"/>
                <w:sz w:val="20"/>
                <w:szCs w:val="20"/>
                <w:lang w:eastAsia="en-AU"/>
              </w:rPr>
              <w:t>%</w:t>
            </w:r>
          </w:p>
        </w:tc>
        <w:tc>
          <w:tcPr>
            <w:tcW w:w="2126" w:type="dxa"/>
          </w:tcPr>
          <w:p w14:paraId="6681A73D" w14:textId="53BB457F" w:rsidR="00C45D7C" w:rsidRDefault="00C45D7C" w:rsidP="00C45D7C">
            <w:pPr>
              <w:spacing w:before="100" w:beforeAutospacing="1" w:after="100" w:afterAutospacing="1" w:line="240" w:lineRule="auto"/>
              <w:jc w:val="center"/>
              <w:rPr>
                <w:rFonts w:ascii="Calibri" w:eastAsia="Times New Roman" w:hAnsi="Calibri" w:cs="Calibri"/>
                <w:color w:val="000000"/>
                <w:sz w:val="20"/>
                <w:szCs w:val="20"/>
                <w:lang w:eastAsia="en-AU"/>
              </w:rPr>
            </w:pPr>
            <w:r w:rsidRPr="001901FD">
              <w:t>81.9%</w:t>
            </w:r>
          </w:p>
        </w:tc>
      </w:tr>
    </w:tbl>
    <w:p w14:paraId="6691D264" w14:textId="77777777" w:rsidR="00A90923" w:rsidRDefault="00A90923" w:rsidP="00A90923">
      <w:pPr>
        <w:pStyle w:val="ListBullet"/>
        <w:numPr>
          <w:ilvl w:val="0"/>
          <w:numId w:val="0"/>
        </w:numPr>
        <w:rPr>
          <w:rFonts w:eastAsia="Times New Roman"/>
          <w:lang w:eastAsia="en-AU"/>
        </w:rPr>
      </w:pPr>
      <w:r>
        <w:rPr>
          <w:rFonts w:eastAsia="Times New Roman"/>
          <w:lang w:eastAsia="en-AU"/>
        </w:rPr>
        <w:t xml:space="preserve">*Excluding WA data for the ‘half-year’ Year 12 cohort effect in </w:t>
      </w:r>
      <w:r w:rsidRPr="00943C6F">
        <w:rPr>
          <w:rFonts w:eastAsia="Times New Roman"/>
          <w:lang w:eastAsia="en-AU"/>
        </w:rPr>
        <w:t>2015</w:t>
      </w:r>
      <w:r>
        <w:rPr>
          <w:rFonts w:eastAsia="Times New Roman"/>
          <w:lang w:eastAsia="en-AU"/>
        </w:rPr>
        <w:t>.</w:t>
      </w:r>
    </w:p>
    <w:p w14:paraId="034144F6" w14:textId="2323642F" w:rsidR="00A90923" w:rsidRPr="00943C6F" w:rsidRDefault="00A90923" w:rsidP="00BA703C">
      <w:pPr>
        <w:pStyle w:val="ListBullet"/>
        <w:numPr>
          <w:ilvl w:val="0"/>
          <w:numId w:val="0"/>
        </w:numPr>
        <w:spacing w:after="0"/>
        <w:rPr>
          <w:rFonts w:eastAsia="Times New Roman"/>
          <w:sz w:val="24"/>
          <w:szCs w:val="24"/>
          <w:lang w:eastAsia="en-AU"/>
        </w:rPr>
      </w:pPr>
      <w:r>
        <w:rPr>
          <w:rFonts w:eastAsia="Times New Roman"/>
          <w:lang w:eastAsia="en-AU"/>
        </w:rPr>
        <w:t>**</w:t>
      </w:r>
      <w:r w:rsidRPr="0067435B">
        <w:t xml:space="preserve"> </w:t>
      </w:r>
      <w:r w:rsidRPr="0067435B">
        <w:rPr>
          <w:rFonts w:eastAsia="Times New Roman"/>
          <w:lang w:eastAsia="en-AU"/>
        </w:rPr>
        <w:t xml:space="preserve">Excluding </w:t>
      </w:r>
      <w:r>
        <w:rPr>
          <w:rFonts w:eastAsia="Times New Roman"/>
          <w:lang w:eastAsia="en-AU"/>
        </w:rPr>
        <w:t xml:space="preserve">Queensland </w:t>
      </w:r>
      <w:r w:rsidRPr="0067435B">
        <w:rPr>
          <w:rFonts w:eastAsia="Times New Roman"/>
          <w:lang w:eastAsia="en-AU"/>
        </w:rPr>
        <w:t xml:space="preserve">data for the </w:t>
      </w:r>
      <w:r>
        <w:rPr>
          <w:rFonts w:eastAsia="Times New Roman"/>
          <w:lang w:eastAsia="en-AU"/>
        </w:rPr>
        <w:t>‘</w:t>
      </w:r>
      <w:r w:rsidRPr="0067435B">
        <w:rPr>
          <w:rFonts w:eastAsia="Times New Roman"/>
          <w:lang w:eastAsia="en-AU"/>
        </w:rPr>
        <w:t xml:space="preserve">half-year’ Year 12 cohort effect in </w:t>
      </w:r>
      <w:r w:rsidRPr="00943C6F">
        <w:rPr>
          <w:rFonts w:eastAsia="Times New Roman"/>
          <w:lang w:eastAsia="en-AU"/>
        </w:rPr>
        <w:t>2020</w:t>
      </w:r>
      <w:r>
        <w:rPr>
          <w:rFonts w:eastAsia="Times New Roman"/>
          <w:lang w:eastAsia="en-AU"/>
        </w:rPr>
        <w:t>.</w:t>
      </w:r>
    </w:p>
    <w:p w14:paraId="79FF43CA" w14:textId="77777777" w:rsidR="00A90923" w:rsidRPr="00C75D49" w:rsidRDefault="00A90923" w:rsidP="00BA703C">
      <w:pPr>
        <w:pStyle w:val="Heading2"/>
        <w:spacing w:before="120"/>
        <w:rPr>
          <w:color w:val="auto"/>
        </w:rPr>
      </w:pPr>
      <w:r w:rsidRPr="00C75D49">
        <w:rPr>
          <w:color w:val="auto"/>
        </w:rPr>
        <w:t>Acceptances and deferrals</w:t>
      </w:r>
    </w:p>
    <w:p w14:paraId="50D8A5F4" w14:textId="56D105D2" w:rsidR="00A90923" w:rsidRPr="00E05745" w:rsidRDefault="00A90923" w:rsidP="00A90923">
      <w:pPr>
        <w:pStyle w:val="ListBullet"/>
        <w:numPr>
          <w:ilvl w:val="0"/>
          <w:numId w:val="21"/>
        </w:numPr>
        <w:spacing w:after="120" w:line="276" w:lineRule="auto"/>
      </w:pPr>
      <w:r w:rsidRPr="00E05745">
        <w:t>There were</w:t>
      </w:r>
      <w:r w:rsidR="008C2534" w:rsidRPr="008C2534">
        <w:t xml:space="preserve"> 165,</w:t>
      </w:r>
      <w:r w:rsidR="00693C11">
        <w:t>675</w:t>
      </w:r>
      <w:r w:rsidR="008C2534" w:rsidRPr="008C2534">
        <w:t xml:space="preserve"> </w:t>
      </w:r>
      <w:r w:rsidRPr="00E05745">
        <w:t xml:space="preserve">applicants who accepted an </w:t>
      </w:r>
      <w:r>
        <w:t>offer in 202</w:t>
      </w:r>
      <w:r w:rsidR="008C2534">
        <w:t>1</w:t>
      </w:r>
      <w:r>
        <w:t xml:space="preserve">, a decrease of </w:t>
      </w:r>
      <w:r w:rsidR="008C2534">
        <w:t>1.</w:t>
      </w:r>
      <w:r w:rsidR="00693C11">
        <w:t>4</w:t>
      </w:r>
      <w:r>
        <w:t xml:space="preserve"> per cent compared with 20</w:t>
      </w:r>
      <w:r w:rsidR="008C2534">
        <w:t>20</w:t>
      </w:r>
      <w:r w:rsidRPr="00E05745">
        <w:t>.</w:t>
      </w:r>
    </w:p>
    <w:p w14:paraId="22635F14" w14:textId="66518FFA" w:rsidR="00A90923" w:rsidRPr="00F02A79" w:rsidRDefault="00A90923" w:rsidP="00A90923">
      <w:pPr>
        <w:pStyle w:val="ListBullet"/>
        <w:numPr>
          <w:ilvl w:val="0"/>
          <w:numId w:val="21"/>
        </w:numPr>
        <w:spacing w:after="120" w:line="276" w:lineRule="auto"/>
      </w:pPr>
      <w:r w:rsidRPr="00E05745">
        <w:t>Of all applic</w:t>
      </w:r>
      <w:r>
        <w:t>ants who received offers in 202</w:t>
      </w:r>
      <w:r w:rsidR="008C2534">
        <w:t>1</w:t>
      </w:r>
      <w:r w:rsidRPr="00E05745">
        <w:t xml:space="preserve">, </w:t>
      </w:r>
      <w:r w:rsidRPr="00080B26">
        <w:t>1</w:t>
      </w:r>
      <w:r w:rsidR="008C2534">
        <w:t>3,9</w:t>
      </w:r>
      <w:r w:rsidR="00693C11">
        <w:t>99</w:t>
      </w:r>
      <w:r w:rsidRPr="00080B26">
        <w:t xml:space="preserve"> </w:t>
      </w:r>
      <w:r>
        <w:t xml:space="preserve">or </w:t>
      </w:r>
      <w:r w:rsidR="008C2534">
        <w:t>8.</w:t>
      </w:r>
      <w:r w:rsidR="00693C11">
        <w:t>4</w:t>
      </w:r>
      <w:r w:rsidR="007756C0">
        <w:t xml:space="preserve"> per cent</w:t>
      </w:r>
      <w:r w:rsidRPr="00E05745">
        <w:t xml:space="preserve"> deferred their offer, </w:t>
      </w:r>
      <w:r w:rsidR="008C2534">
        <w:t xml:space="preserve">much </w:t>
      </w:r>
      <w:r w:rsidR="008C2534" w:rsidRPr="00F02A79">
        <w:t>lower</w:t>
      </w:r>
      <w:r w:rsidRPr="00F02A79">
        <w:t xml:space="preserve"> than the deferral rate of 1</w:t>
      </w:r>
      <w:r w:rsidR="008C2534" w:rsidRPr="00F02A79">
        <w:t>1</w:t>
      </w:r>
      <w:r w:rsidRPr="00F02A79">
        <w:t>.</w:t>
      </w:r>
      <w:r w:rsidR="00693C11" w:rsidRPr="00F02A79">
        <w:t>3</w:t>
      </w:r>
      <w:r w:rsidR="007756C0" w:rsidRPr="00F02A79">
        <w:t xml:space="preserve"> per cent</w:t>
      </w:r>
      <w:r w:rsidRPr="00F02A79">
        <w:t xml:space="preserve"> in 20</w:t>
      </w:r>
      <w:r w:rsidR="008C2534" w:rsidRPr="00F02A79">
        <w:t>20</w:t>
      </w:r>
      <w:r w:rsidR="007E6F60" w:rsidRPr="00F02A79">
        <w:t xml:space="preserve">. </w:t>
      </w:r>
      <w:r w:rsidR="00E61DBC">
        <w:t xml:space="preserve">The lower rate of deferrals is most likely related to the downturn in labour market conditions associated with the COVID-19 pandemic. With fewer job opportunities available, applicants are more likely to proceed to study and less likely to defer their offer. </w:t>
      </w:r>
      <w:bookmarkStart w:id="9" w:name="_Toc12955275"/>
      <w:r w:rsidR="00D22F63">
        <w:t>Also, COVID-19 restrictions on mobility limiting the ability to undertake travel or undertake a gap year may also have contributed to a lower rate of deferrals.</w:t>
      </w:r>
    </w:p>
    <w:p w14:paraId="2048DCD4" w14:textId="77777777" w:rsidR="00A90923" w:rsidRPr="00C75D49" w:rsidRDefault="00A90923" w:rsidP="00A90923">
      <w:pPr>
        <w:pStyle w:val="Heading2"/>
        <w:rPr>
          <w:color w:val="auto"/>
        </w:rPr>
      </w:pPr>
      <w:r w:rsidRPr="00C75D49">
        <w:rPr>
          <w:color w:val="auto"/>
        </w:rPr>
        <w:lastRenderedPageBreak/>
        <w:t>Breakdown by key factors</w:t>
      </w:r>
      <w:bookmarkEnd w:id="9"/>
    </w:p>
    <w:p w14:paraId="264C8563" w14:textId="77777777" w:rsidR="00A90923" w:rsidRPr="002D444C" w:rsidRDefault="00A90923" w:rsidP="00A90923">
      <w:pPr>
        <w:pStyle w:val="Heading3"/>
        <w:rPr>
          <w:b/>
          <w:color w:val="auto"/>
        </w:rPr>
      </w:pPr>
      <w:bookmarkStart w:id="10" w:name="_Toc12955276"/>
      <w:r w:rsidRPr="002D444C">
        <w:rPr>
          <w:b/>
          <w:color w:val="auto"/>
        </w:rPr>
        <w:t>State and territory</w:t>
      </w:r>
      <w:bookmarkEnd w:id="10"/>
    </w:p>
    <w:p w14:paraId="60A5EEAB" w14:textId="65E9FC9D" w:rsidR="00A90923" w:rsidRDefault="00A90923" w:rsidP="00A90923">
      <w:pPr>
        <w:pStyle w:val="ListBullet"/>
        <w:numPr>
          <w:ilvl w:val="0"/>
          <w:numId w:val="21"/>
        </w:numPr>
        <w:spacing w:after="120" w:line="276" w:lineRule="auto"/>
      </w:pPr>
      <w:r>
        <w:t xml:space="preserve">Except </w:t>
      </w:r>
      <w:r w:rsidR="00F97E55">
        <w:t>Tasmania</w:t>
      </w:r>
      <w:r>
        <w:t xml:space="preserve"> (-</w:t>
      </w:r>
      <w:r w:rsidR="00F97E55">
        <w:t>13.8</w:t>
      </w:r>
      <w:r w:rsidR="007756C0">
        <w:t xml:space="preserve"> per cent</w:t>
      </w:r>
      <w:r>
        <w:t>)</w:t>
      </w:r>
      <w:r w:rsidR="00F97E55">
        <w:t>, South Australia</w:t>
      </w:r>
      <w:r>
        <w:t xml:space="preserve"> </w:t>
      </w:r>
      <w:r w:rsidR="00F97E55">
        <w:t xml:space="preserve">(-3.1 per cent) </w:t>
      </w:r>
      <w:r>
        <w:t>and Victoria (-</w:t>
      </w:r>
      <w:r w:rsidR="00F97E55">
        <w:t>0.6</w:t>
      </w:r>
      <w:r w:rsidR="007756C0">
        <w:t xml:space="preserve"> per cent</w:t>
      </w:r>
      <w:r>
        <w:t>), all states and territories recorded an increase in applications.</w:t>
      </w:r>
      <w:r w:rsidRPr="0097569C">
        <w:t xml:space="preserve"> </w:t>
      </w:r>
      <w:r w:rsidR="00F97E55">
        <w:t>Queensland</w:t>
      </w:r>
      <w:r>
        <w:t xml:space="preserve"> recorded the largest increase (</w:t>
      </w:r>
      <w:r w:rsidR="00F97E55">
        <w:t>10.6</w:t>
      </w:r>
      <w:r w:rsidR="007756C0">
        <w:t xml:space="preserve"> per cent</w:t>
      </w:r>
      <w:r>
        <w:t xml:space="preserve">), followed by </w:t>
      </w:r>
      <w:r w:rsidR="00F97E55">
        <w:t>the ACT</w:t>
      </w:r>
      <w:r>
        <w:t xml:space="preserve"> (</w:t>
      </w:r>
      <w:r w:rsidR="00F97E55">
        <w:t>6.3</w:t>
      </w:r>
      <w:r>
        <w:t xml:space="preserve"> per cent), </w:t>
      </w:r>
      <w:r w:rsidR="00F97E55">
        <w:t>NSW</w:t>
      </w:r>
      <w:r w:rsidRPr="0097569C">
        <w:t xml:space="preserve"> </w:t>
      </w:r>
      <w:r>
        <w:t>(4.</w:t>
      </w:r>
      <w:r w:rsidR="00F97E55">
        <w:t>1</w:t>
      </w:r>
      <w:r>
        <w:t> per cent), Northern Territory (</w:t>
      </w:r>
      <w:r w:rsidR="00F97E55">
        <w:t>3.6</w:t>
      </w:r>
      <w:r>
        <w:t xml:space="preserve"> per cent)</w:t>
      </w:r>
      <w:r w:rsidR="00F97E55">
        <w:t xml:space="preserve"> and </w:t>
      </w:r>
      <w:r>
        <w:t>Western Australia (</w:t>
      </w:r>
      <w:r w:rsidR="00F97E55">
        <w:t>3.1</w:t>
      </w:r>
      <w:r>
        <w:t> per cent)</w:t>
      </w:r>
      <w:r w:rsidR="00F20069">
        <w:t xml:space="preserve">. </w:t>
      </w:r>
    </w:p>
    <w:p w14:paraId="58C20FCE" w14:textId="673AC868" w:rsidR="00A90923" w:rsidRDefault="00A90923" w:rsidP="00A90923">
      <w:pPr>
        <w:pStyle w:val="ListBullet"/>
        <w:numPr>
          <w:ilvl w:val="0"/>
          <w:numId w:val="21"/>
        </w:numPr>
        <w:spacing w:after="120" w:line="276" w:lineRule="auto"/>
      </w:pPr>
      <w:r>
        <w:t>Compared to 20</w:t>
      </w:r>
      <w:r w:rsidR="00F20069">
        <w:t>2</w:t>
      </w:r>
      <w:r w:rsidR="00432FA7">
        <w:t>0</w:t>
      </w:r>
      <w:r>
        <w:t xml:space="preserve">, the following </w:t>
      </w:r>
      <w:r w:rsidRPr="00A66EA4">
        <w:t>states</w:t>
      </w:r>
      <w:r>
        <w:t xml:space="preserve"> and territories</w:t>
      </w:r>
      <w:r w:rsidRPr="00A66EA4">
        <w:t xml:space="preserve"> recorded </w:t>
      </w:r>
      <w:r w:rsidR="00D22F63">
        <w:t>a decrease</w:t>
      </w:r>
      <w:r w:rsidRPr="00A66EA4">
        <w:t xml:space="preserve"> in offers</w:t>
      </w:r>
      <w:r>
        <w:t xml:space="preserve">, </w:t>
      </w:r>
      <w:r w:rsidR="00432FA7">
        <w:t>Tasmania</w:t>
      </w:r>
      <w:r>
        <w:t xml:space="preserve"> (</w:t>
      </w:r>
      <w:r w:rsidR="00432FA7">
        <w:t>-10.0</w:t>
      </w:r>
      <w:r>
        <w:t xml:space="preserve"> per cent</w:t>
      </w:r>
      <w:r w:rsidRPr="00A66EA4">
        <w:t xml:space="preserve">), </w:t>
      </w:r>
      <w:r w:rsidR="00432FA7">
        <w:t>SA</w:t>
      </w:r>
      <w:r>
        <w:t xml:space="preserve"> (-</w:t>
      </w:r>
      <w:r w:rsidR="00432FA7">
        <w:t>2.</w:t>
      </w:r>
      <w:r w:rsidR="00693C11">
        <w:t>7</w:t>
      </w:r>
      <w:r>
        <w:t xml:space="preserve"> per cent), </w:t>
      </w:r>
      <w:r w:rsidR="00432FA7">
        <w:t>Victoria</w:t>
      </w:r>
      <w:r>
        <w:t xml:space="preserve"> (-</w:t>
      </w:r>
      <w:r w:rsidR="00432FA7">
        <w:t>2.2</w:t>
      </w:r>
      <w:r>
        <w:t xml:space="preserve"> per cent)</w:t>
      </w:r>
      <w:r w:rsidR="00432FA7">
        <w:t>,</w:t>
      </w:r>
      <w:r>
        <w:t xml:space="preserve"> and </w:t>
      </w:r>
      <w:r w:rsidR="00432FA7">
        <w:t>W</w:t>
      </w:r>
      <w:r>
        <w:t>A (-</w:t>
      </w:r>
      <w:r w:rsidR="00432FA7">
        <w:t>2.</w:t>
      </w:r>
      <w:r w:rsidR="00693C11">
        <w:t>0</w:t>
      </w:r>
      <w:r>
        <w:t> per cent)</w:t>
      </w:r>
      <w:r w:rsidR="00432FA7">
        <w:t xml:space="preserve"> and NT (-0.</w:t>
      </w:r>
      <w:r w:rsidR="00693C11">
        <w:t>9</w:t>
      </w:r>
      <w:r w:rsidR="00432FA7">
        <w:t xml:space="preserve"> per cent). </w:t>
      </w:r>
      <w:r w:rsidR="00E21E3C">
        <w:t xml:space="preserve">Queensland </w:t>
      </w:r>
      <w:r>
        <w:t>(</w:t>
      </w:r>
      <w:r w:rsidR="00E21E3C">
        <w:t>10.7</w:t>
      </w:r>
      <w:r>
        <w:t xml:space="preserve"> per cent), </w:t>
      </w:r>
      <w:r w:rsidR="00E21E3C">
        <w:t>the ACT</w:t>
      </w:r>
      <w:r>
        <w:t xml:space="preserve"> </w:t>
      </w:r>
      <w:r w:rsidR="00E21E3C">
        <w:t>(5.</w:t>
      </w:r>
      <w:r w:rsidR="00693C11">
        <w:t>4</w:t>
      </w:r>
      <w:r w:rsidR="00E21E3C">
        <w:t xml:space="preserve"> </w:t>
      </w:r>
      <w:r w:rsidRPr="0086202C">
        <w:t>per cent)</w:t>
      </w:r>
      <w:r w:rsidR="00E21E3C">
        <w:t xml:space="preserve"> and NSW</w:t>
      </w:r>
      <w:r>
        <w:t xml:space="preserve"> (</w:t>
      </w:r>
      <w:r w:rsidR="00E21E3C">
        <w:t>2.9</w:t>
      </w:r>
      <w:r>
        <w:t xml:space="preserve"> per cent</w:t>
      </w:r>
      <w:r w:rsidR="00E21E3C">
        <w:t xml:space="preserve"> </w:t>
      </w:r>
      <w:r>
        <w:t xml:space="preserve">recorded </w:t>
      </w:r>
      <w:r w:rsidR="00D22F63">
        <w:t>an increase</w:t>
      </w:r>
      <w:r>
        <w:t xml:space="preserve"> in offers.</w:t>
      </w:r>
    </w:p>
    <w:p w14:paraId="27E52B14" w14:textId="6DEF687A" w:rsidR="00A90923" w:rsidRDefault="00A90923" w:rsidP="00A90923">
      <w:pPr>
        <w:pStyle w:val="ListBullet"/>
        <w:numPr>
          <w:ilvl w:val="0"/>
          <w:numId w:val="21"/>
        </w:numPr>
        <w:spacing w:after="120" w:line="276" w:lineRule="auto"/>
      </w:pPr>
      <w:r>
        <w:t>The offer rate in 202</w:t>
      </w:r>
      <w:r w:rsidR="00A1478B">
        <w:t>1</w:t>
      </w:r>
      <w:r>
        <w:t xml:space="preserve"> was 8</w:t>
      </w:r>
      <w:r w:rsidR="00A1478B">
        <w:t>1.9</w:t>
      </w:r>
      <w:r>
        <w:t xml:space="preserve"> per cent, a decrease of </w:t>
      </w:r>
      <w:r w:rsidR="00A1478B">
        <w:t>0.9</w:t>
      </w:r>
      <w:r>
        <w:t xml:space="preserve"> percentage points from the previous year. Tasmania recorded the highest offer rate, </w:t>
      </w:r>
      <w:r w:rsidR="00A1478B">
        <w:t>93.</w:t>
      </w:r>
      <w:r w:rsidR="00693C11">
        <w:t>4</w:t>
      </w:r>
      <w:r>
        <w:t xml:space="preserve"> per cent, while on the other hand </w:t>
      </w:r>
      <w:r w:rsidR="00A1478B">
        <w:t>WA</w:t>
      </w:r>
      <w:r>
        <w:t xml:space="preserve"> recorded the lowest offer rate, 7</w:t>
      </w:r>
      <w:r w:rsidR="00A1478B">
        <w:t>4</w:t>
      </w:r>
      <w:r>
        <w:t>.</w:t>
      </w:r>
      <w:r w:rsidR="00A1478B">
        <w:t>6</w:t>
      </w:r>
      <w:r>
        <w:t> per cent, in 202</w:t>
      </w:r>
      <w:r w:rsidR="00A1478B">
        <w:t>1</w:t>
      </w:r>
      <w:r>
        <w:t xml:space="preserve">. </w:t>
      </w:r>
    </w:p>
    <w:p w14:paraId="1DB25E8E" w14:textId="74877EDB" w:rsidR="00A90923" w:rsidRPr="00736EB8" w:rsidRDefault="00A90923" w:rsidP="00A90923">
      <w:pPr>
        <w:pStyle w:val="ListBullet"/>
        <w:numPr>
          <w:ilvl w:val="0"/>
          <w:numId w:val="21"/>
        </w:numPr>
        <w:spacing w:after="120" w:line="276" w:lineRule="auto"/>
      </w:pPr>
      <w:r w:rsidRPr="00736EB8">
        <w:t xml:space="preserve">Offer rates decreased in </w:t>
      </w:r>
      <w:r w:rsidR="00730DBE">
        <w:t>WA</w:t>
      </w:r>
      <w:r w:rsidR="00D92192">
        <w:t xml:space="preserve"> (-</w:t>
      </w:r>
      <w:r w:rsidR="00730DBE">
        <w:t>3.9</w:t>
      </w:r>
      <w:bookmarkStart w:id="11" w:name="_Hlk77586151"/>
      <w:r w:rsidR="00730DBE">
        <w:t xml:space="preserve"> </w:t>
      </w:r>
      <w:r w:rsidRPr="00736EB8">
        <w:t>percentage points</w:t>
      </w:r>
      <w:bookmarkEnd w:id="11"/>
      <w:r w:rsidRPr="00736EB8">
        <w:t>)</w:t>
      </w:r>
      <w:r w:rsidR="00D92192">
        <w:t>,</w:t>
      </w:r>
      <w:r w:rsidR="00EF4B26">
        <w:t xml:space="preserve"> followed by Victoria (-1.2</w:t>
      </w:r>
      <w:r w:rsidR="00EF4B26" w:rsidRPr="00EF4B26">
        <w:t xml:space="preserve"> percentage points</w:t>
      </w:r>
      <w:r w:rsidR="00EF4B26">
        <w:t xml:space="preserve">), NSW (-1.0 </w:t>
      </w:r>
      <w:r w:rsidR="00EF4B26" w:rsidRPr="00EF4B26">
        <w:t>percentage points</w:t>
      </w:r>
      <w:r w:rsidR="00EF4B26">
        <w:t xml:space="preserve">) and the ACT </w:t>
      </w:r>
      <w:r w:rsidR="00EF4B26" w:rsidRPr="00EF4B26">
        <w:t>(-</w:t>
      </w:r>
      <w:r w:rsidR="00EF4B26">
        <w:t>0.</w:t>
      </w:r>
      <w:r w:rsidR="00693C11">
        <w:t>7</w:t>
      </w:r>
      <w:r w:rsidR="00EF4B26" w:rsidRPr="00EF4B26">
        <w:t xml:space="preserve"> percentage points</w:t>
      </w:r>
      <w:r w:rsidR="00EF4B26">
        <w:t>)</w:t>
      </w:r>
      <w:r>
        <w:t xml:space="preserve"> in 202</w:t>
      </w:r>
      <w:r w:rsidR="00EF4B26">
        <w:t>1</w:t>
      </w:r>
      <w:r w:rsidRPr="00736EB8">
        <w:t xml:space="preserve">. </w:t>
      </w:r>
      <w:r w:rsidR="00EF4B26">
        <w:t>On the other hand, Tasmania</w:t>
      </w:r>
      <w:r w:rsidRPr="00736EB8">
        <w:t xml:space="preserve"> </w:t>
      </w:r>
      <w:r>
        <w:t xml:space="preserve">recorded the largest </w:t>
      </w:r>
      <w:r w:rsidR="00EF4B26">
        <w:t>in</w:t>
      </w:r>
      <w:r>
        <w:t xml:space="preserve">crease in offer rate </w:t>
      </w:r>
      <w:r w:rsidRPr="00736EB8">
        <w:t>(4.</w:t>
      </w:r>
      <w:r w:rsidR="00EF4B26">
        <w:t>0</w:t>
      </w:r>
      <w:r w:rsidRPr="00736EB8">
        <w:t xml:space="preserve"> percentage points),</w:t>
      </w:r>
      <w:r>
        <w:t xml:space="preserve"> followed by</w:t>
      </w:r>
      <w:r w:rsidRPr="00736EB8">
        <w:t xml:space="preserve"> </w:t>
      </w:r>
      <w:r w:rsidR="00EF4B26">
        <w:t>SA</w:t>
      </w:r>
      <w:r w:rsidRPr="00736EB8">
        <w:t xml:space="preserve"> (</w:t>
      </w:r>
      <w:r w:rsidR="00EF4B26">
        <w:t>0.4</w:t>
      </w:r>
      <w:r w:rsidRPr="00736EB8">
        <w:t xml:space="preserve"> percentage points)</w:t>
      </w:r>
      <w:r w:rsidR="00EF4B26">
        <w:t xml:space="preserve"> and</w:t>
      </w:r>
      <w:r w:rsidRPr="00736EB8">
        <w:t xml:space="preserve"> </w:t>
      </w:r>
      <w:r w:rsidR="00EF4B26">
        <w:t>Queensland</w:t>
      </w:r>
      <w:r w:rsidRPr="00736EB8">
        <w:t xml:space="preserve"> (</w:t>
      </w:r>
      <w:r w:rsidR="00EF4B26">
        <w:t>0.1</w:t>
      </w:r>
      <w:r w:rsidRPr="00736EB8">
        <w:t> percentage points)</w:t>
      </w:r>
      <w:r w:rsidR="00EF4B26">
        <w:t>.</w:t>
      </w:r>
      <w:r w:rsidRPr="00736EB8">
        <w:t xml:space="preserve"> </w:t>
      </w:r>
    </w:p>
    <w:p w14:paraId="5EE24194" w14:textId="77777777" w:rsidR="00A90923" w:rsidRPr="002D444C" w:rsidRDefault="00A90923" w:rsidP="00A90923">
      <w:pPr>
        <w:pStyle w:val="Heading3"/>
        <w:rPr>
          <w:b/>
          <w:color w:val="auto"/>
        </w:rPr>
      </w:pPr>
      <w:bookmarkStart w:id="12" w:name="_Toc12955277"/>
      <w:r w:rsidRPr="002D444C">
        <w:rPr>
          <w:b/>
          <w:color w:val="auto"/>
        </w:rPr>
        <w:t>Year 12 and Non-Year 12 applicants</w:t>
      </w:r>
      <w:bookmarkEnd w:id="12"/>
    </w:p>
    <w:p w14:paraId="28FABC5C" w14:textId="2529BB1E" w:rsidR="00A90923" w:rsidRDefault="00A90923" w:rsidP="00A90923">
      <w:pPr>
        <w:pStyle w:val="ListBullet"/>
        <w:numPr>
          <w:ilvl w:val="0"/>
          <w:numId w:val="21"/>
        </w:numPr>
        <w:spacing w:after="120" w:line="276" w:lineRule="auto"/>
      </w:pPr>
      <w:r w:rsidRPr="00AC1937">
        <w:t>N</w:t>
      </w:r>
      <w:r>
        <w:t xml:space="preserve">ationally, Year 12 applicants </w:t>
      </w:r>
      <w:r w:rsidR="008E36A6">
        <w:t>de</w:t>
      </w:r>
      <w:r w:rsidRPr="00AC1937">
        <w:t xml:space="preserve">creased by </w:t>
      </w:r>
      <w:r w:rsidR="008E36A6">
        <w:t>5.</w:t>
      </w:r>
      <w:r w:rsidR="0012081E">
        <w:t xml:space="preserve">6 </w:t>
      </w:r>
      <w:r>
        <w:t>per cent</w:t>
      </w:r>
      <w:r w:rsidRPr="00AC1937">
        <w:t xml:space="preserve"> </w:t>
      </w:r>
      <w:r>
        <w:t>in 202</w:t>
      </w:r>
      <w:r w:rsidR="008E36A6">
        <w:t>1</w:t>
      </w:r>
      <w:r>
        <w:t xml:space="preserve"> while the number of non-Year 12 applicants increased by </w:t>
      </w:r>
      <w:r w:rsidR="008E36A6">
        <w:t>7</w:t>
      </w:r>
      <w:r>
        <w:t>.</w:t>
      </w:r>
      <w:r w:rsidR="0012081E">
        <w:t>2</w:t>
      </w:r>
      <w:r>
        <w:t> per cent.</w:t>
      </w:r>
    </w:p>
    <w:p w14:paraId="3618D6FC" w14:textId="42A0CB02" w:rsidR="00A90923" w:rsidRPr="004F2B5D" w:rsidRDefault="00A90923" w:rsidP="00A90923">
      <w:pPr>
        <w:pStyle w:val="ListBullet"/>
        <w:numPr>
          <w:ilvl w:val="0"/>
          <w:numId w:val="21"/>
        </w:numPr>
        <w:spacing w:after="120" w:line="276" w:lineRule="auto"/>
      </w:pPr>
      <w:r w:rsidRPr="004F2B5D">
        <w:t>Nationally, Year 12 applications represent</w:t>
      </w:r>
      <w:r>
        <w:t>ed 3</w:t>
      </w:r>
      <w:r w:rsidR="008E36A6">
        <w:t>5</w:t>
      </w:r>
      <w:r>
        <w:t>.</w:t>
      </w:r>
      <w:r w:rsidR="008E36A6">
        <w:t>1</w:t>
      </w:r>
      <w:r>
        <w:t> per cent of total applications</w:t>
      </w:r>
      <w:r w:rsidRPr="004F2B5D">
        <w:t>.</w:t>
      </w:r>
    </w:p>
    <w:p w14:paraId="71FC58E9" w14:textId="3F0C5EBD" w:rsidR="00A90923" w:rsidRDefault="00A90923" w:rsidP="00A90923">
      <w:pPr>
        <w:pStyle w:val="ListBullet"/>
        <w:numPr>
          <w:ilvl w:val="0"/>
          <w:numId w:val="21"/>
        </w:numPr>
        <w:spacing w:after="120" w:line="276" w:lineRule="auto"/>
      </w:pPr>
      <w:r>
        <w:t xml:space="preserve">The number of offers to Year 12 applicants </w:t>
      </w:r>
      <w:r w:rsidR="008E36A6">
        <w:t>de</w:t>
      </w:r>
      <w:r>
        <w:t xml:space="preserve">creased by </w:t>
      </w:r>
      <w:r w:rsidR="008E36A6">
        <w:t>6.</w:t>
      </w:r>
      <w:r w:rsidR="0012081E">
        <w:t>0</w:t>
      </w:r>
      <w:r>
        <w:t xml:space="preserve"> per cent while the number of offers to non-Year 12 applicants increased by </w:t>
      </w:r>
      <w:r w:rsidR="008E36A6">
        <w:t>6.</w:t>
      </w:r>
      <w:r w:rsidR="0012081E">
        <w:t>1</w:t>
      </w:r>
      <w:r w:rsidR="008E36A6">
        <w:t xml:space="preserve"> per cent.</w:t>
      </w:r>
    </w:p>
    <w:p w14:paraId="78EBDAE7" w14:textId="5862B98F" w:rsidR="00A90923" w:rsidRDefault="00A90923" w:rsidP="00A90923">
      <w:pPr>
        <w:pStyle w:val="ListBullet"/>
        <w:numPr>
          <w:ilvl w:val="0"/>
          <w:numId w:val="21"/>
        </w:numPr>
        <w:spacing w:after="120" w:line="276" w:lineRule="auto"/>
      </w:pPr>
      <w:r>
        <w:t xml:space="preserve">Nationally, Year 12 offers represented </w:t>
      </w:r>
      <w:r w:rsidR="008E36A6">
        <w:t>37</w:t>
      </w:r>
      <w:r>
        <w:t>.</w:t>
      </w:r>
      <w:r w:rsidR="0012081E">
        <w:t>9</w:t>
      </w:r>
      <w:r>
        <w:t> per cent of total offers.</w:t>
      </w:r>
    </w:p>
    <w:p w14:paraId="0B39BE4A" w14:textId="60B08FF8" w:rsidR="00A90923" w:rsidRDefault="00A90923" w:rsidP="00A90923">
      <w:pPr>
        <w:pStyle w:val="ListBullet"/>
        <w:numPr>
          <w:ilvl w:val="0"/>
          <w:numId w:val="21"/>
        </w:numPr>
        <w:spacing w:after="120" w:line="276" w:lineRule="auto"/>
      </w:pPr>
      <w:r w:rsidRPr="00AC1937">
        <w:t>The offer rate</w:t>
      </w:r>
      <w:r>
        <w:t xml:space="preserve"> for Year 12 applicants was 88.</w:t>
      </w:r>
      <w:r w:rsidR="0012081E">
        <w:t>3</w:t>
      </w:r>
      <w:r>
        <w:t xml:space="preserve"> per cent </w:t>
      </w:r>
      <w:r w:rsidRPr="00AC1937">
        <w:t xml:space="preserve">which was higher than the offer rate of </w:t>
      </w:r>
      <w:r>
        <w:t>7</w:t>
      </w:r>
      <w:r w:rsidR="008E36A6">
        <w:t>8.4</w:t>
      </w:r>
      <w:r>
        <w:t> per cent</w:t>
      </w:r>
      <w:r w:rsidRPr="00AC1937">
        <w:t xml:space="preserve"> for non-Year 12 applicants</w:t>
      </w:r>
      <w:r w:rsidRPr="0098521D">
        <w:t xml:space="preserve">. </w:t>
      </w:r>
    </w:p>
    <w:p w14:paraId="4145E5CA" w14:textId="77777777" w:rsidR="00A90923" w:rsidRPr="002D444C" w:rsidRDefault="00A90923" w:rsidP="00A90923">
      <w:pPr>
        <w:pStyle w:val="Heading3"/>
        <w:rPr>
          <w:b/>
          <w:color w:val="auto"/>
        </w:rPr>
      </w:pPr>
      <w:bookmarkStart w:id="13" w:name="_Toc12955278"/>
      <w:r w:rsidRPr="002D444C">
        <w:rPr>
          <w:b/>
          <w:color w:val="auto"/>
        </w:rPr>
        <w:t>Field of education</w:t>
      </w:r>
      <w:bookmarkEnd w:id="13"/>
    </w:p>
    <w:p w14:paraId="318D461C" w14:textId="10E72789" w:rsidR="00A90923" w:rsidRDefault="00A90923" w:rsidP="00A90923">
      <w:pPr>
        <w:pStyle w:val="ListBullet"/>
        <w:numPr>
          <w:ilvl w:val="0"/>
          <w:numId w:val="21"/>
        </w:numPr>
        <w:spacing w:after="120" w:line="276" w:lineRule="auto"/>
      </w:pPr>
      <w:r w:rsidRPr="00E24093">
        <w:t>Nationally, the most popular broad field of education (in terms of</w:t>
      </w:r>
      <w:r>
        <w:t xml:space="preserve"> the number of applications) in 202</w:t>
      </w:r>
      <w:r w:rsidR="006729A8">
        <w:t>1</w:t>
      </w:r>
      <w:r w:rsidRPr="00E24093">
        <w:t xml:space="preserve"> was Health </w:t>
      </w:r>
      <w:r w:rsidR="006729A8">
        <w:t>(</w:t>
      </w:r>
      <w:r w:rsidR="0012081E">
        <w:t>84,071</w:t>
      </w:r>
      <w:r w:rsidR="006729A8" w:rsidRPr="006729A8">
        <w:t xml:space="preserve"> </w:t>
      </w:r>
      <w:r>
        <w:t>applicants or 2</w:t>
      </w:r>
      <w:r w:rsidR="006729A8">
        <w:t>8.</w:t>
      </w:r>
      <w:r w:rsidR="0012081E">
        <w:t>5</w:t>
      </w:r>
      <w:r>
        <w:t> per cent of all applicants</w:t>
      </w:r>
      <w:r w:rsidRPr="00E24093">
        <w:t>). This was followe</w:t>
      </w:r>
      <w:r>
        <w:t>d by Society and Culture (</w:t>
      </w:r>
      <w:r w:rsidR="006729A8" w:rsidRPr="006729A8">
        <w:t>70,</w:t>
      </w:r>
      <w:r w:rsidR="0012081E">
        <w:t>471</w:t>
      </w:r>
      <w:r w:rsidR="006729A8" w:rsidRPr="006729A8">
        <w:t xml:space="preserve"> </w:t>
      </w:r>
      <w:r w:rsidRPr="00A235E2">
        <w:t>a</w:t>
      </w:r>
      <w:r w:rsidRPr="00E24093">
        <w:t>pp</w:t>
      </w:r>
      <w:r>
        <w:t>licants or 2</w:t>
      </w:r>
      <w:r w:rsidR="006729A8">
        <w:t xml:space="preserve">3.9 </w:t>
      </w:r>
      <w:r>
        <w:t>per cent</w:t>
      </w:r>
      <w:r w:rsidRPr="00E24093">
        <w:t>) and Management a</w:t>
      </w:r>
      <w:r>
        <w:t>nd Commerce (</w:t>
      </w:r>
      <w:r w:rsidR="006729A8" w:rsidRPr="006729A8">
        <w:t>29,9</w:t>
      </w:r>
      <w:r w:rsidR="0012081E">
        <w:t>84</w:t>
      </w:r>
      <w:r w:rsidR="006729A8" w:rsidRPr="006729A8">
        <w:t xml:space="preserve"> </w:t>
      </w:r>
      <w:r w:rsidRPr="00A235E2">
        <w:t>a</w:t>
      </w:r>
      <w:r>
        <w:t>pplicants or 1</w:t>
      </w:r>
      <w:r w:rsidR="006729A8">
        <w:t>0.2</w:t>
      </w:r>
      <w:r>
        <w:t> per cent</w:t>
      </w:r>
      <w:r w:rsidRPr="00E24093">
        <w:t>).</w:t>
      </w:r>
    </w:p>
    <w:p w14:paraId="13C75DD7" w14:textId="3D8CD2BE" w:rsidR="00A90923" w:rsidRDefault="00A90923" w:rsidP="00A90923">
      <w:pPr>
        <w:pStyle w:val="ListBullet"/>
        <w:numPr>
          <w:ilvl w:val="0"/>
          <w:numId w:val="21"/>
        </w:numPr>
        <w:spacing w:after="120" w:line="276" w:lineRule="auto"/>
      </w:pPr>
      <w:r w:rsidRPr="00AC1937">
        <w:t>Fields of education that recorded stronges</w:t>
      </w:r>
      <w:r>
        <w:t>t growth in applications in 202</w:t>
      </w:r>
      <w:r w:rsidR="007D250D">
        <w:t>1</w:t>
      </w:r>
      <w:r>
        <w:t xml:space="preserve"> </w:t>
      </w:r>
      <w:r w:rsidRPr="00AC1937">
        <w:t>were</w:t>
      </w:r>
      <w:r w:rsidRPr="00692EAB">
        <w:t xml:space="preserve"> </w:t>
      </w:r>
      <w:r w:rsidR="009B6046">
        <w:t>Health (12.</w:t>
      </w:r>
      <w:r w:rsidR="0012081E">
        <w:t>6</w:t>
      </w:r>
      <w:r w:rsidR="009B6046">
        <w:t xml:space="preserve"> per cent), followed by </w:t>
      </w:r>
      <w:r w:rsidRPr="00AD749D">
        <w:t xml:space="preserve">Agriculture, Environmental and Related Studies </w:t>
      </w:r>
      <w:r>
        <w:t>(</w:t>
      </w:r>
      <w:r w:rsidR="009B6046">
        <w:t>7.</w:t>
      </w:r>
      <w:r w:rsidR="0012081E">
        <w:t>3</w:t>
      </w:r>
      <w:r>
        <w:t> per cent</w:t>
      </w:r>
      <w:r w:rsidR="0012081E">
        <w:t>),</w:t>
      </w:r>
      <w:r w:rsidR="0012081E" w:rsidRPr="0012081E">
        <w:t xml:space="preserve"> </w:t>
      </w:r>
      <w:r w:rsidR="0012081E">
        <w:t xml:space="preserve">Information Technology (2.2 per cent), </w:t>
      </w:r>
      <w:r w:rsidR="009B6046" w:rsidRPr="009B6046">
        <w:t>Engineering and Related Technologies (</w:t>
      </w:r>
      <w:r w:rsidR="009B6046">
        <w:t>2.</w:t>
      </w:r>
      <w:r w:rsidR="0012081E">
        <w:t>0</w:t>
      </w:r>
      <w:r w:rsidR="009B6046" w:rsidRPr="009B6046">
        <w:t xml:space="preserve"> per cent</w:t>
      </w:r>
      <w:r w:rsidR="009B6046">
        <w:t xml:space="preserve">), and </w:t>
      </w:r>
      <w:r>
        <w:t>Society and Culture (</w:t>
      </w:r>
      <w:r w:rsidR="009B6046">
        <w:t>1.</w:t>
      </w:r>
      <w:r w:rsidR="0012081E">
        <w:t>2</w:t>
      </w:r>
      <w:r>
        <w:t xml:space="preserve"> per cent)</w:t>
      </w:r>
      <w:r w:rsidR="009B6046">
        <w:t>.</w:t>
      </w:r>
      <w:r>
        <w:t xml:space="preserve"> </w:t>
      </w:r>
    </w:p>
    <w:p w14:paraId="6267C763" w14:textId="3D8577A5" w:rsidR="00A90923" w:rsidRDefault="00A90923" w:rsidP="00A90923">
      <w:pPr>
        <w:pStyle w:val="ListBullet"/>
        <w:numPr>
          <w:ilvl w:val="0"/>
          <w:numId w:val="21"/>
        </w:numPr>
        <w:spacing w:after="120" w:line="276" w:lineRule="auto"/>
      </w:pPr>
      <w:r>
        <w:t>On the other hand, fields of education</w:t>
      </w:r>
      <w:r w:rsidRPr="00F4693B">
        <w:t xml:space="preserve"> that experienced the largest declines in applications we</w:t>
      </w:r>
      <w:r>
        <w:t xml:space="preserve">re </w:t>
      </w:r>
      <w:r w:rsidR="009E00A1">
        <w:t>Management and Commerce (-8.</w:t>
      </w:r>
      <w:r w:rsidR="0012081E">
        <w:t>1</w:t>
      </w:r>
      <w:r w:rsidR="009E00A1">
        <w:t xml:space="preserve"> per cent), followed by </w:t>
      </w:r>
      <w:r>
        <w:t>Creative Arts (-</w:t>
      </w:r>
      <w:r w:rsidR="0012081E">
        <w:t>6.1</w:t>
      </w:r>
      <w:r w:rsidRPr="00F4693B">
        <w:t xml:space="preserve"> </w:t>
      </w:r>
      <w:r>
        <w:t>per cent)</w:t>
      </w:r>
      <w:r w:rsidR="009B6046">
        <w:t xml:space="preserve">, </w:t>
      </w:r>
      <w:r w:rsidR="009B6046" w:rsidRPr="009B6046">
        <w:t>Natural and Physical Sciences (</w:t>
      </w:r>
      <w:r w:rsidR="009E00A1">
        <w:t>-1.</w:t>
      </w:r>
      <w:r w:rsidR="0012081E">
        <w:t>6</w:t>
      </w:r>
      <w:r w:rsidR="009B6046" w:rsidRPr="009B6046">
        <w:t xml:space="preserve"> per cent)</w:t>
      </w:r>
      <w:r w:rsidR="009E00A1">
        <w:t xml:space="preserve"> and Education (-</w:t>
      </w:r>
      <w:r w:rsidR="0012081E">
        <w:t>0.4</w:t>
      </w:r>
      <w:r w:rsidR="009E00A1">
        <w:t xml:space="preserve"> per cent).</w:t>
      </w:r>
    </w:p>
    <w:p w14:paraId="42590957" w14:textId="12B23709" w:rsidR="00A90923" w:rsidRDefault="00A90923" w:rsidP="00A90923">
      <w:pPr>
        <w:pStyle w:val="ListBullet"/>
        <w:numPr>
          <w:ilvl w:val="0"/>
          <w:numId w:val="21"/>
        </w:numPr>
        <w:spacing w:after="120" w:line="276" w:lineRule="auto"/>
      </w:pPr>
      <w:r w:rsidRPr="00F206CC">
        <w:lastRenderedPageBreak/>
        <w:t>Society and Culture received the largest</w:t>
      </w:r>
      <w:r>
        <w:t xml:space="preserve"> number of offers (</w:t>
      </w:r>
      <w:r w:rsidR="00DD28E2" w:rsidRPr="00DD28E2">
        <w:t>61,</w:t>
      </w:r>
      <w:r w:rsidR="00E06462">
        <w:t>497</w:t>
      </w:r>
      <w:r w:rsidR="00DD28E2" w:rsidRPr="00DD28E2">
        <w:t xml:space="preserve"> </w:t>
      </w:r>
      <w:r w:rsidRPr="00076B8F">
        <w:t>o</w:t>
      </w:r>
      <w:r>
        <w:t>r 2</w:t>
      </w:r>
      <w:r w:rsidR="00DD28E2">
        <w:t>5.</w:t>
      </w:r>
      <w:r w:rsidR="00E06462">
        <w:t>5</w:t>
      </w:r>
      <w:r>
        <w:t xml:space="preserve"> per cent</w:t>
      </w:r>
      <w:r w:rsidRPr="00E24093">
        <w:t xml:space="preserve"> of total offers).</w:t>
      </w:r>
      <w:r>
        <w:t xml:space="preserve"> This was </w:t>
      </w:r>
      <w:r w:rsidRPr="00E24093">
        <w:t xml:space="preserve">followed by </w:t>
      </w:r>
      <w:r>
        <w:t>Health</w:t>
      </w:r>
      <w:r w:rsidR="00DD28E2" w:rsidRPr="00DD28E2">
        <w:t xml:space="preserve"> </w:t>
      </w:r>
      <w:r w:rsidR="00DD28E2">
        <w:t>(</w:t>
      </w:r>
      <w:r w:rsidR="00E06462">
        <w:t>57,908</w:t>
      </w:r>
      <w:r w:rsidR="00DD28E2" w:rsidRPr="00DD28E2">
        <w:t xml:space="preserve"> </w:t>
      </w:r>
      <w:r w:rsidRPr="00076B8F">
        <w:t>o</w:t>
      </w:r>
      <w:r>
        <w:t xml:space="preserve">r </w:t>
      </w:r>
      <w:r w:rsidR="00DD28E2">
        <w:t>24.0</w:t>
      </w:r>
      <w:r>
        <w:t> per cent of total offers).</w:t>
      </w:r>
    </w:p>
    <w:p w14:paraId="6CC8296B" w14:textId="5A89E19C" w:rsidR="00A90923" w:rsidRDefault="008D7120" w:rsidP="008D7120">
      <w:pPr>
        <w:pStyle w:val="ListBullet"/>
        <w:numPr>
          <w:ilvl w:val="0"/>
          <w:numId w:val="21"/>
        </w:numPr>
        <w:spacing w:after="120" w:line="276" w:lineRule="auto"/>
      </w:pPr>
      <w:r>
        <w:t xml:space="preserve">The following fields of education recorded increases in offers: </w:t>
      </w:r>
      <w:r w:rsidR="00DA63B0">
        <w:t xml:space="preserve">Health (7.8 per cent), followed by </w:t>
      </w:r>
      <w:r w:rsidRPr="00EF2927">
        <w:t>Engineerin</w:t>
      </w:r>
      <w:r>
        <w:t>g and Related Technologies (5.</w:t>
      </w:r>
      <w:r w:rsidR="00E06462">
        <w:t>1</w:t>
      </w:r>
      <w:r w:rsidRPr="00EF2927">
        <w:t xml:space="preserve"> per cent)</w:t>
      </w:r>
      <w:r>
        <w:t>,</w:t>
      </w:r>
      <w:r w:rsidRPr="008D7120">
        <w:t xml:space="preserve"> </w:t>
      </w:r>
      <w:r>
        <w:t>Information Technology (3.</w:t>
      </w:r>
      <w:r w:rsidR="00E06462">
        <w:t>9</w:t>
      </w:r>
      <w:r w:rsidRPr="00435C4E">
        <w:t xml:space="preserve"> per cent</w:t>
      </w:r>
      <w:r>
        <w:t>), Architecture and Building (2.</w:t>
      </w:r>
      <w:r w:rsidR="00E06462">
        <w:t>2</w:t>
      </w:r>
      <w:r>
        <w:t xml:space="preserve"> per cent) and </w:t>
      </w:r>
      <w:r w:rsidRPr="00435C4E">
        <w:t>Agriculture, Environmental and Related Studies</w:t>
      </w:r>
      <w:r>
        <w:t xml:space="preserve"> (0.</w:t>
      </w:r>
      <w:r w:rsidR="00E06462">
        <w:t>3</w:t>
      </w:r>
      <w:r>
        <w:t xml:space="preserve"> per cent).</w:t>
      </w:r>
      <w:r w:rsidRPr="00435C4E">
        <w:t xml:space="preserve"> </w:t>
      </w:r>
      <w:r w:rsidR="00D17E66">
        <w:t xml:space="preserve">On the other </w:t>
      </w:r>
      <w:r w:rsidR="00D040D4">
        <w:t>hand,</w:t>
      </w:r>
      <w:r w:rsidR="00D17E66">
        <w:t xml:space="preserve"> </w:t>
      </w:r>
      <w:r w:rsidR="00A90923">
        <w:t>Management and Commerce (-</w:t>
      </w:r>
      <w:r w:rsidR="00DD28E2">
        <w:t xml:space="preserve">10.2 </w:t>
      </w:r>
      <w:r w:rsidR="00A90923">
        <w:t>per cent)</w:t>
      </w:r>
      <w:r w:rsidR="00D17E66">
        <w:t xml:space="preserve">, followed by </w:t>
      </w:r>
      <w:r w:rsidR="00A90923">
        <w:t>Creative Arts (-</w:t>
      </w:r>
      <w:r w:rsidR="00E06462">
        <w:t>6.1</w:t>
      </w:r>
      <w:r w:rsidR="00A90923">
        <w:t xml:space="preserve"> per cent), </w:t>
      </w:r>
      <w:r w:rsidR="00196D34">
        <w:t xml:space="preserve">Education (-0.7 per cent) and </w:t>
      </w:r>
      <w:r w:rsidRPr="008D7120">
        <w:t xml:space="preserve">Natural and Physical Sciences </w:t>
      </w:r>
      <w:r>
        <w:t xml:space="preserve">and </w:t>
      </w:r>
      <w:r w:rsidR="00196D34">
        <w:t>(</w:t>
      </w:r>
      <w:r>
        <w:t xml:space="preserve">-0.6 per cent) </w:t>
      </w:r>
      <w:r w:rsidR="00A90923">
        <w:t xml:space="preserve">recorded </w:t>
      </w:r>
      <w:r w:rsidR="00D17E66">
        <w:t>de</w:t>
      </w:r>
      <w:r w:rsidR="00A90923">
        <w:t>creases in offers in 202</w:t>
      </w:r>
      <w:r w:rsidR="00D17E66">
        <w:t>1</w:t>
      </w:r>
      <w:r w:rsidR="00A90923">
        <w:t xml:space="preserve">. </w:t>
      </w:r>
    </w:p>
    <w:p w14:paraId="55E9CD67" w14:textId="701DDEE6" w:rsidR="00A90923" w:rsidRPr="00B37112" w:rsidRDefault="00A90923" w:rsidP="00A90923">
      <w:pPr>
        <w:pStyle w:val="ListBullet"/>
        <w:numPr>
          <w:ilvl w:val="0"/>
          <w:numId w:val="21"/>
        </w:numPr>
        <w:spacing w:after="120" w:line="276" w:lineRule="auto"/>
      </w:pPr>
      <w:r w:rsidRPr="00B37112">
        <w:t>Natural and Physical Sciences ha</w:t>
      </w:r>
      <w:r>
        <w:t>d the highest offer rate at 9</w:t>
      </w:r>
      <w:r w:rsidR="00D17E66">
        <w:t>5.</w:t>
      </w:r>
      <w:r w:rsidR="00E06462">
        <w:t>3</w:t>
      </w:r>
      <w:r>
        <w:t> per cent, a</w:t>
      </w:r>
      <w:r w:rsidR="00D17E66">
        <w:t>n</w:t>
      </w:r>
      <w:r>
        <w:t xml:space="preserve"> </w:t>
      </w:r>
      <w:r w:rsidR="00D17E66">
        <w:t>in</w:t>
      </w:r>
      <w:r>
        <w:t xml:space="preserve">crease of </w:t>
      </w:r>
      <w:r w:rsidR="00D17E66">
        <w:t>0.</w:t>
      </w:r>
      <w:r w:rsidR="00E06462">
        <w:t>9</w:t>
      </w:r>
      <w:r w:rsidR="00D17E66">
        <w:t xml:space="preserve"> </w:t>
      </w:r>
      <w:r>
        <w:t>percentage points in 202</w:t>
      </w:r>
      <w:r w:rsidR="00D17E66">
        <w:t>1</w:t>
      </w:r>
      <w:r w:rsidRPr="00B37112">
        <w:t xml:space="preserve">. Health </w:t>
      </w:r>
      <w:r w:rsidR="00D17E66">
        <w:t xml:space="preserve">recorded </w:t>
      </w:r>
      <w:r>
        <w:t xml:space="preserve">the lowest offer rate of </w:t>
      </w:r>
      <w:r w:rsidR="00E06462">
        <w:t>68.9</w:t>
      </w:r>
      <w:r>
        <w:t> per cent in 202</w:t>
      </w:r>
      <w:r w:rsidR="00D17E66">
        <w:t>1</w:t>
      </w:r>
      <w:r>
        <w:t xml:space="preserve">. </w:t>
      </w:r>
      <w:r w:rsidRPr="00C06A6D">
        <w:t xml:space="preserve">Engineering and Related Technologies </w:t>
      </w:r>
      <w:r w:rsidRPr="00B37112">
        <w:t xml:space="preserve">experienced the largest </w:t>
      </w:r>
      <w:r>
        <w:t>increase in the offer rate in 202</w:t>
      </w:r>
      <w:r w:rsidR="00D17E66">
        <w:t>1</w:t>
      </w:r>
      <w:r>
        <w:t xml:space="preserve"> of </w:t>
      </w:r>
      <w:r w:rsidR="00D17E66">
        <w:t>2.6</w:t>
      </w:r>
      <w:r>
        <w:t> percentage points to 8</w:t>
      </w:r>
      <w:r w:rsidR="00D17E66">
        <w:t>9</w:t>
      </w:r>
      <w:r>
        <w:t>.</w:t>
      </w:r>
      <w:r w:rsidR="00D17E66">
        <w:t>7</w:t>
      </w:r>
      <w:r>
        <w:t xml:space="preserve"> per cent.</w:t>
      </w:r>
    </w:p>
    <w:p w14:paraId="0579D90A" w14:textId="77777777" w:rsidR="00A90923" w:rsidRPr="002D444C" w:rsidRDefault="00A90923" w:rsidP="00A90923">
      <w:pPr>
        <w:pStyle w:val="Heading3"/>
        <w:rPr>
          <w:b/>
          <w:color w:val="auto"/>
        </w:rPr>
      </w:pPr>
      <w:bookmarkStart w:id="14" w:name="_Toc12955279"/>
      <w:r w:rsidRPr="002D444C">
        <w:rPr>
          <w:b/>
          <w:color w:val="auto"/>
        </w:rPr>
        <w:t>Australian Tertiary Admission Rank (ATAR)</w:t>
      </w:r>
      <w:bookmarkEnd w:id="14"/>
    </w:p>
    <w:p w14:paraId="2E880856" w14:textId="67EBD1CD" w:rsidR="00A90923" w:rsidRPr="001B1983" w:rsidRDefault="00A90923" w:rsidP="00A90923">
      <w:pPr>
        <w:pStyle w:val="ListBullet"/>
        <w:numPr>
          <w:ilvl w:val="0"/>
          <w:numId w:val="21"/>
        </w:numPr>
        <w:spacing w:after="0" w:line="240" w:lineRule="auto"/>
        <w:rPr>
          <w:rFonts w:ascii="Calibri" w:eastAsia="Times New Roman" w:hAnsi="Calibri" w:cs="Times New Roman"/>
          <w:b/>
          <w:bCs/>
          <w:lang w:eastAsia="en-AU"/>
        </w:rPr>
      </w:pPr>
      <w:bookmarkStart w:id="15" w:name="_Toc416445740"/>
      <w:r w:rsidRPr="00C86C5F">
        <w:t xml:space="preserve">The average ATAR of applicants receiving an offer </w:t>
      </w:r>
      <w:r w:rsidR="00A303E0">
        <w:t>in</w:t>
      </w:r>
      <w:r>
        <w:t>creased marginally from 7</w:t>
      </w:r>
      <w:r w:rsidR="00A303E0">
        <w:t>6.8</w:t>
      </w:r>
      <w:r>
        <w:t xml:space="preserve"> in 20</w:t>
      </w:r>
      <w:r w:rsidR="00A303E0">
        <w:t>20</w:t>
      </w:r>
      <w:r>
        <w:t xml:space="preserve"> to </w:t>
      </w:r>
      <w:bookmarkStart w:id="16" w:name="_Toc523920996"/>
      <w:r>
        <w:t>77.</w:t>
      </w:r>
      <w:r w:rsidR="00A303E0">
        <w:t>2</w:t>
      </w:r>
      <w:r>
        <w:t xml:space="preserve"> in 202</w:t>
      </w:r>
      <w:r w:rsidR="00A303E0">
        <w:t>1</w:t>
      </w:r>
      <w:r>
        <w:t>.</w:t>
      </w:r>
    </w:p>
    <w:p w14:paraId="33B48B75" w14:textId="77777777" w:rsidR="00A90923" w:rsidRDefault="00A90923" w:rsidP="00A90923">
      <w:pPr>
        <w:pStyle w:val="ListBullet"/>
        <w:numPr>
          <w:ilvl w:val="0"/>
          <w:numId w:val="0"/>
        </w:numPr>
        <w:spacing w:after="0" w:line="240" w:lineRule="auto"/>
        <w:ind w:left="360"/>
      </w:pPr>
    </w:p>
    <w:bookmarkEnd w:id="16"/>
    <w:p w14:paraId="3056D488" w14:textId="14CA522F" w:rsidR="00A90923" w:rsidRDefault="00A90923" w:rsidP="00A90923">
      <w:pPr>
        <w:pStyle w:val="ListBullet"/>
        <w:numPr>
          <w:ilvl w:val="0"/>
          <w:numId w:val="0"/>
        </w:numPr>
        <w:spacing w:after="0" w:line="240" w:lineRule="auto"/>
        <w:ind w:left="360" w:hanging="360"/>
        <w:rPr>
          <w:rFonts w:ascii="Calibri" w:eastAsia="Times New Roman" w:hAnsi="Calibri" w:cs="Times New Roman"/>
          <w:b/>
          <w:bCs/>
          <w:lang w:eastAsia="en-AU"/>
        </w:rPr>
      </w:pPr>
      <w:r w:rsidRPr="001B1983">
        <w:rPr>
          <w:rFonts w:ascii="Calibri" w:eastAsia="Times New Roman" w:hAnsi="Calibri" w:cs="Times New Roman"/>
          <w:b/>
          <w:bCs/>
          <w:lang w:eastAsia="en-AU"/>
        </w:rPr>
        <w:t>Table</w:t>
      </w:r>
      <w:r>
        <w:rPr>
          <w:rFonts w:ascii="Calibri" w:eastAsia="Times New Roman" w:hAnsi="Calibri" w:cs="Times New Roman"/>
          <w:b/>
          <w:bCs/>
          <w:lang w:eastAsia="en-AU"/>
        </w:rPr>
        <w:t xml:space="preserve"> </w:t>
      </w:r>
      <w:r w:rsidRPr="001B1983">
        <w:rPr>
          <w:rFonts w:ascii="Calibri" w:eastAsia="Times New Roman" w:hAnsi="Calibri" w:cs="Times New Roman"/>
          <w:b/>
          <w:bCs/>
          <w:lang w:eastAsia="en-AU"/>
        </w:rPr>
        <w:t>2: Average ATAR for thos</w:t>
      </w:r>
      <w:r>
        <w:rPr>
          <w:rFonts w:ascii="Calibri" w:eastAsia="Times New Roman" w:hAnsi="Calibri" w:cs="Times New Roman"/>
          <w:b/>
          <w:bCs/>
          <w:lang w:eastAsia="en-AU"/>
        </w:rPr>
        <w:t>e receiving an offer, 2010- 202</w:t>
      </w:r>
      <w:r w:rsidR="00A303E0">
        <w:rPr>
          <w:rFonts w:ascii="Calibri" w:eastAsia="Times New Roman" w:hAnsi="Calibri" w:cs="Times New Roman"/>
          <w:b/>
          <w:bCs/>
          <w:lang w:eastAsia="en-AU"/>
        </w:rPr>
        <w:t>1</w:t>
      </w:r>
    </w:p>
    <w:p w14:paraId="0E2434C2" w14:textId="61A5E742" w:rsidR="00A90923" w:rsidRDefault="00A303E0" w:rsidP="00A90923">
      <w:pPr>
        <w:pStyle w:val="ListBullet"/>
        <w:numPr>
          <w:ilvl w:val="0"/>
          <w:numId w:val="0"/>
        </w:numPr>
        <w:spacing w:after="0" w:line="240" w:lineRule="auto"/>
        <w:ind w:left="360" w:hanging="360"/>
        <w:rPr>
          <w:rFonts w:ascii="Calibri" w:eastAsia="Times New Roman" w:hAnsi="Calibri" w:cs="Times New Roman"/>
          <w:b/>
          <w:bCs/>
          <w:lang w:eastAsia="en-AU"/>
        </w:rPr>
      </w:pPr>
      <w:r w:rsidRPr="00A303E0">
        <w:rPr>
          <w:noProof/>
        </w:rPr>
        <w:drawing>
          <wp:inline distT="0" distB="0" distL="0" distR="0" wp14:anchorId="22C1287B" wp14:editId="5282DB68">
            <wp:extent cx="5731510" cy="3219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21945"/>
                    </a:xfrm>
                    <a:prstGeom prst="rect">
                      <a:avLst/>
                    </a:prstGeom>
                    <a:noFill/>
                    <a:ln>
                      <a:noFill/>
                    </a:ln>
                  </pic:spPr>
                </pic:pic>
              </a:graphicData>
            </a:graphic>
          </wp:inline>
        </w:drawing>
      </w:r>
    </w:p>
    <w:p w14:paraId="1E08B7AB" w14:textId="77777777" w:rsidR="00A90923" w:rsidRDefault="00A90923" w:rsidP="00A90923">
      <w:pPr>
        <w:pStyle w:val="ListBullet"/>
        <w:numPr>
          <w:ilvl w:val="0"/>
          <w:numId w:val="0"/>
        </w:numPr>
        <w:spacing w:after="0" w:line="240" w:lineRule="auto"/>
        <w:ind w:left="360" w:hanging="360"/>
        <w:rPr>
          <w:rFonts w:ascii="Calibri" w:eastAsia="Times New Roman" w:hAnsi="Calibri" w:cs="Times New Roman"/>
          <w:b/>
          <w:bCs/>
          <w:lang w:eastAsia="en-AU"/>
        </w:rPr>
      </w:pPr>
    </w:p>
    <w:p w14:paraId="4F7ACFA5" w14:textId="1DD5A2BA" w:rsidR="00A90923" w:rsidRDefault="00A90923" w:rsidP="00A90923">
      <w:pPr>
        <w:pStyle w:val="ListBullet"/>
        <w:numPr>
          <w:ilvl w:val="0"/>
          <w:numId w:val="30"/>
        </w:numPr>
        <w:spacing w:after="0" w:line="240" w:lineRule="auto"/>
      </w:pPr>
      <w:r>
        <w:t>In 202</w:t>
      </w:r>
      <w:r w:rsidR="002D74C6">
        <w:t>1</w:t>
      </w:r>
      <w:r>
        <w:t>, 2</w:t>
      </w:r>
      <w:r w:rsidR="0062688D">
        <w:t>6.2</w:t>
      </w:r>
      <w:r>
        <w:t xml:space="preserve"> per cent of all offers made to applicants were for those with an ATAR of at least 70.05. Offers to applicants who achieved an ATAR above 90 accounted for </w:t>
      </w:r>
      <w:r w:rsidR="0062688D">
        <w:t>10.0</w:t>
      </w:r>
      <w:r>
        <w:t xml:space="preserve"> per cent of all offers. </w:t>
      </w:r>
    </w:p>
    <w:p w14:paraId="357CD372" w14:textId="0341A809" w:rsidR="00A90923" w:rsidRDefault="00A90923" w:rsidP="00A90923">
      <w:pPr>
        <w:pStyle w:val="ListBullet"/>
        <w:numPr>
          <w:ilvl w:val="0"/>
          <w:numId w:val="21"/>
        </w:numPr>
        <w:spacing w:after="120" w:line="276" w:lineRule="auto"/>
      </w:pPr>
      <w:r>
        <w:t xml:space="preserve">The share of offers for applicants in the ATAR band 50.00 or less </w:t>
      </w:r>
      <w:r w:rsidR="002D74C6">
        <w:t>declined from 2.7 per cent in 2020 to</w:t>
      </w:r>
      <w:r>
        <w:t xml:space="preserve"> 2</w:t>
      </w:r>
      <w:r w:rsidR="002D74C6">
        <w:t>.</w:t>
      </w:r>
      <w:r w:rsidR="0062688D">
        <w:t>6</w:t>
      </w:r>
      <w:r>
        <w:t xml:space="preserve"> per cent</w:t>
      </w:r>
      <w:r w:rsidR="002D74C6">
        <w:t xml:space="preserve"> in 2021.</w:t>
      </w:r>
    </w:p>
    <w:p w14:paraId="10C8827A" w14:textId="5F8A6AFC" w:rsidR="00A90923" w:rsidRDefault="00A90923" w:rsidP="00A90923">
      <w:pPr>
        <w:pStyle w:val="ListBullet"/>
        <w:numPr>
          <w:ilvl w:val="0"/>
          <w:numId w:val="21"/>
        </w:numPr>
        <w:spacing w:after="120" w:line="276" w:lineRule="auto"/>
      </w:pPr>
      <w:r>
        <w:t>The share of offers for applicants with no ATAR or who were non-Year 12 applicants was 6</w:t>
      </w:r>
      <w:r w:rsidR="0062688D">
        <w:t>1.9</w:t>
      </w:r>
      <w:r>
        <w:t> per cent in 202</w:t>
      </w:r>
      <w:r w:rsidR="007B42DB">
        <w:t>1</w:t>
      </w:r>
      <w:r>
        <w:t>, up from 60.</w:t>
      </w:r>
      <w:r w:rsidR="002D74C6">
        <w:t>5</w:t>
      </w:r>
      <w:r>
        <w:t> per cent in 20</w:t>
      </w:r>
      <w:r w:rsidR="002D74C6">
        <w:t>20</w:t>
      </w:r>
      <w:r>
        <w:t>.</w:t>
      </w:r>
    </w:p>
    <w:p w14:paraId="77422F6D" w14:textId="2F497757" w:rsidR="00A90923" w:rsidRDefault="00A90923" w:rsidP="00A90923">
      <w:pPr>
        <w:pStyle w:val="ListBullet"/>
        <w:numPr>
          <w:ilvl w:val="0"/>
          <w:numId w:val="21"/>
        </w:numPr>
        <w:spacing w:after="120" w:line="276" w:lineRule="auto"/>
      </w:pPr>
      <w:r w:rsidRPr="00D95706">
        <w:t xml:space="preserve">Offer rates for </w:t>
      </w:r>
      <w:r>
        <w:t>applicants in the ATAR band 50.00 or less</w:t>
      </w:r>
      <w:r w:rsidRPr="00D95706">
        <w:t xml:space="preserve"> </w:t>
      </w:r>
      <w:r>
        <w:t xml:space="preserve">have </w:t>
      </w:r>
      <w:r w:rsidRPr="00D95706">
        <w:t>increase</w:t>
      </w:r>
      <w:r>
        <w:t>d from 41.1 per cent</w:t>
      </w:r>
      <w:r w:rsidRPr="00D95706">
        <w:t xml:space="preserve"> </w:t>
      </w:r>
      <w:r>
        <w:t xml:space="preserve">in 2014 to </w:t>
      </w:r>
      <w:r w:rsidR="002D74C6">
        <w:t>5</w:t>
      </w:r>
      <w:r w:rsidR="0062688D">
        <w:t>4.6</w:t>
      </w:r>
      <w:r>
        <w:t xml:space="preserve"> per cent</w:t>
      </w:r>
      <w:r w:rsidRPr="00D95706">
        <w:t xml:space="preserve"> </w:t>
      </w:r>
      <w:r>
        <w:t>in 202</w:t>
      </w:r>
      <w:r w:rsidR="002D74C6">
        <w:t>1</w:t>
      </w:r>
      <w:r w:rsidRPr="00D95706">
        <w:t xml:space="preserve">. </w:t>
      </w:r>
    </w:p>
    <w:p w14:paraId="41224FC6" w14:textId="0B339D5C" w:rsidR="00A90923" w:rsidRPr="0098521D" w:rsidRDefault="00A90923" w:rsidP="00A90923">
      <w:pPr>
        <w:pStyle w:val="ListBullet"/>
        <w:numPr>
          <w:ilvl w:val="0"/>
          <w:numId w:val="21"/>
        </w:numPr>
        <w:spacing w:after="120" w:line="276" w:lineRule="auto"/>
      </w:pPr>
      <w:r w:rsidRPr="00D95706">
        <w:t>The off</w:t>
      </w:r>
      <w:r>
        <w:t xml:space="preserve">er rates for the top three ATAR </w:t>
      </w:r>
      <w:r w:rsidRPr="00D95706">
        <w:t>bands</w:t>
      </w:r>
      <w:r>
        <w:t xml:space="preserve"> (deciles) have remained relatively steady within a range of 9</w:t>
      </w:r>
      <w:r w:rsidR="0062688D">
        <w:t>7</w:t>
      </w:r>
      <w:r>
        <w:t> per cent to 9</w:t>
      </w:r>
      <w:r w:rsidR="0062688D">
        <w:t>8</w:t>
      </w:r>
      <w:r>
        <w:t xml:space="preserve"> per cent. </w:t>
      </w:r>
      <w:r w:rsidRPr="00D95706">
        <w:t xml:space="preserve"> </w:t>
      </w:r>
    </w:p>
    <w:p w14:paraId="5C5B3D6A" w14:textId="1CADA3D0" w:rsidR="00A90923" w:rsidRDefault="00D22F63" w:rsidP="00A90923">
      <w:pPr>
        <w:pStyle w:val="ListBullet"/>
        <w:numPr>
          <w:ilvl w:val="0"/>
          <w:numId w:val="21"/>
        </w:numPr>
        <w:spacing w:after="120" w:line="276" w:lineRule="auto"/>
      </w:pPr>
      <w:r>
        <w:t>T</w:t>
      </w:r>
      <w:r w:rsidR="00A90923" w:rsidRPr="00D95706">
        <w:t>he likelihood of an applicant with a low ATAR receiving an offer has recorded a greater increase than an applicant with a higher ATAR. In part, this is because offer rates for applicants with a higher ATAR are starting from a higher base so there is less scope f</w:t>
      </w:r>
      <w:r w:rsidR="00A90923">
        <w:t xml:space="preserve">or an increase in offer rates. </w:t>
      </w:r>
    </w:p>
    <w:p w14:paraId="334FE739" w14:textId="530E970C" w:rsidR="00A90923" w:rsidRDefault="00A90923" w:rsidP="00A90923">
      <w:pPr>
        <w:pStyle w:val="ListBullet"/>
        <w:numPr>
          <w:ilvl w:val="0"/>
          <w:numId w:val="21"/>
        </w:numPr>
        <w:spacing w:after="120" w:line="276" w:lineRule="auto"/>
      </w:pPr>
      <w:r>
        <w:t>Fields of education with an above average share of offers for applicants in the ATAR band 90.0</w:t>
      </w:r>
      <w:r w:rsidR="00D22F63">
        <w:t>5</w:t>
      </w:r>
      <w:r>
        <w:t xml:space="preserve"> or more were Engineering and Related Technologies (</w:t>
      </w:r>
      <w:r w:rsidR="0062688D">
        <w:t>22.3</w:t>
      </w:r>
      <w:r>
        <w:t xml:space="preserve"> per cent), Natural and Physical Sciences (1</w:t>
      </w:r>
      <w:r w:rsidR="0062688D">
        <w:t>9</w:t>
      </w:r>
      <w:r w:rsidR="002D74C6">
        <w:t>.1</w:t>
      </w:r>
      <w:r>
        <w:t> per cent) and</w:t>
      </w:r>
      <w:r w:rsidR="002D74C6">
        <w:t xml:space="preserve"> </w:t>
      </w:r>
      <w:r>
        <w:t xml:space="preserve">Management and Commerce </w:t>
      </w:r>
      <w:r w:rsidR="0062688D">
        <w:t xml:space="preserve">(11.7 per cent) </w:t>
      </w:r>
      <w:r w:rsidR="002D74C6">
        <w:t xml:space="preserve">and </w:t>
      </w:r>
      <w:r w:rsidR="001F751A">
        <w:t>S</w:t>
      </w:r>
      <w:r w:rsidR="002D74C6">
        <w:t xml:space="preserve">ociety and Culture </w:t>
      </w:r>
      <w:r>
        <w:t>(</w:t>
      </w:r>
      <w:r w:rsidR="0062688D">
        <w:t>9.5</w:t>
      </w:r>
      <w:r w:rsidRPr="00D32B6E">
        <w:t xml:space="preserve"> per cent</w:t>
      </w:r>
      <w:r>
        <w:t xml:space="preserve">). </w:t>
      </w:r>
    </w:p>
    <w:p w14:paraId="1B6635C6" w14:textId="5B6774EC" w:rsidR="00A90923" w:rsidRDefault="00A90923" w:rsidP="00A90923">
      <w:pPr>
        <w:pStyle w:val="ListBullet"/>
        <w:numPr>
          <w:ilvl w:val="0"/>
          <w:numId w:val="21"/>
        </w:numPr>
        <w:spacing w:after="120" w:line="276" w:lineRule="auto"/>
      </w:pPr>
      <w:r>
        <w:t xml:space="preserve">Fields of education with an above average share of offers for applicants in the ATAR band 50.00 or less were </w:t>
      </w:r>
      <w:r w:rsidR="006C7D07">
        <w:t xml:space="preserve">Architecture and Building (4.6 per cent), </w:t>
      </w:r>
      <w:r w:rsidR="004E4F0F">
        <w:t xml:space="preserve">Information Technology and </w:t>
      </w:r>
      <w:r w:rsidR="00A57D89">
        <w:t>Education (</w:t>
      </w:r>
      <w:r w:rsidR="004E4F0F">
        <w:t xml:space="preserve">both at </w:t>
      </w:r>
      <w:r w:rsidR="00A57D89">
        <w:t>3.</w:t>
      </w:r>
      <w:r w:rsidR="004E4F0F">
        <w:t>6</w:t>
      </w:r>
      <w:r w:rsidR="00A57D89">
        <w:t xml:space="preserve"> per cent</w:t>
      </w:r>
      <w:r w:rsidR="0054166E">
        <w:t>)</w:t>
      </w:r>
      <w:r w:rsidR="003B0826">
        <w:t>,</w:t>
      </w:r>
      <w:r w:rsidR="0054166E">
        <w:t xml:space="preserve"> </w:t>
      </w:r>
      <w:r w:rsidRPr="00262F87">
        <w:t>Management and Commerce</w:t>
      </w:r>
      <w:r>
        <w:t xml:space="preserve"> </w:t>
      </w:r>
      <w:r w:rsidR="00A57D89">
        <w:t xml:space="preserve">and </w:t>
      </w:r>
      <w:r w:rsidRPr="00262F87">
        <w:t>Society and Culture</w:t>
      </w:r>
      <w:r>
        <w:t xml:space="preserve"> (</w:t>
      </w:r>
      <w:r w:rsidR="00A57D89">
        <w:t xml:space="preserve">both </w:t>
      </w:r>
      <w:r w:rsidR="004E4F0F">
        <w:t>3.1</w:t>
      </w:r>
      <w:r w:rsidRPr="00201DB7">
        <w:t xml:space="preserve"> per cent) </w:t>
      </w:r>
      <w:r>
        <w:t xml:space="preserve">and </w:t>
      </w:r>
      <w:r w:rsidRPr="00262F87">
        <w:t xml:space="preserve">Creative Arts </w:t>
      </w:r>
      <w:r>
        <w:t>(</w:t>
      </w:r>
      <w:r w:rsidR="00A57D89">
        <w:t>2.</w:t>
      </w:r>
      <w:r w:rsidR="004E4F0F">
        <w:t>8</w:t>
      </w:r>
      <w:r>
        <w:t> per cent).</w:t>
      </w:r>
      <w:bookmarkStart w:id="17" w:name="_Toc12955280"/>
      <w:bookmarkEnd w:id="15"/>
    </w:p>
    <w:p w14:paraId="3B29AC05" w14:textId="77777777" w:rsidR="00A90923" w:rsidRPr="002D444C" w:rsidRDefault="00A90923" w:rsidP="00A90923">
      <w:pPr>
        <w:pStyle w:val="Heading3"/>
        <w:rPr>
          <w:b/>
          <w:color w:val="auto"/>
        </w:rPr>
      </w:pPr>
      <w:r w:rsidRPr="0054166E">
        <w:rPr>
          <w:b/>
          <w:color w:val="auto"/>
        </w:rPr>
        <w:lastRenderedPageBreak/>
        <w:t>Underrepresented groups</w:t>
      </w:r>
      <w:bookmarkEnd w:id="17"/>
    </w:p>
    <w:p w14:paraId="48B91368" w14:textId="5DEB8BDA" w:rsidR="00A90923" w:rsidRPr="0054166E" w:rsidRDefault="00A90923" w:rsidP="0054166E">
      <w:pPr>
        <w:pStyle w:val="ListBullet"/>
        <w:numPr>
          <w:ilvl w:val="0"/>
          <w:numId w:val="21"/>
        </w:numPr>
        <w:spacing w:after="120" w:line="276" w:lineRule="auto"/>
      </w:pPr>
      <w:r w:rsidRPr="0054166E">
        <w:t>In 202</w:t>
      </w:r>
      <w:r w:rsidR="0054166E">
        <w:t>1</w:t>
      </w:r>
      <w:r w:rsidRPr="0054166E">
        <w:t>, applicants from a low SES background recorded a larger increase (</w:t>
      </w:r>
      <w:r w:rsidR="0054166E">
        <w:t>3.9</w:t>
      </w:r>
      <w:r w:rsidRPr="0054166E">
        <w:t> per cent) in applications than applicants from a medium SES background (</w:t>
      </w:r>
      <w:r w:rsidR="0054166E">
        <w:t>3.8</w:t>
      </w:r>
      <w:r w:rsidRPr="0054166E">
        <w:t xml:space="preserve"> per cen</w:t>
      </w:r>
      <w:r w:rsidR="0054166E">
        <w:t xml:space="preserve">t) and </w:t>
      </w:r>
      <w:r w:rsidRPr="0054166E">
        <w:t xml:space="preserve">applicants from high SES backgrounds </w:t>
      </w:r>
      <w:r w:rsidR="0054166E">
        <w:t>(2.7</w:t>
      </w:r>
      <w:r w:rsidRPr="0054166E">
        <w:t xml:space="preserve"> per cent</w:t>
      </w:r>
      <w:r w:rsidR="0054166E">
        <w:t>)</w:t>
      </w:r>
      <w:r w:rsidRPr="0054166E">
        <w:t>.</w:t>
      </w:r>
    </w:p>
    <w:p w14:paraId="7F2A6394" w14:textId="5DD62B65" w:rsidR="00A90923" w:rsidRPr="0054166E" w:rsidRDefault="00A90923" w:rsidP="0054166E">
      <w:pPr>
        <w:pStyle w:val="ListBullet"/>
        <w:numPr>
          <w:ilvl w:val="0"/>
          <w:numId w:val="21"/>
        </w:numPr>
        <w:spacing w:after="120" w:line="276" w:lineRule="auto"/>
      </w:pPr>
      <w:r w:rsidRPr="0054166E">
        <w:t>In 202</w:t>
      </w:r>
      <w:r w:rsidR="0054166E">
        <w:t>1</w:t>
      </w:r>
      <w:r w:rsidRPr="0054166E">
        <w:t xml:space="preserve">, offers to applicants from a low SES background increased by </w:t>
      </w:r>
      <w:r w:rsidR="0054166E">
        <w:t>5.0</w:t>
      </w:r>
      <w:r w:rsidRPr="0054166E">
        <w:t> per cent, followed by those from a medium SES background (</w:t>
      </w:r>
      <w:r w:rsidR="0054166E">
        <w:t>3.5</w:t>
      </w:r>
      <w:r w:rsidRPr="0054166E">
        <w:t> per cent) and high SES background (0.</w:t>
      </w:r>
      <w:r w:rsidR="0054166E">
        <w:t>6</w:t>
      </w:r>
      <w:r w:rsidRPr="0054166E">
        <w:t xml:space="preserve"> per cent).</w:t>
      </w:r>
    </w:p>
    <w:p w14:paraId="183B2D10" w14:textId="2E6E9883" w:rsidR="00A90923" w:rsidRPr="0054166E" w:rsidRDefault="00A90923" w:rsidP="0054166E">
      <w:pPr>
        <w:pStyle w:val="ListBullet"/>
        <w:numPr>
          <w:ilvl w:val="0"/>
          <w:numId w:val="21"/>
        </w:numPr>
        <w:spacing w:after="120" w:line="276" w:lineRule="auto"/>
      </w:pPr>
      <w:r w:rsidRPr="0054166E">
        <w:t>Applicants from a low SES background were less likely to receive an offer. Their offer rate was 8</w:t>
      </w:r>
      <w:r w:rsidR="0054166E">
        <w:t>1.6</w:t>
      </w:r>
      <w:r w:rsidRPr="0054166E">
        <w:t xml:space="preserve"> per cent compared with 81.9 per cent for applicants from a medium SES background and 8</w:t>
      </w:r>
      <w:r w:rsidR="0054166E">
        <w:t>3.2</w:t>
      </w:r>
      <w:r w:rsidRPr="0054166E">
        <w:t> per cent for applicants from a high SES background in 202</w:t>
      </w:r>
      <w:r w:rsidR="0054166E">
        <w:t>1</w:t>
      </w:r>
      <w:r w:rsidRPr="0054166E">
        <w:t xml:space="preserve">. </w:t>
      </w:r>
    </w:p>
    <w:p w14:paraId="313C81E0" w14:textId="0DD7B768" w:rsidR="00A90923" w:rsidRPr="0054166E" w:rsidRDefault="00A90923" w:rsidP="0054166E">
      <w:pPr>
        <w:pStyle w:val="ListBullet"/>
        <w:numPr>
          <w:ilvl w:val="0"/>
          <w:numId w:val="21"/>
        </w:numPr>
        <w:spacing w:after="120" w:line="276" w:lineRule="auto"/>
      </w:pPr>
      <w:r w:rsidRPr="0054166E">
        <w:t>In 202</w:t>
      </w:r>
      <w:r w:rsidR="0054166E">
        <w:t>1</w:t>
      </w:r>
      <w:r w:rsidRPr="0054166E">
        <w:t xml:space="preserve">, applications from metropolitan residents increased by </w:t>
      </w:r>
      <w:r w:rsidR="00D84152">
        <w:t>4.5</w:t>
      </w:r>
      <w:r w:rsidRPr="0054166E">
        <w:t xml:space="preserve"> per cent while applications from non-metropolitan residents </w:t>
      </w:r>
      <w:r w:rsidR="00D84152">
        <w:t>de</w:t>
      </w:r>
      <w:r w:rsidRPr="0054166E">
        <w:t xml:space="preserve">creased by </w:t>
      </w:r>
      <w:r w:rsidR="00D84152">
        <w:t>0.1</w:t>
      </w:r>
      <w:r w:rsidRPr="0054166E">
        <w:t xml:space="preserve"> per cent. </w:t>
      </w:r>
    </w:p>
    <w:p w14:paraId="794F37A7" w14:textId="4B4ECF33" w:rsidR="00A90923" w:rsidRPr="0054166E" w:rsidRDefault="009F6E06" w:rsidP="0054166E">
      <w:pPr>
        <w:pStyle w:val="ListBullet"/>
        <w:numPr>
          <w:ilvl w:val="0"/>
          <w:numId w:val="21"/>
        </w:numPr>
        <w:spacing w:after="120" w:line="276" w:lineRule="auto"/>
      </w:pPr>
      <w:r>
        <w:t>O</w:t>
      </w:r>
      <w:r w:rsidR="00A90923" w:rsidRPr="0054166E">
        <w:t xml:space="preserve">ffers made to metropolitan applicants increased by </w:t>
      </w:r>
      <w:r>
        <w:t>3.7</w:t>
      </w:r>
      <w:r w:rsidR="00A90923" w:rsidRPr="0054166E">
        <w:t xml:space="preserve"> per cent compared with an increase of </w:t>
      </w:r>
      <w:r>
        <w:t>0.3</w:t>
      </w:r>
      <w:r w:rsidR="00A90923" w:rsidRPr="0054166E">
        <w:t xml:space="preserve"> per cent in offers made to non-metropolitan applicants. </w:t>
      </w:r>
    </w:p>
    <w:p w14:paraId="6F16F43B" w14:textId="43729DA5" w:rsidR="00A90923" w:rsidRPr="0054166E" w:rsidRDefault="00A90923" w:rsidP="0054166E">
      <w:pPr>
        <w:pStyle w:val="ListBullet"/>
        <w:numPr>
          <w:ilvl w:val="0"/>
          <w:numId w:val="21"/>
        </w:numPr>
        <w:spacing w:after="120" w:line="276" w:lineRule="auto"/>
      </w:pPr>
      <w:r w:rsidRPr="0054166E">
        <w:t>Applications from non-metropolitan residents were more likely to result in an offer compared with applications from metropolitan residents, 84.</w:t>
      </w:r>
      <w:r w:rsidR="009F6E06">
        <w:t>7</w:t>
      </w:r>
      <w:r w:rsidRPr="0054166E">
        <w:t> per cent and 81.</w:t>
      </w:r>
      <w:r w:rsidR="009F6E06">
        <w:t>5</w:t>
      </w:r>
      <w:r w:rsidRPr="0054166E">
        <w:t xml:space="preserve"> per cent respectively. </w:t>
      </w:r>
      <w:bookmarkStart w:id="18" w:name="_Toc416445739"/>
    </w:p>
    <w:p w14:paraId="5EA4714B" w14:textId="2BF17C1B" w:rsidR="00A90923" w:rsidRDefault="00A90923" w:rsidP="00A90923">
      <w:pPr>
        <w:pStyle w:val="ListBullet"/>
        <w:numPr>
          <w:ilvl w:val="0"/>
          <w:numId w:val="21"/>
        </w:numPr>
        <w:spacing w:after="120" w:line="276" w:lineRule="auto"/>
      </w:pPr>
      <w:r w:rsidRPr="00FA6979">
        <w:t xml:space="preserve">Nationally, there were </w:t>
      </w:r>
      <w:r w:rsidR="00193353">
        <w:t>6230</w:t>
      </w:r>
      <w:r w:rsidRPr="00FA6979">
        <w:t xml:space="preserve"> </w:t>
      </w:r>
      <w:r>
        <w:t xml:space="preserve">applicants from an Indigenous background, a </w:t>
      </w:r>
      <w:r w:rsidR="00193353">
        <w:t>de</w:t>
      </w:r>
      <w:r w:rsidRPr="00FA6979">
        <w:t xml:space="preserve">crease of </w:t>
      </w:r>
      <w:r w:rsidR="00193353">
        <w:t>1.2</w:t>
      </w:r>
      <w:r>
        <w:t xml:space="preserve"> per cent compared with 20</w:t>
      </w:r>
      <w:r w:rsidR="00193353">
        <w:t>20</w:t>
      </w:r>
      <w:r w:rsidRPr="00FA6979">
        <w:t xml:space="preserve">. This </w:t>
      </w:r>
      <w:r w:rsidRPr="00F520EC">
        <w:t xml:space="preserve">represents </w:t>
      </w:r>
      <w:r w:rsidRPr="003771B2">
        <w:t>2.</w:t>
      </w:r>
      <w:r w:rsidR="00193353">
        <w:t>1</w:t>
      </w:r>
      <w:r>
        <w:t> per cent</w:t>
      </w:r>
      <w:r w:rsidRPr="00FA6979">
        <w:t xml:space="preserve"> of all applications</w:t>
      </w:r>
      <w:r>
        <w:t>.</w:t>
      </w:r>
      <w:r w:rsidRPr="00FA6979">
        <w:t xml:space="preserve"> </w:t>
      </w:r>
    </w:p>
    <w:p w14:paraId="659B3FCE" w14:textId="7FC95093" w:rsidR="00A90923" w:rsidRDefault="00A90923" w:rsidP="00A90923">
      <w:pPr>
        <w:pStyle w:val="ListBullet"/>
        <w:numPr>
          <w:ilvl w:val="0"/>
          <w:numId w:val="21"/>
        </w:numPr>
        <w:spacing w:after="120" w:line="276" w:lineRule="auto"/>
      </w:pPr>
      <w:r>
        <w:t>Offers</w:t>
      </w:r>
      <w:r w:rsidRPr="00FA6979">
        <w:t xml:space="preserve"> to Indigenous applicants</w:t>
      </w:r>
      <w:r>
        <w:t xml:space="preserve"> </w:t>
      </w:r>
      <w:r w:rsidR="00193353">
        <w:t>de</w:t>
      </w:r>
      <w:r>
        <w:t xml:space="preserve">creased by </w:t>
      </w:r>
      <w:r w:rsidR="00193353">
        <w:t>1.</w:t>
      </w:r>
      <w:r w:rsidR="009F6E06">
        <w:t>3</w:t>
      </w:r>
      <w:r>
        <w:t xml:space="preserve"> per cent to </w:t>
      </w:r>
      <w:r w:rsidR="00193353">
        <w:t>49</w:t>
      </w:r>
      <w:r w:rsidR="009F6E06">
        <w:t>45</w:t>
      </w:r>
      <w:r>
        <w:t xml:space="preserve"> in 202</w:t>
      </w:r>
      <w:r w:rsidR="00193353">
        <w:t>1</w:t>
      </w:r>
      <w:r>
        <w:t>.</w:t>
      </w:r>
    </w:p>
    <w:p w14:paraId="0FEBC1D1" w14:textId="0038C10E" w:rsidR="00A90923" w:rsidRDefault="00A90923" w:rsidP="00A90923">
      <w:pPr>
        <w:pStyle w:val="ListBullet"/>
        <w:numPr>
          <w:ilvl w:val="0"/>
          <w:numId w:val="21"/>
        </w:numPr>
        <w:spacing w:after="120" w:line="276" w:lineRule="auto"/>
      </w:pPr>
      <w:r>
        <w:t>79.</w:t>
      </w:r>
      <w:r w:rsidR="009F6E06">
        <w:t>4</w:t>
      </w:r>
      <w:r>
        <w:t> per cent of applicants from an Indigenous background</w:t>
      </w:r>
      <w:r w:rsidRPr="00FA6979">
        <w:t xml:space="preserve"> h</w:t>
      </w:r>
      <w:r>
        <w:t>ad attracted an offer in 202</w:t>
      </w:r>
      <w:r w:rsidR="008A56A1">
        <w:t>1</w:t>
      </w:r>
      <w:r>
        <w:t>. This is a</w:t>
      </w:r>
      <w:r w:rsidR="009F6E06">
        <w:t xml:space="preserve"> de</w:t>
      </w:r>
      <w:r>
        <w:t>crease of 0.</w:t>
      </w:r>
      <w:r w:rsidR="008A56A1">
        <w:t>1</w:t>
      </w:r>
      <w:r>
        <w:t> percentage</w:t>
      </w:r>
      <w:r w:rsidRPr="00FA6979">
        <w:t xml:space="preserve"> points compared with the same period last year. The offer rate for no</w:t>
      </w:r>
      <w:r>
        <w:t>n-Indigenous applicants was 8</w:t>
      </w:r>
      <w:r w:rsidR="008A56A1">
        <w:t>1.</w:t>
      </w:r>
      <w:r w:rsidR="00C64AE1">
        <w:t>0 p</w:t>
      </w:r>
      <w:r>
        <w:t>er cent in 202</w:t>
      </w:r>
      <w:r w:rsidR="008A56A1">
        <w:t>1</w:t>
      </w:r>
      <w:r>
        <w:t xml:space="preserve">, a decrease of </w:t>
      </w:r>
      <w:r w:rsidR="00C64AE1">
        <w:t>2.1</w:t>
      </w:r>
      <w:r>
        <w:t> percentage points over 20</w:t>
      </w:r>
      <w:r w:rsidR="008A56A1">
        <w:t>20</w:t>
      </w:r>
      <w:r>
        <w:t>.</w:t>
      </w:r>
      <w:r w:rsidRPr="00EA3DAC">
        <w:t xml:space="preserve"> </w:t>
      </w:r>
    </w:p>
    <w:p w14:paraId="62772BB1" w14:textId="77777777" w:rsidR="00A90923" w:rsidRPr="00C75D49" w:rsidRDefault="00A90923" w:rsidP="00A90923">
      <w:pPr>
        <w:pStyle w:val="Heading3"/>
        <w:rPr>
          <w:color w:val="auto"/>
        </w:rPr>
      </w:pPr>
      <w:bookmarkStart w:id="19" w:name="_Toc12955281"/>
      <w:r w:rsidRPr="002D444C">
        <w:rPr>
          <w:b/>
          <w:color w:val="auto"/>
        </w:rPr>
        <w:t>University groups</w:t>
      </w:r>
      <w:bookmarkEnd w:id="19"/>
    </w:p>
    <w:p w14:paraId="31B8E530" w14:textId="06E4C56C" w:rsidR="00A90923" w:rsidRDefault="00720D9F" w:rsidP="00720D9F">
      <w:pPr>
        <w:pStyle w:val="ListBullet"/>
        <w:numPr>
          <w:ilvl w:val="0"/>
          <w:numId w:val="21"/>
        </w:numPr>
        <w:spacing w:after="120" w:line="276" w:lineRule="auto"/>
      </w:pPr>
      <w:r>
        <w:t xml:space="preserve">Except </w:t>
      </w:r>
      <w:r w:rsidR="001F751A">
        <w:t xml:space="preserve">the </w:t>
      </w:r>
      <w:r w:rsidRPr="000E4B58">
        <w:t>Australian Technology Network (ATN</w:t>
      </w:r>
      <w:r>
        <w:t>) (-</w:t>
      </w:r>
      <w:r w:rsidR="00137C94">
        <w:t>6.6</w:t>
      </w:r>
      <w:r>
        <w:t xml:space="preserve"> percent decline), all other university groups recorded positive growth</w:t>
      </w:r>
      <w:r w:rsidR="001F751A">
        <w:t xml:space="preserve"> in applications in 2021</w:t>
      </w:r>
      <w:r>
        <w:t>:  Innovative Research Universities (IRU) (1</w:t>
      </w:r>
      <w:r w:rsidR="00B1719F">
        <w:t>1</w:t>
      </w:r>
      <w:r>
        <w:t>.</w:t>
      </w:r>
      <w:r w:rsidR="00B1719F">
        <w:t>4</w:t>
      </w:r>
      <w:r>
        <w:t xml:space="preserve"> per cent), followed by </w:t>
      </w:r>
      <w:r w:rsidRPr="00900499">
        <w:t>Regional Universities Network (RUN)</w:t>
      </w:r>
      <w:r>
        <w:t xml:space="preserve"> (</w:t>
      </w:r>
      <w:r w:rsidR="00B1719F">
        <w:t>6.8</w:t>
      </w:r>
      <w:r>
        <w:t xml:space="preserve"> per cent) and Group of Eight (Go8) (</w:t>
      </w:r>
      <w:r w:rsidR="00B1719F">
        <w:t>2.6</w:t>
      </w:r>
      <w:r>
        <w:t xml:space="preserve"> per cent).</w:t>
      </w:r>
    </w:p>
    <w:p w14:paraId="1D3D38C2" w14:textId="117681CD" w:rsidR="00A90923" w:rsidRDefault="00A90923" w:rsidP="00614DAF">
      <w:pPr>
        <w:pStyle w:val="ListBullet"/>
        <w:numPr>
          <w:ilvl w:val="0"/>
          <w:numId w:val="21"/>
        </w:numPr>
        <w:spacing w:after="120" w:line="276" w:lineRule="auto"/>
      </w:pPr>
      <w:r>
        <w:t>In terms of offers, a similar pattern was observed among the university groups.</w:t>
      </w:r>
      <w:r w:rsidR="001F751A">
        <w:t xml:space="preserve"> The</w:t>
      </w:r>
      <w:r>
        <w:t xml:space="preserve"> </w:t>
      </w:r>
      <w:r w:rsidR="00720D9F">
        <w:t>IRU</w:t>
      </w:r>
      <w:r>
        <w:t xml:space="preserve"> (</w:t>
      </w:r>
      <w:r w:rsidR="00B1719F">
        <w:t>19.5</w:t>
      </w:r>
      <w:r>
        <w:t xml:space="preserve"> per cent)</w:t>
      </w:r>
      <w:r w:rsidR="00614DAF">
        <w:t xml:space="preserve">, followed by </w:t>
      </w:r>
      <w:r>
        <w:t>RUN (</w:t>
      </w:r>
      <w:r w:rsidR="00B1719F">
        <w:t>2.9</w:t>
      </w:r>
      <w:r>
        <w:t xml:space="preserve"> per cent) </w:t>
      </w:r>
      <w:r w:rsidR="00720D9F">
        <w:t>and Go8 (</w:t>
      </w:r>
      <w:r w:rsidR="00B1719F">
        <w:t>1.0</w:t>
      </w:r>
      <w:r w:rsidR="00720D9F">
        <w:t xml:space="preserve"> per cent) </w:t>
      </w:r>
      <w:r>
        <w:t>recorded positive growth in offers</w:t>
      </w:r>
      <w:r w:rsidR="001F751A">
        <w:t xml:space="preserve"> while the</w:t>
      </w:r>
      <w:r>
        <w:t xml:space="preserve"> </w:t>
      </w:r>
      <w:r w:rsidR="00720D9F">
        <w:t>ATN</w:t>
      </w:r>
      <w:r>
        <w:t xml:space="preserve"> observed decreases in offers</w:t>
      </w:r>
      <w:r w:rsidR="00614DAF">
        <w:t xml:space="preserve"> (-5.</w:t>
      </w:r>
      <w:r w:rsidR="00137C94">
        <w:t xml:space="preserve">8 </w:t>
      </w:r>
      <w:r w:rsidR="00614DAF">
        <w:t>per cent)</w:t>
      </w:r>
      <w:r>
        <w:t xml:space="preserve">. </w:t>
      </w:r>
    </w:p>
    <w:bookmarkEnd w:id="18"/>
    <w:p w14:paraId="50B7278B" w14:textId="76DFD2E0" w:rsidR="00A90923" w:rsidRDefault="00A90923" w:rsidP="00A90923">
      <w:pPr>
        <w:pStyle w:val="ListBullet"/>
        <w:numPr>
          <w:ilvl w:val="0"/>
          <w:numId w:val="21"/>
        </w:numPr>
        <w:spacing w:after="120" w:line="276" w:lineRule="auto"/>
      </w:pPr>
      <w:r>
        <w:t xml:space="preserve">Applications to </w:t>
      </w:r>
      <w:r w:rsidR="00503A13">
        <w:t>Go8</w:t>
      </w:r>
      <w:r>
        <w:t xml:space="preserve"> universities and </w:t>
      </w:r>
      <w:r w:rsidR="00503A13">
        <w:t>ATN</w:t>
      </w:r>
      <w:r>
        <w:t xml:space="preserve"> universities were least likely to receive an offer in 202</w:t>
      </w:r>
      <w:r w:rsidR="00503A13">
        <w:t>1</w:t>
      </w:r>
      <w:r>
        <w:t>, offer rates of 7</w:t>
      </w:r>
      <w:r w:rsidR="00503A13">
        <w:t>0.</w:t>
      </w:r>
      <w:r w:rsidR="00B1719F">
        <w:t>6</w:t>
      </w:r>
      <w:r>
        <w:t xml:space="preserve"> per cent and </w:t>
      </w:r>
      <w:r w:rsidR="00137C94">
        <w:t>77.9</w:t>
      </w:r>
      <w:r>
        <w:t xml:space="preserve"> per cent respectively, reflecting the higher entry requirements at these universities. </w:t>
      </w:r>
    </w:p>
    <w:p w14:paraId="39CDF691" w14:textId="39678A88" w:rsidR="00B1719F" w:rsidRPr="00B1719F" w:rsidRDefault="00A90923" w:rsidP="002D444C">
      <w:pPr>
        <w:pStyle w:val="ListBullet"/>
        <w:numPr>
          <w:ilvl w:val="0"/>
          <w:numId w:val="21"/>
        </w:numPr>
        <w:spacing w:after="120" w:line="276" w:lineRule="auto"/>
        <w:rPr>
          <w:b/>
        </w:rPr>
      </w:pPr>
      <w:r>
        <w:t>The offer rate de</w:t>
      </w:r>
      <w:r w:rsidRPr="00F22642">
        <w:t xml:space="preserve">creased for </w:t>
      </w:r>
      <w:r w:rsidR="00993380">
        <w:t>the</w:t>
      </w:r>
      <w:r>
        <w:t xml:space="preserve"> </w:t>
      </w:r>
      <w:r w:rsidR="00993380">
        <w:t xml:space="preserve">RUN and </w:t>
      </w:r>
      <w:r>
        <w:t>Go8 universities (-</w:t>
      </w:r>
      <w:r w:rsidR="00B1719F">
        <w:t>3.3</w:t>
      </w:r>
      <w:r>
        <w:t xml:space="preserve"> percentage points</w:t>
      </w:r>
      <w:r w:rsidR="00993380">
        <w:t xml:space="preserve"> and </w:t>
      </w:r>
      <w:r w:rsidR="00B1719F">
        <w:t>-1.1</w:t>
      </w:r>
      <w:r w:rsidR="00993380">
        <w:t xml:space="preserve"> per centage points respectively) in 2021. </w:t>
      </w:r>
      <w:r w:rsidR="00B1719F">
        <w:t>IRU</w:t>
      </w:r>
      <w:r w:rsidR="00993380">
        <w:t xml:space="preserve"> universities recorded </w:t>
      </w:r>
      <w:r w:rsidR="00B1719F">
        <w:t xml:space="preserve">an </w:t>
      </w:r>
      <w:r>
        <w:t>increase in offer rate</w:t>
      </w:r>
      <w:r w:rsidR="00993380">
        <w:t>s</w:t>
      </w:r>
      <w:r w:rsidRPr="001A55C6">
        <w:t xml:space="preserve"> </w:t>
      </w:r>
      <w:r w:rsidR="00B1719F">
        <w:t>(6.4</w:t>
      </w:r>
      <w:r>
        <w:t> percentage points</w:t>
      </w:r>
      <w:r w:rsidR="00B1719F">
        <w:t xml:space="preserve">) </w:t>
      </w:r>
      <w:r w:rsidR="001F751A">
        <w:t xml:space="preserve">while the </w:t>
      </w:r>
      <w:r w:rsidR="00B1719F">
        <w:t>offer rate for</w:t>
      </w:r>
      <w:r w:rsidR="00993380">
        <w:t xml:space="preserve"> </w:t>
      </w:r>
      <w:r w:rsidR="00B1719F">
        <w:t>ATN universities</w:t>
      </w:r>
      <w:r w:rsidR="00993380">
        <w:t xml:space="preserve"> </w:t>
      </w:r>
      <w:r w:rsidR="00137C94">
        <w:t xml:space="preserve">increased by 0.6 per cent </w:t>
      </w:r>
      <w:r w:rsidR="00B1719F">
        <w:t xml:space="preserve">in 2021. </w:t>
      </w:r>
      <w:bookmarkStart w:id="20" w:name="_Toc244329151"/>
      <w:bookmarkStart w:id="21" w:name="_Toc247959714"/>
      <w:bookmarkStart w:id="22" w:name="_Toc247959799"/>
      <w:bookmarkStart w:id="23" w:name="_Toc416445768"/>
      <w:bookmarkStart w:id="24" w:name="_Toc447188871"/>
      <w:bookmarkStart w:id="25" w:name="_Toc8304882"/>
      <w:bookmarkStart w:id="26" w:name="_Toc12955282"/>
    </w:p>
    <w:p w14:paraId="10844B97" w14:textId="5339B50C" w:rsidR="00B1719F" w:rsidRDefault="00B1719F" w:rsidP="00B1719F">
      <w:pPr>
        <w:pStyle w:val="ListBullet"/>
        <w:numPr>
          <w:ilvl w:val="0"/>
          <w:numId w:val="0"/>
        </w:numPr>
        <w:spacing w:after="120" w:line="276" w:lineRule="auto"/>
        <w:ind w:left="360"/>
        <w:rPr>
          <w:b/>
        </w:rPr>
      </w:pPr>
    </w:p>
    <w:p w14:paraId="67E36B51" w14:textId="1A98FA17" w:rsidR="00B1719F" w:rsidRDefault="00B1719F" w:rsidP="00B1719F">
      <w:pPr>
        <w:pStyle w:val="ListBullet"/>
        <w:numPr>
          <w:ilvl w:val="0"/>
          <w:numId w:val="0"/>
        </w:numPr>
        <w:spacing w:after="120" w:line="276" w:lineRule="auto"/>
        <w:ind w:left="360"/>
        <w:rPr>
          <w:b/>
        </w:rPr>
      </w:pPr>
    </w:p>
    <w:p w14:paraId="79BEFAE6" w14:textId="77777777" w:rsidR="00B1719F" w:rsidRPr="00B1719F" w:rsidRDefault="00B1719F" w:rsidP="00B1719F">
      <w:pPr>
        <w:pStyle w:val="ListBullet"/>
        <w:numPr>
          <w:ilvl w:val="0"/>
          <w:numId w:val="0"/>
        </w:numPr>
        <w:spacing w:after="120" w:line="276" w:lineRule="auto"/>
        <w:ind w:left="360"/>
        <w:rPr>
          <w:b/>
        </w:rPr>
      </w:pPr>
    </w:p>
    <w:p w14:paraId="1BCC9E23" w14:textId="2D78DB5D" w:rsidR="00A90923" w:rsidRPr="00B1719F" w:rsidRDefault="00A90923" w:rsidP="00B1719F">
      <w:pPr>
        <w:pStyle w:val="Heading3"/>
        <w:rPr>
          <w:b/>
          <w:color w:val="auto"/>
        </w:rPr>
      </w:pPr>
      <w:r w:rsidRPr="00B1719F">
        <w:rPr>
          <w:b/>
          <w:color w:val="auto"/>
        </w:rPr>
        <w:lastRenderedPageBreak/>
        <w:t>Data Qualifications</w:t>
      </w:r>
      <w:bookmarkEnd w:id="20"/>
      <w:bookmarkEnd w:id="21"/>
      <w:bookmarkEnd w:id="22"/>
      <w:bookmarkEnd w:id="23"/>
      <w:bookmarkEnd w:id="24"/>
      <w:bookmarkEnd w:id="25"/>
      <w:bookmarkEnd w:id="26"/>
    </w:p>
    <w:p w14:paraId="13DB53EC" w14:textId="641837E9" w:rsidR="00A90923" w:rsidRPr="001611D6" w:rsidRDefault="00A90923" w:rsidP="00D22F63">
      <w:pPr>
        <w:spacing w:after="120"/>
      </w:pPr>
      <w:r w:rsidRPr="00B875BD">
        <w:t xml:space="preserve">The data referred to in this report </w:t>
      </w:r>
      <w:r>
        <w:t>contains</w:t>
      </w:r>
      <w:r w:rsidRPr="00B875BD">
        <w:t xml:space="preserve"> applications and offers for domestic undergraduate university places through TACs </w:t>
      </w:r>
      <w:r>
        <w:t xml:space="preserve">and universities </w:t>
      </w:r>
      <w:r w:rsidRPr="00B875BD">
        <w:t>a</w:t>
      </w:r>
      <w:r>
        <w:t>s of 1</w:t>
      </w:r>
      <w:r w:rsidR="000E2CB0">
        <w:t>5</w:t>
      </w:r>
      <w:r>
        <w:t xml:space="preserve"> May</w:t>
      </w:r>
      <w:r w:rsidRPr="00B875BD">
        <w:t xml:space="preserve"> 20</w:t>
      </w:r>
      <w:r w:rsidR="000E2CB0">
        <w:t>21</w:t>
      </w:r>
      <w:r w:rsidRPr="00B875BD">
        <w:t xml:space="preserve">. </w:t>
      </w:r>
    </w:p>
    <w:p w14:paraId="602F48D8" w14:textId="77777777" w:rsidR="00A90923" w:rsidRPr="00B875BD" w:rsidRDefault="00A90923" w:rsidP="00D22F63">
      <w:pPr>
        <w:spacing w:after="120"/>
      </w:pPr>
      <w:r w:rsidRPr="00B875BD">
        <w:t>It should be noted that:</w:t>
      </w:r>
    </w:p>
    <w:p w14:paraId="5351CDE8" w14:textId="77777777" w:rsidR="00200801" w:rsidRDefault="00A90923" w:rsidP="00200801">
      <w:pPr>
        <w:pStyle w:val="ListBullet"/>
        <w:numPr>
          <w:ilvl w:val="0"/>
          <w:numId w:val="21"/>
        </w:numPr>
        <w:spacing w:after="120" w:line="276" w:lineRule="auto"/>
        <w:ind w:left="369" w:hanging="369"/>
        <w:contextualSpacing w:val="0"/>
      </w:pPr>
      <w:r>
        <w:t xml:space="preserve">Applications and offers data in this report refer to TAC data and applications made directly to universities. </w:t>
      </w:r>
    </w:p>
    <w:p w14:paraId="56C16100" w14:textId="5837CA0C" w:rsidR="00A90923" w:rsidRPr="00200801" w:rsidRDefault="00A90923" w:rsidP="00200801">
      <w:pPr>
        <w:pStyle w:val="ListBullet"/>
        <w:numPr>
          <w:ilvl w:val="0"/>
          <w:numId w:val="21"/>
        </w:numPr>
        <w:spacing w:after="120" w:line="276" w:lineRule="auto"/>
        <w:ind w:left="369" w:hanging="369"/>
        <w:contextualSpacing w:val="0"/>
      </w:pPr>
      <w:r w:rsidRPr="00200801">
        <w:t xml:space="preserve">Only applications made to </w:t>
      </w:r>
      <w:hyperlink r:id="rId20" w:history="1">
        <w:r w:rsidRPr="00200801">
          <w:t>Table A institutions</w:t>
        </w:r>
      </w:hyperlink>
      <w:r w:rsidRPr="00200801">
        <w:t xml:space="preserve"> and </w:t>
      </w:r>
      <w:r w:rsidR="001F751A">
        <w:t xml:space="preserve">the </w:t>
      </w:r>
      <w:r w:rsidRPr="00200801">
        <w:t>University of Notre Dame Australia (Table B) are included in the analysis.</w:t>
      </w:r>
    </w:p>
    <w:p w14:paraId="53B311AB" w14:textId="77777777" w:rsidR="00A90923" w:rsidRPr="00B875BD" w:rsidRDefault="00A90923" w:rsidP="00A90923">
      <w:pPr>
        <w:pStyle w:val="ListBullet"/>
        <w:numPr>
          <w:ilvl w:val="0"/>
          <w:numId w:val="21"/>
        </w:numPr>
        <w:spacing w:after="120" w:line="276" w:lineRule="auto"/>
        <w:ind w:left="369" w:hanging="369"/>
        <w:contextualSpacing w:val="0"/>
      </w:pPr>
      <w:r w:rsidRPr="00B875BD">
        <w:t>The data does not include applications from overseas students.</w:t>
      </w:r>
    </w:p>
    <w:p w14:paraId="17B9B0B4" w14:textId="77777777" w:rsidR="00A90923" w:rsidRPr="009529EF" w:rsidRDefault="00A90923" w:rsidP="00A90923">
      <w:pPr>
        <w:pStyle w:val="ListBullet"/>
        <w:numPr>
          <w:ilvl w:val="0"/>
          <w:numId w:val="21"/>
        </w:numPr>
        <w:spacing w:after="120" w:line="276" w:lineRule="auto"/>
        <w:ind w:left="369" w:hanging="369"/>
        <w:contextualSpacing w:val="0"/>
      </w:pPr>
      <w:r w:rsidRPr="00B875BD">
        <w:t xml:space="preserve">All references to “applications” </w:t>
      </w:r>
      <w:r>
        <w:t xml:space="preserve">(in TAC data) </w:t>
      </w:r>
      <w:r w:rsidRPr="00B875BD">
        <w:t>in this report relate to highest preference applications.</w:t>
      </w:r>
    </w:p>
    <w:p w14:paraId="49BCAC3A" w14:textId="77777777" w:rsidR="00A90923" w:rsidRPr="00B875BD" w:rsidRDefault="00A90923" w:rsidP="00A90923">
      <w:pPr>
        <w:pStyle w:val="ListBullet"/>
        <w:numPr>
          <w:ilvl w:val="0"/>
          <w:numId w:val="21"/>
        </w:numPr>
        <w:spacing w:after="120" w:line="276" w:lineRule="auto"/>
        <w:ind w:left="369" w:hanging="369"/>
        <w:contextualSpacing w:val="0"/>
      </w:pPr>
      <w:r w:rsidRPr="00B875BD">
        <w:t xml:space="preserve">A small proportion of applicants make applications to more than one TAC resulting in some double counting of applicants. </w:t>
      </w:r>
    </w:p>
    <w:p w14:paraId="662807CE" w14:textId="14777AFB" w:rsidR="00A90923" w:rsidRDefault="00A90923" w:rsidP="00A90923">
      <w:pPr>
        <w:pStyle w:val="ListBullet"/>
        <w:numPr>
          <w:ilvl w:val="0"/>
          <w:numId w:val="21"/>
        </w:numPr>
        <w:spacing w:after="120" w:line="276" w:lineRule="auto"/>
        <w:ind w:left="369" w:hanging="369"/>
        <w:contextualSpacing w:val="0"/>
      </w:pPr>
      <w:r>
        <w:t>All references to “202</w:t>
      </w:r>
      <w:r w:rsidR="000E2CB0">
        <w:t>1</w:t>
      </w:r>
      <w:r w:rsidRPr="00B875BD">
        <w:t xml:space="preserve">” in this report relate to </w:t>
      </w:r>
      <w:r w:rsidRPr="007E793C">
        <w:t xml:space="preserve">the </w:t>
      </w:r>
      <w:r w:rsidRPr="003C6ADF">
        <w:t>202</w:t>
      </w:r>
      <w:r w:rsidR="000E2CB0">
        <w:t>1</w:t>
      </w:r>
      <w:r w:rsidRPr="003C6ADF">
        <w:t xml:space="preserve"> submission</w:t>
      </w:r>
      <w:r>
        <w:t xml:space="preserve"> through TACs </w:t>
      </w:r>
      <w:r w:rsidRPr="00F75DAA">
        <w:t>and the data submission on application</w:t>
      </w:r>
      <w:r>
        <w:t>s</w:t>
      </w:r>
      <w:r w:rsidRPr="00F75DAA">
        <w:t xml:space="preserve"> made directly to universities </w:t>
      </w:r>
      <w:r>
        <w:t>as of 1</w:t>
      </w:r>
      <w:r w:rsidR="000E2CB0">
        <w:t>5</w:t>
      </w:r>
      <w:r>
        <w:t xml:space="preserve"> May </w:t>
      </w:r>
      <w:r w:rsidRPr="00F75DAA">
        <w:t>fo</w:t>
      </w:r>
      <w:r>
        <w:t>r the first semester of the 202</w:t>
      </w:r>
      <w:r w:rsidR="000E2CB0">
        <w:t>1</w:t>
      </w:r>
      <w:r w:rsidRPr="00F75DAA">
        <w:t xml:space="preserve"> academic year</w:t>
      </w:r>
      <w:r w:rsidRPr="00B875BD">
        <w:t>.</w:t>
      </w:r>
    </w:p>
    <w:p w14:paraId="28C068C4" w14:textId="77EF0CE5" w:rsidR="00A90923" w:rsidRPr="00D9183B" w:rsidRDefault="00A90923" w:rsidP="00A90923">
      <w:pPr>
        <w:pStyle w:val="ListBullet"/>
        <w:numPr>
          <w:ilvl w:val="0"/>
          <w:numId w:val="21"/>
        </w:numPr>
        <w:spacing w:after="120" w:line="276" w:lineRule="auto"/>
        <w:ind w:left="369" w:hanging="369"/>
        <w:contextualSpacing w:val="0"/>
      </w:pPr>
      <w:r w:rsidRPr="00EE3778">
        <w:t xml:space="preserve">All references to “Year 12” </w:t>
      </w:r>
      <w:r>
        <w:t xml:space="preserve">applicants </w:t>
      </w:r>
      <w:r w:rsidRPr="00EE3778">
        <w:t>in this report relate to applicant</w:t>
      </w:r>
      <w:r>
        <w:t>s</w:t>
      </w:r>
      <w:r w:rsidRPr="00EE3778">
        <w:t xml:space="preserve"> who attempted an </w:t>
      </w:r>
      <w:r w:rsidR="00D22F63">
        <w:t>Australian Curriculum, Assessment and Certification Authorities (</w:t>
      </w:r>
      <w:r w:rsidRPr="00EE3778">
        <w:t>ACACA</w:t>
      </w:r>
      <w:r w:rsidR="00D22F63">
        <w:t>)</w:t>
      </w:r>
      <w:r w:rsidRPr="00EE3778">
        <w:t xml:space="preserve"> Year 12 program or the International Baccalaureate in the year of application</w:t>
      </w:r>
      <w:r>
        <w:t>.</w:t>
      </w:r>
    </w:p>
    <w:p w14:paraId="787FF580" w14:textId="77777777" w:rsidR="00A90923" w:rsidRDefault="00A90923" w:rsidP="00A90923">
      <w:pPr>
        <w:pStyle w:val="ListBullet"/>
        <w:numPr>
          <w:ilvl w:val="0"/>
          <w:numId w:val="21"/>
        </w:numPr>
        <w:spacing w:after="120" w:line="276" w:lineRule="auto"/>
        <w:ind w:left="369" w:hanging="369"/>
      </w:pPr>
      <w:r w:rsidRPr="00B875BD">
        <w:t xml:space="preserve">While completing Year 12 and gaining a tertiary entrance score is the most common way to gain entry to university, TACs and universities take a number of other qualifications into consideration, particularly for adults applying who have </w:t>
      </w:r>
      <w:r>
        <w:t xml:space="preserve">not recently completed Year 12. </w:t>
      </w:r>
      <w:r w:rsidRPr="00B875BD">
        <w:t>Some pathways to gaining entry to a university degree include sitting the Special Tertiary Admissions Test (STAT), articulating from certificate and/or diploma level studies in vocational education and training (VET), university bridging or foundation programs and previous higher education (completed or commenced).</w:t>
      </w:r>
    </w:p>
    <w:p w14:paraId="442B9442" w14:textId="7B052306" w:rsidR="00BA703C" w:rsidRDefault="00BA703C" w:rsidP="00BA703C">
      <w:pPr>
        <w:pStyle w:val="ListBullet"/>
        <w:numPr>
          <w:ilvl w:val="0"/>
          <w:numId w:val="21"/>
        </w:numPr>
        <w:spacing w:after="120" w:line="276" w:lineRule="auto"/>
      </w:pPr>
      <w:r w:rsidRPr="001663B3">
        <w:t xml:space="preserve">2015 </w:t>
      </w:r>
      <w:r>
        <w:t xml:space="preserve">and 2016 </w:t>
      </w:r>
      <w:r w:rsidRPr="001663B3">
        <w:t xml:space="preserve">applications </w:t>
      </w:r>
      <w:r>
        <w:t>and offers data were affected by the</w:t>
      </w:r>
      <w:r w:rsidRPr="001663B3">
        <w:t xml:space="preserve"> ‘half-year’ Year 12 cohort in Western Australia (WA).</w:t>
      </w:r>
      <w:r>
        <w:t xml:space="preserve"> T</w:t>
      </w:r>
      <w:r w:rsidRPr="001663B3">
        <w:t xml:space="preserve">he ‘half-year’ cohort arose due to the Western Australian State Government changing the starting age for school children in 2003. The change was legislated by the WA School Education Act of 1999. Until 2003, children began Year 1 at the beginning of the calendar year when they turned six. From 2003, children began Year 1 if they turned six between 1 July of the previous year and 30 June of the year they started school. This policy change was introduced as a one-off. That is, there was no staggered implementation across years, which meant that in 2003 only children born between 1 January 1997 and 30 June 1997 started school. This small cohort </w:t>
      </w:r>
      <w:r>
        <w:t>worked</w:t>
      </w:r>
      <w:r w:rsidRPr="001663B3">
        <w:t xml:space="preserve"> its way through the school system reaching Year 12 in 2014. The Tertiary Institutions Service Centre </w:t>
      </w:r>
      <w:r>
        <w:t>(TISC – the TAC in WA) estimated</w:t>
      </w:r>
      <w:r w:rsidRPr="001663B3">
        <w:t xml:space="preserve"> that it is more likely that the number </w:t>
      </w:r>
      <w:r>
        <w:t>of students with an ATAR was</w:t>
      </w:r>
      <w:r w:rsidRPr="001663B3">
        <w:t xml:space="preserve"> around 60</w:t>
      </w:r>
      <w:r>
        <w:t xml:space="preserve"> per cent</w:t>
      </w:r>
      <w:r w:rsidRPr="001663B3">
        <w:t xml:space="preserve"> of the size of a normal cohort of students. This considerably impacted WA’s university application numbers for the 2015 academic year</w:t>
      </w:r>
      <w:r>
        <w:t xml:space="preserve"> with the reversal of this effect occurring in the 2016 academic year</w:t>
      </w:r>
      <w:r w:rsidRPr="001663B3">
        <w:t xml:space="preserve">. </w:t>
      </w:r>
    </w:p>
    <w:p w14:paraId="0F1D9059" w14:textId="6DAA258D" w:rsidR="00043C06" w:rsidRDefault="00B55C68" w:rsidP="00B55C68">
      <w:pPr>
        <w:pStyle w:val="ListParagraph"/>
        <w:numPr>
          <w:ilvl w:val="0"/>
          <w:numId w:val="21"/>
        </w:numPr>
        <w:spacing w:after="0" w:line="240" w:lineRule="auto"/>
        <w:ind w:left="357" w:hanging="357"/>
      </w:pPr>
      <w:r w:rsidRPr="00B55C68">
        <w:lastRenderedPageBreak/>
        <w:t>One university excluded medical applications from 2018. Hence, the percentage change</w:t>
      </w:r>
      <w:r>
        <w:t xml:space="preserve"> in </w:t>
      </w:r>
      <w:r w:rsidRPr="00B55C68">
        <w:t>applications from 2017 to 2018 is calculated excluding that particular university’s medical applications from 2017 data.</w:t>
      </w:r>
    </w:p>
    <w:p w14:paraId="5FFA2895" w14:textId="76391CB3" w:rsidR="00A90923" w:rsidRDefault="00BA703C" w:rsidP="00A90923">
      <w:pPr>
        <w:pStyle w:val="ListBullet"/>
        <w:numPr>
          <w:ilvl w:val="0"/>
          <w:numId w:val="21"/>
        </w:numPr>
        <w:spacing w:after="120" w:line="276" w:lineRule="auto"/>
      </w:pPr>
      <w:r w:rsidRPr="001663B3">
        <w:t>20</w:t>
      </w:r>
      <w:r>
        <w:t>20</w:t>
      </w:r>
      <w:r w:rsidRPr="001663B3">
        <w:t xml:space="preserve"> </w:t>
      </w:r>
      <w:r>
        <w:t xml:space="preserve">and 2021 </w:t>
      </w:r>
      <w:r w:rsidRPr="001663B3">
        <w:t xml:space="preserve">applications </w:t>
      </w:r>
      <w:r>
        <w:t>and offers data were affected by the</w:t>
      </w:r>
      <w:r w:rsidRPr="001663B3">
        <w:t xml:space="preserve"> ‘half-year’ Year 12 cohort in </w:t>
      </w:r>
      <w:r>
        <w:t>Queensland</w:t>
      </w:r>
      <w:r w:rsidRPr="001663B3">
        <w:t xml:space="preserve"> (</w:t>
      </w:r>
      <w:r>
        <w:t>QLD</w:t>
      </w:r>
      <w:r w:rsidRPr="001663B3">
        <w:t>).</w:t>
      </w:r>
      <w:r>
        <w:t xml:space="preserve"> </w:t>
      </w:r>
      <w:r w:rsidR="00A90923">
        <w:t xml:space="preserve">In 2007, the Queensland government introduced an additional year of schooling before Year 1 with only a half-cohort of students enrolling that year. As a result of the Queensland half-year cohort effect, the number of Year 12 students in Queensland in 2019 was around 30 per cent less than the previous year leading to lower applications for higher education among Queensland school leavers in 2020. </w:t>
      </w:r>
      <w:r w:rsidR="001F751A">
        <w:t>The reversal of the ‘half cohort’ effect resulted in higher applications for higher education among Queensland school leavers in 2021. As a result, f</w:t>
      </w:r>
      <w:r w:rsidR="00A90923">
        <w:t>igures in this report showing the change in applications between 20</w:t>
      </w:r>
      <w:r w:rsidR="007B42DB">
        <w:t>20</w:t>
      </w:r>
      <w:r w:rsidR="00A90923">
        <w:t xml:space="preserve"> and 202</w:t>
      </w:r>
      <w:r w:rsidR="007B42DB">
        <w:t>1</w:t>
      </w:r>
      <w:r w:rsidR="00A90923">
        <w:t xml:space="preserve"> exclude applications and offers from the Queensland Tertiary Admissions Centre (QTAC) due to the need to compare ‘like with like’. Inclusion of QTAC data would have led to a national </w:t>
      </w:r>
      <w:r w:rsidR="00223816">
        <w:t xml:space="preserve">increase </w:t>
      </w:r>
      <w:r w:rsidR="00A90923">
        <w:t xml:space="preserve">of </w:t>
      </w:r>
      <w:r w:rsidR="00223816">
        <w:t>4.5</w:t>
      </w:r>
      <w:r w:rsidR="00A90923">
        <w:t xml:space="preserve"> per cent in applications and a </w:t>
      </w:r>
      <w:r w:rsidR="00223816">
        <w:t>2.6</w:t>
      </w:r>
      <w:r w:rsidR="00A90923">
        <w:t xml:space="preserve"> per cent </w:t>
      </w:r>
      <w:r w:rsidR="001F751A">
        <w:t xml:space="preserve">increase </w:t>
      </w:r>
      <w:r w:rsidR="00A90923">
        <w:t>in offers in 202</w:t>
      </w:r>
      <w:r w:rsidR="00223816">
        <w:t>1</w:t>
      </w:r>
      <w:r w:rsidR="00A90923">
        <w:t xml:space="preserve">, noting this is like comparing ‘apples with </w:t>
      </w:r>
      <w:r w:rsidR="00223816">
        <w:t>oranges’</w:t>
      </w:r>
      <w:r w:rsidR="00A90923">
        <w:t>.</w:t>
      </w:r>
    </w:p>
    <w:p w14:paraId="15A69998" w14:textId="77777777" w:rsidR="00A90923" w:rsidRPr="00B875BD" w:rsidRDefault="00A90923" w:rsidP="00A90923">
      <w:pPr>
        <w:pStyle w:val="ListBullet"/>
        <w:numPr>
          <w:ilvl w:val="0"/>
          <w:numId w:val="0"/>
        </w:numPr>
        <w:ind w:left="360"/>
      </w:pPr>
    </w:p>
    <w:p w14:paraId="24712FA7" w14:textId="77777777" w:rsidR="00BA703C" w:rsidRDefault="00BA703C">
      <w:pPr>
        <w:spacing w:after="160" w:line="259" w:lineRule="auto"/>
        <w:rPr>
          <w:rFonts w:ascii="Calibri" w:eastAsiaTheme="majorEastAsia" w:hAnsi="Calibri" w:cstheme="majorBidi"/>
          <w:b/>
          <w:sz w:val="28"/>
          <w:szCs w:val="24"/>
        </w:rPr>
      </w:pPr>
      <w:bookmarkStart w:id="27" w:name="_Toc416445769"/>
      <w:bookmarkStart w:id="28" w:name="_Toc447188872"/>
      <w:bookmarkStart w:id="29" w:name="_Toc8304883"/>
      <w:bookmarkStart w:id="30" w:name="_Toc12955283"/>
      <w:r>
        <w:rPr>
          <w:b/>
        </w:rPr>
        <w:br w:type="page"/>
      </w:r>
    </w:p>
    <w:p w14:paraId="335F06DB" w14:textId="71675693" w:rsidR="00A90923" w:rsidRPr="002D444C" w:rsidRDefault="00A90923" w:rsidP="002D444C">
      <w:pPr>
        <w:pStyle w:val="Heading3"/>
        <w:rPr>
          <w:b/>
          <w:color w:val="auto"/>
        </w:rPr>
      </w:pPr>
      <w:r w:rsidRPr="002D444C">
        <w:rPr>
          <w:b/>
          <w:color w:val="auto"/>
        </w:rPr>
        <w:lastRenderedPageBreak/>
        <w:t>Glossary</w:t>
      </w:r>
      <w:bookmarkEnd w:id="27"/>
      <w:bookmarkEnd w:id="28"/>
      <w:bookmarkEnd w:id="29"/>
      <w:bookmarkEnd w:id="30"/>
    </w:p>
    <w:tbl>
      <w:tblPr>
        <w:tblStyle w:val="EducationTable"/>
        <w:tblW w:w="8931" w:type="dxa"/>
        <w:tblLayout w:type="fixed"/>
        <w:tblLook w:val="0020" w:firstRow="1" w:lastRow="0" w:firstColumn="0" w:lastColumn="0" w:noHBand="0" w:noVBand="0"/>
      </w:tblPr>
      <w:tblGrid>
        <w:gridCol w:w="2802"/>
        <w:gridCol w:w="6129"/>
      </w:tblGrid>
      <w:tr w:rsidR="00A90923" w14:paraId="5DD4A226" w14:textId="77777777" w:rsidTr="00F920B8">
        <w:trPr>
          <w:cnfStyle w:val="100000000000" w:firstRow="1" w:lastRow="0" w:firstColumn="0" w:lastColumn="0" w:oddVBand="0" w:evenVBand="0" w:oddHBand="0" w:evenHBand="0" w:firstRowFirstColumn="0" w:firstRowLastColumn="0" w:lastRowFirstColumn="0" w:lastRowLastColumn="0"/>
          <w:trHeight w:val="60"/>
          <w:tblHeader/>
        </w:trPr>
        <w:tc>
          <w:tcPr>
            <w:tcW w:w="2802" w:type="dxa"/>
            <w:shd w:val="clear" w:color="auto" w:fill="FFC000"/>
          </w:tcPr>
          <w:p w14:paraId="5F96C098" w14:textId="77777777" w:rsidR="00A90923" w:rsidRPr="00F920B8" w:rsidRDefault="00A90923" w:rsidP="007C28EC">
            <w:pPr>
              <w:spacing w:after="120"/>
              <w:rPr>
                <w:color w:val="auto"/>
              </w:rPr>
            </w:pPr>
            <w:r w:rsidRPr="00F920B8">
              <w:rPr>
                <w:color w:val="auto"/>
              </w:rPr>
              <w:t xml:space="preserve">Term </w:t>
            </w:r>
          </w:p>
        </w:tc>
        <w:tc>
          <w:tcPr>
            <w:tcW w:w="6129" w:type="dxa"/>
            <w:shd w:val="clear" w:color="auto" w:fill="FFC000"/>
          </w:tcPr>
          <w:p w14:paraId="35677A89" w14:textId="77777777" w:rsidR="00A90923" w:rsidRPr="00F920B8" w:rsidRDefault="00A90923" w:rsidP="007C28EC">
            <w:pPr>
              <w:spacing w:after="120"/>
              <w:rPr>
                <w:color w:val="auto"/>
              </w:rPr>
            </w:pPr>
            <w:r w:rsidRPr="00F920B8">
              <w:rPr>
                <w:color w:val="auto"/>
              </w:rPr>
              <w:t>Definition</w:t>
            </w:r>
          </w:p>
        </w:tc>
      </w:tr>
      <w:tr w:rsidR="00A90923" w14:paraId="4AE28CB5" w14:textId="77777777" w:rsidTr="007C28EC">
        <w:trPr>
          <w:trHeight w:val="60"/>
        </w:trPr>
        <w:tc>
          <w:tcPr>
            <w:tcW w:w="2802" w:type="dxa"/>
          </w:tcPr>
          <w:p w14:paraId="415D777A" w14:textId="77777777" w:rsidR="00A90923" w:rsidRDefault="00A90923" w:rsidP="007C28EC">
            <w:pPr>
              <w:spacing w:after="120"/>
            </w:pPr>
            <w:r w:rsidRPr="003F2447">
              <w:t xml:space="preserve">Australasian Curriculum Assessment Certification Authorities (ACACA) </w:t>
            </w:r>
            <w:r>
              <w:br/>
            </w:r>
            <w:r w:rsidRPr="003F2447">
              <w:t>Year 12 programs</w:t>
            </w:r>
          </w:p>
        </w:tc>
        <w:tc>
          <w:tcPr>
            <w:tcW w:w="6129" w:type="dxa"/>
          </w:tcPr>
          <w:p w14:paraId="39BD5DD6" w14:textId="77777777" w:rsidR="00A90923" w:rsidRDefault="00A90923" w:rsidP="007C28EC">
            <w:pPr>
              <w:contextualSpacing/>
            </w:pPr>
            <w:r w:rsidRPr="003F2447">
              <w:t xml:space="preserve">Each State has its own approved Year 12 program. ACACA is the national body responsible for monitoring senior secondary curricula and certification in Australia and New Zealand. ACACA Year 12 programs may be undertaken in schools, VET institutions or </w:t>
            </w:r>
            <w:r>
              <w:t>higher education provider</w:t>
            </w:r>
            <w:r w:rsidRPr="003F2447">
              <w:t>s.</w:t>
            </w:r>
            <w:r>
              <w:t xml:space="preserve"> C</w:t>
            </w:r>
            <w:r w:rsidRPr="003F2447">
              <w:t xml:space="preserve">urrent programs by </w:t>
            </w:r>
            <w:r>
              <w:t>s</w:t>
            </w:r>
            <w:r w:rsidRPr="003F2447">
              <w:t xml:space="preserve">tate are: </w:t>
            </w:r>
          </w:p>
          <w:p w14:paraId="30C59E67" w14:textId="77777777" w:rsidR="00A90923" w:rsidRDefault="00A90923" w:rsidP="00A90923">
            <w:pPr>
              <w:pStyle w:val="ListBullet"/>
              <w:numPr>
                <w:ilvl w:val="0"/>
                <w:numId w:val="21"/>
              </w:numPr>
              <w:spacing w:after="120" w:line="240" w:lineRule="auto"/>
            </w:pPr>
            <w:r w:rsidRPr="003F2447">
              <w:t xml:space="preserve">NSW Higher School Certificate </w:t>
            </w:r>
          </w:p>
          <w:p w14:paraId="285AB015" w14:textId="77777777" w:rsidR="00A90923" w:rsidRDefault="00A90923" w:rsidP="00A90923">
            <w:pPr>
              <w:pStyle w:val="ListBullet"/>
              <w:numPr>
                <w:ilvl w:val="0"/>
                <w:numId w:val="21"/>
              </w:numPr>
              <w:spacing w:after="120" w:line="240" w:lineRule="auto"/>
            </w:pPr>
            <w:r w:rsidRPr="003F2447">
              <w:t xml:space="preserve">Victorian Certificate of Education, </w:t>
            </w:r>
          </w:p>
          <w:p w14:paraId="3A21E73A" w14:textId="77777777" w:rsidR="00A90923" w:rsidRDefault="00A90923" w:rsidP="00A90923">
            <w:pPr>
              <w:pStyle w:val="ListBullet"/>
              <w:numPr>
                <w:ilvl w:val="0"/>
                <w:numId w:val="21"/>
              </w:numPr>
              <w:spacing w:after="120" w:line="240" w:lineRule="auto"/>
            </w:pPr>
            <w:r w:rsidRPr="003F2447">
              <w:t xml:space="preserve">Queensland Certificate of Education </w:t>
            </w:r>
          </w:p>
          <w:p w14:paraId="41B06E7E" w14:textId="77777777" w:rsidR="00A90923" w:rsidRDefault="00A90923" w:rsidP="00A90923">
            <w:pPr>
              <w:pStyle w:val="ListBullet"/>
              <w:numPr>
                <w:ilvl w:val="0"/>
                <w:numId w:val="21"/>
              </w:numPr>
              <w:spacing w:after="120" w:line="240" w:lineRule="auto"/>
            </w:pPr>
            <w:r w:rsidRPr="003F2447">
              <w:t xml:space="preserve">Queensland Senior Certificate </w:t>
            </w:r>
          </w:p>
          <w:p w14:paraId="288BAA1F" w14:textId="77777777" w:rsidR="00A90923" w:rsidRDefault="00A90923" w:rsidP="00A90923">
            <w:pPr>
              <w:pStyle w:val="ListBullet"/>
              <w:numPr>
                <w:ilvl w:val="0"/>
                <w:numId w:val="21"/>
              </w:numPr>
              <w:spacing w:after="120" w:line="240" w:lineRule="auto"/>
            </w:pPr>
            <w:r w:rsidRPr="003F2447">
              <w:t xml:space="preserve">Western Australian Certificate of Education </w:t>
            </w:r>
          </w:p>
          <w:p w14:paraId="110A32A5" w14:textId="77777777" w:rsidR="00A90923" w:rsidRDefault="00A90923" w:rsidP="00A90923">
            <w:pPr>
              <w:pStyle w:val="ListBullet"/>
              <w:numPr>
                <w:ilvl w:val="0"/>
                <w:numId w:val="21"/>
              </w:numPr>
              <w:spacing w:after="120" w:line="240" w:lineRule="auto"/>
            </w:pPr>
            <w:r w:rsidRPr="003F2447">
              <w:t xml:space="preserve">South Australian Certificate of Education </w:t>
            </w:r>
          </w:p>
          <w:p w14:paraId="4F458D14" w14:textId="77777777" w:rsidR="00A90923" w:rsidRDefault="00A90923" w:rsidP="00A90923">
            <w:pPr>
              <w:pStyle w:val="ListBullet"/>
              <w:numPr>
                <w:ilvl w:val="0"/>
                <w:numId w:val="21"/>
              </w:numPr>
              <w:spacing w:after="120" w:line="240" w:lineRule="auto"/>
            </w:pPr>
            <w:r w:rsidRPr="003F2447">
              <w:t xml:space="preserve">Tasmanian Certificate of Education </w:t>
            </w:r>
          </w:p>
          <w:p w14:paraId="3A420764" w14:textId="77777777" w:rsidR="00A90923" w:rsidRDefault="00A90923" w:rsidP="00A90923">
            <w:pPr>
              <w:pStyle w:val="ListBullet"/>
              <w:numPr>
                <w:ilvl w:val="0"/>
                <w:numId w:val="21"/>
              </w:numPr>
              <w:spacing w:after="120" w:line="240" w:lineRule="auto"/>
            </w:pPr>
            <w:r w:rsidRPr="003F2447">
              <w:t xml:space="preserve">ACT Year 12 Certificate </w:t>
            </w:r>
          </w:p>
          <w:p w14:paraId="122259FA" w14:textId="77777777" w:rsidR="00A90923" w:rsidRPr="007F205C" w:rsidRDefault="00A90923" w:rsidP="00A90923">
            <w:pPr>
              <w:pStyle w:val="ListBullet"/>
              <w:numPr>
                <w:ilvl w:val="0"/>
                <w:numId w:val="21"/>
              </w:numPr>
              <w:spacing w:after="120" w:line="240" w:lineRule="auto"/>
            </w:pPr>
            <w:r w:rsidRPr="003F2447">
              <w:t>Northern Territory Certificate of Education</w:t>
            </w:r>
            <w:r>
              <w:t>.</w:t>
            </w:r>
          </w:p>
        </w:tc>
      </w:tr>
      <w:tr w:rsidR="00A90923" w14:paraId="0A0D2C62" w14:textId="77777777" w:rsidTr="007C28EC">
        <w:trPr>
          <w:trHeight w:val="60"/>
        </w:trPr>
        <w:tc>
          <w:tcPr>
            <w:tcW w:w="2802" w:type="dxa"/>
          </w:tcPr>
          <w:p w14:paraId="703CE121" w14:textId="77777777" w:rsidR="00A90923" w:rsidRDefault="00A90923" w:rsidP="007C28EC">
            <w:pPr>
              <w:spacing w:after="120"/>
            </w:pPr>
            <w:r w:rsidRPr="003F2447">
              <w:t>Current Year 12 applicant</w:t>
            </w:r>
          </w:p>
        </w:tc>
        <w:tc>
          <w:tcPr>
            <w:tcW w:w="6129" w:type="dxa"/>
          </w:tcPr>
          <w:p w14:paraId="6A95A5F9" w14:textId="77777777" w:rsidR="00A90923" w:rsidRDefault="00A90923" w:rsidP="007C28EC">
            <w:pPr>
              <w:spacing w:after="120"/>
            </w:pPr>
            <w:r w:rsidRPr="003F2447">
              <w:t xml:space="preserve">An applicant who attempted </w:t>
            </w:r>
            <w:r>
              <w:t xml:space="preserve">an ACACA Year 12 program or the </w:t>
            </w:r>
            <w:r w:rsidRPr="003F2447">
              <w:t>Interna</w:t>
            </w:r>
            <w:r>
              <w:t>tional Baccalaureate</w:t>
            </w:r>
            <w:r w:rsidRPr="003F2447">
              <w:t xml:space="preserve"> </w:t>
            </w:r>
            <w:r>
              <w:t>in the year of application.</w:t>
            </w:r>
          </w:p>
        </w:tc>
      </w:tr>
      <w:tr w:rsidR="00A90923" w14:paraId="455D9251" w14:textId="77777777" w:rsidTr="007C28EC">
        <w:trPr>
          <w:trHeight w:val="60"/>
        </w:trPr>
        <w:tc>
          <w:tcPr>
            <w:tcW w:w="2802" w:type="dxa"/>
          </w:tcPr>
          <w:p w14:paraId="366C66CC" w14:textId="77777777" w:rsidR="00A90923" w:rsidRDefault="00A90923" w:rsidP="007C28EC">
            <w:pPr>
              <w:spacing w:after="120"/>
            </w:pPr>
            <w:r w:rsidRPr="003F2447">
              <w:rPr>
                <w:rFonts w:ascii="Calibri" w:hAnsi="Calibri"/>
              </w:rPr>
              <w:t>Offer rate</w:t>
            </w:r>
          </w:p>
        </w:tc>
        <w:tc>
          <w:tcPr>
            <w:tcW w:w="6129" w:type="dxa"/>
          </w:tcPr>
          <w:p w14:paraId="77B0669D" w14:textId="77777777" w:rsidR="00A90923" w:rsidRDefault="00A90923" w:rsidP="007C28EC">
            <w:pPr>
              <w:spacing w:after="120"/>
            </w:pPr>
            <w:r w:rsidRPr="00876311">
              <w:t>The offer rate is a</w:t>
            </w:r>
            <w:r>
              <w:t> percentage</w:t>
            </w:r>
            <w:r w:rsidRPr="00876311">
              <w:t xml:space="preserve"> calculated as the number of valid offers made to applicants with at least one valid preference divided by the number of applicants with at least one valid preference.</w:t>
            </w:r>
          </w:p>
        </w:tc>
      </w:tr>
      <w:tr w:rsidR="00A90923" w:rsidRPr="00284299" w14:paraId="2A3F95E3" w14:textId="77777777" w:rsidTr="00F920B8">
        <w:trPr>
          <w:trHeight w:val="60"/>
        </w:trPr>
        <w:tc>
          <w:tcPr>
            <w:tcW w:w="2802" w:type="dxa"/>
            <w:shd w:val="clear" w:color="auto" w:fill="FFC000"/>
          </w:tcPr>
          <w:p w14:paraId="31C2FBE0" w14:textId="77777777" w:rsidR="00A90923" w:rsidRPr="00F920B8" w:rsidRDefault="00A90923" w:rsidP="007C28EC">
            <w:pPr>
              <w:spacing w:after="120"/>
              <w:rPr>
                <w:color w:val="auto"/>
              </w:rPr>
            </w:pPr>
            <w:r w:rsidRPr="00F920B8">
              <w:rPr>
                <w:b/>
                <w:color w:val="auto"/>
              </w:rPr>
              <w:t>University Groups</w:t>
            </w:r>
          </w:p>
        </w:tc>
        <w:tc>
          <w:tcPr>
            <w:tcW w:w="6129" w:type="dxa"/>
            <w:shd w:val="clear" w:color="auto" w:fill="FFC000"/>
          </w:tcPr>
          <w:p w14:paraId="2045A109" w14:textId="77777777" w:rsidR="00A90923" w:rsidRPr="00F920B8" w:rsidRDefault="00A90923" w:rsidP="007C28EC">
            <w:pPr>
              <w:spacing w:after="120"/>
              <w:rPr>
                <w:color w:val="auto"/>
              </w:rPr>
            </w:pPr>
          </w:p>
        </w:tc>
      </w:tr>
      <w:tr w:rsidR="00A90923" w14:paraId="134F44EC" w14:textId="77777777" w:rsidTr="007C28EC">
        <w:trPr>
          <w:trHeight w:val="60"/>
        </w:trPr>
        <w:tc>
          <w:tcPr>
            <w:tcW w:w="2802" w:type="dxa"/>
          </w:tcPr>
          <w:p w14:paraId="6465E11B" w14:textId="5301D3B8" w:rsidR="00A90923" w:rsidRDefault="00A90923" w:rsidP="007C28EC">
            <w:pPr>
              <w:spacing w:after="120"/>
              <w:rPr>
                <w:rFonts w:ascii="Calibri" w:hAnsi="Calibri"/>
              </w:rPr>
            </w:pPr>
            <w:bookmarkStart w:id="31" w:name="_Hlk78977060"/>
            <w:r>
              <w:rPr>
                <w:rFonts w:ascii="Calibri" w:hAnsi="Calibri"/>
              </w:rPr>
              <w:t>Australian Technology Network</w:t>
            </w:r>
            <w:r w:rsidR="00BA703C">
              <w:rPr>
                <w:rFonts w:ascii="Calibri" w:hAnsi="Calibri"/>
              </w:rPr>
              <w:t xml:space="preserve"> </w:t>
            </w:r>
            <w:bookmarkEnd w:id="31"/>
            <w:r w:rsidR="00BA703C">
              <w:rPr>
                <w:rFonts w:ascii="Calibri" w:hAnsi="Calibri"/>
              </w:rPr>
              <w:t>(ATN)</w:t>
            </w:r>
          </w:p>
        </w:tc>
        <w:tc>
          <w:tcPr>
            <w:tcW w:w="6129" w:type="dxa"/>
          </w:tcPr>
          <w:p w14:paraId="3379B921" w14:textId="77777777" w:rsidR="00A90923" w:rsidRPr="003F2447" w:rsidRDefault="00A90923" w:rsidP="00A90923">
            <w:pPr>
              <w:pStyle w:val="ListBullet"/>
              <w:numPr>
                <w:ilvl w:val="0"/>
                <w:numId w:val="21"/>
              </w:numPr>
              <w:spacing w:after="120" w:line="240" w:lineRule="auto"/>
            </w:pPr>
            <w:r w:rsidRPr="003F2447">
              <w:t>Curtin University of Technology</w:t>
            </w:r>
          </w:p>
          <w:p w14:paraId="6F6D085C" w14:textId="6CD22902" w:rsidR="002D40F3" w:rsidRDefault="002D40F3" w:rsidP="00A90923">
            <w:pPr>
              <w:pStyle w:val="ListBullet"/>
              <w:numPr>
                <w:ilvl w:val="0"/>
                <w:numId w:val="21"/>
              </w:numPr>
              <w:spacing w:after="120" w:line="240" w:lineRule="auto"/>
            </w:pPr>
            <w:r>
              <w:t>Deakin University</w:t>
            </w:r>
            <w:r w:rsidR="00D22F63">
              <w:rPr>
                <w:rStyle w:val="FootnoteReference"/>
              </w:rPr>
              <w:footnoteReference w:id="1"/>
            </w:r>
          </w:p>
          <w:p w14:paraId="5FBFE52D" w14:textId="7C2D42EA" w:rsidR="00A90923" w:rsidRPr="003F2447" w:rsidRDefault="00A90923" w:rsidP="00A90923">
            <w:pPr>
              <w:pStyle w:val="ListBullet"/>
              <w:numPr>
                <w:ilvl w:val="0"/>
                <w:numId w:val="21"/>
              </w:numPr>
              <w:spacing w:after="120" w:line="240" w:lineRule="auto"/>
            </w:pPr>
            <w:r w:rsidRPr="003F2447">
              <w:t>RMIT University</w:t>
            </w:r>
          </w:p>
          <w:p w14:paraId="5FC7E668" w14:textId="77777777" w:rsidR="00A90923" w:rsidRPr="003F2447" w:rsidRDefault="00A90923" w:rsidP="00A90923">
            <w:pPr>
              <w:pStyle w:val="ListBullet"/>
              <w:numPr>
                <w:ilvl w:val="0"/>
                <w:numId w:val="21"/>
              </w:numPr>
              <w:spacing w:after="120" w:line="240" w:lineRule="auto"/>
            </w:pPr>
            <w:r w:rsidRPr="003F2447">
              <w:t>University of South Australia</w:t>
            </w:r>
          </w:p>
          <w:p w14:paraId="12DF15AD" w14:textId="77777777" w:rsidR="00A90923" w:rsidRPr="00876311" w:rsidRDefault="00A90923" w:rsidP="00A90923">
            <w:pPr>
              <w:pStyle w:val="ListBullet"/>
              <w:numPr>
                <w:ilvl w:val="0"/>
                <w:numId w:val="21"/>
              </w:numPr>
              <w:spacing w:after="120" w:line="240" w:lineRule="auto"/>
            </w:pPr>
            <w:r w:rsidRPr="003F2447">
              <w:t>University of Technology, Sydney</w:t>
            </w:r>
            <w:r w:rsidRPr="003F2447" w:rsidDel="00B20804">
              <w:rPr>
                <w:b/>
              </w:rPr>
              <w:t xml:space="preserve"> </w:t>
            </w:r>
          </w:p>
        </w:tc>
      </w:tr>
      <w:tr w:rsidR="00A90923" w14:paraId="4A0E727C" w14:textId="77777777" w:rsidTr="007C28EC">
        <w:trPr>
          <w:trHeight w:val="60"/>
        </w:trPr>
        <w:tc>
          <w:tcPr>
            <w:tcW w:w="2802" w:type="dxa"/>
          </w:tcPr>
          <w:p w14:paraId="6313D89D" w14:textId="6DC14465" w:rsidR="00A90923" w:rsidRDefault="00A90923" w:rsidP="007C28EC">
            <w:pPr>
              <w:spacing w:after="120"/>
              <w:rPr>
                <w:rFonts w:ascii="Calibri" w:hAnsi="Calibri"/>
              </w:rPr>
            </w:pPr>
            <w:r w:rsidRPr="00522CD1">
              <w:t>Group of Eight</w:t>
            </w:r>
            <w:r w:rsidR="00BA703C">
              <w:t xml:space="preserve"> (Go8)</w:t>
            </w:r>
          </w:p>
        </w:tc>
        <w:tc>
          <w:tcPr>
            <w:tcW w:w="6129" w:type="dxa"/>
          </w:tcPr>
          <w:p w14:paraId="0B69F8CC" w14:textId="77777777" w:rsidR="00A90923" w:rsidRPr="003F2447" w:rsidRDefault="00A90923" w:rsidP="00A90923">
            <w:pPr>
              <w:pStyle w:val="ListBullet"/>
              <w:numPr>
                <w:ilvl w:val="0"/>
                <w:numId w:val="21"/>
              </w:numPr>
              <w:spacing w:after="120" w:line="240" w:lineRule="auto"/>
            </w:pPr>
            <w:r w:rsidRPr="003F2447">
              <w:t>Monash University</w:t>
            </w:r>
          </w:p>
          <w:p w14:paraId="7B7A63F3" w14:textId="77777777" w:rsidR="00A90923" w:rsidRPr="003F2447" w:rsidRDefault="00A90923" w:rsidP="00A90923">
            <w:pPr>
              <w:pStyle w:val="ListBullet"/>
              <w:numPr>
                <w:ilvl w:val="0"/>
                <w:numId w:val="21"/>
              </w:numPr>
              <w:spacing w:after="120" w:line="240" w:lineRule="auto"/>
            </w:pPr>
            <w:r w:rsidRPr="003F2447">
              <w:t>The Australian National University</w:t>
            </w:r>
          </w:p>
          <w:p w14:paraId="21596A2C" w14:textId="77777777" w:rsidR="00A90923" w:rsidRPr="003F2447" w:rsidRDefault="00A90923" w:rsidP="00A90923">
            <w:pPr>
              <w:pStyle w:val="ListBullet"/>
              <w:numPr>
                <w:ilvl w:val="0"/>
                <w:numId w:val="21"/>
              </w:numPr>
              <w:spacing w:after="120" w:line="240" w:lineRule="auto"/>
            </w:pPr>
            <w:r w:rsidRPr="003F2447">
              <w:t>The University of Adelaide</w:t>
            </w:r>
          </w:p>
          <w:p w14:paraId="7E4AEE6D" w14:textId="77777777" w:rsidR="00A90923" w:rsidRPr="003F2447" w:rsidRDefault="00A90923" w:rsidP="00A90923">
            <w:pPr>
              <w:pStyle w:val="ListBullet"/>
              <w:numPr>
                <w:ilvl w:val="0"/>
                <w:numId w:val="21"/>
              </w:numPr>
              <w:spacing w:after="120" w:line="240" w:lineRule="auto"/>
            </w:pPr>
            <w:r w:rsidRPr="003F2447">
              <w:t>The University of Melbourne</w:t>
            </w:r>
          </w:p>
          <w:p w14:paraId="1BA9C0A3" w14:textId="77777777" w:rsidR="00A90923" w:rsidRPr="003F2447" w:rsidRDefault="00A90923" w:rsidP="00A90923">
            <w:pPr>
              <w:pStyle w:val="ListBullet"/>
              <w:numPr>
                <w:ilvl w:val="0"/>
                <w:numId w:val="21"/>
              </w:numPr>
              <w:spacing w:after="120" w:line="240" w:lineRule="auto"/>
            </w:pPr>
            <w:r w:rsidRPr="003F2447">
              <w:t>The University of New South Wales</w:t>
            </w:r>
          </w:p>
          <w:p w14:paraId="5A4FFC90" w14:textId="77777777" w:rsidR="00A90923" w:rsidRPr="003F2447" w:rsidRDefault="00A90923" w:rsidP="00A90923">
            <w:pPr>
              <w:pStyle w:val="ListBullet"/>
              <w:numPr>
                <w:ilvl w:val="0"/>
                <w:numId w:val="21"/>
              </w:numPr>
              <w:spacing w:after="120" w:line="240" w:lineRule="auto"/>
            </w:pPr>
            <w:r w:rsidRPr="003F2447">
              <w:t>The University of Queensland</w:t>
            </w:r>
          </w:p>
          <w:p w14:paraId="499907DD" w14:textId="77777777" w:rsidR="00A90923" w:rsidRPr="003F2447" w:rsidRDefault="00A90923" w:rsidP="00A90923">
            <w:pPr>
              <w:pStyle w:val="ListBullet"/>
              <w:numPr>
                <w:ilvl w:val="0"/>
                <w:numId w:val="21"/>
              </w:numPr>
              <w:spacing w:after="120" w:line="240" w:lineRule="auto"/>
            </w:pPr>
            <w:r w:rsidRPr="003F2447">
              <w:t>The University of Sydney</w:t>
            </w:r>
          </w:p>
          <w:p w14:paraId="0ECF842D" w14:textId="77777777" w:rsidR="00A90923" w:rsidRPr="003F2447" w:rsidRDefault="00A90923" w:rsidP="00A90923">
            <w:pPr>
              <w:pStyle w:val="ListBullet"/>
              <w:numPr>
                <w:ilvl w:val="0"/>
                <w:numId w:val="21"/>
              </w:numPr>
              <w:spacing w:after="120" w:line="240" w:lineRule="auto"/>
            </w:pPr>
            <w:r w:rsidRPr="003F2447">
              <w:t xml:space="preserve">The University of Western </w:t>
            </w:r>
            <w:r>
              <w:t>Australia</w:t>
            </w:r>
          </w:p>
        </w:tc>
      </w:tr>
      <w:tr w:rsidR="00A90923" w14:paraId="48337A91" w14:textId="77777777" w:rsidTr="007C28EC">
        <w:trPr>
          <w:trHeight w:val="60"/>
        </w:trPr>
        <w:tc>
          <w:tcPr>
            <w:tcW w:w="2802" w:type="dxa"/>
          </w:tcPr>
          <w:p w14:paraId="274AEB78" w14:textId="14BFADD0" w:rsidR="00A90923" w:rsidRPr="00522CD1" w:rsidRDefault="00A90923" w:rsidP="007C28EC">
            <w:pPr>
              <w:spacing w:after="120"/>
            </w:pPr>
            <w:r w:rsidRPr="00522CD1">
              <w:t>Innovative Research Universities</w:t>
            </w:r>
            <w:r w:rsidR="00BA703C">
              <w:t xml:space="preserve"> (IRU)</w:t>
            </w:r>
          </w:p>
        </w:tc>
        <w:tc>
          <w:tcPr>
            <w:tcW w:w="6129" w:type="dxa"/>
          </w:tcPr>
          <w:p w14:paraId="00382E11" w14:textId="77777777" w:rsidR="00A90923" w:rsidRPr="003F2447" w:rsidRDefault="00A90923" w:rsidP="00A90923">
            <w:pPr>
              <w:pStyle w:val="ListBullet"/>
              <w:numPr>
                <w:ilvl w:val="0"/>
                <w:numId w:val="21"/>
              </w:numPr>
              <w:spacing w:after="120" w:line="240" w:lineRule="auto"/>
            </w:pPr>
            <w:r w:rsidRPr="003F2447">
              <w:t>Charles Darwin University</w:t>
            </w:r>
          </w:p>
          <w:p w14:paraId="064C02FE" w14:textId="77777777" w:rsidR="00A90923" w:rsidRPr="003F2447" w:rsidRDefault="00A90923" w:rsidP="00A90923">
            <w:pPr>
              <w:pStyle w:val="ListBullet"/>
              <w:numPr>
                <w:ilvl w:val="0"/>
                <w:numId w:val="21"/>
              </w:numPr>
              <w:spacing w:after="120" w:line="240" w:lineRule="auto"/>
            </w:pPr>
            <w:r w:rsidRPr="003F2447">
              <w:t>Flinders University of South Australia</w:t>
            </w:r>
          </w:p>
          <w:p w14:paraId="2D1B8253" w14:textId="77777777" w:rsidR="00A90923" w:rsidRPr="003F2447" w:rsidRDefault="00A90923" w:rsidP="00A90923">
            <w:pPr>
              <w:pStyle w:val="ListBullet"/>
              <w:numPr>
                <w:ilvl w:val="0"/>
                <w:numId w:val="21"/>
              </w:numPr>
              <w:spacing w:after="120" w:line="240" w:lineRule="auto"/>
            </w:pPr>
            <w:r w:rsidRPr="003F2447">
              <w:t>Griffith University</w:t>
            </w:r>
          </w:p>
          <w:p w14:paraId="136366E8" w14:textId="77777777" w:rsidR="00A90923" w:rsidRPr="003F2447" w:rsidRDefault="00A90923" w:rsidP="00A90923">
            <w:pPr>
              <w:pStyle w:val="ListBullet"/>
              <w:numPr>
                <w:ilvl w:val="0"/>
                <w:numId w:val="21"/>
              </w:numPr>
              <w:spacing w:after="120" w:line="240" w:lineRule="auto"/>
            </w:pPr>
            <w:r w:rsidRPr="003F2447">
              <w:t>James Cook University</w:t>
            </w:r>
          </w:p>
          <w:p w14:paraId="676FA124" w14:textId="77777777" w:rsidR="00A90923" w:rsidRPr="003F2447" w:rsidRDefault="00A90923" w:rsidP="00A90923">
            <w:pPr>
              <w:pStyle w:val="ListBullet"/>
              <w:numPr>
                <w:ilvl w:val="0"/>
                <w:numId w:val="21"/>
              </w:numPr>
              <w:spacing w:after="120" w:line="240" w:lineRule="auto"/>
            </w:pPr>
            <w:r w:rsidRPr="003F2447">
              <w:t>La Trobe University</w:t>
            </w:r>
          </w:p>
          <w:p w14:paraId="4085D5E1" w14:textId="77777777" w:rsidR="00A90923" w:rsidRDefault="00A90923" w:rsidP="00A90923">
            <w:pPr>
              <w:pStyle w:val="ListBullet"/>
              <w:numPr>
                <w:ilvl w:val="0"/>
                <w:numId w:val="21"/>
              </w:numPr>
              <w:spacing w:after="120" w:line="240" w:lineRule="auto"/>
            </w:pPr>
            <w:r>
              <w:t>Murdoch University</w:t>
            </w:r>
          </w:p>
          <w:p w14:paraId="696AFB31" w14:textId="441B77DD" w:rsidR="00A90923" w:rsidRPr="003F2447" w:rsidRDefault="00A90923" w:rsidP="00A90923">
            <w:pPr>
              <w:pStyle w:val="ListBullet"/>
              <w:numPr>
                <w:ilvl w:val="0"/>
                <w:numId w:val="21"/>
              </w:numPr>
              <w:spacing w:after="120" w:line="240" w:lineRule="auto"/>
            </w:pPr>
            <w:r>
              <w:t>Western Sydney University</w:t>
            </w:r>
          </w:p>
        </w:tc>
      </w:tr>
      <w:tr w:rsidR="00A90923" w14:paraId="0C15519B" w14:textId="77777777" w:rsidTr="007C28EC">
        <w:trPr>
          <w:trHeight w:val="60"/>
        </w:trPr>
        <w:tc>
          <w:tcPr>
            <w:tcW w:w="2802" w:type="dxa"/>
          </w:tcPr>
          <w:p w14:paraId="79F1D880" w14:textId="045519D2" w:rsidR="00A90923" w:rsidRPr="00522CD1" w:rsidRDefault="00A90923" w:rsidP="007C28EC">
            <w:pPr>
              <w:spacing w:after="120"/>
            </w:pPr>
            <w:r w:rsidRPr="00522CD1">
              <w:lastRenderedPageBreak/>
              <w:t>Regional Universities Network</w:t>
            </w:r>
            <w:r>
              <w:t xml:space="preserve"> (RUN)</w:t>
            </w:r>
          </w:p>
        </w:tc>
        <w:tc>
          <w:tcPr>
            <w:tcW w:w="6129" w:type="dxa"/>
          </w:tcPr>
          <w:p w14:paraId="7A52CA9B" w14:textId="77777777" w:rsidR="00BA703C" w:rsidRDefault="00BA703C" w:rsidP="00A90923">
            <w:pPr>
              <w:pStyle w:val="ListBullet"/>
              <w:numPr>
                <w:ilvl w:val="0"/>
                <w:numId w:val="21"/>
              </w:numPr>
              <w:spacing w:after="120" w:line="240" w:lineRule="auto"/>
            </w:pPr>
            <w:r>
              <w:t>Charles Sturt University</w:t>
            </w:r>
          </w:p>
          <w:p w14:paraId="4E0B9FCF" w14:textId="18D9E5D5" w:rsidR="00A90923" w:rsidRDefault="00A90923" w:rsidP="00A90923">
            <w:pPr>
              <w:pStyle w:val="ListBullet"/>
              <w:numPr>
                <w:ilvl w:val="0"/>
                <w:numId w:val="21"/>
              </w:numPr>
              <w:spacing w:after="120" w:line="240" w:lineRule="auto"/>
            </w:pPr>
            <w:r w:rsidRPr="003F2447">
              <w:t>Central Queensland University</w:t>
            </w:r>
          </w:p>
          <w:p w14:paraId="2EFEA509" w14:textId="77777777" w:rsidR="00A90923" w:rsidRDefault="00A90923" w:rsidP="00A90923">
            <w:pPr>
              <w:pStyle w:val="ListBullet"/>
              <w:numPr>
                <w:ilvl w:val="0"/>
                <w:numId w:val="21"/>
              </w:numPr>
              <w:spacing w:after="120" w:line="240" w:lineRule="auto"/>
            </w:pPr>
            <w:r w:rsidRPr="003F2447">
              <w:t xml:space="preserve">Southern Cross University </w:t>
            </w:r>
          </w:p>
          <w:p w14:paraId="7A0E2621" w14:textId="77777777" w:rsidR="00A90923" w:rsidRDefault="00A90923" w:rsidP="00A90923">
            <w:pPr>
              <w:pStyle w:val="ListBullet"/>
              <w:numPr>
                <w:ilvl w:val="0"/>
                <w:numId w:val="21"/>
              </w:numPr>
              <w:spacing w:after="120" w:line="240" w:lineRule="auto"/>
            </w:pPr>
            <w:r>
              <w:t>Federation University of Australia</w:t>
            </w:r>
            <w:r w:rsidRPr="003F2447">
              <w:t xml:space="preserve"> </w:t>
            </w:r>
          </w:p>
          <w:p w14:paraId="0BD9B45B" w14:textId="77777777" w:rsidR="00A90923" w:rsidRDefault="00A90923" w:rsidP="00A90923">
            <w:pPr>
              <w:pStyle w:val="ListBullet"/>
              <w:numPr>
                <w:ilvl w:val="0"/>
                <w:numId w:val="21"/>
              </w:numPr>
              <w:spacing w:after="120" w:line="240" w:lineRule="auto"/>
            </w:pPr>
            <w:r w:rsidRPr="003F2447">
              <w:t>University of New England</w:t>
            </w:r>
          </w:p>
          <w:p w14:paraId="39E8BDFB" w14:textId="77777777" w:rsidR="00A90923" w:rsidRDefault="00A90923" w:rsidP="00A90923">
            <w:pPr>
              <w:pStyle w:val="ListBullet"/>
              <w:numPr>
                <w:ilvl w:val="0"/>
                <w:numId w:val="21"/>
              </w:numPr>
              <w:spacing w:after="120" w:line="240" w:lineRule="auto"/>
            </w:pPr>
            <w:r w:rsidRPr="003F2447">
              <w:t>Unive</w:t>
            </w:r>
            <w:r>
              <w:t>rsity of Southern Queensland</w:t>
            </w:r>
          </w:p>
          <w:p w14:paraId="49242E69" w14:textId="27446D67" w:rsidR="00A90923" w:rsidRPr="00BA703C" w:rsidRDefault="00A90923" w:rsidP="00BA703C">
            <w:pPr>
              <w:pStyle w:val="ListBullet"/>
              <w:numPr>
                <w:ilvl w:val="0"/>
                <w:numId w:val="21"/>
              </w:numPr>
              <w:spacing w:after="120" w:line="240" w:lineRule="auto"/>
            </w:pPr>
            <w:r>
              <w:t>University of Sunshine Coast</w:t>
            </w:r>
          </w:p>
        </w:tc>
      </w:tr>
      <w:tr w:rsidR="00BA703C" w14:paraId="1637AAE4" w14:textId="77777777" w:rsidTr="007C28EC">
        <w:trPr>
          <w:trHeight w:val="60"/>
        </w:trPr>
        <w:tc>
          <w:tcPr>
            <w:tcW w:w="2802" w:type="dxa"/>
          </w:tcPr>
          <w:p w14:paraId="43FBE9E1" w14:textId="49BD0302" w:rsidR="00BA703C" w:rsidRPr="00522CD1" w:rsidRDefault="00BA703C" w:rsidP="007C28EC">
            <w:pPr>
              <w:spacing w:after="120"/>
            </w:pPr>
            <w:r>
              <w:t>Non-aligned</w:t>
            </w:r>
          </w:p>
        </w:tc>
        <w:tc>
          <w:tcPr>
            <w:tcW w:w="6129" w:type="dxa"/>
          </w:tcPr>
          <w:p w14:paraId="51EF6E60" w14:textId="78F03362" w:rsidR="00BA703C" w:rsidRPr="002D40F3" w:rsidRDefault="00BA703C" w:rsidP="002D40F3">
            <w:pPr>
              <w:pStyle w:val="ListBullet"/>
              <w:numPr>
                <w:ilvl w:val="0"/>
                <w:numId w:val="21"/>
              </w:numPr>
              <w:spacing w:after="120" w:line="240" w:lineRule="auto"/>
            </w:pPr>
            <w:r>
              <w:t>Australian Catholic University</w:t>
            </w:r>
          </w:p>
          <w:p w14:paraId="696A38B5" w14:textId="77777777" w:rsidR="00BA703C" w:rsidRDefault="00BA703C" w:rsidP="00BA703C">
            <w:pPr>
              <w:pStyle w:val="ListBullet"/>
              <w:numPr>
                <w:ilvl w:val="0"/>
                <w:numId w:val="21"/>
              </w:numPr>
              <w:spacing w:after="120" w:line="240" w:lineRule="auto"/>
            </w:pPr>
            <w:r>
              <w:t>Edith Cowan University</w:t>
            </w:r>
          </w:p>
          <w:p w14:paraId="2B0E5DCF" w14:textId="77777777" w:rsidR="00BA703C" w:rsidRDefault="00BA703C" w:rsidP="00BA703C">
            <w:pPr>
              <w:pStyle w:val="ListBullet"/>
              <w:numPr>
                <w:ilvl w:val="0"/>
                <w:numId w:val="21"/>
              </w:numPr>
              <w:spacing w:after="120" w:line="240" w:lineRule="auto"/>
            </w:pPr>
            <w:r>
              <w:t>Macquarie University</w:t>
            </w:r>
          </w:p>
          <w:p w14:paraId="613190CF" w14:textId="77777777" w:rsidR="00BA703C" w:rsidRDefault="00BA703C" w:rsidP="00BA703C">
            <w:pPr>
              <w:pStyle w:val="ListBullet"/>
              <w:numPr>
                <w:ilvl w:val="0"/>
                <w:numId w:val="21"/>
              </w:numPr>
              <w:spacing w:after="120" w:line="240" w:lineRule="auto"/>
            </w:pPr>
            <w:r w:rsidRPr="004165EF">
              <w:t>Swin</w:t>
            </w:r>
            <w:r>
              <w:t>burne University of Technology</w:t>
            </w:r>
          </w:p>
          <w:p w14:paraId="18795ED0" w14:textId="77777777" w:rsidR="00BA703C" w:rsidRDefault="00BA703C" w:rsidP="00BA703C">
            <w:pPr>
              <w:pStyle w:val="ListBullet"/>
              <w:numPr>
                <w:ilvl w:val="0"/>
                <w:numId w:val="21"/>
              </w:numPr>
              <w:spacing w:after="120" w:line="240" w:lineRule="auto"/>
            </w:pPr>
            <w:r>
              <w:t>Queensland University of Technology</w:t>
            </w:r>
          </w:p>
          <w:p w14:paraId="458D4165" w14:textId="46612947" w:rsidR="00BA703C" w:rsidRDefault="00BA703C" w:rsidP="00BA703C">
            <w:pPr>
              <w:pStyle w:val="ListBullet"/>
              <w:numPr>
                <w:ilvl w:val="0"/>
                <w:numId w:val="21"/>
              </w:numPr>
              <w:spacing w:after="120" w:line="240" w:lineRule="auto"/>
            </w:pPr>
            <w:r>
              <w:t>University of Canberra</w:t>
            </w:r>
          </w:p>
          <w:p w14:paraId="5712A49E" w14:textId="77777777" w:rsidR="00BA703C" w:rsidRDefault="00BA703C" w:rsidP="00BA703C">
            <w:pPr>
              <w:pStyle w:val="ListBullet"/>
              <w:numPr>
                <w:ilvl w:val="0"/>
                <w:numId w:val="21"/>
              </w:numPr>
              <w:spacing w:after="120" w:line="240" w:lineRule="auto"/>
            </w:pPr>
            <w:r w:rsidRPr="00683DFB">
              <w:t>The University of Newcastle</w:t>
            </w:r>
          </w:p>
          <w:p w14:paraId="014234F1" w14:textId="77777777" w:rsidR="00BA703C" w:rsidRDefault="00BA703C" w:rsidP="00BA703C">
            <w:pPr>
              <w:pStyle w:val="ListBullet"/>
              <w:numPr>
                <w:ilvl w:val="0"/>
                <w:numId w:val="21"/>
              </w:numPr>
              <w:spacing w:after="120" w:line="240" w:lineRule="auto"/>
            </w:pPr>
            <w:r>
              <w:t>University of Tasmania</w:t>
            </w:r>
          </w:p>
          <w:p w14:paraId="63F5B879" w14:textId="77777777" w:rsidR="00BA703C" w:rsidRDefault="00BA703C" w:rsidP="00BA703C">
            <w:pPr>
              <w:pStyle w:val="ListBullet"/>
              <w:numPr>
                <w:ilvl w:val="0"/>
                <w:numId w:val="21"/>
              </w:numPr>
              <w:spacing w:after="120" w:line="240" w:lineRule="auto"/>
            </w:pPr>
            <w:r>
              <w:t>University of Wollongong</w:t>
            </w:r>
          </w:p>
          <w:p w14:paraId="32482EC9" w14:textId="1EEE3D66" w:rsidR="00BA703C" w:rsidRPr="00BA703C" w:rsidRDefault="00BA703C" w:rsidP="00BA703C">
            <w:pPr>
              <w:pStyle w:val="ListBullet"/>
              <w:numPr>
                <w:ilvl w:val="0"/>
                <w:numId w:val="21"/>
              </w:numPr>
              <w:spacing w:after="120" w:line="240" w:lineRule="auto"/>
            </w:pPr>
            <w:r w:rsidRPr="004165EF">
              <w:t>Victoria University</w:t>
            </w:r>
          </w:p>
        </w:tc>
      </w:tr>
      <w:tr w:rsidR="00A90923" w14:paraId="774B4788" w14:textId="77777777" w:rsidTr="00F920B8">
        <w:trPr>
          <w:trHeight w:val="60"/>
        </w:trPr>
        <w:tc>
          <w:tcPr>
            <w:tcW w:w="8931" w:type="dxa"/>
            <w:gridSpan w:val="2"/>
            <w:shd w:val="clear" w:color="auto" w:fill="FFC000"/>
          </w:tcPr>
          <w:p w14:paraId="28E86A85" w14:textId="619A7247" w:rsidR="00A90923" w:rsidRPr="00185561" w:rsidRDefault="00A90923" w:rsidP="007C28EC">
            <w:pPr>
              <w:pStyle w:val="ListBullet"/>
              <w:numPr>
                <w:ilvl w:val="0"/>
                <w:numId w:val="0"/>
              </w:numPr>
              <w:ind w:left="360" w:hanging="360"/>
              <w:rPr>
                <w:b/>
              </w:rPr>
            </w:pPr>
          </w:p>
        </w:tc>
      </w:tr>
      <w:tr w:rsidR="00A90923" w14:paraId="498CB243" w14:textId="77777777" w:rsidTr="007C28EC">
        <w:trPr>
          <w:trHeight w:val="60"/>
        </w:trPr>
        <w:tc>
          <w:tcPr>
            <w:tcW w:w="8931" w:type="dxa"/>
            <w:gridSpan w:val="2"/>
          </w:tcPr>
          <w:p w14:paraId="109BF182" w14:textId="7D1EE6A8" w:rsidR="00A90923" w:rsidRPr="003F2447" w:rsidRDefault="00A90923" w:rsidP="00BA703C">
            <w:pPr>
              <w:pStyle w:val="ListBullet"/>
              <w:numPr>
                <w:ilvl w:val="0"/>
                <w:numId w:val="0"/>
              </w:numPr>
              <w:spacing w:after="120" w:line="240" w:lineRule="auto"/>
              <w:ind w:left="357" w:hanging="357"/>
            </w:pPr>
          </w:p>
        </w:tc>
      </w:tr>
    </w:tbl>
    <w:p w14:paraId="5E8C3A3C" w14:textId="4FCC4D47" w:rsidR="00A56FC7" w:rsidRPr="00F920B8" w:rsidRDefault="00A56FC7" w:rsidP="00F920B8">
      <w:pPr>
        <w:spacing w:before="120" w:after="0" w:line="240" w:lineRule="auto"/>
        <w:rPr>
          <w:sz w:val="18"/>
        </w:rPr>
      </w:pPr>
    </w:p>
    <w:sectPr w:rsidR="00A56FC7" w:rsidRPr="00F920B8" w:rsidSect="00DF783D">
      <w:headerReference w:type="default" r:id="rId21"/>
      <w:footerReference w:type="default" r:id="rId22"/>
      <w:type w:val="continuous"/>
      <w:pgSz w:w="11906" w:h="16838"/>
      <w:pgMar w:top="1985" w:right="1440" w:bottom="1440"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AFA10" w14:textId="77777777" w:rsidR="00BD3050" w:rsidRDefault="00BD3050" w:rsidP="0051352E">
      <w:pPr>
        <w:spacing w:after="0" w:line="240" w:lineRule="auto"/>
      </w:pPr>
      <w:r>
        <w:separator/>
      </w:r>
    </w:p>
  </w:endnote>
  <w:endnote w:type="continuationSeparator" w:id="0">
    <w:p w14:paraId="314E0DCE" w14:textId="77777777" w:rsidR="00BD3050" w:rsidRDefault="00BD305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2CF2" w14:textId="77777777" w:rsidR="00EA67FC" w:rsidRDefault="00EA67FC">
    <w:pPr>
      <w:pStyle w:val="Footer"/>
      <w:jc w:val="right"/>
    </w:pPr>
  </w:p>
  <w:p w14:paraId="073AF9E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A52A" w14:textId="579F7DBA" w:rsidR="00F2205B" w:rsidRDefault="00F13218"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2A3044">
          <w:fldChar w:fldCharType="begin"/>
        </w:r>
        <w:r w:rsidR="002A3044">
          <w:instrText xml:space="preserve"> PAGE   \* MERGEFORMAT </w:instrText>
        </w:r>
        <w:r w:rsidR="002A3044">
          <w:fldChar w:fldCharType="separate"/>
        </w:r>
        <w:r w:rsidR="00D53AAC">
          <w:rPr>
            <w:noProof/>
          </w:rPr>
          <w:t>11</w:t>
        </w:r>
        <w:r w:rsidR="002A304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342B" w14:textId="77777777" w:rsidR="00BD3050" w:rsidRDefault="00BD3050" w:rsidP="0051352E">
      <w:pPr>
        <w:spacing w:after="0" w:line="240" w:lineRule="auto"/>
      </w:pPr>
      <w:r>
        <w:separator/>
      </w:r>
    </w:p>
  </w:footnote>
  <w:footnote w:type="continuationSeparator" w:id="0">
    <w:p w14:paraId="469C916A" w14:textId="77777777" w:rsidR="00BD3050" w:rsidRDefault="00BD3050" w:rsidP="0051352E">
      <w:pPr>
        <w:spacing w:after="0" w:line="240" w:lineRule="auto"/>
      </w:pPr>
      <w:r>
        <w:continuationSeparator/>
      </w:r>
    </w:p>
  </w:footnote>
  <w:footnote w:id="1">
    <w:p w14:paraId="557C15C1" w14:textId="77777777" w:rsidR="00D22F63" w:rsidRDefault="00D22F63" w:rsidP="00D22F63">
      <w:pPr>
        <w:pStyle w:val="FootnoteText"/>
      </w:pPr>
      <w:r>
        <w:rPr>
          <w:rStyle w:val="FootnoteReference"/>
        </w:rPr>
        <w:footnoteRef/>
      </w:r>
      <w:r>
        <w:t xml:space="preserve"> Deakin University joined the </w:t>
      </w:r>
      <w:r w:rsidRPr="00113140">
        <w:t>Australian Technology Network</w:t>
      </w:r>
      <w:r>
        <w:t xml:space="preserve"> universities on 8 December 2020. For comparison purposes Deakin University is included in the ATN group in 2020 as well as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75F8" w14:textId="6FCBB54E" w:rsidR="00F2205B" w:rsidRDefault="002A3044" w:rsidP="00560CA0">
    <w:pPr>
      <w:pStyle w:val="Header"/>
      <w:jc w:val="right"/>
    </w:pPr>
    <w:r>
      <w:t>Undergraduate applications, offers and acceptances 202</w:t>
    </w:r>
    <w:r w:rsidR="00AE57C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883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86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72C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561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50B6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AA6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A7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744C6"/>
    <w:multiLevelType w:val="hybridMultilevel"/>
    <w:tmpl w:val="666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ABF5942"/>
    <w:multiLevelType w:val="hybridMultilevel"/>
    <w:tmpl w:val="0B566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E5153A"/>
    <w:multiLevelType w:val="hybridMultilevel"/>
    <w:tmpl w:val="0B60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BA5C77"/>
    <w:multiLevelType w:val="multilevel"/>
    <w:tmpl w:val="FF4E1B02"/>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DF53CC"/>
    <w:multiLevelType w:val="hybridMultilevel"/>
    <w:tmpl w:val="2104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6F4B64"/>
    <w:multiLevelType w:val="hybridMultilevel"/>
    <w:tmpl w:val="F3A0043A"/>
    <w:lvl w:ilvl="0" w:tplc="EC7E240C">
      <w:start w:val="1"/>
      <w:numFmt w:val="decimal"/>
      <w:lvlText w:val="%1."/>
      <w:lvlJc w:val="left"/>
      <w:pPr>
        <w:ind w:left="786"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2794ACE"/>
    <w:multiLevelType w:val="hybridMultilevel"/>
    <w:tmpl w:val="FEFA4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FA076CE"/>
    <w:multiLevelType w:val="hybridMultilevel"/>
    <w:tmpl w:val="6C6251B0"/>
    <w:lvl w:ilvl="0" w:tplc="52C81AA4">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2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13"/>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26"/>
  </w:num>
  <w:num w:numId="26">
    <w:abstractNumId w:val="16"/>
  </w:num>
  <w:num w:numId="27">
    <w:abstractNumId w:val="20"/>
  </w:num>
  <w:num w:numId="28">
    <w:abstractNumId w:val="24"/>
  </w:num>
  <w:num w:numId="29">
    <w:abstractNumId w:val="18"/>
  </w:num>
  <w:num w:numId="30">
    <w:abstractNumId w:val="15"/>
  </w:num>
  <w:num w:numId="31">
    <w:abstractNumId w:val="19"/>
  </w:num>
  <w:num w:numId="32">
    <w:abstractNumId w:val="19"/>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50"/>
    <w:rsid w:val="00001680"/>
    <w:rsid w:val="00043C06"/>
    <w:rsid w:val="00052BBC"/>
    <w:rsid w:val="000A453D"/>
    <w:rsid w:val="000E2CB0"/>
    <w:rsid w:val="000E3D80"/>
    <w:rsid w:val="00113140"/>
    <w:rsid w:val="0012081E"/>
    <w:rsid w:val="00137C94"/>
    <w:rsid w:val="00157F35"/>
    <w:rsid w:val="00193353"/>
    <w:rsid w:val="00196D34"/>
    <w:rsid w:val="001B02A0"/>
    <w:rsid w:val="001F751A"/>
    <w:rsid w:val="00200801"/>
    <w:rsid w:val="00217EAB"/>
    <w:rsid w:val="00223816"/>
    <w:rsid w:val="0022498C"/>
    <w:rsid w:val="002724D0"/>
    <w:rsid w:val="002A3044"/>
    <w:rsid w:val="002B1CE5"/>
    <w:rsid w:val="002D40F3"/>
    <w:rsid w:val="002D444C"/>
    <w:rsid w:val="002D74C6"/>
    <w:rsid w:val="002F4DB3"/>
    <w:rsid w:val="00350FFA"/>
    <w:rsid w:val="00382F07"/>
    <w:rsid w:val="003B0826"/>
    <w:rsid w:val="003D44F9"/>
    <w:rsid w:val="00432FA7"/>
    <w:rsid w:val="0044361E"/>
    <w:rsid w:val="00452E84"/>
    <w:rsid w:val="00453C04"/>
    <w:rsid w:val="00497764"/>
    <w:rsid w:val="004E4F0F"/>
    <w:rsid w:val="004E747B"/>
    <w:rsid w:val="00503A13"/>
    <w:rsid w:val="005048E1"/>
    <w:rsid w:val="0051352E"/>
    <w:rsid w:val="00517DA7"/>
    <w:rsid w:val="00520A33"/>
    <w:rsid w:val="005242E0"/>
    <w:rsid w:val="00527AE4"/>
    <w:rsid w:val="00533869"/>
    <w:rsid w:val="0054166E"/>
    <w:rsid w:val="0054402D"/>
    <w:rsid w:val="00566C3C"/>
    <w:rsid w:val="0058535E"/>
    <w:rsid w:val="005B3DE1"/>
    <w:rsid w:val="005C50EE"/>
    <w:rsid w:val="005D3969"/>
    <w:rsid w:val="00614DAF"/>
    <w:rsid w:val="0062688D"/>
    <w:rsid w:val="00630DDF"/>
    <w:rsid w:val="006729A8"/>
    <w:rsid w:val="00693C11"/>
    <w:rsid w:val="006C7D07"/>
    <w:rsid w:val="006E5D6E"/>
    <w:rsid w:val="006F6400"/>
    <w:rsid w:val="0071574B"/>
    <w:rsid w:val="00720D9F"/>
    <w:rsid w:val="00721B03"/>
    <w:rsid w:val="00730DBE"/>
    <w:rsid w:val="00754A08"/>
    <w:rsid w:val="007756C0"/>
    <w:rsid w:val="00781E63"/>
    <w:rsid w:val="007844AB"/>
    <w:rsid w:val="007855CC"/>
    <w:rsid w:val="0078690B"/>
    <w:rsid w:val="007B1ABA"/>
    <w:rsid w:val="007B42DB"/>
    <w:rsid w:val="007B74C5"/>
    <w:rsid w:val="007D250D"/>
    <w:rsid w:val="007E2A98"/>
    <w:rsid w:val="007E4DE1"/>
    <w:rsid w:val="007E6F60"/>
    <w:rsid w:val="007E7835"/>
    <w:rsid w:val="008136A8"/>
    <w:rsid w:val="008507C1"/>
    <w:rsid w:val="00850B4E"/>
    <w:rsid w:val="00861934"/>
    <w:rsid w:val="00864D15"/>
    <w:rsid w:val="008A56A1"/>
    <w:rsid w:val="008C2534"/>
    <w:rsid w:val="008C5649"/>
    <w:rsid w:val="008D7120"/>
    <w:rsid w:val="008E2854"/>
    <w:rsid w:val="008E36A6"/>
    <w:rsid w:val="008F0AC9"/>
    <w:rsid w:val="00907E62"/>
    <w:rsid w:val="00930CDA"/>
    <w:rsid w:val="0093114E"/>
    <w:rsid w:val="0093473D"/>
    <w:rsid w:val="00944006"/>
    <w:rsid w:val="0095636C"/>
    <w:rsid w:val="00972F57"/>
    <w:rsid w:val="00993380"/>
    <w:rsid w:val="00995280"/>
    <w:rsid w:val="009A1AA8"/>
    <w:rsid w:val="009B6046"/>
    <w:rsid w:val="009E00A1"/>
    <w:rsid w:val="009F6E06"/>
    <w:rsid w:val="00A13341"/>
    <w:rsid w:val="00A1478B"/>
    <w:rsid w:val="00A22849"/>
    <w:rsid w:val="00A24E6E"/>
    <w:rsid w:val="00A303E0"/>
    <w:rsid w:val="00A43694"/>
    <w:rsid w:val="00A43ECE"/>
    <w:rsid w:val="00A56FC7"/>
    <w:rsid w:val="00A57D89"/>
    <w:rsid w:val="00A72575"/>
    <w:rsid w:val="00A74071"/>
    <w:rsid w:val="00A81ADE"/>
    <w:rsid w:val="00A90923"/>
    <w:rsid w:val="00AA124A"/>
    <w:rsid w:val="00AA2A96"/>
    <w:rsid w:val="00AA6F5A"/>
    <w:rsid w:val="00AE57C7"/>
    <w:rsid w:val="00B100CC"/>
    <w:rsid w:val="00B14B2B"/>
    <w:rsid w:val="00B1719F"/>
    <w:rsid w:val="00B466A8"/>
    <w:rsid w:val="00B55C68"/>
    <w:rsid w:val="00B6689D"/>
    <w:rsid w:val="00B72368"/>
    <w:rsid w:val="00BA7020"/>
    <w:rsid w:val="00BA703C"/>
    <w:rsid w:val="00BD3050"/>
    <w:rsid w:val="00C45D7C"/>
    <w:rsid w:val="00C54D58"/>
    <w:rsid w:val="00C561F2"/>
    <w:rsid w:val="00C573E1"/>
    <w:rsid w:val="00C64AE1"/>
    <w:rsid w:val="00C75D49"/>
    <w:rsid w:val="00C95DF6"/>
    <w:rsid w:val="00CB0EC5"/>
    <w:rsid w:val="00CB6F81"/>
    <w:rsid w:val="00CD00CD"/>
    <w:rsid w:val="00D040D4"/>
    <w:rsid w:val="00D17E66"/>
    <w:rsid w:val="00D22195"/>
    <w:rsid w:val="00D22F63"/>
    <w:rsid w:val="00D4422E"/>
    <w:rsid w:val="00D53AAC"/>
    <w:rsid w:val="00D84152"/>
    <w:rsid w:val="00D92192"/>
    <w:rsid w:val="00D9759B"/>
    <w:rsid w:val="00DA1B7B"/>
    <w:rsid w:val="00DA63B0"/>
    <w:rsid w:val="00DB79DF"/>
    <w:rsid w:val="00DD28E2"/>
    <w:rsid w:val="00DF153F"/>
    <w:rsid w:val="00DF3361"/>
    <w:rsid w:val="00E06462"/>
    <w:rsid w:val="00E21E3C"/>
    <w:rsid w:val="00E24F64"/>
    <w:rsid w:val="00E426F7"/>
    <w:rsid w:val="00E61DBC"/>
    <w:rsid w:val="00E75D5D"/>
    <w:rsid w:val="00E866AC"/>
    <w:rsid w:val="00EA32F7"/>
    <w:rsid w:val="00EA67FC"/>
    <w:rsid w:val="00ED3309"/>
    <w:rsid w:val="00EF4B26"/>
    <w:rsid w:val="00F02A79"/>
    <w:rsid w:val="00F13218"/>
    <w:rsid w:val="00F20069"/>
    <w:rsid w:val="00F230CD"/>
    <w:rsid w:val="00F51C18"/>
    <w:rsid w:val="00F920B8"/>
    <w:rsid w:val="00F97E55"/>
    <w:rsid w:val="00FA31E2"/>
    <w:rsid w:val="00FC1627"/>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6A3668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8E2854"/>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A909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09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09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11"/>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8E2854"/>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Heading7Char">
    <w:name w:val="Heading 7 Char"/>
    <w:basedOn w:val="DefaultParagraphFont"/>
    <w:link w:val="Heading7"/>
    <w:uiPriority w:val="9"/>
    <w:semiHidden/>
    <w:rsid w:val="00A909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09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0923"/>
    <w:rPr>
      <w:rFonts w:asciiTheme="majorHAnsi" w:eastAsiaTheme="majorEastAsia" w:hAnsiTheme="majorHAnsi" w:cstheme="majorBidi"/>
      <w:i/>
      <w:iCs/>
      <w:spacing w:val="5"/>
      <w:sz w:val="20"/>
      <w:szCs w:val="20"/>
    </w:rPr>
  </w:style>
  <w:style w:type="character" w:styleId="Emphasis">
    <w:name w:val="Emphasis"/>
    <w:uiPriority w:val="20"/>
    <w:qFormat/>
    <w:rsid w:val="00A90923"/>
    <w:rPr>
      <w:b/>
      <w:bCs/>
      <w:i/>
      <w:iCs/>
      <w:spacing w:val="10"/>
      <w:bdr w:val="none" w:sz="0" w:space="0" w:color="auto"/>
      <w:shd w:val="clear" w:color="auto" w:fill="auto"/>
    </w:rPr>
  </w:style>
  <w:style w:type="character" w:styleId="BookTitle">
    <w:name w:val="Book Title"/>
    <w:uiPriority w:val="33"/>
    <w:qFormat/>
    <w:rsid w:val="00A90923"/>
    <w:rPr>
      <w:i/>
      <w:iCs/>
      <w:caps w:val="0"/>
      <w:smallCaps w:val="0"/>
      <w:spacing w:val="5"/>
    </w:rPr>
  </w:style>
  <w:style w:type="paragraph" w:styleId="NoSpacing">
    <w:name w:val="No Spacing"/>
    <w:basedOn w:val="Normal"/>
    <w:link w:val="NoSpacingChar"/>
    <w:uiPriority w:val="1"/>
    <w:qFormat/>
    <w:rsid w:val="00A90923"/>
    <w:pPr>
      <w:spacing w:after="0" w:line="240" w:lineRule="auto"/>
    </w:pPr>
    <w:rPr>
      <w:rFonts w:eastAsiaTheme="minorEastAsia"/>
    </w:rPr>
  </w:style>
  <w:style w:type="paragraph" w:styleId="IntenseQuote">
    <w:name w:val="Intense Quote"/>
    <w:basedOn w:val="Normal"/>
    <w:next w:val="Normal"/>
    <w:link w:val="IntenseQuoteChar"/>
    <w:uiPriority w:val="30"/>
    <w:semiHidden/>
    <w:qFormat/>
    <w:rsid w:val="00A90923"/>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semiHidden/>
    <w:rsid w:val="00A90923"/>
    <w:rPr>
      <w:rFonts w:eastAsiaTheme="minorEastAsia"/>
      <w:b/>
      <w:bCs/>
      <w:i/>
      <w:iCs/>
    </w:rPr>
  </w:style>
  <w:style w:type="character" w:styleId="SubtleEmphasis">
    <w:name w:val="Subtle Emphasis"/>
    <w:uiPriority w:val="19"/>
    <w:semiHidden/>
    <w:qFormat/>
    <w:rsid w:val="00A90923"/>
    <w:rPr>
      <w:i/>
      <w:iCs/>
    </w:rPr>
  </w:style>
  <w:style w:type="character" w:styleId="IntenseEmphasis">
    <w:name w:val="Intense Emphasis"/>
    <w:uiPriority w:val="21"/>
    <w:qFormat/>
    <w:rsid w:val="00A90923"/>
    <w:rPr>
      <w:b/>
      <w:bCs/>
    </w:rPr>
  </w:style>
  <w:style w:type="character" w:styleId="SubtleReference">
    <w:name w:val="Subtle Reference"/>
    <w:uiPriority w:val="31"/>
    <w:semiHidden/>
    <w:qFormat/>
    <w:rsid w:val="00A90923"/>
    <w:rPr>
      <w:smallCaps/>
    </w:rPr>
  </w:style>
  <w:style w:type="character" w:styleId="IntenseReference">
    <w:name w:val="Intense Reference"/>
    <w:uiPriority w:val="32"/>
    <w:semiHidden/>
    <w:qFormat/>
    <w:rsid w:val="00A90923"/>
    <w:rPr>
      <w:smallCaps/>
      <w:spacing w:val="5"/>
      <w:u w:val="single"/>
    </w:rPr>
  </w:style>
  <w:style w:type="paragraph" w:styleId="ListNumber2">
    <w:name w:val="List Number 2"/>
    <w:basedOn w:val="Normal"/>
    <w:uiPriority w:val="99"/>
    <w:unhideWhenUsed/>
    <w:rsid w:val="00A90923"/>
    <w:pPr>
      <w:tabs>
        <w:tab w:val="left" w:pos="1134"/>
      </w:tabs>
      <w:spacing w:after="120"/>
      <w:ind w:left="936" w:hanging="567"/>
      <w:contextualSpacing/>
    </w:pPr>
    <w:rPr>
      <w:rFonts w:eastAsiaTheme="minorEastAsia"/>
    </w:rPr>
  </w:style>
  <w:style w:type="paragraph" w:styleId="ListNumber3">
    <w:name w:val="List Number 3"/>
    <w:basedOn w:val="Normal"/>
    <w:uiPriority w:val="99"/>
    <w:unhideWhenUsed/>
    <w:rsid w:val="00A90923"/>
    <w:pPr>
      <w:spacing w:after="120"/>
      <w:ind w:left="1701" w:hanging="765"/>
      <w:contextualSpacing/>
    </w:pPr>
    <w:rPr>
      <w:rFonts w:eastAsiaTheme="minorEastAsia"/>
    </w:rPr>
  </w:style>
  <w:style w:type="paragraph" w:styleId="ListNumber4">
    <w:name w:val="List Number 4"/>
    <w:basedOn w:val="Normal"/>
    <w:uiPriority w:val="99"/>
    <w:unhideWhenUsed/>
    <w:rsid w:val="00A90923"/>
    <w:pPr>
      <w:spacing w:after="120"/>
      <w:ind w:left="2637" w:hanging="936"/>
      <w:contextualSpacing/>
    </w:pPr>
    <w:rPr>
      <w:rFonts w:eastAsiaTheme="minorEastAsia"/>
    </w:rPr>
  </w:style>
  <w:style w:type="paragraph" w:styleId="ListBullet2">
    <w:name w:val="List Bullet 2"/>
    <w:basedOn w:val="Normal"/>
    <w:uiPriority w:val="99"/>
    <w:unhideWhenUsed/>
    <w:rsid w:val="00A90923"/>
    <w:pPr>
      <w:spacing w:after="120"/>
      <w:ind w:left="766" w:hanging="369"/>
      <w:contextualSpacing/>
    </w:pPr>
    <w:rPr>
      <w:rFonts w:eastAsiaTheme="minorEastAsia"/>
    </w:rPr>
  </w:style>
  <w:style w:type="paragraph" w:styleId="ListBullet3">
    <w:name w:val="List Bullet 3"/>
    <w:basedOn w:val="Normal"/>
    <w:uiPriority w:val="99"/>
    <w:unhideWhenUsed/>
    <w:rsid w:val="00A90923"/>
    <w:pPr>
      <w:spacing w:after="120"/>
      <w:ind w:left="1163" w:hanging="369"/>
      <w:contextualSpacing/>
    </w:pPr>
    <w:rPr>
      <w:rFonts w:eastAsiaTheme="minorEastAsia"/>
    </w:rPr>
  </w:style>
  <w:style w:type="paragraph" w:styleId="ListBullet4">
    <w:name w:val="List Bullet 4"/>
    <w:basedOn w:val="Normal"/>
    <w:uiPriority w:val="99"/>
    <w:unhideWhenUsed/>
    <w:rsid w:val="00A90923"/>
    <w:pPr>
      <w:spacing w:after="120"/>
      <w:ind w:left="1503" w:hanging="369"/>
      <w:contextualSpacing/>
    </w:pPr>
    <w:rPr>
      <w:rFonts w:eastAsiaTheme="minorEastAsia"/>
    </w:rPr>
  </w:style>
  <w:style w:type="table" w:customStyle="1" w:styleId="DEEWRTable">
    <w:name w:val="DEEWR Table"/>
    <w:basedOn w:val="TableNormal"/>
    <w:uiPriority w:val="99"/>
    <w:rsid w:val="00A90923"/>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A9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A9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A90923"/>
    <w:rPr>
      <w:rFonts w:eastAsia="Times New Roman" w:cs="Times New Roman"/>
      <w:szCs w:val="24"/>
      <w:lang w:eastAsia="en-AU"/>
    </w:rPr>
  </w:style>
  <w:style w:type="character" w:customStyle="1" w:styleId="NoSpacingChar">
    <w:name w:val="No Spacing Char"/>
    <w:basedOn w:val="DefaultParagraphFont"/>
    <w:link w:val="NoSpacing"/>
    <w:uiPriority w:val="1"/>
    <w:rsid w:val="00A90923"/>
    <w:rPr>
      <w:rFonts w:eastAsiaTheme="minorEastAsia"/>
    </w:rPr>
  </w:style>
  <w:style w:type="character" w:styleId="PlaceholderText">
    <w:name w:val="Placeholder Text"/>
    <w:basedOn w:val="DefaultParagraphFont"/>
    <w:uiPriority w:val="99"/>
    <w:semiHidden/>
    <w:rsid w:val="00A90923"/>
    <w:rPr>
      <w:color w:val="808080"/>
    </w:rPr>
  </w:style>
  <w:style w:type="paragraph" w:customStyle="1" w:styleId="DeleteText">
    <w:name w:val="Delete Text"/>
    <w:basedOn w:val="Normal"/>
    <w:qFormat/>
    <w:rsid w:val="00A90923"/>
    <w:rPr>
      <w:rFonts w:eastAsiaTheme="minorEastAsia"/>
      <w:color w:val="B6006A" w:themeColor="accent4"/>
    </w:rPr>
  </w:style>
  <w:style w:type="table" w:styleId="ColorfulGrid-Accent1">
    <w:name w:val="Colorful Grid Accent 1"/>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A5E5FF" w:themeFill="accent1" w:themeFillTint="33"/>
    </w:tcPr>
    <w:tblStylePr w:type="firstRow">
      <w:rPr>
        <w:b/>
        <w:bCs/>
      </w:rPr>
      <w:tblPr/>
      <w:tcPr>
        <w:shd w:val="clear" w:color="auto" w:fill="4CCBFF" w:themeFill="accent1" w:themeFillTint="66"/>
      </w:tcPr>
    </w:tblStylePr>
    <w:tblStylePr w:type="lastRow">
      <w:rPr>
        <w:b/>
        <w:bCs/>
        <w:color w:val="000000" w:themeColor="text1"/>
      </w:rPr>
      <w:tblPr/>
      <w:tcPr>
        <w:shd w:val="clear" w:color="auto" w:fill="4CCBFF" w:themeFill="accent1" w:themeFillTint="66"/>
      </w:tcPr>
    </w:tblStylePr>
    <w:tblStylePr w:type="firstCol">
      <w:rPr>
        <w:color w:val="FFFFFF" w:themeColor="background1"/>
      </w:rPr>
      <w:tblPr/>
      <w:tcPr>
        <w:shd w:val="clear" w:color="auto" w:fill="00212F" w:themeFill="accent1" w:themeFillShade="BF"/>
      </w:tcPr>
    </w:tblStylePr>
    <w:tblStylePr w:type="lastCol">
      <w:rPr>
        <w:color w:val="FFFFFF" w:themeColor="background1"/>
      </w:rPr>
      <w:tblPr/>
      <w:tcPr>
        <w:shd w:val="clear" w:color="auto" w:fill="00212F" w:themeFill="accent1" w:themeFillShade="BF"/>
      </w:tcPr>
    </w:tblStylePr>
    <w:tblStylePr w:type="band1Vert">
      <w:tblPr/>
      <w:tcPr>
        <w:shd w:val="clear" w:color="auto" w:fill="20BFFF" w:themeFill="accent1" w:themeFillTint="7F"/>
      </w:tcPr>
    </w:tblStylePr>
    <w:tblStylePr w:type="band1Horz">
      <w:tblPr/>
      <w:tcPr>
        <w:shd w:val="clear" w:color="auto" w:fill="20BFFF" w:themeFill="accent1" w:themeFillTint="7F"/>
      </w:tcPr>
    </w:tblStylePr>
  </w:style>
  <w:style w:type="table" w:styleId="ColorfulGrid-Accent2">
    <w:name w:val="Colorful Grid Accent 2"/>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CDFD2" w:themeFill="accent2" w:themeFillTint="33"/>
    </w:tcPr>
    <w:tblStylePr w:type="firstRow">
      <w:rPr>
        <w:b/>
        <w:bCs/>
      </w:rPr>
      <w:tblPr/>
      <w:tcPr>
        <w:shd w:val="clear" w:color="auto" w:fill="F9C0A6" w:themeFill="accent2" w:themeFillTint="66"/>
      </w:tcPr>
    </w:tblStylePr>
    <w:tblStylePr w:type="lastRow">
      <w:rPr>
        <w:b/>
        <w:bCs/>
        <w:color w:val="000000" w:themeColor="text1"/>
      </w:rPr>
      <w:tblPr/>
      <w:tcPr>
        <w:shd w:val="clear" w:color="auto" w:fill="F9C0A6" w:themeFill="accent2" w:themeFillTint="66"/>
      </w:tcPr>
    </w:tblStylePr>
    <w:tblStylePr w:type="firstCol">
      <w:rPr>
        <w:color w:val="FFFFFF" w:themeColor="background1"/>
      </w:rPr>
      <w:tblPr/>
      <w:tcPr>
        <w:shd w:val="clear" w:color="auto" w:fill="C3440B" w:themeFill="accent2" w:themeFillShade="BF"/>
      </w:tcPr>
    </w:tblStylePr>
    <w:tblStylePr w:type="lastCol">
      <w:rPr>
        <w:color w:val="FFFFFF" w:themeColor="background1"/>
      </w:rPr>
      <w:tblPr/>
      <w:tcPr>
        <w:shd w:val="clear" w:color="auto" w:fill="C3440B" w:themeFill="accent2" w:themeFillShade="BF"/>
      </w:tcPr>
    </w:tblStylePr>
    <w:tblStylePr w:type="band1Vert">
      <w:tblPr/>
      <w:tcPr>
        <w:shd w:val="clear" w:color="auto" w:fill="F8B090" w:themeFill="accent2" w:themeFillTint="7F"/>
      </w:tcPr>
    </w:tblStylePr>
    <w:tblStylePr w:type="band1Horz">
      <w:tblPr/>
      <w:tcPr>
        <w:shd w:val="clear" w:color="auto" w:fill="F8B090" w:themeFill="accent2" w:themeFillTint="7F"/>
      </w:tcPr>
    </w:tblStylePr>
  </w:style>
  <w:style w:type="table" w:styleId="ColorfulGrid-Accent3">
    <w:name w:val="Colorful Grid Accent 3"/>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3FFF7" w:themeFill="accent3" w:themeFillTint="33"/>
    </w:tcPr>
    <w:tblStylePr w:type="firstRow">
      <w:rPr>
        <w:b/>
        <w:bCs/>
      </w:rPr>
      <w:tblPr/>
      <w:tcPr>
        <w:shd w:val="clear" w:color="auto" w:fill="67FFF0" w:themeFill="accent3" w:themeFillTint="66"/>
      </w:tcPr>
    </w:tblStylePr>
    <w:tblStylePr w:type="lastRow">
      <w:rPr>
        <w:b/>
        <w:bCs/>
        <w:color w:val="000000" w:themeColor="text1"/>
      </w:rPr>
      <w:tblPr/>
      <w:tcPr>
        <w:shd w:val="clear" w:color="auto" w:fill="67FFF0" w:themeFill="accent3" w:themeFillTint="66"/>
      </w:tcPr>
    </w:tblStylePr>
    <w:tblStylePr w:type="firstCol">
      <w:rPr>
        <w:color w:val="FFFFFF" w:themeColor="background1"/>
      </w:rPr>
      <w:tblPr/>
      <w:tcPr>
        <w:shd w:val="clear" w:color="auto" w:fill="006158" w:themeFill="accent3" w:themeFillShade="BF"/>
      </w:tcPr>
    </w:tblStylePr>
    <w:tblStylePr w:type="lastCol">
      <w:rPr>
        <w:color w:val="FFFFFF" w:themeColor="background1"/>
      </w:rPr>
      <w:tblPr/>
      <w:tcPr>
        <w:shd w:val="clear" w:color="auto" w:fill="006158" w:themeFill="accent3" w:themeFillShade="BF"/>
      </w:tcPr>
    </w:tblStylePr>
    <w:tblStylePr w:type="band1Vert">
      <w:tblPr/>
      <w:tcPr>
        <w:shd w:val="clear" w:color="auto" w:fill="41FFED" w:themeFill="accent3" w:themeFillTint="7F"/>
      </w:tcPr>
    </w:tblStylePr>
    <w:tblStylePr w:type="band1Horz">
      <w:tblPr/>
      <w:tcPr>
        <w:shd w:val="clear" w:color="auto" w:fill="41FFED" w:themeFill="accent3" w:themeFillTint="7F"/>
      </w:tcPr>
    </w:tblStylePr>
  </w:style>
  <w:style w:type="table" w:styleId="ColorfulGrid-Accent4">
    <w:name w:val="Colorful Grid Accent 4"/>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BDE3" w:themeFill="accent4" w:themeFillTint="33"/>
    </w:tcPr>
    <w:tblStylePr w:type="firstRow">
      <w:rPr>
        <w:b/>
        <w:bCs/>
      </w:rPr>
      <w:tblPr/>
      <w:tcPr>
        <w:shd w:val="clear" w:color="auto" w:fill="FF7BC7" w:themeFill="accent4" w:themeFillTint="66"/>
      </w:tcPr>
    </w:tblStylePr>
    <w:tblStylePr w:type="lastRow">
      <w:rPr>
        <w:b/>
        <w:bCs/>
        <w:color w:val="000000" w:themeColor="text1"/>
      </w:rPr>
      <w:tblPr/>
      <w:tcPr>
        <w:shd w:val="clear" w:color="auto" w:fill="FF7BC7" w:themeFill="accent4" w:themeFillTint="66"/>
      </w:tcPr>
    </w:tblStylePr>
    <w:tblStylePr w:type="firstCol">
      <w:rPr>
        <w:color w:val="FFFFFF" w:themeColor="background1"/>
      </w:rPr>
      <w:tblPr/>
      <w:tcPr>
        <w:shd w:val="clear" w:color="auto" w:fill="88004E" w:themeFill="accent4" w:themeFillShade="BF"/>
      </w:tcPr>
    </w:tblStylePr>
    <w:tblStylePr w:type="lastCol">
      <w:rPr>
        <w:color w:val="FFFFFF" w:themeColor="background1"/>
      </w:rPr>
      <w:tblPr/>
      <w:tcPr>
        <w:shd w:val="clear" w:color="auto" w:fill="88004E" w:themeFill="accent4" w:themeFillShade="BF"/>
      </w:tcPr>
    </w:tblStylePr>
    <w:tblStylePr w:type="band1Vert">
      <w:tblPr/>
      <w:tcPr>
        <w:shd w:val="clear" w:color="auto" w:fill="FF5BBA" w:themeFill="accent4" w:themeFillTint="7F"/>
      </w:tcPr>
    </w:tblStylePr>
    <w:tblStylePr w:type="band1Horz">
      <w:tblPr/>
      <w:tcPr>
        <w:shd w:val="clear" w:color="auto" w:fill="FF5BBA" w:themeFill="accent4" w:themeFillTint="7F"/>
      </w:tcPr>
    </w:tblStylePr>
  </w:style>
  <w:style w:type="table" w:styleId="ColorfulGrid-Accent5">
    <w:name w:val="Colorful Grid Accent 5"/>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DCF" w:themeFill="accent5" w:themeFillTint="33"/>
    </w:tcPr>
    <w:tblStylePr w:type="firstRow">
      <w:rPr>
        <w:b/>
        <w:bCs/>
      </w:rPr>
      <w:tblPr/>
      <w:tcPr>
        <w:shd w:val="clear" w:color="auto" w:fill="F7DC9F" w:themeFill="accent5" w:themeFillTint="66"/>
      </w:tcPr>
    </w:tblStylePr>
    <w:tblStylePr w:type="lastRow">
      <w:rPr>
        <w:b/>
        <w:bCs/>
        <w:color w:val="000000" w:themeColor="text1"/>
      </w:rPr>
      <w:tblPr/>
      <w:tcPr>
        <w:shd w:val="clear" w:color="auto" w:fill="F7DC9F" w:themeFill="accent5" w:themeFillTint="66"/>
      </w:tcPr>
    </w:tblStylePr>
    <w:tblStylePr w:type="firstCol">
      <w:rPr>
        <w:color w:val="FFFFFF" w:themeColor="background1"/>
      </w:rPr>
      <w:tblPr/>
      <w:tcPr>
        <w:shd w:val="clear" w:color="auto" w:fill="AE7E0E" w:themeFill="accent5" w:themeFillShade="BF"/>
      </w:tcPr>
    </w:tblStylePr>
    <w:tblStylePr w:type="lastCol">
      <w:rPr>
        <w:color w:val="FFFFFF" w:themeColor="background1"/>
      </w:rPr>
      <w:tblPr/>
      <w:tcPr>
        <w:shd w:val="clear" w:color="auto" w:fill="AE7E0E" w:themeFill="accent5" w:themeFillShade="BF"/>
      </w:tcPr>
    </w:tblStylePr>
    <w:tblStylePr w:type="band1Vert">
      <w:tblPr/>
      <w:tcPr>
        <w:shd w:val="clear" w:color="auto" w:fill="F5D488" w:themeFill="accent5" w:themeFillTint="7F"/>
      </w:tcPr>
    </w:tblStylePr>
    <w:tblStylePr w:type="band1Horz">
      <w:tblPr/>
      <w:tcPr>
        <w:shd w:val="clear" w:color="auto" w:fill="F5D488" w:themeFill="accent5" w:themeFillTint="7F"/>
      </w:tcPr>
    </w:tblStylePr>
  </w:style>
  <w:style w:type="table" w:styleId="ColorfulGrid-Accent6">
    <w:name w:val="Colorful Grid Accent 6"/>
    <w:basedOn w:val="TableNormal"/>
    <w:uiPriority w:val="73"/>
    <w:semiHidden/>
    <w:rsid w:val="00A9092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FE5F4" w:themeFill="accent6" w:themeFillTint="33"/>
    </w:tcPr>
    <w:tblStylePr w:type="firstRow">
      <w:rPr>
        <w:b/>
        <w:bCs/>
      </w:rPr>
      <w:tblPr/>
      <w:tcPr>
        <w:shd w:val="clear" w:color="auto" w:fill="9FCDE9" w:themeFill="accent6" w:themeFillTint="66"/>
      </w:tcPr>
    </w:tblStylePr>
    <w:tblStylePr w:type="lastRow">
      <w:rPr>
        <w:b/>
        <w:bCs/>
        <w:color w:val="000000" w:themeColor="text1"/>
      </w:rPr>
      <w:tblPr/>
      <w:tcPr>
        <w:shd w:val="clear" w:color="auto" w:fill="9FCDE9" w:themeFill="accent6" w:themeFillTint="66"/>
      </w:tcPr>
    </w:tblStylePr>
    <w:tblStylePr w:type="firstCol">
      <w:rPr>
        <w:color w:val="FFFFFF" w:themeColor="background1"/>
      </w:rPr>
      <w:tblPr/>
      <w:tcPr>
        <w:shd w:val="clear" w:color="auto" w:fill="1E5D85" w:themeFill="accent6" w:themeFillShade="BF"/>
      </w:tcPr>
    </w:tblStylePr>
    <w:tblStylePr w:type="lastCol">
      <w:rPr>
        <w:color w:val="FFFFFF" w:themeColor="background1"/>
      </w:rPr>
      <w:tblPr/>
      <w:tcPr>
        <w:shd w:val="clear" w:color="auto" w:fill="1E5D85" w:themeFill="accent6" w:themeFillShade="BF"/>
      </w:tcPr>
    </w:tblStylePr>
    <w:tblStylePr w:type="band1Vert">
      <w:tblPr/>
      <w:tcPr>
        <w:shd w:val="clear" w:color="auto" w:fill="88C0E4" w:themeFill="accent6" w:themeFillTint="7F"/>
      </w:tcPr>
    </w:tblStylePr>
    <w:tblStylePr w:type="band1Horz">
      <w:tblPr/>
      <w:tcPr>
        <w:shd w:val="clear" w:color="auto" w:fill="88C0E4" w:themeFill="accent6" w:themeFillTint="7F"/>
      </w:tcPr>
    </w:tblStylePr>
  </w:style>
  <w:style w:type="table" w:styleId="ColorfulList">
    <w:name w:val="Colorful List"/>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0490C" w:themeFill="accent2" w:themeFillShade="CC"/>
      </w:tcPr>
    </w:tblStylePr>
    <w:tblStylePr w:type="lastRow">
      <w:rPr>
        <w:b/>
        <w:bCs/>
        <w:color w:val="D049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D3F2FF" w:themeFill="accent1" w:themeFillTint="19"/>
    </w:tcPr>
    <w:tblStylePr w:type="firstRow">
      <w:rPr>
        <w:b/>
        <w:bCs/>
        <w:color w:val="FFFFFF" w:themeColor="background1"/>
      </w:rPr>
      <w:tblPr/>
      <w:tcPr>
        <w:tcBorders>
          <w:bottom w:val="single" w:sz="12" w:space="0" w:color="FFFFFF" w:themeColor="background1"/>
        </w:tcBorders>
        <w:shd w:val="clear" w:color="auto" w:fill="D0490C" w:themeFill="accent2" w:themeFillShade="CC"/>
      </w:tcPr>
    </w:tblStylePr>
    <w:tblStylePr w:type="lastRow">
      <w:rPr>
        <w:b/>
        <w:bCs/>
        <w:color w:val="D049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DFFF" w:themeFill="accent1" w:themeFillTint="3F"/>
      </w:tcPr>
    </w:tblStylePr>
    <w:tblStylePr w:type="band1Horz">
      <w:tblPr/>
      <w:tcPr>
        <w:shd w:val="clear" w:color="auto" w:fill="A5E5FF" w:themeFill="accent1" w:themeFillTint="33"/>
      </w:tcPr>
    </w:tblStylePr>
  </w:style>
  <w:style w:type="table" w:styleId="ColorfulList-Accent2">
    <w:name w:val="Colorful List Accent 2"/>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FDEFE9" w:themeFill="accent2" w:themeFillTint="19"/>
    </w:tcPr>
    <w:tblStylePr w:type="firstRow">
      <w:rPr>
        <w:b/>
        <w:bCs/>
        <w:color w:val="FFFFFF" w:themeColor="background1"/>
      </w:rPr>
      <w:tblPr/>
      <w:tcPr>
        <w:tcBorders>
          <w:bottom w:val="single" w:sz="12" w:space="0" w:color="FFFFFF" w:themeColor="background1"/>
        </w:tcBorders>
        <w:shd w:val="clear" w:color="auto" w:fill="D0490C" w:themeFill="accent2" w:themeFillShade="CC"/>
      </w:tcPr>
    </w:tblStylePr>
    <w:tblStylePr w:type="lastRow">
      <w:rPr>
        <w:b/>
        <w:bCs/>
        <w:color w:val="D049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2" w:themeFillTint="3F"/>
      </w:tcPr>
    </w:tblStylePr>
    <w:tblStylePr w:type="band1Horz">
      <w:tblPr/>
      <w:tcPr>
        <w:shd w:val="clear" w:color="auto" w:fill="FCDFD2" w:themeFill="accent2" w:themeFillTint="33"/>
      </w:tcPr>
    </w:tblStylePr>
  </w:style>
  <w:style w:type="table" w:styleId="ColorfulList-Accent3">
    <w:name w:val="Colorful List Accent 3"/>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D9FFFB" w:themeFill="accent3" w:themeFillTint="19"/>
    </w:tcPr>
    <w:tblStylePr w:type="firstRow">
      <w:rPr>
        <w:b/>
        <w:bCs/>
        <w:color w:val="FFFFFF" w:themeColor="background1"/>
      </w:rPr>
      <w:tblPr/>
      <w:tcPr>
        <w:tcBorders>
          <w:bottom w:val="single" w:sz="12" w:space="0" w:color="FFFFFF" w:themeColor="background1"/>
        </w:tcBorders>
        <w:shd w:val="clear" w:color="auto" w:fill="910054" w:themeFill="accent4" w:themeFillShade="CC"/>
      </w:tcPr>
    </w:tblStylePr>
    <w:tblStylePr w:type="lastRow">
      <w:rPr>
        <w:b/>
        <w:bCs/>
        <w:color w:val="9100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6" w:themeFill="accent3" w:themeFillTint="3F"/>
      </w:tcPr>
    </w:tblStylePr>
    <w:tblStylePr w:type="band1Horz">
      <w:tblPr/>
      <w:tcPr>
        <w:shd w:val="clear" w:color="auto" w:fill="B3FFF7" w:themeFill="accent3" w:themeFillTint="33"/>
      </w:tcPr>
    </w:tblStylePr>
  </w:style>
  <w:style w:type="table" w:styleId="ColorfulList-Accent4">
    <w:name w:val="Colorful List Accent 4"/>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FFDEF1" w:themeFill="accent4" w:themeFillTint="19"/>
    </w:tcPr>
    <w:tblStylePr w:type="firstRow">
      <w:rPr>
        <w:b/>
        <w:bCs/>
        <w:color w:val="FFFFFF" w:themeColor="background1"/>
      </w:rPr>
      <w:tblPr/>
      <w:tcPr>
        <w:tcBorders>
          <w:bottom w:val="single" w:sz="12" w:space="0" w:color="FFFFFF" w:themeColor="background1"/>
        </w:tcBorders>
        <w:shd w:val="clear" w:color="auto" w:fill="00685E" w:themeFill="accent3" w:themeFillShade="CC"/>
      </w:tcPr>
    </w:tblStylePr>
    <w:tblStylePr w:type="lastRow">
      <w:rPr>
        <w:b/>
        <w:bCs/>
        <w:color w:val="00685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DDC" w:themeFill="accent4" w:themeFillTint="3F"/>
      </w:tcPr>
    </w:tblStylePr>
    <w:tblStylePr w:type="band1Horz">
      <w:tblPr/>
      <w:tcPr>
        <w:shd w:val="clear" w:color="auto" w:fill="FFBDE3" w:themeFill="accent4" w:themeFillTint="33"/>
      </w:tcPr>
    </w:tblStylePr>
  </w:style>
  <w:style w:type="table" w:styleId="ColorfulList-Accent5">
    <w:name w:val="Colorful List Accent 5"/>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FDF6E7" w:themeFill="accent5" w:themeFillTint="19"/>
    </w:tcPr>
    <w:tblStylePr w:type="firstRow">
      <w:rPr>
        <w:b/>
        <w:bCs/>
        <w:color w:val="FFFFFF" w:themeColor="background1"/>
      </w:rPr>
      <w:tblPr/>
      <w:tcPr>
        <w:tcBorders>
          <w:bottom w:val="single" w:sz="12" w:space="0" w:color="FFFFFF" w:themeColor="background1"/>
        </w:tcBorders>
        <w:shd w:val="clear" w:color="auto" w:fill="20638E" w:themeFill="accent6" w:themeFillShade="CC"/>
      </w:tcPr>
    </w:tblStylePr>
    <w:tblStylePr w:type="lastRow">
      <w:rPr>
        <w:b/>
        <w:bCs/>
        <w:color w:val="2063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5" w:themeFillTint="3F"/>
      </w:tcPr>
    </w:tblStylePr>
    <w:tblStylePr w:type="band1Horz">
      <w:tblPr/>
      <w:tcPr>
        <w:shd w:val="clear" w:color="auto" w:fill="FBEDCF" w:themeFill="accent5" w:themeFillTint="33"/>
      </w:tcPr>
    </w:tblStylePr>
  </w:style>
  <w:style w:type="table" w:styleId="ColorfulList-Accent6">
    <w:name w:val="Colorful List Accent 6"/>
    <w:basedOn w:val="TableNormal"/>
    <w:uiPriority w:val="72"/>
    <w:semiHidden/>
    <w:rsid w:val="00A90923"/>
    <w:pPr>
      <w:spacing w:after="0" w:line="240" w:lineRule="auto"/>
    </w:pPr>
    <w:rPr>
      <w:rFonts w:eastAsiaTheme="minorEastAsia"/>
      <w:color w:val="000000" w:themeColor="text1"/>
    </w:rPr>
    <w:tblPr>
      <w:tblStyleRowBandSize w:val="1"/>
      <w:tblStyleColBandSize w:val="1"/>
    </w:tblPr>
    <w:tcPr>
      <w:shd w:val="clear" w:color="auto" w:fill="E7F2F9" w:themeFill="accent6" w:themeFillTint="19"/>
    </w:tcPr>
    <w:tblStylePr w:type="firstRow">
      <w:rPr>
        <w:b/>
        <w:bCs/>
        <w:color w:val="FFFFFF" w:themeColor="background1"/>
      </w:rPr>
      <w:tblPr/>
      <w:tcPr>
        <w:tcBorders>
          <w:bottom w:val="single" w:sz="12" w:space="0" w:color="FFFFFF" w:themeColor="background1"/>
        </w:tcBorders>
        <w:shd w:val="clear" w:color="auto" w:fill="BA860F" w:themeFill="accent5" w:themeFillShade="CC"/>
      </w:tcPr>
    </w:tblStylePr>
    <w:tblStylePr w:type="lastRow">
      <w:rPr>
        <w:b/>
        <w:bCs/>
        <w:color w:val="BA860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0F1" w:themeFill="accent6" w:themeFillTint="3F"/>
      </w:tcPr>
    </w:tblStylePr>
    <w:tblStylePr w:type="band1Horz">
      <w:tblPr/>
      <w:tcPr>
        <w:shd w:val="clear" w:color="auto" w:fill="CFE5F4" w:themeFill="accent6" w:themeFillTint="33"/>
      </w:tcPr>
    </w:tblStylePr>
  </w:style>
  <w:style w:type="table" w:styleId="ColorfulShading">
    <w:name w:val="Colorful Shading"/>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F263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263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F26322" w:themeColor="accent2"/>
        <w:left w:val="single" w:sz="4" w:space="0" w:color="002D3F" w:themeColor="accent1"/>
        <w:bottom w:val="single" w:sz="4" w:space="0" w:color="002D3F" w:themeColor="accent1"/>
        <w:right w:val="single" w:sz="4" w:space="0" w:color="002D3F" w:themeColor="accent1"/>
        <w:insideH w:val="single" w:sz="4" w:space="0" w:color="FFFFFF" w:themeColor="background1"/>
        <w:insideV w:val="single" w:sz="4" w:space="0" w:color="FFFFFF" w:themeColor="background1"/>
      </w:tblBorders>
    </w:tblPr>
    <w:tcPr>
      <w:shd w:val="clear" w:color="auto" w:fill="D3F2FF" w:themeFill="accent1" w:themeFillTint="19"/>
    </w:tcPr>
    <w:tblStylePr w:type="firstRow">
      <w:rPr>
        <w:b/>
        <w:bCs/>
      </w:rPr>
      <w:tblPr/>
      <w:tcPr>
        <w:tcBorders>
          <w:top w:val="nil"/>
          <w:left w:val="nil"/>
          <w:bottom w:val="single" w:sz="24" w:space="0" w:color="F263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25" w:themeFill="accent1" w:themeFillShade="99"/>
      </w:tcPr>
    </w:tblStylePr>
    <w:tblStylePr w:type="firstCol">
      <w:rPr>
        <w:color w:val="FFFFFF" w:themeColor="background1"/>
      </w:rPr>
      <w:tblPr/>
      <w:tcPr>
        <w:tcBorders>
          <w:top w:val="nil"/>
          <w:left w:val="nil"/>
          <w:bottom w:val="nil"/>
          <w:right w:val="nil"/>
          <w:insideH w:val="single" w:sz="4" w:space="0" w:color="001A25" w:themeColor="accent1" w:themeShade="99"/>
          <w:insideV w:val="nil"/>
        </w:tcBorders>
        <w:shd w:val="clear" w:color="auto" w:fill="001A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25" w:themeFill="accent1" w:themeFillShade="99"/>
      </w:tcPr>
    </w:tblStylePr>
    <w:tblStylePr w:type="band1Vert">
      <w:tblPr/>
      <w:tcPr>
        <w:shd w:val="clear" w:color="auto" w:fill="4CCBFF" w:themeFill="accent1" w:themeFillTint="66"/>
      </w:tcPr>
    </w:tblStylePr>
    <w:tblStylePr w:type="band1Horz">
      <w:tblPr/>
      <w:tcPr>
        <w:shd w:val="clear" w:color="auto" w:fill="20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F26322" w:themeColor="accent2"/>
        <w:left w:val="single" w:sz="4" w:space="0" w:color="F26322" w:themeColor="accent2"/>
        <w:bottom w:val="single" w:sz="4" w:space="0" w:color="F26322" w:themeColor="accent2"/>
        <w:right w:val="single" w:sz="4" w:space="0" w:color="F26322" w:themeColor="accent2"/>
        <w:insideH w:val="single" w:sz="4" w:space="0" w:color="FFFFFF" w:themeColor="background1"/>
        <w:insideV w:val="single" w:sz="4" w:space="0" w:color="FFFFFF" w:themeColor="background1"/>
      </w:tblBorders>
    </w:tblPr>
    <w:tcPr>
      <w:shd w:val="clear" w:color="auto" w:fill="FDEFE9" w:themeFill="accent2" w:themeFillTint="19"/>
    </w:tcPr>
    <w:tblStylePr w:type="firstRow">
      <w:rPr>
        <w:b/>
        <w:bCs/>
      </w:rPr>
      <w:tblPr/>
      <w:tcPr>
        <w:tcBorders>
          <w:top w:val="nil"/>
          <w:left w:val="nil"/>
          <w:bottom w:val="single" w:sz="24" w:space="0" w:color="F263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2" w:themeFillShade="99"/>
      </w:tcPr>
    </w:tblStylePr>
    <w:tblStylePr w:type="firstCol">
      <w:rPr>
        <w:color w:val="FFFFFF" w:themeColor="background1"/>
      </w:rPr>
      <w:tblPr/>
      <w:tcPr>
        <w:tcBorders>
          <w:top w:val="nil"/>
          <w:left w:val="nil"/>
          <w:bottom w:val="nil"/>
          <w:right w:val="nil"/>
          <w:insideH w:val="single" w:sz="4" w:space="0" w:color="9C3609" w:themeColor="accent2" w:themeShade="99"/>
          <w:insideV w:val="nil"/>
        </w:tcBorders>
        <w:shd w:val="clear" w:color="auto" w:fill="9C36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2" w:themeFillShade="99"/>
      </w:tcPr>
    </w:tblStylePr>
    <w:tblStylePr w:type="band1Vert">
      <w:tblPr/>
      <w:tcPr>
        <w:shd w:val="clear" w:color="auto" w:fill="F9C0A6" w:themeFill="accent2" w:themeFillTint="66"/>
      </w:tcPr>
    </w:tblStylePr>
    <w:tblStylePr w:type="band1Horz">
      <w:tblPr/>
      <w:tcPr>
        <w:shd w:val="clear" w:color="auto" w:fill="F8B0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B6006A" w:themeColor="accent4"/>
        <w:left w:val="single" w:sz="4" w:space="0" w:color="008276" w:themeColor="accent3"/>
        <w:bottom w:val="single" w:sz="4" w:space="0" w:color="008276" w:themeColor="accent3"/>
        <w:right w:val="single" w:sz="4" w:space="0" w:color="008276" w:themeColor="accent3"/>
        <w:insideH w:val="single" w:sz="4" w:space="0" w:color="FFFFFF" w:themeColor="background1"/>
        <w:insideV w:val="single" w:sz="4" w:space="0" w:color="FFFFFF" w:themeColor="background1"/>
      </w:tblBorders>
    </w:tblPr>
    <w:tcPr>
      <w:shd w:val="clear" w:color="auto" w:fill="D9FFFB" w:themeFill="accent3" w:themeFillTint="19"/>
    </w:tcPr>
    <w:tblStylePr w:type="firstRow">
      <w:rPr>
        <w:b/>
        <w:bCs/>
      </w:rPr>
      <w:tblPr/>
      <w:tcPr>
        <w:tcBorders>
          <w:top w:val="nil"/>
          <w:left w:val="nil"/>
          <w:bottom w:val="single" w:sz="24" w:space="0" w:color="B6006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46" w:themeFill="accent3" w:themeFillShade="99"/>
      </w:tcPr>
    </w:tblStylePr>
    <w:tblStylePr w:type="firstCol">
      <w:rPr>
        <w:color w:val="FFFFFF" w:themeColor="background1"/>
      </w:rPr>
      <w:tblPr/>
      <w:tcPr>
        <w:tcBorders>
          <w:top w:val="nil"/>
          <w:left w:val="nil"/>
          <w:bottom w:val="nil"/>
          <w:right w:val="nil"/>
          <w:insideH w:val="single" w:sz="4" w:space="0" w:color="004E46" w:themeColor="accent3" w:themeShade="99"/>
          <w:insideV w:val="nil"/>
        </w:tcBorders>
        <w:shd w:val="clear" w:color="auto" w:fill="004E4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46" w:themeFill="accent3" w:themeFillShade="99"/>
      </w:tcPr>
    </w:tblStylePr>
    <w:tblStylePr w:type="band1Vert">
      <w:tblPr/>
      <w:tcPr>
        <w:shd w:val="clear" w:color="auto" w:fill="67FFF0" w:themeFill="accent3" w:themeFillTint="66"/>
      </w:tcPr>
    </w:tblStylePr>
    <w:tblStylePr w:type="band1Horz">
      <w:tblPr/>
      <w:tcPr>
        <w:shd w:val="clear" w:color="auto" w:fill="41FFED" w:themeFill="accent3" w:themeFillTint="7F"/>
      </w:tcPr>
    </w:tblStylePr>
  </w:style>
  <w:style w:type="table" w:styleId="ColorfulShading-Accent4">
    <w:name w:val="Colorful Shading Accent 4"/>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008276" w:themeColor="accent3"/>
        <w:left w:val="single" w:sz="4" w:space="0" w:color="B6006A" w:themeColor="accent4"/>
        <w:bottom w:val="single" w:sz="4" w:space="0" w:color="B6006A" w:themeColor="accent4"/>
        <w:right w:val="single" w:sz="4" w:space="0" w:color="B6006A" w:themeColor="accent4"/>
        <w:insideH w:val="single" w:sz="4" w:space="0" w:color="FFFFFF" w:themeColor="background1"/>
        <w:insideV w:val="single" w:sz="4" w:space="0" w:color="FFFFFF" w:themeColor="background1"/>
      </w:tblBorders>
    </w:tblPr>
    <w:tcPr>
      <w:shd w:val="clear" w:color="auto" w:fill="FFDEF1" w:themeFill="accent4" w:themeFillTint="19"/>
    </w:tcPr>
    <w:tblStylePr w:type="firstRow">
      <w:rPr>
        <w:b/>
        <w:bCs/>
      </w:rPr>
      <w:tblPr/>
      <w:tcPr>
        <w:tcBorders>
          <w:top w:val="nil"/>
          <w:left w:val="nil"/>
          <w:bottom w:val="single" w:sz="24" w:space="0" w:color="00827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03F" w:themeFill="accent4" w:themeFillShade="99"/>
      </w:tcPr>
    </w:tblStylePr>
    <w:tblStylePr w:type="firstCol">
      <w:rPr>
        <w:color w:val="FFFFFF" w:themeColor="background1"/>
      </w:rPr>
      <w:tblPr/>
      <w:tcPr>
        <w:tcBorders>
          <w:top w:val="nil"/>
          <w:left w:val="nil"/>
          <w:bottom w:val="nil"/>
          <w:right w:val="nil"/>
          <w:insideH w:val="single" w:sz="4" w:space="0" w:color="6D003F" w:themeColor="accent4" w:themeShade="99"/>
          <w:insideV w:val="nil"/>
        </w:tcBorders>
        <w:shd w:val="clear" w:color="auto" w:fill="6D00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003F" w:themeFill="accent4" w:themeFillShade="99"/>
      </w:tcPr>
    </w:tblStylePr>
    <w:tblStylePr w:type="band1Vert">
      <w:tblPr/>
      <w:tcPr>
        <w:shd w:val="clear" w:color="auto" w:fill="FF7BC7" w:themeFill="accent4" w:themeFillTint="66"/>
      </w:tcPr>
    </w:tblStylePr>
    <w:tblStylePr w:type="band1Horz">
      <w:tblPr/>
      <w:tcPr>
        <w:shd w:val="clear" w:color="auto" w:fill="FF5BB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287DB2" w:themeColor="accent6"/>
        <w:left w:val="single" w:sz="4" w:space="0" w:color="E9A913" w:themeColor="accent5"/>
        <w:bottom w:val="single" w:sz="4" w:space="0" w:color="E9A913" w:themeColor="accent5"/>
        <w:right w:val="single" w:sz="4" w:space="0" w:color="E9A913" w:themeColor="accent5"/>
        <w:insideH w:val="single" w:sz="4" w:space="0" w:color="FFFFFF" w:themeColor="background1"/>
        <w:insideV w:val="single" w:sz="4" w:space="0" w:color="FFFFFF" w:themeColor="background1"/>
      </w:tblBorders>
    </w:tblPr>
    <w:tcPr>
      <w:shd w:val="clear" w:color="auto" w:fill="FDF6E7" w:themeFill="accent5" w:themeFillTint="19"/>
    </w:tcPr>
    <w:tblStylePr w:type="firstRow">
      <w:rPr>
        <w:b/>
        <w:bCs/>
      </w:rPr>
      <w:tblPr/>
      <w:tcPr>
        <w:tcBorders>
          <w:top w:val="nil"/>
          <w:left w:val="nil"/>
          <w:bottom w:val="single" w:sz="24" w:space="0" w:color="287D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5" w:themeFillShade="99"/>
      </w:tcPr>
    </w:tblStylePr>
    <w:tblStylePr w:type="firstCol">
      <w:rPr>
        <w:color w:val="FFFFFF" w:themeColor="background1"/>
      </w:rPr>
      <w:tblPr/>
      <w:tcPr>
        <w:tcBorders>
          <w:top w:val="nil"/>
          <w:left w:val="nil"/>
          <w:bottom w:val="nil"/>
          <w:right w:val="nil"/>
          <w:insideH w:val="single" w:sz="4" w:space="0" w:color="8B640B" w:themeColor="accent5" w:themeShade="99"/>
          <w:insideV w:val="nil"/>
        </w:tcBorders>
        <w:shd w:val="clear" w:color="auto" w:fill="8B640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5" w:themeFillShade="99"/>
      </w:tcPr>
    </w:tblStylePr>
    <w:tblStylePr w:type="band1Vert">
      <w:tblPr/>
      <w:tcPr>
        <w:shd w:val="clear" w:color="auto" w:fill="F7DC9F" w:themeFill="accent5" w:themeFillTint="66"/>
      </w:tcPr>
    </w:tblStylePr>
    <w:tblStylePr w:type="band1Horz">
      <w:tblPr/>
      <w:tcPr>
        <w:shd w:val="clear" w:color="auto" w:fill="F5D48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90923"/>
    <w:pPr>
      <w:spacing w:after="0" w:line="240" w:lineRule="auto"/>
    </w:pPr>
    <w:rPr>
      <w:rFonts w:eastAsiaTheme="minorEastAsia"/>
      <w:color w:val="000000" w:themeColor="text1"/>
    </w:rPr>
    <w:tblPr>
      <w:tblStyleRowBandSize w:val="1"/>
      <w:tblStyleColBandSize w:val="1"/>
      <w:tblBorders>
        <w:top w:val="single" w:sz="24" w:space="0" w:color="E9A913" w:themeColor="accent5"/>
        <w:left w:val="single" w:sz="4" w:space="0" w:color="287DB2" w:themeColor="accent6"/>
        <w:bottom w:val="single" w:sz="4" w:space="0" w:color="287DB2" w:themeColor="accent6"/>
        <w:right w:val="single" w:sz="4" w:space="0" w:color="287DB2" w:themeColor="accent6"/>
        <w:insideH w:val="single" w:sz="4" w:space="0" w:color="FFFFFF" w:themeColor="background1"/>
        <w:insideV w:val="single" w:sz="4" w:space="0" w:color="FFFFFF" w:themeColor="background1"/>
      </w:tblBorders>
    </w:tblPr>
    <w:tcPr>
      <w:shd w:val="clear" w:color="auto" w:fill="E7F2F9" w:themeFill="accent6" w:themeFillTint="19"/>
    </w:tcPr>
    <w:tblStylePr w:type="firstRow">
      <w:rPr>
        <w:b/>
        <w:bCs/>
      </w:rPr>
      <w:tblPr/>
      <w:tcPr>
        <w:tcBorders>
          <w:top w:val="nil"/>
          <w:left w:val="nil"/>
          <w:bottom w:val="single" w:sz="24" w:space="0" w:color="E9A91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A6A" w:themeFill="accent6" w:themeFillShade="99"/>
      </w:tcPr>
    </w:tblStylePr>
    <w:tblStylePr w:type="firstCol">
      <w:rPr>
        <w:color w:val="FFFFFF" w:themeColor="background1"/>
      </w:rPr>
      <w:tblPr/>
      <w:tcPr>
        <w:tcBorders>
          <w:top w:val="nil"/>
          <w:left w:val="nil"/>
          <w:bottom w:val="nil"/>
          <w:right w:val="nil"/>
          <w:insideH w:val="single" w:sz="4" w:space="0" w:color="184A6A" w:themeColor="accent6" w:themeShade="99"/>
          <w:insideV w:val="nil"/>
        </w:tcBorders>
        <w:shd w:val="clear" w:color="auto" w:fill="184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84A6A" w:themeFill="accent6" w:themeFillShade="99"/>
      </w:tcPr>
    </w:tblStylePr>
    <w:tblStylePr w:type="band1Vert">
      <w:tblPr/>
      <w:tcPr>
        <w:shd w:val="clear" w:color="auto" w:fill="9FCDE9" w:themeFill="accent6" w:themeFillTint="66"/>
      </w:tcPr>
    </w:tblStylePr>
    <w:tblStylePr w:type="band1Horz">
      <w:tblPr/>
      <w:tcPr>
        <w:shd w:val="clear" w:color="auto" w:fill="88C0E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002D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12F" w:themeFill="accent1" w:themeFillShade="BF"/>
      </w:tcPr>
    </w:tblStylePr>
    <w:tblStylePr w:type="band1Vert">
      <w:tblPr/>
      <w:tcPr>
        <w:tcBorders>
          <w:top w:val="nil"/>
          <w:left w:val="nil"/>
          <w:bottom w:val="nil"/>
          <w:right w:val="nil"/>
          <w:insideH w:val="nil"/>
          <w:insideV w:val="nil"/>
        </w:tcBorders>
        <w:shd w:val="clear" w:color="auto" w:fill="00212F" w:themeFill="accent1" w:themeFillShade="BF"/>
      </w:tcPr>
    </w:tblStylePr>
    <w:tblStylePr w:type="band1Horz">
      <w:tblPr/>
      <w:tcPr>
        <w:tcBorders>
          <w:top w:val="nil"/>
          <w:left w:val="nil"/>
          <w:bottom w:val="nil"/>
          <w:right w:val="nil"/>
          <w:insideH w:val="nil"/>
          <w:insideV w:val="nil"/>
        </w:tcBorders>
        <w:shd w:val="clear" w:color="auto" w:fill="00212F" w:themeFill="accent1" w:themeFillShade="BF"/>
      </w:tcPr>
    </w:tblStylePr>
  </w:style>
  <w:style w:type="table" w:styleId="DarkList-Accent2">
    <w:name w:val="Dark List Accent 2"/>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F263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2" w:themeFillShade="BF"/>
      </w:tcPr>
    </w:tblStylePr>
    <w:tblStylePr w:type="band1Vert">
      <w:tblPr/>
      <w:tcPr>
        <w:tcBorders>
          <w:top w:val="nil"/>
          <w:left w:val="nil"/>
          <w:bottom w:val="nil"/>
          <w:right w:val="nil"/>
          <w:insideH w:val="nil"/>
          <w:insideV w:val="nil"/>
        </w:tcBorders>
        <w:shd w:val="clear" w:color="auto" w:fill="C3440B" w:themeFill="accent2" w:themeFillShade="BF"/>
      </w:tcPr>
    </w:tblStylePr>
    <w:tblStylePr w:type="band1Horz">
      <w:tblPr/>
      <w:tcPr>
        <w:tcBorders>
          <w:top w:val="nil"/>
          <w:left w:val="nil"/>
          <w:bottom w:val="nil"/>
          <w:right w:val="nil"/>
          <w:insideH w:val="nil"/>
          <w:insideV w:val="nil"/>
        </w:tcBorders>
        <w:shd w:val="clear" w:color="auto" w:fill="C3440B" w:themeFill="accent2" w:themeFillShade="BF"/>
      </w:tcPr>
    </w:tblStylePr>
  </w:style>
  <w:style w:type="table" w:styleId="DarkList-Accent3">
    <w:name w:val="Dark List Accent 3"/>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00827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3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5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58" w:themeFill="accent3" w:themeFillShade="BF"/>
      </w:tcPr>
    </w:tblStylePr>
    <w:tblStylePr w:type="band1Vert">
      <w:tblPr/>
      <w:tcPr>
        <w:tcBorders>
          <w:top w:val="nil"/>
          <w:left w:val="nil"/>
          <w:bottom w:val="nil"/>
          <w:right w:val="nil"/>
          <w:insideH w:val="nil"/>
          <w:insideV w:val="nil"/>
        </w:tcBorders>
        <w:shd w:val="clear" w:color="auto" w:fill="006158" w:themeFill="accent3" w:themeFillShade="BF"/>
      </w:tcPr>
    </w:tblStylePr>
    <w:tblStylePr w:type="band1Horz">
      <w:tblPr/>
      <w:tcPr>
        <w:tcBorders>
          <w:top w:val="nil"/>
          <w:left w:val="nil"/>
          <w:bottom w:val="nil"/>
          <w:right w:val="nil"/>
          <w:insideH w:val="nil"/>
          <w:insideV w:val="nil"/>
        </w:tcBorders>
        <w:shd w:val="clear" w:color="auto" w:fill="006158" w:themeFill="accent3" w:themeFillShade="BF"/>
      </w:tcPr>
    </w:tblStylePr>
  </w:style>
  <w:style w:type="table" w:styleId="DarkList-Accent4">
    <w:name w:val="Dark List Accent 4"/>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B6006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00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004E" w:themeFill="accent4" w:themeFillShade="BF"/>
      </w:tcPr>
    </w:tblStylePr>
    <w:tblStylePr w:type="band1Vert">
      <w:tblPr/>
      <w:tcPr>
        <w:tcBorders>
          <w:top w:val="nil"/>
          <w:left w:val="nil"/>
          <w:bottom w:val="nil"/>
          <w:right w:val="nil"/>
          <w:insideH w:val="nil"/>
          <w:insideV w:val="nil"/>
        </w:tcBorders>
        <w:shd w:val="clear" w:color="auto" w:fill="88004E" w:themeFill="accent4" w:themeFillShade="BF"/>
      </w:tcPr>
    </w:tblStylePr>
    <w:tblStylePr w:type="band1Horz">
      <w:tblPr/>
      <w:tcPr>
        <w:tcBorders>
          <w:top w:val="nil"/>
          <w:left w:val="nil"/>
          <w:bottom w:val="nil"/>
          <w:right w:val="nil"/>
          <w:insideH w:val="nil"/>
          <w:insideV w:val="nil"/>
        </w:tcBorders>
        <w:shd w:val="clear" w:color="auto" w:fill="88004E" w:themeFill="accent4" w:themeFillShade="BF"/>
      </w:tcPr>
    </w:tblStylePr>
  </w:style>
  <w:style w:type="table" w:styleId="DarkList-Accent5">
    <w:name w:val="Dark List Accent 5"/>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E9A91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5" w:themeFillShade="BF"/>
      </w:tcPr>
    </w:tblStylePr>
    <w:tblStylePr w:type="band1Vert">
      <w:tblPr/>
      <w:tcPr>
        <w:tcBorders>
          <w:top w:val="nil"/>
          <w:left w:val="nil"/>
          <w:bottom w:val="nil"/>
          <w:right w:val="nil"/>
          <w:insideH w:val="nil"/>
          <w:insideV w:val="nil"/>
        </w:tcBorders>
        <w:shd w:val="clear" w:color="auto" w:fill="AE7E0E" w:themeFill="accent5" w:themeFillShade="BF"/>
      </w:tcPr>
    </w:tblStylePr>
    <w:tblStylePr w:type="band1Horz">
      <w:tblPr/>
      <w:tcPr>
        <w:tcBorders>
          <w:top w:val="nil"/>
          <w:left w:val="nil"/>
          <w:bottom w:val="nil"/>
          <w:right w:val="nil"/>
          <w:insideH w:val="nil"/>
          <w:insideV w:val="nil"/>
        </w:tcBorders>
        <w:shd w:val="clear" w:color="auto" w:fill="AE7E0E" w:themeFill="accent5" w:themeFillShade="BF"/>
      </w:tcPr>
    </w:tblStylePr>
  </w:style>
  <w:style w:type="table" w:styleId="DarkList-Accent6">
    <w:name w:val="Dark List Accent 6"/>
    <w:basedOn w:val="TableNormal"/>
    <w:uiPriority w:val="70"/>
    <w:semiHidden/>
    <w:rsid w:val="00A90923"/>
    <w:pPr>
      <w:spacing w:after="0" w:line="240" w:lineRule="auto"/>
    </w:pPr>
    <w:rPr>
      <w:rFonts w:eastAsiaTheme="minorEastAsia"/>
      <w:color w:val="FFFFFF" w:themeColor="background1"/>
    </w:rPr>
    <w:tblPr>
      <w:tblStyleRowBandSize w:val="1"/>
      <w:tblStyleColBandSize w:val="1"/>
    </w:tblPr>
    <w:tcPr>
      <w:shd w:val="clear" w:color="auto" w:fill="287D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E5D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E5D85" w:themeFill="accent6" w:themeFillShade="BF"/>
      </w:tcPr>
    </w:tblStylePr>
    <w:tblStylePr w:type="band1Vert">
      <w:tblPr/>
      <w:tcPr>
        <w:tcBorders>
          <w:top w:val="nil"/>
          <w:left w:val="nil"/>
          <w:bottom w:val="nil"/>
          <w:right w:val="nil"/>
          <w:insideH w:val="nil"/>
          <w:insideV w:val="nil"/>
        </w:tcBorders>
        <w:shd w:val="clear" w:color="auto" w:fill="1E5D85" w:themeFill="accent6" w:themeFillShade="BF"/>
      </w:tcPr>
    </w:tblStylePr>
    <w:tblStylePr w:type="band1Horz">
      <w:tblPr/>
      <w:tcPr>
        <w:tcBorders>
          <w:top w:val="nil"/>
          <w:left w:val="nil"/>
          <w:bottom w:val="nil"/>
          <w:right w:val="nil"/>
          <w:insideH w:val="nil"/>
          <w:insideV w:val="nil"/>
        </w:tcBorders>
        <w:shd w:val="clear" w:color="auto" w:fill="1E5D85" w:themeFill="accent6" w:themeFillShade="BF"/>
      </w:tcPr>
    </w:tblStylePr>
  </w:style>
  <w:style w:type="table" w:styleId="LightGrid">
    <w:name w:val="Light Grid"/>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002D3F" w:themeColor="accent1"/>
        <w:left w:val="single" w:sz="8" w:space="0" w:color="002D3F" w:themeColor="accent1"/>
        <w:bottom w:val="single" w:sz="8" w:space="0" w:color="002D3F" w:themeColor="accent1"/>
        <w:right w:val="single" w:sz="8" w:space="0" w:color="002D3F" w:themeColor="accent1"/>
        <w:insideH w:val="single" w:sz="8" w:space="0" w:color="002D3F" w:themeColor="accent1"/>
        <w:insideV w:val="single" w:sz="8" w:space="0" w:color="002D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3F" w:themeColor="accent1"/>
          <w:left w:val="single" w:sz="8" w:space="0" w:color="002D3F" w:themeColor="accent1"/>
          <w:bottom w:val="single" w:sz="18" w:space="0" w:color="002D3F" w:themeColor="accent1"/>
          <w:right w:val="single" w:sz="8" w:space="0" w:color="002D3F" w:themeColor="accent1"/>
          <w:insideH w:val="nil"/>
          <w:insideV w:val="single" w:sz="8" w:space="0" w:color="002D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3F" w:themeColor="accent1"/>
          <w:left w:val="single" w:sz="8" w:space="0" w:color="002D3F" w:themeColor="accent1"/>
          <w:bottom w:val="single" w:sz="8" w:space="0" w:color="002D3F" w:themeColor="accent1"/>
          <w:right w:val="single" w:sz="8" w:space="0" w:color="002D3F" w:themeColor="accent1"/>
          <w:insideH w:val="nil"/>
          <w:insideV w:val="single" w:sz="8" w:space="0" w:color="002D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3F" w:themeColor="accent1"/>
          <w:left w:val="single" w:sz="8" w:space="0" w:color="002D3F" w:themeColor="accent1"/>
          <w:bottom w:val="single" w:sz="8" w:space="0" w:color="002D3F" w:themeColor="accent1"/>
          <w:right w:val="single" w:sz="8" w:space="0" w:color="002D3F" w:themeColor="accent1"/>
        </w:tcBorders>
      </w:tcPr>
    </w:tblStylePr>
    <w:tblStylePr w:type="band1Vert">
      <w:tblPr/>
      <w:tcPr>
        <w:tcBorders>
          <w:top w:val="single" w:sz="8" w:space="0" w:color="002D3F" w:themeColor="accent1"/>
          <w:left w:val="single" w:sz="8" w:space="0" w:color="002D3F" w:themeColor="accent1"/>
          <w:bottom w:val="single" w:sz="8" w:space="0" w:color="002D3F" w:themeColor="accent1"/>
          <w:right w:val="single" w:sz="8" w:space="0" w:color="002D3F" w:themeColor="accent1"/>
        </w:tcBorders>
        <w:shd w:val="clear" w:color="auto" w:fill="90DFFF" w:themeFill="accent1" w:themeFillTint="3F"/>
      </w:tcPr>
    </w:tblStylePr>
    <w:tblStylePr w:type="band1Horz">
      <w:tblPr/>
      <w:tcPr>
        <w:tcBorders>
          <w:top w:val="single" w:sz="8" w:space="0" w:color="002D3F" w:themeColor="accent1"/>
          <w:left w:val="single" w:sz="8" w:space="0" w:color="002D3F" w:themeColor="accent1"/>
          <w:bottom w:val="single" w:sz="8" w:space="0" w:color="002D3F" w:themeColor="accent1"/>
          <w:right w:val="single" w:sz="8" w:space="0" w:color="002D3F" w:themeColor="accent1"/>
          <w:insideV w:val="single" w:sz="8" w:space="0" w:color="002D3F" w:themeColor="accent1"/>
        </w:tcBorders>
        <w:shd w:val="clear" w:color="auto" w:fill="90DFFF" w:themeFill="accent1" w:themeFillTint="3F"/>
      </w:tcPr>
    </w:tblStylePr>
    <w:tblStylePr w:type="band2Horz">
      <w:tblPr/>
      <w:tcPr>
        <w:tcBorders>
          <w:top w:val="single" w:sz="8" w:space="0" w:color="002D3F" w:themeColor="accent1"/>
          <w:left w:val="single" w:sz="8" w:space="0" w:color="002D3F" w:themeColor="accent1"/>
          <w:bottom w:val="single" w:sz="8" w:space="0" w:color="002D3F" w:themeColor="accent1"/>
          <w:right w:val="single" w:sz="8" w:space="0" w:color="002D3F" w:themeColor="accent1"/>
          <w:insideV w:val="single" w:sz="8" w:space="0" w:color="002D3F" w:themeColor="accent1"/>
        </w:tcBorders>
      </w:tcPr>
    </w:tblStylePr>
  </w:style>
  <w:style w:type="table" w:styleId="LightGrid-Accent2">
    <w:name w:val="Light Grid Accent 2"/>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F26322" w:themeColor="accent2"/>
        <w:left w:val="single" w:sz="8" w:space="0" w:color="F26322" w:themeColor="accent2"/>
        <w:bottom w:val="single" w:sz="8" w:space="0" w:color="F26322" w:themeColor="accent2"/>
        <w:right w:val="single" w:sz="8" w:space="0" w:color="F26322" w:themeColor="accent2"/>
        <w:insideH w:val="single" w:sz="8" w:space="0" w:color="F26322" w:themeColor="accent2"/>
        <w:insideV w:val="single" w:sz="8" w:space="0" w:color="F263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2"/>
          <w:left w:val="single" w:sz="8" w:space="0" w:color="F26322" w:themeColor="accent2"/>
          <w:bottom w:val="single" w:sz="18" w:space="0" w:color="F26322" w:themeColor="accent2"/>
          <w:right w:val="single" w:sz="8" w:space="0" w:color="F26322" w:themeColor="accent2"/>
          <w:insideH w:val="nil"/>
          <w:insideV w:val="single" w:sz="8" w:space="0" w:color="F263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2"/>
          <w:left w:val="single" w:sz="8" w:space="0" w:color="F26322" w:themeColor="accent2"/>
          <w:bottom w:val="single" w:sz="8" w:space="0" w:color="F26322" w:themeColor="accent2"/>
          <w:right w:val="single" w:sz="8" w:space="0" w:color="F26322" w:themeColor="accent2"/>
          <w:insideH w:val="nil"/>
          <w:insideV w:val="single" w:sz="8" w:space="0" w:color="F263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2"/>
          <w:left w:val="single" w:sz="8" w:space="0" w:color="F26322" w:themeColor="accent2"/>
          <w:bottom w:val="single" w:sz="8" w:space="0" w:color="F26322" w:themeColor="accent2"/>
          <w:right w:val="single" w:sz="8" w:space="0" w:color="F26322" w:themeColor="accent2"/>
        </w:tcBorders>
      </w:tcPr>
    </w:tblStylePr>
    <w:tblStylePr w:type="band1Vert">
      <w:tblPr/>
      <w:tcPr>
        <w:tcBorders>
          <w:top w:val="single" w:sz="8" w:space="0" w:color="F26322" w:themeColor="accent2"/>
          <w:left w:val="single" w:sz="8" w:space="0" w:color="F26322" w:themeColor="accent2"/>
          <w:bottom w:val="single" w:sz="8" w:space="0" w:color="F26322" w:themeColor="accent2"/>
          <w:right w:val="single" w:sz="8" w:space="0" w:color="F26322" w:themeColor="accent2"/>
        </w:tcBorders>
        <w:shd w:val="clear" w:color="auto" w:fill="FBD8C8" w:themeFill="accent2" w:themeFillTint="3F"/>
      </w:tcPr>
    </w:tblStylePr>
    <w:tblStylePr w:type="band1Horz">
      <w:tblPr/>
      <w:tcPr>
        <w:tcBorders>
          <w:top w:val="single" w:sz="8" w:space="0" w:color="F26322" w:themeColor="accent2"/>
          <w:left w:val="single" w:sz="8" w:space="0" w:color="F26322" w:themeColor="accent2"/>
          <w:bottom w:val="single" w:sz="8" w:space="0" w:color="F26322" w:themeColor="accent2"/>
          <w:right w:val="single" w:sz="8" w:space="0" w:color="F26322" w:themeColor="accent2"/>
          <w:insideV w:val="single" w:sz="8" w:space="0" w:color="F26322" w:themeColor="accent2"/>
        </w:tcBorders>
        <w:shd w:val="clear" w:color="auto" w:fill="FBD8C8" w:themeFill="accent2" w:themeFillTint="3F"/>
      </w:tcPr>
    </w:tblStylePr>
    <w:tblStylePr w:type="band2Horz">
      <w:tblPr/>
      <w:tcPr>
        <w:tcBorders>
          <w:top w:val="single" w:sz="8" w:space="0" w:color="F26322" w:themeColor="accent2"/>
          <w:left w:val="single" w:sz="8" w:space="0" w:color="F26322" w:themeColor="accent2"/>
          <w:bottom w:val="single" w:sz="8" w:space="0" w:color="F26322" w:themeColor="accent2"/>
          <w:right w:val="single" w:sz="8" w:space="0" w:color="F26322" w:themeColor="accent2"/>
          <w:insideV w:val="single" w:sz="8" w:space="0" w:color="F26322" w:themeColor="accent2"/>
        </w:tcBorders>
      </w:tcPr>
    </w:tblStylePr>
  </w:style>
  <w:style w:type="table" w:styleId="LightGrid-Accent3">
    <w:name w:val="Light Grid Accent 3"/>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008276" w:themeColor="accent3"/>
        <w:left w:val="single" w:sz="8" w:space="0" w:color="008276" w:themeColor="accent3"/>
        <w:bottom w:val="single" w:sz="8" w:space="0" w:color="008276" w:themeColor="accent3"/>
        <w:right w:val="single" w:sz="8" w:space="0" w:color="008276" w:themeColor="accent3"/>
        <w:insideH w:val="single" w:sz="8" w:space="0" w:color="008276" w:themeColor="accent3"/>
        <w:insideV w:val="single" w:sz="8" w:space="0" w:color="00827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76" w:themeColor="accent3"/>
          <w:left w:val="single" w:sz="8" w:space="0" w:color="008276" w:themeColor="accent3"/>
          <w:bottom w:val="single" w:sz="18" w:space="0" w:color="008276" w:themeColor="accent3"/>
          <w:right w:val="single" w:sz="8" w:space="0" w:color="008276" w:themeColor="accent3"/>
          <w:insideH w:val="nil"/>
          <w:insideV w:val="single" w:sz="8" w:space="0" w:color="00827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76" w:themeColor="accent3"/>
          <w:left w:val="single" w:sz="8" w:space="0" w:color="008276" w:themeColor="accent3"/>
          <w:bottom w:val="single" w:sz="8" w:space="0" w:color="008276" w:themeColor="accent3"/>
          <w:right w:val="single" w:sz="8" w:space="0" w:color="008276" w:themeColor="accent3"/>
          <w:insideH w:val="nil"/>
          <w:insideV w:val="single" w:sz="8" w:space="0" w:color="00827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76" w:themeColor="accent3"/>
          <w:left w:val="single" w:sz="8" w:space="0" w:color="008276" w:themeColor="accent3"/>
          <w:bottom w:val="single" w:sz="8" w:space="0" w:color="008276" w:themeColor="accent3"/>
          <w:right w:val="single" w:sz="8" w:space="0" w:color="008276" w:themeColor="accent3"/>
        </w:tcBorders>
      </w:tcPr>
    </w:tblStylePr>
    <w:tblStylePr w:type="band1Vert">
      <w:tblPr/>
      <w:tcPr>
        <w:tcBorders>
          <w:top w:val="single" w:sz="8" w:space="0" w:color="008276" w:themeColor="accent3"/>
          <w:left w:val="single" w:sz="8" w:space="0" w:color="008276" w:themeColor="accent3"/>
          <w:bottom w:val="single" w:sz="8" w:space="0" w:color="008276" w:themeColor="accent3"/>
          <w:right w:val="single" w:sz="8" w:space="0" w:color="008276" w:themeColor="accent3"/>
        </w:tcBorders>
        <w:shd w:val="clear" w:color="auto" w:fill="A1FFF6" w:themeFill="accent3" w:themeFillTint="3F"/>
      </w:tcPr>
    </w:tblStylePr>
    <w:tblStylePr w:type="band1Horz">
      <w:tblPr/>
      <w:tcPr>
        <w:tcBorders>
          <w:top w:val="single" w:sz="8" w:space="0" w:color="008276" w:themeColor="accent3"/>
          <w:left w:val="single" w:sz="8" w:space="0" w:color="008276" w:themeColor="accent3"/>
          <w:bottom w:val="single" w:sz="8" w:space="0" w:color="008276" w:themeColor="accent3"/>
          <w:right w:val="single" w:sz="8" w:space="0" w:color="008276" w:themeColor="accent3"/>
          <w:insideV w:val="single" w:sz="8" w:space="0" w:color="008276" w:themeColor="accent3"/>
        </w:tcBorders>
        <w:shd w:val="clear" w:color="auto" w:fill="A1FFF6" w:themeFill="accent3" w:themeFillTint="3F"/>
      </w:tcPr>
    </w:tblStylePr>
    <w:tblStylePr w:type="band2Horz">
      <w:tblPr/>
      <w:tcPr>
        <w:tcBorders>
          <w:top w:val="single" w:sz="8" w:space="0" w:color="008276" w:themeColor="accent3"/>
          <w:left w:val="single" w:sz="8" w:space="0" w:color="008276" w:themeColor="accent3"/>
          <w:bottom w:val="single" w:sz="8" w:space="0" w:color="008276" w:themeColor="accent3"/>
          <w:right w:val="single" w:sz="8" w:space="0" w:color="008276" w:themeColor="accent3"/>
          <w:insideV w:val="single" w:sz="8" w:space="0" w:color="008276" w:themeColor="accent3"/>
        </w:tcBorders>
      </w:tcPr>
    </w:tblStylePr>
  </w:style>
  <w:style w:type="table" w:styleId="LightGrid-Accent4">
    <w:name w:val="Light Grid Accent 4"/>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B6006A" w:themeColor="accent4"/>
        <w:left w:val="single" w:sz="8" w:space="0" w:color="B6006A" w:themeColor="accent4"/>
        <w:bottom w:val="single" w:sz="8" w:space="0" w:color="B6006A" w:themeColor="accent4"/>
        <w:right w:val="single" w:sz="8" w:space="0" w:color="B6006A" w:themeColor="accent4"/>
        <w:insideH w:val="single" w:sz="8" w:space="0" w:color="B6006A" w:themeColor="accent4"/>
        <w:insideV w:val="single" w:sz="8" w:space="0" w:color="B6006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006A" w:themeColor="accent4"/>
          <w:left w:val="single" w:sz="8" w:space="0" w:color="B6006A" w:themeColor="accent4"/>
          <w:bottom w:val="single" w:sz="18" w:space="0" w:color="B6006A" w:themeColor="accent4"/>
          <w:right w:val="single" w:sz="8" w:space="0" w:color="B6006A" w:themeColor="accent4"/>
          <w:insideH w:val="nil"/>
          <w:insideV w:val="single" w:sz="8" w:space="0" w:color="B6006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006A" w:themeColor="accent4"/>
          <w:left w:val="single" w:sz="8" w:space="0" w:color="B6006A" w:themeColor="accent4"/>
          <w:bottom w:val="single" w:sz="8" w:space="0" w:color="B6006A" w:themeColor="accent4"/>
          <w:right w:val="single" w:sz="8" w:space="0" w:color="B6006A" w:themeColor="accent4"/>
          <w:insideH w:val="nil"/>
          <w:insideV w:val="single" w:sz="8" w:space="0" w:color="B6006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006A" w:themeColor="accent4"/>
          <w:left w:val="single" w:sz="8" w:space="0" w:color="B6006A" w:themeColor="accent4"/>
          <w:bottom w:val="single" w:sz="8" w:space="0" w:color="B6006A" w:themeColor="accent4"/>
          <w:right w:val="single" w:sz="8" w:space="0" w:color="B6006A" w:themeColor="accent4"/>
        </w:tcBorders>
      </w:tcPr>
    </w:tblStylePr>
    <w:tblStylePr w:type="band1Vert">
      <w:tblPr/>
      <w:tcPr>
        <w:tcBorders>
          <w:top w:val="single" w:sz="8" w:space="0" w:color="B6006A" w:themeColor="accent4"/>
          <w:left w:val="single" w:sz="8" w:space="0" w:color="B6006A" w:themeColor="accent4"/>
          <w:bottom w:val="single" w:sz="8" w:space="0" w:color="B6006A" w:themeColor="accent4"/>
          <w:right w:val="single" w:sz="8" w:space="0" w:color="B6006A" w:themeColor="accent4"/>
        </w:tcBorders>
        <w:shd w:val="clear" w:color="auto" w:fill="FFADDC" w:themeFill="accent4" w:themeFillTint="3F"/>
      </w:tcPr>
    </w:tblStylePr>
    <w:tblStylePr w:type="band1Horz">
      <w:tblPr/>
      <w:tcPr>
        <w:tcBorders>
          <w:top w:val="single" w:sz="8" w:space="0" w:color="B6006A" w:themeColor="accent4"/>
          <w:left w:val="single" w:sz="8" w:space="0" w:color="B6006A" w:themeColor="accent4"/>
          <w:bottom w:val="single" w:sz="8" w:space="0" w:color="B6006A" w:themeColor="accent4"/>
          <w:right w:val="single" w:sz="8" w:space="0" w:color="B6006A" w:themeColor="accent4"/>
          <w:insideV w:val="single" w:sz="8" w:space="0" w:color="B6006A" w:themeColor="accent4"/>
        </w:tcBorders>
        <w:shd w:val="clear" w:color="auto" w:fill="FFADDC" w:themeFill="accent4" w:themeFillTint="3F"/>
      </w:tcPr>
    </w:tblStylePr>
    <w:tblStylePr w:type="band2Horz">
      <w:tblPr/>
      <w:tcPr>
        <w:tcBorders>
          <w:top w:val="single" w:sz="8" w:space="0" w:color="B6006A" w:themeColor="accent4"/>
          <w:left w:val="single" w:sz="8" w:space="0" w:color="B6006A" w:themeColor="accent4"/>
          <w:bottom w:val="single" w:sz="8" w:space="0" w:color="B6006A" w:themeColor="accent4"/>
          <w:right w:val="single" w:sz="8" w:space="0" w:color="B6006A" w:themeColor="accent4"/>
          <w:insideV w:val="single" w:sz="8" w:space="0" w:color="B6006A" w:themeColor="accent4"/>
        </w:tcBorders>
      </w:tcPr>
    </w:tblStylePr>
  </w:style>
  <w:style w:type="table" w:styleId="LightGrid-Accent5">
    <w:name w:val="Light Grid Accent 5"/>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E9A913" w:themeColor="accent5"/>
        <w:left w:val="single" w:sz="8" w:space="0" w:color="E9A913" w:themeColor="accent5"/>
        <w:bottom w:val="single" w:sz="8" w:space="0" w:color="E9A913" w:themeColor="accent5"/>
        <w:right w:val="single" w:sz="8" w:space="0" w:color="E9A913" w:themeColor="accent5"/>
        <w:insideH w:val="single" w:sz="8" w:space="0" w:color="E9A913" w:themeColor="accent5"/>
        <w:insideV w:val="single" w:sz="8" w:space="0" w:color="E9A91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5"/>
          <w:left w:val="single" w:sz="8" w:space="0" w:color="E9A913" w:themeColor="accent5"/>
          <w:bottom w:val="single" w:sz="18" w:space="0" w:color="E9A913" w:themeColor="accent5"/>
          <w:right w:val="single" w:sz="8" w:space="0" w:color="E9A913" w:themeColor="accent5"/>
          <w:insideH w:val="nil"/>
          <w:insideV w:val="single" w:sz="8" w:space="0" w:color="E9A91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5"/>
          <w:left w:val="single" w:sz="8" w:space="0" w:color="E9A913" w:themeColor="accent5"/>
          <w:bottom w:val="single" w:sz="8" w:space="0" w:color="E9A913" w:themeColor="accent5"/>
          <w:right w:val="single" w:sz="8" w:space="0" w:color="E9A913" w:themeColor="accent5"/>
          <w:insideH w:val="nil"/>
          <w:insideV w:val="single" w:sz="8" w:space="0" w:color="E9A91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5"/>
          <w:left w:val="single" w:sz="8" w:space="0" w:color="E9A913" w:themeColor="accent5"/>
          <w:bottom w:val="single" w:sz="8" w:space="0" w:color="E9A913" w:themeColor="accent5"/>
          <w:right w:val="single" w:sz="8" w:space="0" w:color="E9A913" w:themeColor="accent5"/>
        </w:tcBorders>
      </w:tcPr>
    </w:tblStylePr>
    <w:tblStylePr w:type="band1Vert">
      <w:tblPr/>
      <w:tcPr>
        <w:tcBorders>
          <w:top w:val="single" w:sz="8" w:space="0" w:color="E9A913" w:themeColor="accent5"/>
          <w:left w:val="single" w:sz="8" w:space="0" w:color="E9A913" w:themeColor="accent5"/>
          <w:bottom w:val="single" w:sz="8" w:space="0" w:color="E9A913" w:themeColor="accent5"/>
          <w:right w:val="single" w:sz="8" w:space="0" w:color="E9A913" w:themeColor="accent5"/>
        </w:tcBorders>
        <w:shd w:val="clear" w:color="auto" w:fill="FAE9C3" w:themeFill="accent5" w:themeFillTint="3F"/>
      </w:tcPr>
    </w:tblStylePr>
    <w:tblStylePr w:type="band1Horz">
      <w:tblPr/>
      <w:tcPr>
        <w:tcBorders>
          <w:top w:val="single" w:sz="8" w:space="0" w:color="E9A913" w:themeColor="accent5"/>
          <w:left w:val="single" w:sz="8" w:space="0" w:color="E9A913" w:themeColor="accent5"/>
          <w:bottom w:val="single" w:sz="8" w:space="0" w:color="E9A913" w:themeColor="accent5"/>
          <w:right w:val="single" w:sz="8" w:space="0" w:color="E9A913" w:themeColor="accent5"/>
          <w:insideV w:val="single" w:sz="8" w:space="0" w:color="E9A913" w:themeColor="accent5"/>
        </w:tcBorders>
        <w:shd w:val="clear" w:color="auto" w:fill="FAE9C3" w:themeFill="accent5" w:themeFillTint="3F"/>
      </w:tcPr>
    </w:tblStylePr>
    <w:tblStylePr w:type="band2Horz">
      <w:tblPr/>
      <w:tcPr>
        <w:tcBorders>
          <w:top w:val="single" w:sz="8" w:space="0" w:color="E9A913" w:themeColor="accent5"/>
          <w:left w:val="single" w:sz="8" w:space="0" w:color="E9A913" w:themeColor="accent5"/>
          <w:bottom w:val="single" w:sz="8" w:space="0" w:color="E9A913" w:themeColor="accent5"/>
          <w:right w:val="single" w:sz="8" w:space="0" w:color="E9A913" w:themeColor="accent5"/>
          <w:insideV w:val="single" w:sz="8" w:space="0" w:color="E9A913" w:themeColor="accent5"/>
        </w:tcBorders>
      </w:tcPr>
    </w:tblStylePr>
  </w:style>
  <w:style w:type="table" w:styleId="LightGrid-Accent6">
    <w:name w:val="Light Grid Accent 6"/>
    <w:basedOn w:val="TableNormal"/>
    <w:uiPriority w:val="62"/>
    <w:semiHidden/>
    <w:rsid w:val="00A90923"/>
    <w:pPr>
      <w:spacing w:after="0" w:line="240" w:lineRule="auto"/>
    </w:pPr>
    <w:rPr>
      <w:rFonts w:eastAsiaTheme="minorEastAsia"/>
    </w:rPr>
    <w:tblPr>
      <w:tblStyleRowBandSize w:val="1"/>
      <w:tblStyleColBandSize w:val="1"/>
      <w:tblBorders>
        <w:top w:val="single" w:sz="8" w:space="0" w:color="287DB2" w:themeColor="accent6"/>
        <w:left w:val="single" w:sz="8" w:space="0" w:color="287DB2" w:themeColor="accent6"/>
        <w:bottom w:val="single" w:sz="8" w:space="0" w:color="287DB2" w:themeColor="accent6"/>
        <w:right w:val="single" w:sz="8" w:space="0" w:color="287DB2" w:themeColor="accent6"/>
        <w:insideH w:val="single" w:sz="8" w:space="0" w:color="287DB2" w:themeColor="accent6"/>
        <w:insideV w:val="single" w:sz="8" w:space="0" w:color="287D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DB2" w:themeColor="accent6"/>
          <w:left w:val="single" w:sz="8" w:space="0" w:color="287DB2" w:themeColor="accent6"/>
          <w:bottom w:val="single" w:sz="18" w:space="0" w:color="287DB2" w:themeColor="accent6"/>
          <w:right w:val="single" w:sz="8" w:space="0" w:color="287DB2" w:themeColor="accent6"/>
          <w:insideH w:val="nil"/>
          <w:insideV w:val="single" w:sz="8" w:space="0" w:color="287D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DB2" w:themeColor="accent6"/>
          <w:left w:val="single" w:sz="8" w:space="0" w:color="287DB2" w:themeColor="accent6"/>
          <w:bottom w:val="single" w:sz="8" w:space="0" w:color="287DB2" w:themeColor="accent6"/>
          <w:right w:val="single" w:sz="8" w:space="0" w:color="287DB2" w:themeColor="accent6"/>
          <w:insideH w:val="nil"/>
          <w:insideV w:val="single" w:sz="8" w:space="0" w:color="287D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DB2" w:themeColor="accent6"/>
          <w:left w:val="single" w:sz="8" w:space="0" w:color="287DB2" w:themeColor="accent6"/>
          <w:bottom w:val="single" w:sz="8" w:space="0" w:color="287DB2" w:themeColor="accent6"/>
          <w:right w:val="single" w:sz="8" w:space="0" w:color="287DB2" w:themeColor="accent6"/>
        </w:tcBorders>
      </w:tcPr>
    </w:tblStylePr>
    <w:tblStylePr w:type="band1Vert">
      <w:tblPr/>
      <w:tcPr>
        <w:tcBorders>
          <w:top w:val="single" w:sz="8" w:space="0" w:color="287DB2" w:themeColor="accent6"/>
          <w:left w:val="single" w:sz="8" w:space="0" w:color="287DB2" w:themeColor="accent6"/>
          <w:bottom w:val="single" w:sz="8" w:space="0" w:color="287DB2" w:themeColor="accent6"/>
          <w:right w:val="single" w:sz="8" w:space="0" w:color="287DB2" w:themeColor="accent6"/>
        </w:tcBorders>
        <w:shd w:val="clear" w:color="auto" w:fill="C3E0F1" w:themeFill="accent6" w:themeFillTint="3F"/>
      </w:tcPr>
    </w:tblStylePr>
    <w:tblStylePr w:type="band1Horz">
      <w:tblPr/>
      <w:tcPr>
        <w:tcBorders>
          <w:top w:val="single" w:sz="8" w:space="0" w:color="287DB2" w:themeColor="accent6"/>
          <w:left w:val="single" w:sz="8" w:space="0" w:color="287DB2" w:themeColor="accent6"/>
          <w:bottom w:val="single" w:sz="8" w:space="0" w:color="287DB2" w:themeColor="accent6"/>
          <w:right w:val="single" w:sz="8" w:space="0" w:color="287DB2" w:themeColor="accent6"/>
          <w:insideV w:val="single" w:sz="8" w:space="0" w:color="287DB2" w:themeColor="accent6"/>
        </w:tcBorders>
        <w:shd w:val="clear" w:color="auto" w:fill="C3E0F1" w:themeFill="accent6" w:themeFillTint="3F"/>
      </w:tcPr>
    </w:tblStylePr>
    <w:tblStylePr w:type="band2Horz">
      <w:tblPr/>
      <w:tcPr>
        <w:tcBorders>
          <w:top w:val="single" w:sz="8" w:space="0" w:color="287DB2" w:themeColor="accent6"/>
          <w:left w:val="single" w:sz="8" w:space="0" w:color="287DB2" w:themeColor="accent6"/>
          <w:bottom w:val="single" w:sz="8" w:space="0" w:color="287DB2" w:themeColor="accent6"/>
          <w:right w:val="single" w:sz="8" w:space="0" w:color="287DB2" w:themeColor="accent6"/>
          <w:insideV w:val="single" w:sz="8" w:space="0" w:color="287DB2" w:themeColor="accent6"/>
        </w:tcBorders>
      </w:tcPr>
    </w:tblStylePr>
  </w:style>
  <w:style w:type="table" w:styleId="LightList">
    <w:name w:val="Light List"/>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002D3F" w:themeColor="accent1"/>
        <w:left w:val="single" w:sz="8" w:space="0" w:color="002D3F" w:themeColor="accent1"/>
        <w:bottom w:val="single" w:sz="8" w:space="0" w:color="002D3F" w:themeColor="accent1"/>
        <w:right w:val="single" w:sz="8" w:space="0" w:color="002D3F" w:themeColor="accent1"/>
      </w:tblBorders>
    </w:tblPr>
    <w:tblStylePr w:type="firstRow">
      <w:pPr>
        <w:spacing w:before="0" w:after="0" w:line="240" w:lineRule="auto"/>
      </w:pPr>
      <w:rPr>
        <w:b/>
        <w:bCs/>
        <w:color w:val="FFFFFF" w:themeColor="background1"/>
      </w:rPr>
      <w:tblPr/>
      <w:tcPr>
        <w:shd w:val="clear" w:color="auto" w:fill="002D3F" w:themeFill="accent1"/>
      </w:tcPr>
    </w:tblStylePr>
    <w:tblStylePr w:type="lastRow">
      <w:pPr>
        <w:spacing w:before="0" w:after="0" w:line="240" w:lineRule="auto"/>
      </w:pPr>
      <w:rPr>
        <w:b/>
        <w:bCs/>
      </w:rPr>
      <w:tblPr/>
      <w:tcPr>
        <w:tcBorders>
          <w:top w:val="double" w:sz="6" w:space="0" w:color="002D3F" w:themeColor="accent1"/>
          <w:left w:val="single" w:sz="8" w:space="0" w:color="002D3F" w:themeColor="accent1"/>
          <w:bottom w:val="single" w:sz="8" w:space="0" w:color="002D3F" w:themeColor="accent1"/>
          <w:right w:val="single" w:sz="8" w:space="0" w:color="002D3F" w:themeColor="accent1"/>
        </w:tcBorders>
      </w:tcPr>
    </w:tblStylePr>
    <w:tblStylePr w:type="firstCol">
      <w:rPr>
        <w:b/>
        <w:bCs/>
      </w:rPr>
    </w:tblStylePr>
    <w:tblStylePr w:type="lastCol">
      <w:rPr>
        <w:b/>
        <w:bCs/>
      </w:rPr>
    </w:tblStylePr>
    <w:tblStylePr w:type="band1Vert">
      <w:tblPr/>
      <w:tcPr>
        <w:tcBorders>
          <w:top w:val="single" w:sz="8" w:space="0" w:color="002D3F" w:themeColor="accent1"/>
          <w:left w:val="single" w:sz="8" w:space="0" w:color="002D3F" w:themeColor="accent1"/>
          <w:bottom w:val="single" w:sz="8" w:space="0" w:color="002D3F" w:themeColor="accent1"/>
          <w:right w:val="single" w:sz="8" w:space="0" w:color="002D3F" w:themeColor="accent1"/>
        </w:tcBorders>
      </w:tcPr>
    </w:tblStylePr>
    <w:tblStylePr w:type="band1Horz">
      <w:tblPr/>
      <w:tcPr>
        <w:tcBorders>
          <w:top w:val="single" w:sz="8" w:space="0" w:color="002D3F" w:themeColor="accent1"/>
          <w:left w:val="single" w:sz="8" w:space="0" w:color="002D3F" w:themeColor="accent1"/>
          <w:bottom w:val="single" w:sz="8" w:space="0" w:color="002D3F" w:themeColor="accent1"/>
          <w:right w:val="single" w:sz="8" w:space="0" w:color="002D3F" w:themeColor="accent1"/>
        </w:tcBorders>
      </w:tcPr>
    </w:tblStylePr>
  </w:style>
  <w:style w:type="table" w:styleId="LightList-Accent2">
    <w:name w:val="Light List Accent 2"/>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F26322" w:themeColor="accent2"/>
        <w:left w:val="single" w:sz="8" w:space="0" w:color="F26322" w:themeColor="accent2"/>
        <w:bottom w:val="single" w:sz="8" w:space="0" w:color="F26322" w:themeColor="accent2"/>
        <w:right w:val="single" w:sz="8" w:space="0" w:color="F26322" w:themeColor="accent2"/>
      </w:tblBorders>
    </w:tblPr>
    <w:tblStylePr w:type="firstRow">
      <w:pPr>
        <w:spacing w:before="0" w:after="0" w:line="240" w:lineRule="auto"/>
      </w:pPr>
      <w:rPr>
        <w:b/>
        <w:bCs/>
        <w:color w:val="FFFFFF" w:themeColor="background1"/>
      </w:rPr>
      <w:tblPr/>
      <w:tcPr>
        <w:shd w:val="clear" w:color="auto" w:fill="F26322" w:themeFill="accent2"/>
      </w:tcPr>
    </w:tblStylePr>
    <w:tblStylePr w:type="lastRow">
      <w:pPr>
        <w:spacing w:before="0" w:after="0" w:line="240" w:lineRule="auto"/>
      </w:pPr>
      <w:rPr>
        <w:b/>
        <w:bCs/>
      </w:rPr>
      <w:tblPr/>
      <w:tcPr>
        <w:tcBorders>
          <w:top w:val="double" w:sz="6" w:space="0" w:color="F26322" w:themeColor="accent2"/>
          <w:left w:val="single" w:sz="8" w:space="0" w:color="F26322" w:themeColor="accent2"/>
          <w:bottom w:val="single" w:sz="8" w:space="0" w:color="F26322" w:themeColor="accent2"/>
          <w:right w:val="single" w:sz="8" w:space="0" w:color="F26322" w:themeColor="accent2"/>
        </w:tcBorders>
      </w:tcPr>
    </w:tblStylePr>
    <w:tblStylePr w:type="firstCol">
      <w:rPr>
        <w:b/>
        <w:bCs/>
      </w:rPr>
    </w:tblStylePr>
    <w:tblStylePr w:type="lastCol">
      <w:rPr>
        <w:b/>
        <w:bCs/>
      </w:rPr>
    </w:tblStylePr>
    <w:tblStylePr w:type="band1Vert">
      <w:tblPr/>
      <w:tcPr>
        <w:tcBorders>
          <w:top w:val="single" w:sz="8" w:space="0" w:color="F26322" w:themeColor="accent2"/>
          <w:left w:val="single" w:sz="8" w:space="0" w:color="F26322" w:themeColor="accent2"/>
          <w:bottom w:val="single" w:sz="8" w:space="0" w:color="F26322" w:themeColor="accent2"/>
          <w:right w:val="single" w:sz="8" w:space="0" w:color="F26322" w:themeColor="accent2"/>
        </w:tcBorders>
      </w:tcPr>
    </w:tblStylePr>
    <w:tblStylePr w:type="band1Horz">
      <w:tblPr/>
      <w:tcPr>
        <w:tcBorders>
          <w:top w:val="single" w:sz="8" w:space="0" w:color="F26322" w:themeColor="accent2"/>
          <w:left w:val="single" w:sz="8" w:space="0" w:color="F26322" w:themeColor="accent2"/>
          <w:bottom w:val="single" w:sz="8" w:space="0" w:color="F26322" w:themeColor="accent2"/>
          <w:right w:val="single" w:sz="8" w:space="0" w:color="F26322" w:themeColor="accent2"/>
        </w:tcBorders>
      </w:tcPr>
    </w:tblStylePr>
  </w:style>
  <w:style w:type="table" w:styleId="LightList-Accent3">
    <w:name w:val="Light List Accent 3"/>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008276" w:themeColor="accent3"/>
        <w:left w:val="single" w:sz="8" w:space="0" w:color="008276" w:themeColor="accent3"/>
        <w:bottom w:val="single" w:sz="8" w:space="0" w:color="008276" w:themeColor="accent3"/>
        <w:right w:val="single" w:sz="8" w:space="0" w:color="008276" w:themeColor="accent3"/>
      </w:tblBorders>
    </w:tblPr>
    <w:tblStylePr w:type="firstRow">
      <w:pPr>
        <w:spacing w:before="0" w:after="0" w:line="240" w:lineRule="auto"/>
      </w:pPr>
      <w:rPr>
        <w:b/>
        <w:bCs/>
        <w:color w:val="FFFFFF" w:themeColor="background1"/>
      </w:rPr>
      <w:tblPr/>
      <w:tcPr>
        <w:shd w:val="clear" w:color="auto" w:fill="008276" w:themeFill="accent3"/>
      </w:tcPr>
    </w:tblStylePr>
    <w:tblStylePr w:type="lastRow">
      <w:pPr>
        <w:spacing w:before="0" w:after="0" w:line="240" w:lineRule="auto"/>
      </w:pPr>
      <w:rPr>
        <w:b/>
        <w:bCs/>
      </w:rPr>
      <w:tblPr/>
      <w:tcPr>
        <w:tcBorders>
          <w:top w:val="double" w:sz="6" w:space="0" w:color="008276" w:themeColor="accent3"/>
          <w:left w:val="single" w:sz="8" w:space="0" w:color="008276" w:themeColor="accent3"/>
          <w:bottom w:val="single" w:sz="8" w:space="0" w:color="008276" w:themeColor="accent3"/>
          <w:right w:val="single" w:sz="8" w:space="0" w:color="008276" w:themeColor="accent3"/>
        </w:tcBorders>
      </w:tcPr>
    </w:tblStylePr>
    <w:tblStylePr w:type="firstCol">
      <w:rPr>
        <w:b/>
        <w:bCs/>
      </w:rPr>
    </w:tblStylePr>
    <w:tblStylePr w:type="lastCol">
      <w:rPr>
        <w:b/>
        <w:bCs/>
      </w:rPr>
    </w:tblStylePr>
    <w:tblStylePr w:type="band1Vert">
      <w:tblPr/>
      <w:tcPr>
        <w:tcBorders>
          <w:top w:val="single" w:sz="8" w:space="0" w:color="008276" w:themeColor="accent3"/>
          <w:left w:val="single" w:sz="8" w:space="0" w:color="008276" w:themeColor="accent3"/>
          <w:bottom w:val="single" w:sz="8" w:space="0" w:color="008276" w:themeColor="accent3"/>
          <w:right w:val="single" w:sz="8" w:space="0" w:color="008276" w:themeColor="accent3"/>
        </w:tcBorders>
      </w:tcPr>
    </w:tblStylePr>
    <w:tblStylePr w:type="band1Horz">
      <w:tblPr/>
      <w:tcPr>
        <w:tcBorders>
          <w:top w:val="single" w:sz="8" w:space="0" w:color="008276" w:themeColor="accent3"/>
          <w:left w:val="single" w:sz="8" w:space="0" w:color="008276" w:themeColor="accent3"/>
          <w:bottom w:val="single" w:sz="8" w:space="0" w:color="008276" w:themeColor="accent3"/>
          <w:right w:val="single" w:sz="8" w:space="0" w:color="008276" w:themeColor="accent3"/>
        </w:tcBorders>
      </w:tcPr>
    </w:tblStylePr>
  </w:style>
  <w:style w:type="table" w:styleId="LightList-Accent4">
    <w:name w:val="Light List Accent 4"/>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B6006A" w:themeColor="accent4"/>
        <w:left w:val="single" w:sz="8" w:space="0" w:color="B6006A" w:themeColor="accent4"/>
        <w:bottom w:val="single" w:sz="8" w:space="0" w:color="B6006A" w:themeColor="accent4"/>
        <w:right w:val="single" w:sz="8" w:space="0" w:color="B6006A" w:themeColor="accent4"/>
      </w:tblBorders>
    </w:tblPr>
    <w:tblStylePr w:type="firstRow">
      <w:pPr>
        <w:spacing w:before="0" w:after="0" w:line="240" w:lineRule="auto"/>
      </w:pPr>
      <w:rPr>
        <w:b/>
        <w:bCs/>
        <w:color w:val="FFFFFF" w:themeColor="background1"/>
      </w:rPr>
      <w:tblPr/>
      <w:tcPr>
        <w:shd w:val="clear" w:color="auto" w:fill="B6006A" w:themeFill="accent4"/>
      </w:tcPr>
    </w:tblStylePr>
    <w:tblStylePr w:type="lastRow">
      <w:pPr>
        <w:spacing w:before="0" w:after="0" w:line="240" w:lineRule="auto"/>
      </w:pPr>
      <w:rPr>
        <w:b/>
        <w:bCs/>
      </w:rPr>
      <w:tblPr/>
      <w:tcPr>
        <w:tcBorders>
          <w:top w:val="double" w:sz="6" w:space="0" w:color="B6006A" w:themeColor="accent4"/>
          <w:left w:val="single" w:sz="8" w:space="0" w:color="B6006A" w:themeColor="accent4"/>
          <w:bottom w:val="single" w:sz="8" w:space="0" w:color="B6006A" w:themeColor="accent4"/>
          <w:right w:val="single" w:sz="8" w:space="0" w:color="B6006A" w:themeColor="accent4"/>
        </w:tcBorders>
      </w:tcPr>
    </w:tblStylePr>
    <w:tblStylePr w:type="firstCol">
      <w:rPr>
        <w:b/>
        <w:bCs/>
      </w:rPr>
    </w:tblStylePr>
    <w:tblStylePr w:type="lastCol">
      <w:rPr>
        <w:b/>
        <w:bCs/>
      </w:rPr>
    </w:tblStylePr>
    <w:tblStylePr w:type="band1Vert">
      <w:tblPr/>
      <w:tcPr>
        <w:tcBorders>
          <w:top w:val="single" w:sz="8" w:space="0" w:color="B6006A" w:themeColor="accent4"/>
          <w:left w:val="single" w:sz="8" w:space="0" w:color="B6006A" w:themeColor="accent4"/>
          <w:bottom w:val="single" w:sz="8" w:space="0" w:color="B6006A" w:themeColor="accent4"/>
          <w:right w:val="single" w:sz="8" w:space="0" w:color="B6006A" w:themeColor="accent4"/>
        </w:tcBorders>
      </w:tcPr>
    </w:tblStylePr>
    <w:tblStylePr w:type="band1Horz">
      <w:tblPr/>
      <w:tcPr>
        <w:tcBorders>
          <w:top w:val="single" w:sz="8" w:space="0" w:color="B6006A" w:themeColor="accent4"/>
          <w:left w:val="single" w:sz="8" w:space="0" w:color="B6006A" w:themeColor="accent4"/>
          <w:bottom w:val="single" w:sz="8" w:space="0" w:color="B6006A" w:themeColor="accent4"/>
          <w:right w:val="single" w:sz="8" w:space="0" w:color="B6006A" w:themeColor="accent4"/>
        </w:tcBorders>
      </w:tcPr>
    </w:tblStylePr>
  </w:style>
  <w:style w:type="table" w:styleId="LightList-Accent5">
    <w:name w:val="Light List Accent 5"/>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E9A913" w:themeColor="accent5"/>
        <w:left w:val="single" w:sz="8" w:space="0" w:color="E9A913" w:themeColor="accent5"/>
        <w:bottom w:val="single" w:sz="8" w:space="0" w:color="E9A913" w:themeColor="accent5"/>
        <w:right w:val="single" w:sz="8" w:space="0" w:color="E9A913" w:themeColor="accent5"/>
      </w:tblBorders>
    </w:tblPr>
    <w:tblStylePr w:type="firstRow">
      <w:pPr>
        <w:spacing w:before="0" w:after="0" w:line="240" w:lineRule="auto"/>
      </w:pPr>
      <w:rPr>
        <w:b/>
        <w:bCs/>
        <w:color w:val="FFFFFF" w:themeColor="background1"/>
      </w:rPr>
      <w:tblPr/>
      <w:tcPr>
        <w:shd w:val="clear" w:color="auto" w:fill="E9A913" w:themeFill="accent5"/>
      </w:tcPr>
    </w:tblStylePr>
    <w:tblStylePr w:type="lastRow">
      <w:pPr>
        <w:spacing w:before="0" w:after="0" w:line="240" w:lineRule="auto"/>
      </w:pPr>
      <w:rPr>
        <w:b/>
        <w:bCs/>
      </w:rPr>
      <w:tblPr/>
      <w:tcPr>
        <w:tcBorders>
          <w:top w:val="double" w:sz="6" w:space="0" w:color="E9A913" w:themeColor="accent5"/>
          <w:left w:val="single" w:sz="8" w:space="0" w:color="E9A913" w:themeColor="accent5"/>
          <w:bottom w:val="single" w:sz="8" w:space="0" w:color="E9A913" w:themeColor="accent5"/>
          <w:right w:val="single" w:sz="8" w:space="0" w:color="E9A913" w:themeColor="accent5"/>
        </w:tcBorders>
      </w:tcPr>
    </w:tblStylePr>
    <w:tblStylePr w:type="firstCol">
      <w:rPr>
        <w:b/>
        <w:bCs/>
      </w:rPr>
    </w:tblStylePr>
    <w:tblStylePr w:type="lastCol">
      <w:rPr>
        <w:b/>
        <w:bCs/>
      </w:rPr>
    </w:tblStylePr>
    <w:tblStylePr w:type="band1Vert">
      <w:tblPr/>
      <w:tcPr>
        <w:tcBorders>
          <w:top w:val="single" w:sz="8" w:space="0" w:color="E9A913" w:themeColor="accent5"/>
          <w:left w:val="single" w:sz="8" w:space="0" w:color="E9A913" w:themeColor="accent5"/>
          <w:bottom w:val="single" w:sz="8" w:space="0" w:color="E9A913" w:themeColor="accent5"/>
          <w:right w:val="single" w:sz="8" w:space="0" w:color="E9A913" w:themeColor="accent5"/>
        </w:tcBorders>
      </w:tcPr>
    </w:tblStylePr>
    <w:tblStylePr w:type="band1Horz">
      <w:tblPr/>
      <w:tcPr>
        <w:tcBorders>
          <w:top w:val="single" w:sz="8" w:space="0" w:color="E9A913" w:themeColor="accent5"/>
          <w:left w:val="single" w:sz="8" w:space="0" w:color="E9A913" w:themeColor="accent5"/>
          <w:bottom w:val="single" w:sz="8" w:space="0" w:color="E9A913" w:themeColor="accent5"/>
          <w:right w:val="single" w:sz="8" w:space="0" w:color="E9A913" w:themeColor="accent5"/>
        </w:tcBorders>
      </w:tcPr>
    </w:tblStylePr>
  </w:style>
  <w:style w:type="table" w:styleId="LightList-Accent6">
    <w:name w:val="Light List Accent 6"/>
    <w:basedOn w:val="TableNormal"/>
    <w:uiPriority w:val="61"/>
    <w:semiHidden/>
    <w:rsid w:val="00A90923"/>
    <w:pPr>
      <w:spacing w:after="0" w:line="240" w:lineRule="auto"/>
    </w:pPr>
    <w:rPr>
      <w:rFonts w:eastAsiaTheme="minorEastAsia"/>
    </w:rPr>
    <w:tblPr>
      <w:tblStyleRowBandSize w:val="1"/>
      <w:tblStyleColBandSize w:val="1"/>
      <w:tblBorders>
        <w:top w:val="single" w:sz="8" w:space="0" w:color="287DB2" w:themeColor="accent6"/>
        <w:left w:val="single" w:sz="8" w:space="0" w:color="287DB2" w:themeColor="accent6"/>
        <w:bottom w:val="single" w:sz="8" w:space="0" w:color="287DB2" w:themeColor="accent6"/>
        <w:right w:val="single" w:sz="8" w:space="0" w:color="287DB2" w:themeColor="accent6"/>
      </w:tblBorders>
    </w:tblPr>
    <w:tblStylePr w:type="firstRow">
      <w:pPr>
        <w:spacing w:before="0" w:after="0" w:line="240" w:lineRule="auto"/>
      </w:pPr>
      <w:rPr>
        <w:b/>
        <w:bCs/>
        <w:color w:val="FFFFFF" w:themeColor="background1"/>
      </w:rPr>
      <w:tblPr/>
      <w:tcPr>
        <w:shd w:val="clear" w:color="auto" w:fill="287DB2" w:themeFill="accent6"/>
      </w:tcPr>
    </w:tblStylePr>
    <w:tblStylePr w:type="lastRow">
      <w:pPr>
        <w:spacing w:before="0" w:after="0" w:line="240" w:lineRule="auto"/>
      </w:pPr>
      <w:rPr>
        <w:b/>
        <w:bCs/>
      </w:rPr>
      <w:tblPr/>
      <w:tcPr>
        <w:tcBorders>
          <w:top w:val="double" w:sz="6" w:space="0" w:color="287DB2" w:themeColor="accent6"/>
          <w:left w:val="single" w:sz="8" w:space="0" w:color="287DB2" w:themeColor="accent6"/>
          <w:bottom w:val="single" w:sz="8" w:space="0" w:color="287DB2" w:themeColor="accent6"/>
          <w:right w:val="single" w:sz="8" w:space="0" w:color="287DB2" w:themeColor="accent6"/>
        </w:tcBorders>
      </w:tcPr>
    </w:tblStylePr>
    <w:tblStylePr w:type="firstCol">
      <w:rPr>
        <w:b/>
        <w:bCs/>
      </w:rPr>
    </w:tblStylePr>
    <w:tblStylePr w:type="lastCol">
      <w:rPr>
        <w:b/>
        <w:bCs/>
      </w:rPr>
    </w:tblStylePr>
    <w:tblStylePr w:type="band1Vert">
      <w:tblPr/>
      <w:tcPr>
        <w:tcBorders>
          <w:top w:val="single" w:sz="8" w:space="0" w:color="287DB2" w:themeColor="accent6"/>
          <w:left w:val="single" w:sz="8" w:space="0" w:color="287DB2" w:themeColor="accent6"/>
          <w:bottom w:val="single" w:sz="8" w:space="0" w:color="287DB2" w:themeColor="accent6"/>
          <w:right w:val="single" w:sz="8" w:space="0" w:color="287DB2" w:themeColor="accent6"/>
        </w:tcBorders>
      </w:tcPr>
    </w:tblStylePr>
    <w:tblStylePr w:type="band1Horz">
      <w:tblPr/>
      <w:tcPr>
        <w:tcBorders>
          <w:top w:val="single" w:sz="8" w:space="0" w:color="287DB2" w:themeColor="accent6"/>
          <w:left w:val="single" w:sz="8" w:space="0" w:color="287DB2" w:themeColor="accent6"/>
          <w:bottom w:val="single" w:sz="8" w:space="0" w:color="287DB2" w:themeColor="accent6"/>
          <w:right w:val="single" w:sz="8" w:space="0" w:color="287DB2" w:themeColor="accent6"/>
        </w:tcBorders>
      </w:tcPr>
    </w:tblStylePr>
  </w:style>
  <w:style w:type="table" w:styleId="LightShading">
    <w:name w:val="Light Shading"/>
    <w:basedOn w:val="TableNormal"/>
    <w:uiPriority w:val="60"/>
    <w:semiHidden/>
    <w:rsid w:val="00A9092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90923"/>
    <w:pPr>
      <w:spacing w:after="0" w:line="240" w:lineRule="auto"/>
    </w:pPr>
    <w:rPr>
      <w:rFonts w:eastAsiaTheme="minorEastAsia"/>
      <w:color w:val="00212F" w:themeColor="accent1" w:themeShade="BF"/>
    </w:rPr>
    <w:tblPr>
      <w:tblStyleRowBandSize w:val="1"/>
      <w:tblStyleColBandSize w:val="1"/>
      <w:tblBorders>
        <w:top w:val="single" w:sz="8" w:space="0" w:color="002D3F" w:themeColor="accent1"/>
        <w:bottom w:val="single" w:sz="8" w:space="0" w:color="002D3F" w:themeColor="accent1"/>
      </w:tblBorders>
    </w:tblPr>
    <w:tblStylePr w:type="firstRow">
      <w:pPr>
        <w:spacing w:before="0" w:after="0" w:line="240" w:lineRule="auto"/>
      </w:pPr>
      <w:rPr>
        <w:b/>
        <w:bCs/>
      </w:rPr>
      <w:tblPr/>
      <w:tcPr>
        <w:tcBorders>
          <w:top w:val="single" w:sz="8" w:space="0" w:color="002D3F" w:themeColor="accent1"/>
          <w:left w:val="nil"/>
          <w:bottom w:val="single" w:sz="8" w:space="0" w:color="002D3F" w:themeColor="accent1"/>
          <w:right w:val="nil"/>
          <w:insideH w:val="nil"/>
          <w:insideV w:val="nil"/>
        </w:tcBorders>
      </w:tcPr>
    </w:tblStylePr>
    <w:tblStylePr w:type="lastRow">
      <w:pPr>
        <w:spacing w:before="0" w:after="0" w:line="240" w:lineRule="auto"/>
      </w:pPr>
      <w:rPr>
        <w:b/>
        <w:bCs/>
      </w:rPr>
      <w:tblPr/>
      <w:tcPr>
        <w:tcBorders>
          <w:top w:val="single" w:sz="8" w:space="0" w:color="002D3F" w:themeColor="accent1"/>
          <w:left w:val="nil"/>
          <w:bottom w:val="single" w:sz="8" w:space="0" w:color="002D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DFFF" w:themeFill="accent1" w:themeFillTint="3F"/>
      </w:tcPr>
    </w:tblStylePr>
    <w:tblStylePr w:type="band1Horz">
      <w:tblPr/>
      <w:tcPr>
        <w:tcBorders>
          <w:left w:val="nil"/>
          <w:right w:val="nil"/>
          <w:insideH w:val="nil"/>
          <w:insideV w:val="nil"/>
        </w:tcBorders>
        <w:shd w:val="clear" w:color="auto" w:fill="90DFFF" w:themeFill="accent1" w:themeFillTint="3F"/>
      </w:tcPr>
    </w:tblStylePr>
  </w:style>
  <w:style w:type="table" w:styleId="LightShading-Accent2">
    <w:name w:val="Light Shading Accent 2"/>
    <w:basedOn w:val="TableNormal"/>
    <w:uiPriority w:val="60"/>
    <w:semiHidden/>
    <w:rsid w:val="00A90923"/>
    <w:pPr>
      <w:spacing w:after="0" w:line="240" w:lineRule="auto"/>
    </w:pPr>
    <w:rPr>
      <w:rFonts w:eastAsiaTheme="minorEastAsia"/>
      <w:color w:val="C3440B" w:themeColor="accent2" w:themeShade="BF"/>
    </w:rPr>
    <w:tblPr>
      <w:tblStyleRowBandSize w:val="1"/>
      <w:tblStyleColBandSize w:val="1"/>
      <w:tblBorders>
        <w:top w:val="single" w:sz="8" w:space="0" w:color="F26322" w:themeColor="accent2"/>
        <w:bottom w:val="single" w:sz="8" w:space="0" w:color="F26322" w:themeColor="accent2"/>
      </w:tblBorders>
    </w:tblPr>
    <w:tblStylePr w:type="firstRow">
      <w:pPr>
        <w:spacing w:before="0" w:after="0" w:line="240" w:lineRule="auto"/>
      </w:pPr>
      <w:rPr>
        <w:b/>
        <w:bCs/>
      </w:rPr>
      <w:tblPr/>
      <w:tcPr>
        <w:tcBorders>
          <w:top w:val="single" w:sz="8" w:space="0" w:color="F26322" w:themeColor="accent2"/>
          <w:left w:val="nil"/>
          <w:bottom w:val="single" w:sz="8" w:space="0" w:color="F26322" w:themeColor="accent2"/>
          <w:right w:val="nil"/>
          <w:insideH w:val="nil"/>
          <w:insideV w:val="nil"/>
        </w:tcBorders>
      </w:tcPr>
    </w:tblStylePr>
    <w:tblStylePr w:type="lastRow">
      <w:pPr>
        <w:spacing w:before="0" w:after="0" w:line="240" w:lineRule="auto"/>
      </w:pPr>
      <w:rPr>
        <w:b/>
        <w:bCs/>
      </w:rPr>
      <w:tblPr/>
      <w:tcPr>
        <w:tcBorders>
          <w:top w:val="single" w:sz="8" w:space="0" w:color="F26322" w:themeColor="accent2"/>
          <w:left w:val="nil"/>
          <w:bottom w:val="single" w:sz="8" w:space="0" w:color="F263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2" w:themeFillTint="3F"/>
      </w:tcPr>
    </w:tblStylePr>
    <w:tblStylePr w:type="band1Horz">
      <w:tblPr/>
      <w:tcPr>
        <w:tcBorders>
          <w:left w:val="nil"/>
          <w:right w:val="nil"/>
          <w:insideH w:val="nil"/>
          <w:insideV w:val="nil"/>
        </w:tcBorders>
        <w:shd w:val="clear" w:color="auto" w:fill="FBD8C8" w:themeFill="accent2" w:themeFillTint="3F"/>
      </w:tcPr>
    </w:tblStylePr>
  </w:style>
  <w:style w:type="table" w:styleId="LightShading-Accent3">
    <w:name w:val="Light Shading Accent 3"/>
    <w:basedOn w:val="TableNormal"/>
    <w:uiPriority w:val="60"/>
    <w:semiHidden/>
    <w:rsid w:val="00A90923"/>
    <w:pPr>
      <w:spacing w:after="0" w:line="240" w:lineRule="auto"/>
    </w:pPr>
    <w:rPr>
      <w:rFonts w:eastAsiaTheme="minorEastAsia"/>
      <w:color w:val="006158" w:themeColor="accent3" w:themeShade="BF"/>
    </w:rPr>
    <w:tblPr>
      <w:tblStyleRowBandSize w:val="1"/>
      <w:tblStyleColBandSize w:val="1"/>
      <w:tblBorders>
        <w:top w:val="single" w:sz="8" w:space="0" w:color="008276" w:themeColor="accent3"/>
        <w:bottom w:val="single" w:sz="8" w:space="0" w:color="008276" w:themeColor="accent3"/>
      </w:tblBorders>
    </w:tblPr>
    <w:tblStylePr w:type="firstRow">
      <w:pPr>
        <w:spacing w:before="0" w:after="0" w:line="240" w:lineRule="auto"/>
      </w:pPr>
      <w:rPr>
        <w:b/>
        <w:bCs/>
      </w:rPr>
      <w:tblPr/>
      <w:tcPr>
        <w:tcBorders>
          <w:top w:val="single" w:sz="8" w:space="0" w:color="008276" w:themeColor="accent3"/>
          <w:left w:val="nil"/>
          <w:bottom w:val="single" w:sz="8" w:space="0" w:color="008276" w:themeColor="accent3"/>
          <w:right w:val="nil"/>
          <w:insideH w:val="nil"/>
          <w:insideV w:val="nil"/>
        </w:tcBorders>
      </w:tcPr>
    </w:tblStylePr>
    <w:tblStylePr w:type="lastRow">
      <w:pPr>
        <w:spacing w:before="0" w:after="0" w:line="240" w:lineRule="auto"/>
      </w:pPr>
      <w:rPr>
        <w:b/>
        <w:bCs/>
      </w:rPr>
      <w:tblPr/>
      <w:tcPr>
        <w:tcBorders>
          <w:top w:val="single" w:sz="8" w:space="0" w:color="008276" w:themeColor="accent3"/>
          <w:left w:val="nil"/>
          <w:bottom w:val="single" w:sz="8" w:space="0" w:color="00827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6" w:themeFill="accent3" w:themeFillTint="3F"/>
      </w:tcPr>
    </w:tblStylePr>
    <w:tblStylePr w:type="band1Horz">
      <w:tblPr/>
      <w:tcPr>
        <w:tcBorders>
          <w:left w:val="nil"/>
          <w:right w:val="nil"/>
          <w:insideH w:val="nil"/>
          <w:insideV w:val="nil"/>
        </w:tcBorders>
        <w:shd w:val="clear" w:color="auto" w:fill="A1FFF6" w:themeFill="accent3" w:themeFillTint="3F"/>
      </w:tcPr>
    </w:tblStylePr>
  </w:style>
  <w:style w:type="table" w:styleId="LightShading-Accent4">
    <w:name w:val="Light Shading Accent 4"/>
    <w:basedOn w:val="TableNormal"/>
    <w:uiPriority w:val="60"/>
    <w:semiHidden/>
    <w:rsid w:val="00A90923"/>
    <w:pPr>
      <w:spacing w:after="0" w:line="240" w:lineRule="auto"/>
    </w:pPr>
    <w:rPr>
      <w:rFonts w:eastAsiaTheme="minorEastAsia"/>
      <w:color w:val="88004E" w:themeColor="accent4" w:themeShade="BF"/>
    </w:rPr>
    <w:tblPr>
      <w:tblStyleRowBandSize w:val="1"/>
      <w:tblStyleColBandSize w:val="1"/>
      <w:tblBorders>
        <w:top w:val="single" w:sz="8" w:space="0" w:color="B6006A" w:themeColor="accent4"/>
        <w:bottom w:val="single" w:sz="8" w:space="0" w:color="B6006A" w:themeColor="accent4"/>
      </w:tblBorders>
    </w:tblPr>
    <w:tblStylePr w:type="firstRow">
      <w:pPr>
        <w:spacing w:before="0" w:after="0" w:line="240" w:lineRule="auto"/>
      </w:pPr>
      <w:rPr>
        <w:b/>
        <w:bCs/>
      </w:rPr>
      <w:tblPr/>
      <w:tcPr>
        <w:tcBorders>
          <w:top w:val="single" w:sz="8" w:space="0" w:color="B6006A" w:themeColor="accent4"/>
          <w:left w:val="nil"/>
          <w:bottom w:val="single" w:sz="8" w:space="0" w:color="B6006A" w:themeColor="accent4"/>
          <w:right w:val="nil"/>
          <w:insideH w:val="nil"/>
          <w:insideV w:val="nil"/>
        </w:tcBorders>
      </w:tcPr>
    </w:tblStylePr>
    <w:tblStylePr w:type="lastRow">
      <w:pPr>
        <w:spacing w:before="0" w:after="0" w:line="240" w:lineRule="auto"/>
      </w:pPr>
      <w:rPr>
        <w:b/>
        <w:bCs/>
      </w:rPr>
      <w:tblPr/>
      <w:tcPr>
        <w:tcBorders>
          <w:top w:val="single" w:sz="8" w:space="0" w:color="B6006A" w:themeColor="accent4"/>
          <w:left w:val="nil"/>
          <w:bottom w:val="single" w:sz="8" w:space="0" w:color="B600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DDC" w:themeFill="accent4" w:themeFillTint="3F"/>
      </w:tcPr>
    </w:tblStylePr>
    <w:tblStylePr w:type="band1Horz">
      <w:tblPr/>
      <w:tcPr>
        <w:tcBorders>
          <w:left w:val="nil"/>
          <w:right w:val="nil"/>
          <w:insideH w:val="nil"/>
          <w:insideV w:val="nil"/>
        </w:tcBorders>
        <w:shd w:val="clear" w:color="auto" w:fill="FFADDC" w:themeFill="accent4" w:themeFillTint="3F"/>
      </w:tcPr>
    </w:tblStylePr>
  </w:style>
  <w:style w:type="table" w:styleId="MediumGrid1">
    <w:name w:val="Medium Grid 1"/>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single" w:sz="8" w:space="0" w:color="007CAF" w:themeColor="accent1" w:themeTint="BF"/>
        <w:insideV w:val="single" w:sz="8" w:space="0" w:color="007CAF" w:themeColor="accent1" w:themeTint="BF"/>
      </w:tblBorders>
    </w:tblPr>
    <w:tcPr>
      <w:shd w:val="clear" w:color="auto" w:fill="90DFFF" w:themeFill="accent1" w:themeFillTint="3F"/>
    </w:tcPr>
    <w:tblStylePr w:type="firstRow">
      <w:rPr>
        <w:b/>
        <w:bCs/>
      </w:rPr>
    </w:tblStylePr>
    <w:tblStylePr w:type="lastRow">
      <w:rPr>
        <w:b/>
        <w:bCs/>
      </w:rPr>
      <w:tblPr/>
      <w:tcPr>
        <w:tcBorders>
          <w:top w:val="single" w:sz="18" w:space="0" w:color="007CAF" w:themeColor="accent1" w:themeTint="BF"/>
        </w:tcBorders>
      </w:tcPr>
    </w:tblStylePr>
    <w:tblStylePr w:type="firstCol">
      <w:rPr>
        <w:b/>
        <w:bCs/>
      </w:rPr>
    </w:tblStylePr>
    <w:tblStylePr w:type="lastCol">
      <w:rPr>
        <w:b/>
        <w:bCs/>
      </w:rPr>
    </w:tblStylePr>
    <w:tblStylePr w:type="band1Vert">
      <w:tblPr/>
      <w:tcPr>
        <w:shd w:val="clear" w:color="auto" w:fill="20BFFF" w:themeFill="accent1" w:themeFillTint="7F"/>
      </w:tcPr>
    </w:tblStylePr>
    <w:tblStylePr w:type="band1Horz">
      <w:tblPr/>
      <w:tcPr>
        <w:shd w:val="clear" w:color="auto" w:fill="20BFFF" w:themeFill="accent1" w:themeFillTint="7F"/>
      </w:tcPr>
    </w:tblStylePr>
  </w:style>
  <w:style w:type="table" w:styleId="MediumGrid1-Accent2">
    <w:name w:val="Medium Grid 1 Accent 2"/>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F58959" w:themeColor="accent2" w:themeTint="BF"/>
        <w:left w:val="single" w:sz="8" w:space="0" w:color="F58959" w:themeColor="accent2" w:themeTint="BF"/>
        <w:bottom w:val="single" w:sz="8" w:space="0" w:color="F58959" w:themeColor="accent2" w:themeTint="BF"/>
        <w:right w:val="single" w:sz="8" w:space="0" w:color="F58959" w:themeColor="accent2" w:themeTint="BF"/>
        <w:insideH w:val="single" w:sz="8" w:space="0" w:color="F58959" w:themeColor="accent2" w:themeTint="BF"/>
        <w:insideV w:val="single" w:sz="8" w:space="0" w:color="F58959" w:themeColor="accent2" w:themeTint="BF"/>
      </w:tblBorders>
    </w:tblPr>
    <w:tcPr>
      <w:shd w:val="clear" w:color="auto" w:fill="FBD8C8" w:themeFill="accent2" w:themeFillTint="3F"/>
    </w:tcPr>
    <w:tblStylePr w:type="firstRow">
      <w:rPr>
        <w:b/>
        <w:bCs/>
      </w:rPr>
    </w:tblStylePr>
    <w:tblStylePr w:type="lastRow">
      <w:rPr>
        <w:b/>
        <w:bCs/>
      </w:rPr>
      <w:tblPr/>
      <w:tcPr>
        <w:tcBorders>
          <w:top w:val="single" w:sz="18" w:space="0" w:color="F58959" w:themeColor="accent2" w:themeTint="BF"/>
        </w:tcBorders>
      </w:tcPr>
    </w:tblStylePr>
    <w:tblStylePr w:type="firstCol">
      <w:rPr>
        <w:b/>
        <w:bCs/>
      </w:rPr>
    </w:tblStylePr>
    <w:tblStylePr w:type="lastCol">
      <w:rPr>
        <w:b/>
        <w:bCs/>
      </w:rPr>
    </w:tblStylePr>
    <w:tblStylePr w:type="band1Vert">
      <w:tblPr/>
      <w:tcPr>
        <w:shd w:val="clear" w:color="auto" w:fill="F8B090" w:themeFill="accent2" w:themeFillTint="7F"/>
      </w:tcPr>
    </w:tblStylePr>
    <w:tblStylePr w:type="band1Horz">
      <w:tblPr/>
      <w:tcPr>
        <w:shd w:val="clear" w:color="auto" w:fill="F8B090" w:themeFill="accent2" w:themeFillTint="7F"/>
      </w:tcPr>
    </w:tblStylePr>
  </w:style>
  <w:style w:type="table" w:styleId="MediumGrid1-Accent3">
    <w:name w:val="Medium Grid 1 Accent 3"/>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00E1CC" w:themeColor="accent3" w:themeTint="BF"/>
        <w:left w:val="single" w:sz="8" w:space="0" w:color="00E1CC" w:themeColor="accent3" w:themeTint="BF"/>
        <w:bottom w:val="single" w:sz="8" w:space="0" w:color="00E1CC" w:themeColor="accent3" w:themeTint="BF"/>
        <w:right w:val="single" w:sz="8" w:space="0" w:color="00E1CC" w:themeColor="accent3" w:themeTint="BF"/>
        <w:insideH w:val="single" w:sz="8" w:space="0" w:color="00E1CC" w:themeColor="accent3" w:themeTint="BF"/>
        <w:insideV w:val="single" w:sz="8" w:space="0" w:color="00E1CC" w:themeColor="accent3" w:themeTint="BF"/>
      </w:tblBorders>
    </w:tblPr>
    <w:tcPr>
      <w:shd w:val="clear" w:color="auto" w:fill="A1FFF6" w:themeFill="accent3" w:themeFillTint="3F"/>
    </w:tcPr>
    <w:tblStylePr w:type="firstRow">
      <w:rPr>
        <w:b/>
        <w:bCs/>
      </w:rPr>
    </w:tblStylePr>
    <w:tblStylePr w:type="lastRow">
      <w:rPr>
        <w:b/>
        <w:bCs/>
      </w:rPr>
      <w:tblPr/>
      <w:tcPr>
        <w:tcBorders>
          <w:top w:val="single" w:sz="18" w:space="0" w:color="00E1CC" w:themeColor="accent3" w:themeTint="BF"/>
        </w:tcBorders>
      </w:tcPr>
    </w:tblStylePr>
    <w:tblStylePr w:type="firstCol">
      <w:rPr>
        <w:b/>
        <w:bCs/>
      </w:rPr>
    </w:tblStylePr>
    <w:tblStylePr w:type="lastCol">
      <w:rPr>
        <w:b/>
        <w:bCs/>
      </w:rPr>
    </w:tblStylePr>
    <w:tblStylePr w:type="band1Vert">
      <w:tblPr/>
      <w:tcPr>
        <w:shd w:val="clear" w:color="auto" w:fill="41FFED" w:themeFill="accent3" w:themeFillTint="7F"/>
      </w:tcPr>
    </w:tblStylePr>
    <w:tblStylePr w:type="band1Horz">
      <w:tblPr/>
      <w:tcPr>
        <w:shd w:val="clear" w:color="auto" w:fill="41FFED" w:themeFill="accent3" w:themeFillTint="7F"/>
      </w:tcPr>
    </w:tblStylePr>
  </w:style>
  <w:style w:type="table" w:styleId="MediumGrid1-Accent4">
    <w:name w:val="Medium Grid 1 Accent 4"/>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FF0997" w:themeColor="accent4" w:themeTint="BF"/>
        <w:left w:val="single" w:sz="8" w:space="0" w:color="FF0997" w:themeColor="accent4" w:themeTint="BF"/>
        <w:bottom w:val="single" w:sz="8" w:space="0" w:color="FF0997" w:themeColor="accent4" w:themeTint="BF"/>
        <w:right w:val="single" w:sz="8" w:space="0" w:color="FF0997" w:themeColor="accent4" w:themeTint="BF"/>
        <w:insideH w:val="single" w:sz="8" w:space="0" w:color="FF0997" w:themeColor="accent4" w:themeTint="BF"/>
        <w:insideV w:val="single" w:sz="8" w:space="0" w:color="FF0997" w:themeColor="accent4" w:themeTint="BF"/>
      </w:tblBorders>
    </w:tblPr>
    <w:tcPr>
      <w:shd w:val="clear" w:color="auto" w:fill="FFADDC" w:themeFill="accent4" w:themeFillTint="3F"/>
    </w:tcPr>
    <w:tblStylePr w:type="firstRow">
      <w:rPr>
        <w:b/>
        <w:bCs/>
      </w:rPr>
    </w:tblStylePr>
    <w:tblStylePr w:type="lastRow">
      <w:rPr>
        <w:b/>
        <w:bCs/>
      </w:rPr>
      <w:tblPr/>
      <w:tcPr>
        <w:tcBorders>
          <w:top w:val="single" w:sz="18" w:space="0" w:color="FF0997" w:themeColor="accent4" w:themeTint="BF"/>
        </w:tcBorders>
      </w:tcPr>
    </w:tblStylePr>
    <w:tblStylePr w:type="firstCol">
      <w:rPr>
        <w:b/>
        <w:bCs/>
      </w:rPr>
    </w:tblStylePr>
    <w:tblStylePr w:type="lastCol">
      <w:rPr>
        <w:b/>
        <w:bCs/>
      </w:rPr>
    </w:tblStylePr>
    <w:tblStylePr w:type="band1Vert">
      <w:tblPr/>
      <w:tcPr>
        <w:shd w:val="clear" w:color="auto" w:fill="FF5BBA" w:themeFill="accent4" w:themeFillTint="7F"/>
      </w:tcPr>
    </w:tblStylePr>
    <w:tblStylePr w:type="band1Horz">
      <w:tblPr/>
      <w:tcPr>
        <w:shd w:val="clear" w:color="auto" w:fill="FF5BBA" w:themeFill="accent4" w:themeFillTint="7F"/>
      </w:tcPr>
    </w:tblStylePr>
  </w:style>
  <w:style w:type="table" w:styleId="MediumGrid1-Accent5">
    <w:name w:val="Medium Grid 1 Accent 5"/>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F0BE4C" w:themeColor="accent5" w:themeTint="BF"/>
        <w:left w:val="single" w:sz="8" w:space="0" w:color="F0BE4C" w:themeColor="accent5" w:themeTint="BF"/>
        <w:bottom w:val="single" w:sz="8" w:space="0" w:color="F0BE4C" w:themeColor="accent5" w:themeTint="BF"/>
        <w:right w:val="single" w:sz="8" w:space="0" w:color="F0BE4C" w:themeColor="accent5" w:themeTint="BF"/>
        <w:insideH w:val="single" w:sz="8" w:space="0" w:color="F0BE4C" w:themeColor="accent5" w:themeTint="BF"/>
        <w:insideV w:val="single" w:sz="8" w:space="0" w:color="F0BE4C" w:themeColor="accent5" w:themeTint="BF"/>
      </w:tblBorders>
    </w:tblPr>
    <w:tcPr>
      <w:shd w:val="clear" w:color="auto" w:fill="FAE9C3" w:themeFill="accent5" w:themeFillTint="3F"/>
    </w:tcPr>
    <w:tblStylePr w:type="firstRow">
      <w:rPr>
        <w:b/>
        <w:bCs/>
      </w:rPr>
    </w:tblStylePr>
    <w:tblStylePr w:type="lastRow">
      <w:rPr>
        <w:b/>
        <w:bCs/>
      </w:rPr>
      <w:tblPr/>
      <w:tcPr>
        <w:tcBorders>
          <w:top w:val="single" w:sz="18" w:space="0" w:color="F0BE4C" w:themeColor="accent5" w:themeTint="BF"/>
        </w:tcBorders>
      </w:tcPr>
    </w:tblStylePr>
    <w:tblStylePr w:type="firstCol">
      <w:rPr>
        <w:b/>
        <w:bCs/>
      </w:rPr>
    </w:tblStylePr>
    <w:tblStylePr w:type="lastCol">
      <w:rPr>
        <w:b/>
        <w:bCs/>
      </w:rPr>
    </w:tblStylePr>
    <w:tblStylePr w:type="band1Vert">
      <w:tblPr/>
      <w:tcPr>
        <w:shd w:val="clear" w:color="auto" w:fill="F5D488" w:themeFill="accent5" w:themeFillTint="7F"/>
      </w:tcPr>
    </w:tblStylePr>
    <w:tblStylePr w:type="band1Horz">
      <w:tblPr/>
      <w:tcPr>
        <w:shd w:val="clear" w:color="auto" w:fill="F5D488" w:themeFill="accent5" w:themeFillTint="7F"/>
      </w:tcPr>
    </w:tblStylePr>
  </w:style>
  <w:style w:type="table" w:styleId="MediumGrid1-Accent6">
    <w:name w:val="Medium Grid 1 Accent 6"/>
    <w:basedOn w:val="TableNormal"/>
    <w:uiPriority w:val="67"/>
    <w:semiHidden/>
    <w:rsid w:val="00A90923"/>
    <w:pPr>
      <w:spacing w:after="0" w:line="240" w:lineRule="auto"/>
    </w:pPr>
    <w:rPr>
      <w:rFonts w:eastAsiaTheme="minorEastAsia"/>
    </w:rPr>
    <w:tblPr>
      <w:tblStyleRowBandSize w:val="1"/>
      <w:tblStyleColBandSize w:val="1"/>
      <w:tblBorders>
        <w:top w:val="single" w:sz="8" w:space="0" w:color="4CA1D6" w:themeColor="accent6" w:themeTint="BF"/>
        <w:left w:val="single" w:sz="8" w:space="0" w:color="4CA1D6" w:themeColor="accent6" w:themeTint="BF"/>
        <w:bottom w:val="single" w:sz="8" w:space="0" w:color="4CA1D6" w:themeColor="accent6" w:themeTint="BF"/>
        <w:right w:val="single" w:sz="8" w:space="0" w:color="4CA1D6" w:themeColor="accent6" w:themeTint="BF"/>
        <w:insideH w:val="single" w:sz="8" w:space="0" w:color="4CA1D6" w:themeColor="accent6" w:themeTint="BF"/>
        <w:insideV w:val="single" w:sz="8" w:space="0" w:color="4CA1D6" w:themeColor="accent6" w:themeTint="BF"/>
      </w:tblBorders>
    </w:tblPr>
    <w:tcPr>
      <w:shd w:val="clear" w:color="auto" w:fill="C3E0F1" w:themeFill="accent6" w:themeFillTint="3F"/>
    </w:tcPr>
    <w:tblStylePr w:type="firstRow">
      <w:rPr>
        <w:b/>
        <w:bCs/>
      </w:rPr>
    </w:tblStylePr>
    <w:tblStylePr w:type="lastRow">
      <w:rPr>
        <w:b/>
        <w:bCs/>
      </w:rPr>
      <w:tblPr/>
      <w:tcPr>
        <w:tcBorders>
          <w:top w:val="single" w:sz="18" w:space="0" w:color="4CA1D6" w:themeColor="accent6" w:themeTint="BF"/>
        </w:tcBorders>
      </w:tcPr>
    </w:tblStylePr>
    <w:tblStylePr w:type="firstCol">
      <w:rPr>
        <w:b/>
        <w:bCs/>
      </w:rPr>
    </w:tblStylePr>
    <w:tblStylePr w:type="lastCol">
      <w:rPr>
        <w:b/>
        <w:bCs/>
      </w:rPr>
    </w:tblStylePr>
    <w:tblStylePr w:type="band1Vert">
      <w:tblPr/>
      <w:tcPr>
        <w:shd w:val="clear" w:color="auto" w:fill="88C0E4" w:themeFill="accent6" w:themeFillTint="7F"/>
      </w:tcPr>
    </w:tblStylePr>
    <w:tblStylePr w:type="band1Horz">
      <w:tblPr/>
      <w:tcPr>
        <w:shd w:val="clear" w:color="auto" w:fill="88C0E4" w:themeFill="accent6" w:themeFillTint="7F"/>
      </w:tcPr>
    </w:tblStylePr>
  </w:style>
  <w:style w:type="table" w:styleId="MediumGrid2">
    <w:name w:val="Medium Grid 2"/>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D3F" w:themeColor="accent1"/>
        <w:left w:val="single" w:sz="8" w:space="0" w:color="002D3F" w:themeColor="accent1"/>
        <w:bottom w:val="single" w:sz="8" w:space="0" w:color="002D3F" w:themeColor="accent1"/>
        <w:right w:val="single" w:sz="8" w:space="0" w:color="002D3F" w:themeColor="accent1"/>
        <w:insideH w:val="single" w:sz="8" w:space="0" w:color="002D3F" w:themeColor="accent1"/>
        <w:insideV w:val="single" w:sz="8" w:space="0" w:color="002D3F" w:themeColor="accent1"/>
      </w:tblBorders>
    </w:tblPr>
    <w:tcPr>
      <w:shd w:val="clear" w:color="auto" w:fill="90DFFF" w:themeFill="accent1" w:themeFillTint="3F"/>
    </w:tcPr>
    <w:tblStylePr w:type="firstRow">
      <w:rPr>
        <w:b/>
        <w:bCs/>
        <w:color w:val="000000" w:themeColor="text1"/>
      </w:rPr>
      <w:tblPr/>
      <w:tcPr>
        <w:shd w:val="clear" w:color="auto" w:fill="D3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E5FF" w:themeFill="accent1" w:themeFillTint="33"/>
      </w:tcPr>
    </w:tblStylePr>
    <w:tblStylePr w:type="band1Vert">
      <w:tblPr/>
      <w:tcPr>
        <w:shd w:val="clear" w:color="auto" w:fill="20BFFF" w:themeFill="accent1" w:themeFillTint="7F"/>
      </w:tcPr>
    </w:tblStylePr>
    <w:tblStylePr w:type="band1Horz">
      <w:tblPr/>
      <w:tcPr>
        <w:tcBorders>
          <w:insideH w:val="single" w:sz="6" w:space="0" w:color="002D3F" w:themeColor="accent1"/>
          <w:insideV w:val="single" w:sz="6" w:space="0" w:color="002D3F" w:themeColor="accent1"/>
        </w:tcBorders>
        <w:shd w:val="clear" w:color="auto" w:fill="20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322" w:themeColor="accent2"/>
        <w:left w:val="single" w:sz="8" w:space="0" w:color="F26322" w:themeColor="accent2"/>
        <w:bottom w:val="single" w:sz="8" w:space="0" w:color="F26322" w:themeColor="accent2"/>
        <w:right w:val="single" w:sz="8" w:space="0" w:color="F26322" w:themeColor="accent2"/>
        <w:insideH w:val="single" w:sz="8" w:space="0" w:color="F26322" w:themeColor="accent2"/>
        <w:insideV w:val="single" w:sz="8" w:space="0" w:color="F26322" w:themeColor="accent2"/>
      </w:tblBorders>
    </w:tblPr>
    <w:tcPr>
      <w:shd w:val="clear" w:color="auto" w:fill="FBD8C8" w:themeFill="accent2" w:themeFillTint="3F"/>
    </w:tcPr>
    <w:tblStylePr w:type="firstRow">
      <w:rPr>
        <w:b/>
        <w:bCs/>
        <w:color w:val="000000" w:themeColor="text1"/>
      </w:rPr>
      <w:tblPr/>
      <w:tcPr>
        <w:shd w:val="clear" w:color="auto" w:fill="FDEF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2" w:themeFill="accent2" w:themeFillTint="33"/>
      </w:tcPr>
    </w:tblStylePr>
    <w:tblStylePr w:type="band1Vert">
      <w:tblPr/>
      <w:tcPr>
        <w:shd w:val="clear" w:color="auto" w:fill="F8B090" w:themeFill="accent2" w:themeFillTint="7F"/>
      </w:tcPr>
    </w:tblStylePr>
    <w:tblStylePr w:type="band1Horz">
      <w:tblPr/>
      <w:tcPr>
        <w:tcBorders>
          <w:insideH w:val="single" w:sz="6" w:space="0" w:color="F26322" w:themeColor="accent2"/>
          <w:insideV w:val="single" w:sz="6" w:space="0" w:color="F26322" w:themeColor="accent2"/>
        </w:tcBorders>
        <w:shd w:val="clear" w:color="auto" w:fill="F8B0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276" w:themeColor="accent3"/>
        <w:left w:val="single" w:sz="8" w:space="0" w:color="008276" w:themeColor="accent3"/>
        <w:bottom w:val="single" w:sz="8" w:space="0" w:color="008276" w:themeColor="accent3"/>
        <w:right w:val="single" w:sz="8" w:space="0" w:color="008276" w:themeColor="accent3"/>
        <w:insideH w:val="single" w:sz="8" w:space="0" w:color="008276" w:themeColor="accent3"/>
        <w:insideV w:val="single" w:sz="8" w:space="0" w:color="008276" w:themeColor="accent3"/>
      </w:tblBorders>
    </w:tblPr>
    <w:tcPr>
      <w:shd w:val="clear" w:color="auto" w:fill="A1FFF6" w:themeFill="accent3" w:themeFillTint="3F"/>
    </w:tcPr>
    <w:tblStylePr w:type="firstRow">
      <w:rPr>
        <w:b/>
        <w:bCs/>
        <w:color w:val="000000" w:themeColor="text1"/>
      </w:rPr>
      <w:tblPr/>
      <w:tcPr>
        <w:shd w:val="clear" w:color="auto" w:fill="D9F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7" w:themeFill="accent3" w:themeFillTint="33"/>
      </w:tcPr>
    </w:tblStylePr>
    <w:tblStylePr w:type="band1Vert">
      <w:tblPr/>
      <w:tcPr>
        <w:shd w:val="clear" w:color="auto" w:fill="41FFED" w:themeFill="accent3" w:themeFillTint="7F"/>
      </w:tcPr>
    </w:tblStylePr>
    <w:tblStylePr w:type="band1Horz">
      <w:tblPr/>
      <w:tcPr>
        <w:tcBorders>
          <w:insideH w:val="single" w:sz="6" w:space="0" w:color="008276" w:themeColor="accent3"/>
          <w:insideV w:val="single" w:sz="6" w:space="0" w:color="008276" w:themeColor="accent3"/>
        </w:tcBorders>
        <w:shd w:val="clear" w:color="auto" w:fill="41FF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006A" w:themeColor="accent4"/>
        <w:left w:val="single" w:sz="8" w:space="0" w:color="B6006A" w:themeColor="accent4"/>
        <w:bottom w:val="single" w:sz="8" w:space="0" w:color="B6006A" w:themeColor="accent4"/>
        <w:right w:val="single" w:sz="8" w:space="0" w:color="B6006A" w:themeColor="accent4"/>
        <w:insideH w:val="single" w:sz="8" w:space="0" w:color="B6006A" w:themeColor="accent4"/>
        <w:insideV w:val="single" w:sz="8" w:space="0" w:color="B6006A" w:themeColor="accent4"/>
      </w:tblBorders>
    </w:tblPr>
    <w:tcPr>
      <w:shd w:val="clear" w:color="auto" w:fill="FFADDC" w:themeFill="accent4" w:themeFillTint="3F"/>
    </w:tcPr>
    <w:tblStylePr w:type="firstRow">
      <w:rPr>
        <w:b/>
        <w:bCs/>
        <w:color w:val="000000" w:themeColor="text1"/>
      </w:rPr>
      <w:tblPr/>
      <w:tcPr>
        <w:shd w:val="clear" w:color="auto" w:fill="FFDE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DE3" w:themeFill="accent4" w:themeFillTint="33"/>
      </w:tcPr>
    </w:tblStylePr>
    <w:tblStylePr w:type="band1Vert">
      <w:tblPr/>
      <w:tcPr>
        <w:shd w:val="clear" w:color="auto" w:fill="FF5BBA" w:themeFill="accent4" w:themeFillTint="7F"/>
      </w:tcPr>
    </w:tblStylePr>
    <w:tblStylePr w:type="band1Horz">
      <w:tblPr/>
      <w:tcPr>
        <w:tcBorders>
          <w:insideH w:val="single" w:sz="6" w:space="0" w:color="B6006A" w:themeColor="accent4"/>
          <w:insideV w:val="single" w:sz="6" w:space="0" w:color="B6006A" w:themeColor="accent4"/>
        </w:tcBorders>
        <w:shd w:val="clear" w:color="auto" w:fill="FF5BB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5"/>
        <w:left w:val="single" w:sz="8" w:space="0" w:color="E9A913" w:themeColor="accent5"/>
        <w:bottom w:val="single" w:sz="8" w:space="0" w:color="E9A913" w:themeColor="accent5"/>
        <w:right w:val="single" w:sz="8" w:space="0" w:color="E9A913" w:themeColor="accent5"/>
        <w:insideH w:val="single" w:sz="8" w:space="0" w:color="E9A913" w:themeColor="accent5"/>
        <w:insideV w:val="single" w:sz="8" w:space="0" w:color="E9A913" w:themeColor="accent5"/>
      </w:tblBorders>
    </w:tblPr>
    <w:tcPr>
      <w:shd w:val="clear" w:color="auto" w:fill="FAE9C3" w:themeFill="accent5" w:themeFillTint="3F"/>
    </w:tcPr>
    <w:tblStylePr w:type="firstRow">
      <w:rPr>
        <w:b/>
        <w:bCs/>
        <w:color w:val="000000" w:themeColor="text1"/>
      </w:rPr>
      <w:tblPr/>
      <w:tcPr>
        <w:shd w:val="clear" w:color="auto" w:fill="FDF6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5" w:themeFillTint="33"/>
      </w:tcPr>
    </w:tblStylePr>
    <w:tblStylePr w:type="band1Vert">
      <w:tblPr/>
      <w:tcPr>
        <w:shd w:val="clear" w:color="auto" w:fill="F5D488" w:themeFill="accent5" w:themeFillTint="7F"/>
      </w:tcPr>
    </w:tblStylePr>
    <w:tblStylePr w:type="band1Horz">
      <w:tblPr/>
      <w:tcPr>
        <w:tcBorders>
          <w:insideH w:val="single" w:sz="6" w:space="0" w:color="E9A913" w:themeColor="accent5"/>
          <w:insideV w:val="single" w:sz="6" w:space="0" w:color="E9A913" w:themeColor="accent5"/>
        </w:tcBorders>
        <w:shd w:val="clear" w:color="auto" w:fill="F5D48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DB2" w:themeColor="accent6"/>
        <w:left w:val="single" w:sz="8" w:space="0" w:color="287DB2" w:themeColor="accent6"/>
        <w:bottom w:val="single" w:sz="8" w:space="0" w:color="287DB2" w:themeColor="accent6"/>
        <w:right w:val="single" w:sz="8" w:space="0" w:color="287DB2" w:themeColor="accent6"/>
        <w:insideH w:val="single" w:sz="8" w:space="0" w:color="287DB2" w:themeColor="accent6"/>
        <w:insideV w:val="single" w:sz="8" w:space="0" w:color="287DB2" w:themeColor="accent6"/>
      </w:tblBorders>
    </w:tblPr>
    <w:tcPr>
      <w:shd w:val="clear" w:color="auto" w:fill="C3E0F1" w:themeFill="accent6" w:themeFillTint="3F"/>
    </w:tcPr>
    <w:tblStylePr w:type="firstRow">
      <w:rPr>
        <w:b/>
        <w:bCs/>
        <w:color w:val="000000" w:themeColor="text1"/>
      </w:rPr>
      <w:tblPr/>
      <w:tcPr>
        <w:shd w:val="clear" w:color="auto" w:fill="E7F2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5F4" w:themeFill="accent6" w:themeFillTint="33"/>
      </w:tcPr>
    </w:tblStylePr>
    <w:tblStylePr w:type="band1Vert">
      <w:tblPr/>
      <w:tcPr>
        <w:shd w:val="clear" w:color="auto" w:fill="88C0E4" w:themeFill="accent6" w:themeFillTint="7F"/>
      </w:tcPr>
    </w:tblStylePr>
    <w:tblStylePr w:type="band1Horz">
      <w:tblPr/>
      <w:tcPr>
        <w:tcBorders>
          <w:insideH w:val="single" w:sz="6" w:space="0" w:color="287DB2" w:themeColor="accent6"/>
          <w:insideV w:val="single" w:sz="6" w:space="0" w:color="287DB2" w:themeColor="accent6"/>
        </w:tcBorders>
        <w:shd w:val="clear" w:color="auto" w:fill="88C0E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BFFF" w:themeFill="accent1" w:themeFillTint="7F"/>
      </w:tcPr>
    </w:tblStylePr>
  </w:style>
  <w:style w:type="table" w:styleId="MediumGrid3-Accent2">
    <w:name w:val="Medium Grid 3 Accent 2"/>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2" w:themeFillTint="7F"/>
      </w:tcPr>
    </w:tblStylePr>
  </w:style>
  <w:style w:type="table" w:styleId="MediumGrid3-Accent3">
    <w:name w:val="Medium Grid 3 Accent 3"/>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7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7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7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7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FF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FFED" w:themeFill="accent3" w:themeFillTint="7F"/>
      </w:tcPr>
    </w:tblStylePr>
  </w:style>
  <w:style w:type="table" w:styleId="MediumGrid3-Accent4">
    <w:name w:val="Medium Grid 3 Accent 4"/>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D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006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006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006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006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B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BBA" w:themeFill="accent4" w:themeFillTint="7F"/>
      </w:tcPr>
    </w:tblStylePr>
  </w:style>
  <w:style w:type="table" w:styleId="MediumGrid3-Accent5">
    <w:name w:val="Medium Grid 3 Accent 5"/>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5" w:themeFillTint="7F"/>
      </w:tcPr>
    </w:tblStylePr>
  </w:style>
  <w:style w:type="table" w:styleId="MediumGrid3-Accent6">
    <w:name w:val="Medium Grid 3 Accent 6"/>
    <w:basedOn w:val="TableNormal"/>
    <w:uiPriority w:val="69"/>
    <w:semiHidden/>
    <w:rsid w:val="00A9092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0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D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D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D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D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C0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C0E4" w:themeFill="accent6" w:themeFillTint="7F"/>
      </w:tcPr>
    </w:tblStylePr>
  </w:style>
  <w:style w:type="table" w:styleId="MediumList1">
    <w:name w:val="Medium List 1"/>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D3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002D3F" w:themeColor="accent1"/>
        <w:bottom w:val="single" w:sz="8" w:space="0" w:color="002D3F" w:themeColor="accent1"/>
      </w:tblBorders>
    </w:tblPr>
    <w:tblStylePr w:type="firstRow">
      <w:rPr>
        <w:rFonts w:asciiTheme="majorHAnsi" w:eastAsiaTheme="majorEastAsia" w:hAnsiTheme="majorHAnsi" w:cstheme="majorBidi"/>
      </w:rPr>
      <w:tblPr/>
      <w:tcPr>
        <w:tcBorders>
          <w:top w:val="nil"/>
          <w:bottom w:val="single" w:sz="8" w:space="0" w:color="002D3F" w:themeColor="accent1"/>
        </w:tcBorders>
      </w:tcPr>
    </w:tblStylePr>
    <w:tblStylePr w:type="lastRow">
      <w:rPr>
        <w:b/>
        <w:bCs/>
        <w:color w:val="002D3F" w:themeColor="text2"/>
      </w:rPr>
      <w:tblPr/>
      <w:tcPr>
        <w:tcBorders>
          <w:top w:val="single" w:sz="8" w:space="0" w:color="002D3F" w:themeColor="accent1"/>
          <w:bottom w:val="single" w:sz="8" w:space="0" w:color="002D3F" w:themeColor="accent1"/>
        </w:tcBorders>
      </w:tcPr>
    </w:tblStylePr>
    <w:tblStylePr w:type="firstCol">
      <w:rPr>
        <w:b/>
        <w:bCs/>
      </w:rPr>
    </w:tblStylePr>
    <w:tblStylePr w:type="lastCol">
      <w:rPr>
        <w:b/>
        <w:bCs/>
      </w:rPr>
      <w:tblPr/>
      <w:tcPr>
        <w:tcBorders>
          <w:top w:val="single" w:sz="8" w:space="0" w:color="002D3F" w:themeColor="accent1"/>
          <w:bottom w:val="single" w:sz="8" w:space="0" w:color="002D3F" w:themeColor="accent1"/>
        </w:tcBorders>
      </w:tcPr>
    </w:tblStylePr>
    <w:tblStylePr w:type="band1Vert">
      <w:tblPr/>
      <w:tcPr>
        <w:shd w:val="clear" w:color="auto" w:fill="90DFFF" w:themeFill="accent1" w:themeFillTint="3F"/>
      </w:tcPr>
    </w:tblStylePr>
    <w:tblStylePr w:type="band1Horz">
      <w:tblPr/>
      <w:tcPr>
        <w:shd w:val="clear" w:color="auto" w:fill="90DFFF" w:themeFill="accent1" w:themeFillTint="3F"/>
      </w:tcPr>
    </w:tblStylePr>
  </w:style>
  <w:style w:type="table" w:styleId="MediumList1-Accent2">
    <w:name w:val="Medium List 1 Accent 2"/>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F26322" w:themeColor="accent2"/>
        <w:bottom w:val="single" w:sz="8" w:space="0" w:color="F26322" w:themeColor="accent2"/>
      </w:tblBorders>
    </w:tblPr>
    <w:tblStylePr w:type="firstRow">
      <w:rPr>
        <w:rFonts w:asciiTheme="majorHAnsi" w:eastAsiaTheme="majorEastAsia" w:hAnsiTheme="majorHAnsi" w:cstheme="majorBidi"/>
      </w:rPr>
      <w:tblPr/>
      <w:tcPr>
        <w:tcBorders>
          <w:top w:val="nil"/>
          <w:bottom w:val="single" w:sz="8" w:space="0" w:color="F26322" w:themeColor="accent2"/>
        </w:tcBorders>
      </w:tcPr>
    </w:tblStylePr>
    <w:tblStylePr w:type="lastRow">
      <w:rPr>
        <w:b/>
        <w:bCs/>
        <w:color w:val="002D3F" w:themeColor="text2"/>
      </w:rPr>
      <w:tblPr/>
      <w:tcPr>
        <w:tcBorders>
          <w:top w:val="single" w:sz="8" w:space="0" w:color="F26322" w:themeColor="accent2"/>
          <w:bottom w:val="single" w:sz="8" w:space="0" w:color="F26322" w:themeColor="accent2"/>
        </w:tcBorders>
      </w:tcPr>
    </w:tblStylePr>
    <w:tblStylePr w:type="firstCol">
      <w:rPr>
        <w:b/>
        <w:bCs/>
      </w:rPr>
    </w:tblStylePr>
    <w:tblStylePr w:type="lastCol">
      <w:rPr>
        <w:b/>
        <w:bCs/>
      </w:rPr>
      <w:tblPr/>
      <w:tcPr>
        <w:tcBorders>
          <w:top w:val="single" w:sz="8" w:space="0" w:color="F26322" w:themeColor="accent2"/>
          <w:bottom w:val="single" w:sz="8" w:space="0" w:color="F26322" w:themeColor="accent2"/>
        </w:tcBorders>
      </w:tcPr>
    </w:tblStylePr>
    <w:tblStylePr w:type="band1Vert">
      <w:tblPr/>
      <w:tcPr>
        <w:shd w:val="clear" w:color="auto" w:fill="FBD8C8" w:themeFill="accent2" w:themeFillTint="3F"/>
      </w:tcPr>
    </w:tblStylePr>
    <w:tblStylePr w:type="band1Horz">
      <w:tblPr/>
      <w:tcPr>
        <w:shd w:val="clear" w:color="auto" w:fill="FBD8C8" w:themeFill="accent2" w:themeFillTint="3F"/>
      </w:tcPr>
    </w:tblStylePr>
  </w:style>
  <w:style w:type="table" w:styleId="MediumList1-Accent3">
    <w:name w:val="Medium List 1 Accent 3"/>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008276" w:themeColor="accent3"/>
        <w:bottom w:val="single" w:sz="8" w:space="0" w:color="008276" w:themeColor="accent3"/>
      </w:tblBorders>
    </w:tblPr>
    <w:tblStylePr w:type="firstRow">
      <w:rPr>
        <w:rFonts w:asciiTheme="majorHAnsi" w:eastAsiaTheme="majorEastAsia" w:hAnsiTheme="majorHAnsi" w:cstheme="majorBidi"/>
      </w:rPr>
      <w:tblPr/>
      <w:tcPr>
        <w:tcBorders>
          <w:top w:val="nil"/>
          <w:bottom w:val="single" w:sz="8" w:space="0" w:color="008276" w:themeColor="accent3"/>
        </w:tcBorders>
      </w:tcPr>
    </w:tblStylePr>
    <w:tblStylePr w:type="lastRow">
      <w:rPr>
        <w:b/>
        <w:bCs/>
        <w:color w:val="002D3F" w:themeColor="text2"/>
      </w:rPr>
      <w:tblPr/>
      <w:tcPr>
        <w:tcBorders>
          <w:top w:val="single" w:sz="8" w:space="0" w:color="008276" w:themeColor="accent3"/>
          <w:bottom w:val="single" w:sz="8" w:space="0" w:color="008276" w:themeColor="accent3"/>
        </w:tcBorders>
      </w:tcPr>
    </w:tblStylePr>
    <w:tblStylePr w:type="firstCol">
      <w:rPr>
        <w:b/>
        <w:bCs/>
      </w:rPr>
    </w:tblStylePr>
    <w:tblStylePr w:type="lastCol">
      <w:rPr>
        <w:b/>
        <w:bCs/>
      </w:rPr>
      <w:tblPr/>
      <w:tcPr>
        <w:tcBorders>
          <w:top w:val="single" w:sz="8" w:space="0" w:color="008276" w:themeColor="accent3"/>
          <w:bottom w:val="single" w:sz="8" w:space="0" w:color="008276" w:themeColor="accent3"/>
        </w:tcBorders>
      </w:tcPr>
    </w:tblStylePr>
    <w:tblStylePr w:type="band1Vert">
      <w:tblPr/>
      <w:tcPr>
        <w:shd w:val="clear" w:color="auto" w:fill="A1FFF6" w:themeFill="accent3" w:themeFillTint="3F"/>
      </w:tcPr>
    </w:tblStylePr>
    <w:tblStylePr w:type="band1Horz">
      <w:tblPr/>
      <w:tcPr>
        <w:shd w:val="clear" w:color="auto" w:fill="A1FFF6" w:themeFill="accent3" w:themeFillTint="3F"/>
      </w:tcPr>
    </w:tblStylePr>
  </w:style>
  <w:style w:type="table" w:styleId="MediumList1-Accent4">
    <w:name w:val="Medium List 1 Accent 4"/>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B6006A" w:themeColor="accent4"/>
        <w:bottom w:val="single" w:sz="8" w:space="0" w:color="B6006A" w:themeColor="accent4"/>
      </w:tblBorders>
    </w:tblPr>
    <w:tblStylePr w:type="firstRow">
      <w:rPr>
        <w:rFonts w:asciiTheme="majorHAnsi" w:eastAsiaTheme="majorEastAsia" w:hAnsiTheme="majorHAnsi" w:cstheme="majorBidi"/>
      </w:rPr>
      <w:tblPr/>
      <w:tcPr>
        <w:tcBorders>
          <w:top w:val="nil"/>
          <w:bottom w:val="single" w:sz="8" w:space="0" w:color="B6006A" w:themeColor="accent4"/>
        </w:tcBorders>
      </w:tcPr>
    </w:tblStylePr>
    <w:tblStylePr w:type="lastRow">
      <w:rPr>
        <w:b/>
        <w:bCs/>
        <w:color w:val="002D3F" w:themeColor="text2"/>
      </w:rPr>
      <w:tblPr/>
      <w:tcPr>
        <w:tcBorders>
          <w:top w:val="single" w:sz="8" w:space="0" w:color="B6006A" w:themeColor="accent4"/>
          <w:bottom w:val="single" w:sz="8" w:space="0" w:color="B6006A" w:themeColor="accent4"/>
        </w:tcBorders>
      </w:tcPr>
    </w:tblStylePr>
    <w:tblStylePr w:type="firstCol">
      <w:rPr>
        <w:b/>
        <w:bCs/>
      </w:rPr>
    </w:tblStylePr>
    <w:tblStylePr w:type="lastCol">
      <w:rPr>
        <w:b/>
        <w:bCs/>
      </w:rPr>
      <w:tblPr/>
      <w:tcPr>
        <w:tcBorders>
          <w:top w:val="single" w:sz="8" w:space="0" w:color="B6006A" w:themeColor="accent4"/>
          <w:bottom w:val="single" w:sz="8" w:space="0" w:color="B6006A" w:themeColor="accent4"/>
        </w:tcBorders>
      </w:tcPr>
    </w:tblStylePr>
    <w:tblStylePr w:type="band1Vert">
      <w:tblPr/>
      <w:tcPr>
        <w:shd w:val="clear" w:color="auto" w:fill="FFADDC" w:themeFill="accent4" w:themeFillTint="3F"/>
      </w:tcPr>
    </w:tblStylePr>
    <w:tblStylePr w:type="band1Horz">
      <w:tblPr/>
      <w:tcPr>
        <w:shd w:val="clear" w:color="auto" w:fill="FFADDC" w:themeFill="accent4" w:themeFillTint="3F"/>
      </w:tcPr>
    </w:tblStylePr>
  </w:style>
  <w:style w:type="table" w:styleId="MediumList1-Accent5">
    <w:name w:val="Medium List 1 Accent 5"/>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E9A913" w:themeColor="accent5"/>
        <w:bottom w:val="single" w:sz="8" w:space="0" w:color="E9A913" w:themeColor="accent5"/>
      </w:tblBorders>
    </w:tblPr>
    <w:tblStylePr w:type="firstRow">
      <w:rPr>
        <w:rFonts w:asciiTheme="majorHAnsi" w:eastAsiaTheme="majorEastAsia" w:hAnsiTheme="majorHAnsi" w:cstheme="majorBidi"/>
      </w:rPr>
      <w:tblPr/>
      <w:tcPr>
        <w:tcBorders>
          <w:top w:val="nil"/>
          <w:bottom w:val="single" w:sz="8" w:space="0" w:color="E9A913" w:themeColor="accent5"/>
        </w:tcBorders>
      </w:tcPr>
    </w:tblStylePr>
    <w:tblStylePr w:type="lastRow">
      <w:rPr>
        <w:b/>
        <w:bCs/>
        <w:color w:val="002D3F" w:themeColor="text2"/>
      </w:rPr>
      <w:tblPr/>
      <w:tcPr>
        <w:tcBorders>
          <w:top w:val="single" w:sz="8" w:space="0" w:color="E9A913" w:themeColor="accent5"/>
          <w:bottom w:val="single" w:sz="8" w:space="0" w:color="E9A913" w:themeColor="accent5"/>
        </w:tcBorders>
      </w:tcPr>
    </w:tblStylePr>
    <w:tblStylePr w:type="firstCol">
      <w:rPr>
        <w:b/>
        <w:bCs/>
      </w:rPr>
    </w:tblStylePr>
    <w:tblStylePr w:type="lastCol">
      <w:rPr>
        <w:b/>
        <w:bCs/>
      </w:rPr>
      <w:tblPr/>
      <w:tcPr>
        <w:tcBorders>
          <w:top w:val="single" w:sz="8" w:space="0" w:color="E9A913" w:themeColor="accent5"/>
          <w:bottom w:val="single" w:sz="8" w:space="0" w:color="E9A913" w:themeColor="accent5"/>
        </w:tcBorders>
      </w:tcPr>
    </w:tblStylePr>
    <w:tblStylePr w:type="band1Vert">
      <w:tblPr/>
      <w:tcPr>
        <w:shd w:val="clear" w:color="auto" w:fill="FAE9C3" w:themeFill="accent5" w:themeFillTint="3F"/>
      </w:tcPr>
    </w:tblStylePr>
    <w:tblStylePr w:type="band1Horz">
      <w:tblPr/>
      <w:tcPr>
        <w:shd w:val="clear" w:color="auto" w:fill="FAE9C3" w:themeFill="accent5" w:themeFillTint="3F"/>
      </w:tcPr>
    </w:tblStylePr>
  </w:style>
  <w:style w:type="table" w:styleId="MediumList1-Accent6">
    <w:name w:val="Medium List 1 Accent 6"/>
    <w:basedOn w:val="TableNormal"/>
    <w:uiPriority w:val="65"/>
    <w:semiHidden/>
    <w:rsid w:val="00A90923"/>
    <w:pPr>
      <w:spacing w:after="0" w:line="240" w:lineRule="auto"/>
    </w:pPr>
    <w:rPr>
      <w:rFonts w:eastAsiaTheme="minorEastAsia"/>
      <w:color w:val="000000" w:themeColor="text1"/>
    </w:rPr>
    <w:tblPr>
      <w:tblStyleRowBandSize w:val="1"/>
      <w:tblStyleColBandSize w:val="1"/>
      <w:tblBorders>
        <w:top w:val="single" w:sz="8" w:space="0" w:color="287DB2" w:themeColor="accent6"/>
        <w:bottom w:val="single" w:sz="8" w:space="0" w:color="287DB2" w:themeColor="accent6"/>
      </w:tblBorders>
    </w:tblPr>
    <w:tblStylePr w:type="firstRow">
      <w:rPr>
        <w:rFonts w:asciiTheme="majorHAnsi" w:eastAsiaTheme="majorEastAsia" w:hAnsiTheme="majorHAnsi" w:cstheme="majorBidi"/>
      </w:rPr>
      <w:tblPr/>
      <w:tcPr>
        <w:tcBorders>
          <w:top w:val="nil"/>
          <w:bottom w:val="single" w:sz="8" w:space="0" w:color="287DB2" w:themeColor="accent6"/>
        </w:tcBorders>
      </w:tcPr>
    </w:tblStylePr>
    <w:tblStylePr w:type="lastRow">
      <w:rPr>
        <w:b/>
        <w:bCs/>
        <w:color w:val="002D3F" w:themeColor="text2"/>
      </w:rPr>
      <w:tblPr/>
      <w:tcPr>
        <w:tcBorders>
          <w:top w:val="single" w:sz="8" w:space="0" w:color="287DB2" w:themeColor="accent6"/>
          <w:bottom w:val="single" w:sz="8" w:space="0" w:color="287DB2" w:themeColor="accent6"/>
        </w:tcBorders>
      </w:tcPr>
    </w:tblStylePr>
    <w:tblStylePr w:type="firstCol">
      <w:rPr>
        <w:b/>
        <w:bCs/>
      </w:rPr>
    </w:tblStylePr>
    <w:tblStylePr w:type="lastCol">
      <w:rPr>
        <w:b/>
        <w:bCs/>
      </w:rPr>
      <w:tblPr/>
      <w:tcPr>
        <w:tcBorders>
          <w:top w:val="single" w:sz="8" w:space="0" w:color="287DB2" w:themeColor="accent6"/>
          <w:bottom w:val="single" w:sz="8" w:space="0" w:color="287DB2" w:themeColor="accent6"/>
        </w:tcBorders>
      </w:tcPr>
    </w:tblStylePr>
    <w:tblStylePr w:type="band1Vert">
      <w:tblPr/>
      <w:tcPr>
        <w:shd w:val="clear" w:color="auto" w:fill="C3E0F1" w:themeFill="accent6" w:themeFillTint="3F"/>
      </w:tcPr>
    </w:tblStylePr>
    <w:tblStylePr w:type="band1Horz">
      <w:tblPr/>
      <w:tcPr>
        <w:shd w:val="clear" w:color="auto" w:fill="C3E0F1" w:themeFill="accent6" w:themeFillTint="3F"/>
      </w:tcPr>
    </w:tblStylePr>
  </w:style>
  <w:style w:type="table" w:styleId="MediumList2">
    <w:name w:val="Medium List 2"/>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D3F" w:themeColor="accent1"/>
        <w:left w:val="single" w:sz="8" w:space="0" w:color="002D3F" w:themeColor="accent1"/>
        <w:bottom w:val="single" w:sz="8" w:space="0" w:color="002D3F" w:themeColor="accent1"/>
        <w:right w:val="single" w:sz="8" w:space="0" w:color="002D3F" w:themeColor="accent1"/>
      </w:tblBorders>
    </w:tblPr>
    <w:tblStylePr w:type="firstRow">
      <w:rPr>
        <w:sz w:val="24"/>
        <w:szCs w:val="24"/>
      </w:rPr>
      <w:tblPr/>
      <w:tcPr>
        <w:tcBorders>
          <w:top w:val="nil"/>
          <w:left w:val="nil"/>
          <w:bottom w:val="single" w:sz="24" w:space="0" w:color="002D3F" w:themeColor="accent1"/>
          <w:right w:val="nil"/>
          <w:insideH w:val="nil"/>
          <w:insideV w:val="nil"/>
        </w:tcBorders>
        <w:shd w:val="clear" w:color="auto" w:fill="FFFFFF" w:themeFill="background1"/>
      </w:tcPr>
    </w:tblStylePr>
    <w:tblStylePr w:type="lastRow">
      <w:tblPr/>
      <w:tcPr>
        <w:tcBorders>
          <w:top w:val="single" w:sz="8" w:space="0" w:color="002D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3F" w:themeColor="accent1"/>
          <w:insideH w:val="nil"/>
          <w:insideV w:val="nil"/>
        </w:tcBorders>
        <w:shd w:val="clear" w:color="auto" w:fill="FFFFFF" w:themeFill="background1"/>
      </w:tcPr>
    </w:tblStylePr>
    <w:tblStylePr w:type="lastCol">
      <w:tblPr/>
      <w:tcPr>
        <w:tcBorders>
          <w:top w:val="nil"/>
          <w:left w:val="single" w:sz="8" w:space="0" w:color="002D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DFFF" w:themeFill="accent1" w:themeFillTint="3F"/>
      </w:tcPr>
    </w:tblStylePr>
    <w:tblStylePr w:type="band1Horz">
      <w:tblPr/>
      <w:tcPr>
        <w:tcBorders>
          <w:top w:val="nil"/>
          <w:bottom w:val="nil"/>
          <w:insideH w:val="nil"/>
          <w:insideV w:val="nil"/>
        </w:tcBorders>
        <w:shd w:val="clear" w:color="auto" w:fill="90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322" w:themeColor="accent2"/>
        <w:left w:val="single" w:sz="8" w:space="0" w:color="F26322" w:themeColor="accent2"/>
        <w:bottom w:val="single" w:sz="8" w:space="0" w:color="F26322" w:themeColor="accent2"/>
        <w:right w:val="single" w:sz="8" w:space="0" w:color="F26322" w:themeColor="accent2"/>
      </w:tblBorders>
    </w:tblPr>
    <w:tblStylePr w:type="firstRow">
      <w:rPr>
        <w:sz w:val="24"/>
        <w:szCs w:val="24"/>
      </w:rPr>
      <w:tblPr/>
      <w:tcPr>
        <w:tcBorders>
          <w:top w:val="nil"/>
          <w:left w:val="nil"/>
          <w:bottom w:val="single" w:sz="24" w:space="0" w:color="F26322" w:themeColor="accent2"/>
          <w:right w:val="nil"/>
          <w:insideH w:val="nil"/>
          <w:insideV w:val="nil"/>
        </w:tcBorders>
        <w:shd w:val="clear" w:color="auto" w:fill="FFFFFF" w:themeFill="background1"/>
      </w:tcPr>
    </w:tblStylePr>
    <w:tblStylePr w:type="lastRow">
      <w:tblPr/>
      <w:tcPr>
        <w:tcBorders>
          <w:top w:val="single" w:sz="8" w:space="0" w:color="F2632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2"/>
          <w:insideH w:val="nil"/>
          <w:insideV w:val="nil"/>
        </w:tcBorders>
        <w:shd w:val="clear" w:color="auto" w:fill="FFFFFF" w:themeFill="background1"/>
      </w:tcPr>
    </w:tblStylePr>
    <w:tblStylePr w:type="lastCol">
      <w:tblPr/>
      <w:tcPr>
        <w:tcBorders>
          <w:top w:val="nil"/>
          <w:left w:val="single" w:sz="8" w:space="0" w:color="F263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2" w:themeFillTint="3F"/>
      </w:tcPr>
    </w:tblStylePr>
    <w:tblStylePr w:type="band1Horz">
      <w:tblPr/>
      <w:tcPr>
        <w:tcBorders>
          <w:top w:val="nil"/>
          <w:bottom w:val="nil"/>
          <w:insideH w:val="nil"/>
          <w:insideV w:val="nil"/>
        </w:tcBorders>
        <w:shd w:val="clear" w:color="auto" w:fill="FBD8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276" w:themeColor="accent3"/>
        <w:left w:val="single" w:sz="8" w:space="0" w:color="008276" w:themeColor="accent3"/>
        <w:bottom w:val="single" w:sz="8" w:space="0" w:color="008276" w:themeColor="accent3"/>
        <w:right w:val="single" w:sz="8" w:space="0" w:color="008276" w:themeColor="accent3"/>
      </w:tblBorders>
    </w:tblPr>
    <w:tblStylePr w:type="firstRow">
      <w:rPr>
        <w:sz w:val="24"/>
        <w:szCs w:val="24"/>
      </w:rPr>
      <w:tblPr/>
      <w:tcPr>
        <w:tcBorders>
          <w:top w:val="nil"/>
          <w:left w:val="nil"/>
          <w:bottom w:val="single" w:sz="24" w:space="0" w:color="008276" w:themeColor="accent3"/>
          <w:right w:val="nil"/>
          <w:insideH w:val="nil"/>
          <w:insideV w:val="nil"/>
        </w:tcBorders>
        <w:shd w:val="clear" w:color="auto" w:fill="FFFFFF" w:themeFill="background1"/>
      </w:tcPr>
    </w:tblStylePr>
    <w:tblStylePr w:type="lastRow">
      <w:tblPr/>
      <w:tcPr>
        <w:tcBorders>
          <w:top w:val="single" w:sz="8" w:space="0" w:color="00827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76" w:themeColor="accent3"/>
          <w:insideH w:val="nil"/>
          <w:insideV w:val="nil"/>
        </w:tcBorders>
        <w:shd w:val="clear" w:color="auto" w:fill="FFFFFF" w:themeFill="background1"/>
      </w:tcPr>
    </w:tblStylePr>
    <w:tblStylePr w:type="lastCol">
      <w:tblPr/>
      <w:tcPr>
        <w:tcBorders>
          <w:top w:val="nil"/>
          <w:left w:val="single" w:sz="8" w:space="0" w:color="00827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6" w:themeFill="accent3" w:themeFillTint="3F"/>
      </w:tcPr>
    </w:tblStylePr>
    <w:tblStylePr w:type="band1Horz">
      <w:tblPr/>
      <w:tcPr>
        <w:tcBorders>
          <w:top w:val="nil"/>
          <w:bottom w:val="nil"/>
          <w:insideH w:val="nil"/>
          <w:insideV w:val="nil"/>
        </w:tcBorders>
        <w:shd w:val="clear" w:color="auto" w:fill="A1FF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006A" w:themeColor="accent4"/>
        <w:left w:val="single" w:sz="8" w:space="0" w:color="B6006A" w:themeColor="accent4"/>
        <w:bottom w:val="single" w:sz="8" w:space="0" w:color="B6006A" w:themeColor="accent4"/>
        <w:right w:val="single" w:sz="8" w:space="0" w:color="B6006A" w:themeColor="accent4"/>
      </w:tblBorders>
    </w:tblPr>
    <w:tblStylePr w:type="firstRow">
      <w:rPr>
        <w:sz w:val="24"/>
        <w:szCs w:val="24"/>
      </w:rPr>
      <w:tblPr/>
      <w:tcPr>
        <w:tcBorders>
          <w:top w:val="nil"/>
          <w:left w:val="nil"/>
          <w:bottom w:val="single" w:sz="24" w:space="0" w:color="B6006A" w:themeColor="accent4"/>
          <w:right w:val="nil"/>
          <w:insideH w:val="nil"/>
          <w:insideV w:val="nil"/>
        </w:tcBorders>
        <w:shd w:val="clear" w:color="auto" w:fill="FFFFFF" w:themeFill="background1"/>
      </w:tcPr>
    </w:tblStylePr>
    <w:tblStylePr w:type="lastRow">
      <w:tblPr/>
      <w:tcPr>
        <w:tcBorders>
          <w:top w:val="single" w:sz="8" w:space="0" w:color="B6006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006A" w:themeColor="accent4"/>
          <w:insideH w:val="nil"/>
          <w:insideV w:val="nil"/>
        </w:tcBorders>
        <w:shd w:val="clear" w:color="auto" w:fill="FFFFFF" w:themeFill="background1"/>
      </w:tcPr>
    </w:tblStylePr>
    <w:tblStylePr w:type="lastCol">
      <w:tblPr/>
      <w:tcPr>
        <w:tcBorders>
          <w:top w:val="nil"/>
          <w:left w:val="single" w:sz="8" w:space="0" w:color="B6006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DDC" w:themeFill="accent4" w:themeFillTint="3F"/>
      </w:tcPr>
    </w:tblStylePr>
    <w:tblStylePr w:type="band1Horz">
      <w:tblPr/>
      <w:tcPr>
        <w:tcBorders>
          <w:top w:val="nil"/>
          <w:bottom w:val="nil"/>
          <w:insideH w:val="nil"/>
          <w:insideV w:val="nil"/>
        </w:tcBorders>
        <w:shd w:val="clear" w:color="auto" w:fill="FFAD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5"/>
        <w:left w:val="single" w:sz="8" w:space="0" w:color="E9A913" w:themeColor="accent5"/>
        <w:bottom w:val="single" w:sz="8" w:space="0" w:color="E9A913" w:themeColor="accent5"/>
        <w:right w:val="single" w:sz="8" w:space="0" w:color="E9A913" w:themeColor="accent5"/>
      </w:tblBorders>
    </w:tblPr>
    <w:tblStylePr w:type="firstRow">
      <w:rPr>
        <w:sz w:val="24"/>
        <w:szCs w:val="24"/>
      </w:rPr>
      <w:tblPr/>
      <w:tcPr>
        <w:tcBorders>
          <w:top w:val="nil"/>
          <w:left w:val="nil"/>
          <w:bottom w:val="single" w:sz="24" w:space="0" w:color="E9A913" w:themeColor="accent5"/>
          <w:right w:val="nil"/>
          <w:insideH w:val="nil"/>
          <w:insideV w:val="nil"/>
        </w:tcBorders>
        <w:shd w:val="clear" w:color="auto" w:fill="FFFFFF" w:themeFill="background1"/>
      </w:tcPr>
    </w:tblStylePr>
    <w:tblStylePr w:type="lastRow">
      <w:tblPr/>
      <w:tcPr>
        <w:tcBorders>
          <w:top w:val="single" w:sz="8" w:space="0" w:color="E9A91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5"/>
          <w:insideH w:val="nil"/>
          <w:insideV w:val="nil"/>
        </w:tcBorders>
        <w:shd w:val="clear" w:color="auto" w:fill="FFFFFF" w:themeFill="background1"/>
      </w:tcPr>
    </w:tblStylePr>
    <w:tblStylePr w:type="lastCol">
      <w:tblPr/>
      <w:tcPr>
        <w:tcBorders>
          <w:top w:val="nil"/>
          <w:left w:val="single" w:sz="8" w:space="0" w:color="E9A91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5" w:themeFillTint="3F"/>
      </w:tcPr>
    </w:tblStylePr>
    <w:tblStylePr w:type="band1Horz">
      <w:tblPr/>
      <w:tcPr>
        <w:tcBorders>
          <w:top w:val="nil"/>
          <w:bottom w:val="nil"/>
          <w:insideH w:val="nil"/>
          <w:insideV w:val="nil"/>
        </w:tcBorders>
        <w:shd w:val="clear" w:color="auto" w:fill="FAE9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909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DB2" w:themeColor="accent6"/>
        <w:left w:val="single" w:sz="8" w:space="0" w:color="287DB2" w:themeColor="accent6"/>
        <w:bottom w:val="single" w:sz="8" w:space="0" w:color="287DB2" w:themeColor="accent6"/>
        <w:right w:val="single" w:sz="8" w:space="0" w:color="287DB2" w:themeColor="accent6"/>
      </w:tblBorders>
    </w:tblPr>
    <w:tblStylePr w:type="firstRow">
      <w:rPr>
        <w:sz w:val="24"/>
        <w:szCs w:val="24"/>
      </w:rPr>
      <w:tblPr/>
      <w:tcPr>
        <w:tcBorders>
          <w:top w:val="nil"/>
          <w:left w:val="nil"/>
          <w:bottom w:val="single" w:sz="24" w:space="0" w:color="287DB2" w:themeColor="accent6"/>
          <w:right w:val="nil"/>
          <w:insideH w:val="nil"/>
          <w:insideV w:val="nil"/>
        </w:tcBorders>
        <w:shd w:val="clear" w:color="auto" w:fill="FFFFFF" w:themeFill="background1"/>
      </w:tcPr>
    </w:tblStylePr>
    <w:tblStylePr w:type="lastRow">
      <w:tblPr/>
      <w:tcPr>
        <w:tcBorders>
          <w:top w:val="single" w:sz="8" w:space="0" w:color="287DB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DB2" w:themeColor="accent6"/>
          <w:insideH w:val="nil"/>
          <w:insideV w:val="nil"/>
        </w:tcBorders>
        <w:shd w:val="clear" w:color="auto" w:fill="FFFFFF" w:themeFill="background1"/>
      </w:tcPr>
    </w:tblStylePr>
    <w:tblStylePr w:type="lastCol">
      <w:tblPr/>
      <w:tcPr>
        <w:tcBorders>
          <w:top w:val="nil"/>
          <w:left w:val="single" w:sz="8" w:space="0" w:color="287D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0F1" w:themeFill="accent6" w:themeFillTint="3F"/>
      </w:tcPr>
    </w:tblStylePr>
    <w:tblStylePr w:type="band1Horz">
      <w:tblPr/>
      <w:tcPr>
        <w:tcBorders>
          <w:top w:val="nil"/>
          <w:bottom w:val="nil"/>
          <w:insideH w:val="nil"/>
          <w:insideV w:val="nil"/>
        </w:tcBorders>
        <w:shd w:val="clear" w:color="auto" w:fill="C3E0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single" w:sz="8" w:space="0" w:color="007CAF" w:themeColor="accent1" w:themeTint="BF"/>
      </w:tblBorders>
    </w:tblPr>
    <w:tblStylePr w:type="firstRow">
      <w:pPr>
        <w:spacing w:before="0" w:after="0" w:line="240" w:lineRule="auto"/>
      </w:pPr>
      <w:rPr>
        <w:b/>
        <w:bCs/>
        <w:color w:val="FFFFFF" w:themeColor="background1"/>
      </w:rPr>
      <w:tblPr/>
      <w:tcPr>
        <w:tc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shd w:val="clear" w:color="auto" w:fill="002D3F" w:themeFill="accent1"/>
      </w:tcPr>
    </w:tblStylePr>
    <w:tblStylePr w:type="lastRow">
      <w:pPr>
        <w:spacing w:before="0" w:after="0" w:line="240" w:lineRule="auto"/>
      </w:pPr>
      <w:rPr>
        <w:b/>
        <w:bCs/>
      </w:rPr>
      <w:tblPr/>
      <w:tcPr>
        <w:tcBorders>
          <w:top w:val="double" w:sz="6"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DFFF" w:themeFill="accent1" w:themeFillTint="3F"/>
      </w:tcPr>
    </w:tblStylePr>
    <w:tblStylePr w:type="band1Horz">
      <w:tblPr/>
      <w:tcPr>
        <w:tcBorders>
          <w:insideH w:val="nil"/>
          <w:insideV w:val="nil"/>
        </w:tcBorders>
        <w:shd w:val="clear" w:color="auto" w:fill="90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F58959" w:themeColor="accent2" w:themeTint="BF"/>
        <w:left w:val="single" w:sz="8" w:space="0" w:color="F58959" w:themeColor="accent2" w:themeTint="BF"/>
        <w:bottom w:val="single" w:sz="8" w:space="0" w:color="F58959" w:themeColor="accent2" w:themeTint="BF"/>
        <w:right w:val="single" w:sz="8" w:space="0" w:color="F58959" w:themeColor="accent2" w:themeTint="BF"/>
        <w:insideH w:val="single" w:sz="8" w:space="0" w:color="F58959" w:themeColor="accent2" w:themeTint="BF"/>
      </w:tblBorders>
    </w:tblPr>
    <w:tblStylePr w:type="firstRow">
      <w:pPr>
        <w:spacing w:before="0" w:after="0" w:line="240" w:lineRule="auto"/>
      </w:pPr>
      <w:rPr>
        <w:b/>
        <w:bCs/>
        <w:color w:val="FFFFFF" w:themeColor="background1"/>
      </w:rPr>
      <w:tblPr/>
      <w:tcPr>
        <w:tcBorders>
          <w:top w:val="single" w:sz="8" w:space="0" w:color="F58959" w:themeColor="accent2" w:themeTint="BF"/>
          <w:left w:val="single" w:sz="8" w:space="0" w:color="F58959" w:themeColor="accent2" w:themeTint="BF"/>
          <w:bottom w:val="single" w:sz="8" w:space="0" w:color="F58959" w:themeColor="accent2" w:themeTint="BF"/>
          <w:right w:val="single" w:sz="8" w:space="0" w:color="F58959" w:themeColor="accent2" w:themeTint="BF"/>
          <w:insideH w:val="nil"/>
          <w:insideV w:val="nil"/>
        </w:tcBorders>
        <w:shd w:val="clear" w:color="auto" w:fill="F26322" w:themeFill="accent2"/>
      </w:tcPr>
    </w:tblStylePr>
    <w:tblStylePr w:type="lastRow">
      <w:pPr>
        <w:spacing w:before="0" w:after="0" w:line="240" w:lineRule="auto"/>
      </w:pPr>
      <w:rPr>
        <w:b/>
        <w:bCs/>
      </w:rPr>
      <w:tblPr/>
      <w:tcPr>
        <w:tcBorders>
          <w:top w:val="double" w:sz="6" w:space="0" w:color="F58959" w:themeColor="accent2" w:themeTint="BF"/>
          <w:left w:val="single" w:sz="8" w:space="0" w:color="F58959" w:themeColor="accent2" w:themeTint="BF"/>
          <w:bottom w:val="single" w:sz="8" w:space="0" w:color="F58959" w:themeColor="accent2" w:themeTint="BF"/>
          <w:right w:val="single" w:sz="8" w:space="0" w:color="F589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2" w:themeFillTint="3F"/>
      </w:tcPr>
    </w:tblStylePr>
    <w:tblStylePr w:type="band1Horz">
      <w:tblPr/>
      <w:tcPr>
        <w:tcBorders>
          <w:insideH w:val="nil"/>
          <w:insideV w:val="nil"/>
        </w:tcBorders>
        <w:shd w:val="clear" w:color="auto" w:fill="FBD8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00E1CC" w:themeColor="accent3" w:themeTint="BF"/>
        <w:left w:val="single" w:sz="8" w:space="0" w:color="00E1CC" w:themeColor="accent3" w:themeTint="BF"/>
        <w:bottom w:val="single" w:sz="8" w:space="0" w:color="00E1CC" w:themeColor="accent3" w:themeTint="BF"/>
        <w:right w:val="single" w:sz="8" w:space="0" w:color="00E1CC" w:themeColor="accent3" w:themeTint="BF"/>
        <w:insideH w:val="single" w:sz="8" w:space="0" w:color="00E1CC" w:themeColor="accent3" w:themeTint="BF"/>
      </w:tblBorders>
    </w:tblPr>
    <w:tblStylePr w:type="firstRow">
      <w:pPr>
        <w:spacing w:before="0" w:after="0" w:line="240" w:lineRule="auto"/>
      </w:pPr>
      <w:rPr>
        <w:b/>
        <w:bCs/>
        <w:color w:val="FFFFFF" w:themeColor="background1"/>
      </w:rPr>
      <w:tblPr/>
      <w:tcPr>
        <w:tcBorders>
          <w:top w:val="single" w:sz="8" w:space="0" w:color="00E1CC" w:themeColor="accent3" w:themeTint="BF"/>
          <w:left w:val="single" w:sz="8" w:space="0" w:color="00E1CC" w:themeColor="accent3" w:themeTint="BF"/>
          <w:bottom w:val="single" w:sz="8" w:space="0" w:color="00E1CC" w:themeColor="accent3" w:themeTint="BF"/>
          <w:right w:val="single" w:sz="8" w:space="0" w:color="00E1CC" w:themeColor="accent3" w:themeTint="BF"/>
          <w:insideH w:val="nil"/>
          <w:insideV w:val="nil"/>
        </w:tcBorders>
        <w:shd w:val="clear" w:color="auto" w:fill="008276" w:themeFill="accent3"/>
      </w:tcPr>
    </w:tblStylePr>
    <w:tblStylePr w:type="lastRow">
      <w:pPr>
        <w:spacing w:before="0" w:after="0" w:line="240" w:lineRule="auto"/>
      </w:pPr>
      <w:rPr>
        <w:b/>
        <w:bCs/>
      </w:rPr>
      <w:tblPr/>
      <w:tcPr>
        <w:tcBorders>
          <w:top w:val="double" w:sz="6" w:space="0" w:color="00E1CC" w:themeColor="accent3" w:themeTint="BF"/>
          <w:left w:val="single" w:sz="8" w:space="0" w:color="00E1CC" w:themeColor="accent3" w:themeTint="BF"/>
          <w:bottom w:val="single" w:sz="8" w:space="0" w:color="00E1CC" w:themeColor="accent3" w:themeTint="BF"/>
          <w:right w:val="single" w:sz="8" w:space="0" w:color="00E1C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1FFF6" w:themeFill="accent3" w:themeFillTint="3F"/>
      </w:tcPr>
    </w:tblStylePr>
    <w:tblStylePr w:type="band1Horz">
      <w:tblPr/>
      <w:tcPr>
        <w:tcBorders>
          <w:insideH w:val="nil"/>
          <w:insideV w:val="nil"/>
        </w:tcBorders>
        <w:shd w:val="clear" w:color="auto" w:fill="A1FF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FF0997" w:themeColor="accent4" w:themeTint="BF"/>
        <w:left w:val="single" w:sz="8" w:space="0" w:color="FF0997" w:themeColor="accent4" w:themeTint="BF"/>
        <w:bottom w:val="single" w:sz="8" w:space="0" w:color="FF0997" w:themeColor="accent4" w:themeTint="BF"/>
        <w:right w:val="single" w:sz="8" w:space="0" w:color="FF0997" w:themeColor="accent4" w:themeTint="BF"/>
        <w:insideH w:val="single" w:sz="8" w:space="0" w:color="FF0997" w:themeColor="accent4" w:themeTint="BF"/>
      </w:tblBorders>
    </w:tblPr>
    <w:tblStylePr w:type="firstRow">
      <w:pPr>
        <w:spacing w:before="0" w:after="0" w:line="240" w:lineRule="auto"/>
      </w:pPr>
      <w:rPr>
        <w:b/>
        <w:bCs/>
        <w:color w:val="FFFFFF" w:themeColor="background1"/>
      </w:rPr>
      <w:tblPr/>
      <w:tcPr>
        <w:tcBorders>
          <w:top w:val="single" w:sz="8" w:space="0" w:color="FF0997" w:themeColor="accent4" w:themeTint="BF"/>
          <w:left w:val="single" w:sz="8" w:space="0" w:color="FF0997" w:themeColor="accent4" w:themeTint="BF"/>
          <w:bottom w:val="single" w:sz="8" w:space="0" w:color="FF0997" w:themeColor="accent4" w:themeTint="BF"/>
          <w:right w:val="single" w:sz="8" w:space="0" w:color="FF0997" w:themeColor="accent4" w:themeTint="BF"/>
          <w:insideH w:val="nil"/>
          <w:insideV w:val="nil"/>
        </w:tcBorders>
        <w:shd w:val="clear" w:color="auto" w:fill="B6006A" w:themeFill="accent4"/>
      </w:tcPr>
    </w:tblStylePr>
    <w:tblStylePr w:type="lastRow">
      <w:pPr>
        <w:spacing w:before="0" w:after="0" w:line="240" w:lineRule="auto"/>
      </w:pPr>
      <w:rPr>
        <w:b/>
        <w:bCs/>
      </w:rPr>
      <w:tblPr/>
      <w:tcPr>
        <w:tcBorders>
          <w:top w:val="double" w:sz="6" w:space="0" w:color="FF0997" w:themeColor="accent4" w:themeTint="BF"/>
          <w:left w:val="single" w:sz="8" w:space="0" w:color="FF0997" w:themeColor="accent4" w:themeTint="BF"/>
          <w:bottom w:val="single" w:sz="8" w:space="0" w:color="FF0997" w:themeColor="accent4" w:themeTint="BF"/>
          <w:right w:val="single" w:sz="8" w:space="0" w:color="FF09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DDC" w:themeFill="accent4" w:themeFillTint="3F"/>
      </w:tcPr>
    </w:tblStylePr>
    <w:tblStylePr w:type="band1Horz">
      <w:tblPr/>
      <w:tcPr>
        <w:tcBorders>
          <w:insideH w:val="nil"/>
          <w:insideV w:val="nil"/>
        </w:tcBorders>
        <w:shd w:val="clear" w:color="auto" w:fill="FFADD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F0BE4C" w:themeColor="accent5" w:themeTint="BF"/>
        <w:left w:val="single" w:sz="8" w:space="0" w:color="F0BE4C" w:themeColor="accent5" w:themeTint="BF"/>
        <w:bottom w:val="single" w:sz="8" w:space="0" w:color="F0BE4C" w:themeColor="accent5" w:themeTint="BF"/>
        <w:right w:val="single" w:sz="8" w:space="0" w:color="F0BE4C" w:themeColor="accent5" w:themeTint="BF"/>
        <w:insideH w:val="single" w:sz="8" w:space="0" w:color="F0BE4C" w:themeColor="accent5" w:themeTint="BF"/>
      </w:tblBorders>
    </w:tblPr>
    <w:tblStylePr w:type="firstRow">
      <w:pPr>
        <w:spacing w:before="0" w:after="0" w:line="240" w:lineRule="auto"/>
      </w:pPr>
      <w:rPr>
        <w:b/>
        <w:bCs/>
        <w:color w:val="FFFFFF" w:themeColor="background1"/>
      </w:rPr>
      <w:tblPr/>
      <w:tcPr>
        <w:tcBorders>
          <w:top w:val="single" w:sz="8" w:space="0" w:color="F0BE4C" w:themeColor="accent5" w:themeTint="BF"/>
          <w:left w:val="single" w:sz="8" w:space="0" w:color="F0BE4C" w:themeColor="accent5" w:themeTint="BF"/>
          <w:bottom w:val="single" w:sz="8" w:space="0" w:color="F0BE4C" w:themeColor="accent5" w:themeTint="BF"/>
          <w:right w:val="single" w:sz="8" w:space="0" w:color="F0BE4C" w:themeColor="accent5" w:themeTint="BF"/>
          <w:insideH w:val="nil"/>
          <w:insideV w:val="nil"/>
        </w:tcBorders>
        <w:shd w:val="clear" w:color="auto" w:fill="E9A913" w:themeFill="accent5"/>
      </w:tcPr>
    </w:tblStylePr>
    <w:tblStylePr w:type="lastRow">
      <w:pPr>
        <w:spacing w:before="0" w:after="0" w:line="240" w:lineRule="auto"/>
      </w:pPr>
      <w:rPr>
        <w:b/>
        <w:bCs/>
      </w:rPr>
      <w:tblPr/>
      <w:tcPr>
        <w:tcBorders>
          <w:top w:val="double" w:sz="6" w:space="0" w:color="F0BE4C" w:themeColor="accent5" w:themeTint="BF"/>
          <w:left w:val="single" w:sz="8" w:space="0" w:color="F0BE4C" w:themeColor="accent5" w:themeTint="BF"/>
          <w:bottom w:val="single" w:sz="8" w:space="0" w:color="F0BE4C" w:themeColor="accent5" w:themeTint="BF"/>
          <w:right w:val="single" w:sz="8" w:space="0" w:color="F0BE4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5" w:themeFillTint="3F"/>
      </w:tcPr>
    </w:tblStylePr>
    <w:tblStylePr w:type="band1Horz">
      <w:tblPr/>
      <w:tcPr>
        <w:tcBorders>
          <w:insideH w:val="nil"/>
          <w:insideV w:val="nil"/>
        </w:tcBorders>
        <w:shd w:val="clear" w:color="auto" w:fill="FAE9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90923"/>
    <w:pPr>
      <w:spacing w:after="0" w:line="240" w:lineRule="auto"/>
    </w:pPr>
    <w:rPr>
      <w:rFonts w:eastAsiaTheme="minorEastAsia"/>
    </w:rPr>
    <w:tblPr>
      <w:tblStyleRowBandSize w:val="1"/>
      <w:tblStyleColBandSize w:val="1"/>
      <w:tblBorders>
        <w:top w:val="single" w:sz="8" w:space="0" w:color="4CA1D6" w:themeColor="accent6" w:themeTint="BF"/>
        <w:left w:val="single" w:sz="8" w:space="0" w:color="4CA1D6" w:themeColor="accent6" w:themeTint="BF"/>
        <w:bottom w:val="single" w:sz="8" w:space="0" w:color="4CA1D6" w:themeColor="accent6" w:themeTint="BF"/>
        <w:right w:val="single" w:sz="8" w:space="0" w:color="4CA1D6" w:themeColor="accent6" w:themeTint="BF"/>
        <w:insideH w:val="single" w:sz="8" w:space="0" w:color="4CA1D6" w:themeColor="accent6" w:themeTint="BF"/>
      </w:tblBorders>
    </w:tblPr>
    <w:tblStylePr w:type="firstRow">
      <w:pPr>
        <w:spacing w:before="0" w:after="0" w:line="240" w:lineRule="auto"/>
      </w:pPr>
      <w:rPr>
        <w:b/>
        <w:bCs/>
        <w:color w:val="FFFFFF" w:themeColor="background1"/>
      </w:rPr>
      <w:tblPr/>
      <w:tcPr>
        <w:tcBorders>
          <w:top w:val="single" w:sz="8" w:space="0" w:color="4CA1D6" w:themeColor="accent6" w:themeTint="BF"/>
          <w:left w:val="single" w:sz="8" w:space="0" w:color="4CA1D6" w:themeColor="accent6" w:themeTint="BF"/>
          <w:bottom w:val="single" w:sz="8" w:space="0" w:color="4CA1D6" w:themeColor="accent6" w:themeTint="BF"/>
          <w:right w:val="single" w:sz="8" w:space="0" w:color="4CA1D6" w:themeColor="accent6" w:themeTint="BF"/>
          <w:insideH w:val="nil"/>
          <w:insideV w:val="nil"/>
        </w:tcBorders>
        <w:shd w:val="clear" w:color="auto" w:fill="287DB2" w:themeFill="accent6"/>
      </w:tcPr>
    </w:tblStylePr>
    <w:tblStylePr w:type="lastRow">
      <w:pPr>
        <w:spacing w:before="0" w:after="0" w:line="240" w:lineRule="auto"/>
      </w:pPr>
      <w:rPr>
        <w:b/>
        <w:bCs/>
      </w:rPr>
      <w:tblPr/>
      <w:tcPr>
        <w:tcBorders>
          <w:top w:val="double" w:sz="6" w:space="0" w:color="4CA1D6" w:themeColor="accent6" w:themeTint="BF"/>
          <w:left w:val="single" w:sz="8" w:space="0" w:color="4CA1D6" w:themeColor="accent6" w:themeTint="BF"/>
          <w:bottom w:val="single" w:sz="8" w:space="0" w:color="4CA1D6" w:themeColor="accent6" w:themeTint="BF"/>
          <w:right w:val="single" w:sz="8" w:space="0" w:color="4CA1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E0F1" w:themeFill="accent6" w:themeFillTint="3F"/>
      </w:tcPr>
    </w:tblStylePr>
    <w:tblStylePr w:type="band1Horz">
      <w:tblPr/>
      <w:tcPr>
        <w:tcBorders>
          <w:insideH w:val="nil"/>
          <w:insideV w:val="nil"/>
        </w:tcBorders>
        <w:shd w:val="clear" w:color="auto" w:fill="C3E0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3F" w:themeFill="accent1"/>
      </w:tcPr>
    </w:tblStylePr>
    <w:tblStylePr w:type="lastCol">
      <w:rPr>
        <w:b/>
        <w:bCs/>
        <w:color w:val="FFFFFF" w:themeColor="background1"/>
      </w:rPr>
      <w:tblPr/>
      <w:tcPr>
        <w:tcBorders>
          <w:left w:val="nil"/>
          <w:right w:val="nil"/>
          <w:insideH w:val="nil"/>
          <w:insideV w:val="nil"/>
        </w:tcBorders>
        <w:shd w:val="clear" w:color="auto" w:fill="002D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2"/>
      </w:tcPr>
    </w:tblStylePr>
    <w:tblStylePr w:type="lastCol">
      <w:rPr>
        <w:b/>
        <w:bCs/>
        <w:color w:val="FFFFFF" w:themeColor="background1"/>
      </w:rPr>
      <w:tblPr/>
      <w:tcPr>
        <w:tcBorders>
          <w:left w:val="nil"/>
          <w:right w:val="nil"/>
          <w:insideH w:val="nil"/>
          <w:insideV w:val="nil"/>
        </w:tcBorders>
        <w:shd w:val="clear" w:color="auto" w:fill="F263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7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276" w:themeFill="accent3"/>
      </w:tcPr>
    </w:tblStylePr>
    <w:tblStylePr w:type="lastCol">
      <w:rPr>
        <w:b/>
        <w:bCs/>
        <w:color w:val="FFFFFF" w:themeColor="background1"/>
      </w:rPr>
      <w:tblPr/>
      <w:tcPr>
        <w:tcBorders>
          <w:left w:val="nil"/>
          <w:right w:val="nil"/>
          <w:insideH w:val="nil"/>
          <w:insideV w:val="nil"/>
        </w:tcBorders>
        <w:shd w:val="clear" w:color="auto" w:fill="00827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006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006A" w:themeFill="accent4"/>
      </w:tcPr>
    </w:tblStylePr>
    <w:tblStylePr w:type="lastCol">
      <w:rPr>
        <w:b/>
        <w:bCs/>
        <w:color w:val="FFFFFF" w:themeColor="background1"/>
      </w:rPr>
      <w:tblPr/>
      <w:tcPr>
        <w:tcBorders>
          <w:left w:val="nil"/>
          <w:right w:val="nil"/>
          <w:insideH w:val="nil"/>
          <w:insideV w:val="nil"/>
        </w:tcBorders>
        <w:shd w:val="clear" w:color="auto" w:fill="B6006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5"/>
      </w:tcPr>
    </w:tblStylePr>
    <w:tblStylePr w:type="lastCol">
      <w:rPr>
        <w:b/>
        <w:bCs/>
        <w:color w:val="FFFFFF" w:themeColor="background1"/>
      </w:rPr>
      <w:tblPr/>
      <w:tcPr>
        <w:tcBorders>
          <w:left w:val="nil"/>
          <w:right w:val="nil"/>
          <w:insideH w:val="nil"/>
          <w:insideV w:val="nil"/>
        </w:tcBorders>
        <w:shd w:val="clear" w:color="auto" w:fill="E9A91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9092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D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7DB2" w:themeFill="accent6"/>
      </w:tcPr>
    </w:tblStylePr>
    <w:tblStylePr w:type="lastCol">
      <w:rPr>
        <w:b/>
        <w:bCs/>
        <w:color w:val="FFFFFF" w:themeColor="background1"/>
      </w:rPr>
      <w:tblPr/>
      <w:tcPr>
        <w:tcBorders>
          <w:left w:val="nil"/>
          <w:right w:val="nil"/>
          <w:insideH w:val="nil"/>
          <w:insideV w:val="nil"/>
        </w:tcBorders>
        <w:shd w:val="clear" w:color="auto" w:fill="287D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A90923"/>
    <w:pPr>
      <w:spacing w:after="200" w:line="276"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90923"/>
    <w:pPr>
      <w:spacing w:after="200" w:line="276"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90923"/>
    <w:pPr>
      <w:spacing w:after="200" w:line="276"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90923"/>
    <w:pPr>
      <w:spacing w:after="200" w:line="276"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90923"/>
    <w:pPr>
      <w:spacing w:after="200" w:line="276"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90923"/>
    <w:pPr>
      <w:spacing w:after="200" w:line="276"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90923"/>
    <w:pPr>
      <w:spacing w:after="200" w:line="276"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90923"/>
    <w:pPr>
      <w:spacing w:after="200" w:line="276"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90923"/>
    <w:pPr>
      <w:spacing w:after="200" w:line="276"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90923"/>
    <w:pPr>
      <w:spacing w:after="200" w:line="276"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90923"/>
    <w:pPr>
      <w:spacing w:after="200" w:line="276"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90923"/>
    <w:pPr>
      <w:spacing w:after="200" w:line="276"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90923"/>
    <w:pPr>
      <w:spacing w:after="200" w:line="276"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90923"/>
    <w:pPr>
      <w:spacing w:after="200" w:line="276"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A90923"/>
    <w:pPr>
      <w:spacing w:after="200" w:line="276"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A90923"/>
    <w:pPr>
      <w:spacing w:after="200" w:line="276"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90923"/>
    <w:pPr>
      <w:spacing w:after="200" w:line="276"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A90923"/>
    <w:pPr>
      <w:spacing w:after="200" w:line="276"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90923"/>
    <w:pPr>
      <w:spacing w:after="200" w:line="276"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90923"/>
    <w:pPr>
      <w:spacing w:after="200" w:line="276"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90923"/>
    <w:pPr>
      <w:spacing w:after="200" w:line="276"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90923"/>
    <w:pPr>
      <w:spacing w:after="200" w:line="276"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A90923"/>
    <w:pPr>
      <w:spacing w:after="200" w:line="276"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A90923"/>
    <w:pPr>
      <w:spacing w:after="200" w:line="276"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A90923"/>
    <w:pPr>
      <w:spacing w:after="200" w:line="276"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90923"/>
    <w:pPr>
      <w:spacing w:after="200" w:line="276"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90923"/>
    <w:pPr>
      <w:spacing w:after="200" w:line="276"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90923"/>
    <w:pPr>
      <w:spacing w:after="200" w:line="276"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90923"/>
    <w:pPr>
      <w:spacing w:after="200" w:line="276"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90923"/>
    <w:pPr>
      <w:spacing w:after="200" w:line="276"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90923"/>
    <w:pPr>
      <w:spacing w:after="200" w:line="276"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A90923"/>
    <w:pPr>
      <w:spacing w:after="0"/>
      <w:ind w:left="220" w:hanging="220"/>
    </w:pPr>
    <w:rPr>
      <w:rFonts w:eastAsiaTheme="minorEastAsia"/>
    </w:rPr>
  </w:style>
  <w:style w:type="paragraph" w:styleId="TableofFigures">
    <w:name w:val="table of figures"/>
    <w:basedOn w:val="Normal"/>
    <w:next w:val="Normal"/>
    <w:uiPriority w:val="99"/>
    <w:semiHidden/>
    <w:rsid w:val="00A90923"/>
    <w:pPr>
      <w:spacing w:after="0"/>
    </w:pPr>
    <w:rPr>
      <w:rFonts w:eastAsiaTheme="minorEastAsia"/>
    </w:rPr>
  </w:style>
  <w:style w:type="table" w:styleId="TableProfessional">
    <w:name w:val="Table Professional"/>
    <w:basedOn w:val="TableNormal"/>
    <w:uiPriority w:val="99"/>
    <w:semiHidden/>
    <w:rsid w:val="00A90923"/>
    <w:pPr>
      <w:spacing w:after="200" w:line="276"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90923"/>
    <w:pPr>
      <w:spacing w:after="200" w:line="276"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90923"/>
    <w:pPr>
      <w:spacing w:after="200" w:line="276"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90923"/>
    <w:pPr>
      <w:spacing w:after="200" w:line="276"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90923"/>
    <w:pPr>
      <w:spacing w:after="200" w:line="276"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90923"/>
    <w:pPr>
      <w:spacing w:after="200" w:line="276"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90923"/>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A90923"/>
    <w:pPr>
      <w:spacing w:after="200" w:line="276"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ducationTable">
    <w:name w:val="Education Table"/>
    <w:basedOn w:val="TableNormal"/>
    <w:uiPriority w:val="99"/>
    <w:rsid w:val="00A90923"/>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StyleCalibri16ptBoldCustomColorRGB2287136">
    <w:name w:val="Style Calibri 16 pt Bold Custom Color(RGB(2287136))"/>
    <w:basedOn w:val="DefaultParagraphFont"/>
    <w:rsid w:val="00A90923"/>
    <w:rPr>
      <w:rFonts w:ascii="Calibri" w:hAnsi="Calibri"/>
      <w:b/>
      <w:bCs/>
      <w:color w:val="165788"/>
      <w:sz w:val="32"/>
    </w:rPr>
  </w:style>
  <w:style w:type="paragraph" w:customStyle="1" w:styleId="Brief-BODYTEXT">
    <w:name w:val="Brief - BODY TEXT"/>
    <w:basedOn w:val="Normal"/>
    <w:rsid w:val="00A90923"/>
    <w:pPr>
      <w:spacing w:after="120" w:line="234" w:lineRule="exact"/>
    </w:pPr>
    <w:rPr>
      <w:rFonts w:ascii="Times New Roman" w:eastAsia="Times New Roman" w:hAnsi="Times New Roman" w:cstheme="minorHAnsi"/>
      <w:lang w:eastAsia="en-AU"/>
    </w:rPr>
  </w:style>
  <w:style w:type="paragraph" w:styleId="FootnoteText">
    <w:name w:val="footnote text"/>
    <w:basedOn w:val="Normal"/>
    <w:link w:val="FootnoteTextChar"/>
    <w:uiPriority w:val="99"/>
    <w:semiHidden/>
    <w:unhideWhenUsed/>
    <w:rsid w:val="00A9092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90923"/>
    <w:rPr>
      <w:rFonts w:eastAsiaTheme="minorEastAsia"/>
      <w:sz w:val="20"/>
      <w:szCs w:val="20"/>
    </w:rPr>
  </w:style>
  <w:style w:type="character" w:styleId="FootnoteReference">
    <w:name w:val="footnote reference"/>
    <w:basedOn w:val="DefaultParagraphFont"/>
    <w:uiPriority w:val="99"/>
    <w:semiHidden/>
    <w:unhideWhenUsed/>
    <w:rsid w:val="00A90923"/>
    <w:rPr>
      <w:vertAlign w:val="superscript"/>
    </w:rPr>
  </w:style>
  <w:style w:type="character" w:styleId="CommentReference">
    <w:name w:val="annotation reference"/>
    <w:basedOn w:val="DefaultParagraphFont"/>
    <w:uiPriority w:val="99"/>
    <w:semiHidden/>
    <w:unhideWhenUsed/>
    <w:rsid w:val="00E61DBC"/>
    <w:rPr>
      <w:sz w:val="16"/>
      <w:szCs w:val="16"/>
    </w:rPr>
  </w:style>
  <w:style w:type="paragraph" w:styleId="CommentText">
    <w:name w:val="annotation text"/>
    <w:basedOn w:val="Normal"/>
    <w:link w:val="CommentTextChar"/>
    <w:uiPriority w:val="99"/>
    <w:semiHidden/>
    <w:unhideWhenUsed/>
    <w:rsid w:val="00E61DBC"/>
    <w:pPr>
      <w:spacing w:line="240" w:lineRule="auto"/>
    </w:pPr>
    <w:rPr>
      <w:sz w:val="20"/>
      <w:szCs w:val="20"/>
    </w:rPr>
  </w:style>
  <w:style w:type="character" w:customStyle="1" w:styleId="CommentTextChar">
    <w:name w:val="Comment Text Char"/>
    <w:basedOn w:val="DefaultParagraphFont"/>
    <w:link w:val="CommentText"/>
    <w:uiPriority w:val="99"/>
    <w:semiHidden/>
    <w:rsid w:val="00E61DBC"/>
    <w:rPr>
      <w:sz w:val="20"/>
      <w:szCs w:val="20"/>
    </w:rPr>
  </w:style>
  <w:style w:type="paragraph" w:styleId="CommentSubject">
    <w:name w:val="annotation subject"/>
    <w:basedOn w:val="CommentText"/>
    <w:next w:val="CommentText"/>
    <w:link w:val="CommentSubjectChar"/>
    <w:uiPriority w:val="99"/>
    <w:semiHidden/>
    <w:unhideWhenUsed/>
    <w:rsid w:val="00E61DBC"/>
    <w:rPr>
      <w:b/>
      <w:bCs/>
    </w:rPr>
  </w:style>
  <w:style w:type="character" w:customStyle="1" w:styleId="CommentSubjectChar">
    <w:name w:val="Comment Subject Char"/>
    <w:basedOn w:val="CommentTextChar"/>
    <w:link w:val="CommentSubject"/>
    <w:uiPriority w:val="99"/>
    <w:semiHidden/>
    <w:rsid w:val="00E61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ducation.gov.au/undergraduate-applications-offers-and-acceptances-public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dnet.hosts.network/education/Resources/Documents/CC%20BY%204.0%20International" TargetMode="External"/><Relationship Id="rId2" Type="http://schemas.openxmlformats.org/officeDocument/2006/relationships/customXml" Target="../customXml/item2.xml"/><Relationship Id="rId16" Type="http://schemas.openxmlformats.org/officeDocument/2006/relationships/hyperlink" Target="http://dnet.hosts.network/education/Resources/Documents/Creative%20Commons%20Attribution%204.0%20International" TargetMode="External"/><Relationship Id="rId20" Type="http://schemas.openxmlformats.org/officeDocument/2006/relationships/hyperlink" Target="http://docs.education.gov.au/node/338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SubFunction xmlns="e72c3662-d489-4d5c-a678-b18c0e8aeb72">Resources</ItemSubFun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1" ma:contentTypeDescription="Create a new document." ma:contentTypeScope="" ma:versionID="1ca5ace84e28bf476d407508b830248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0b5ea5ad7d6d100f51974c1778fb189a"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dvice and Support"/>
          <xsd:enumeration value="Audit"/>
          <xsd:enumeration value="Branding"/>
          <xsd:enumeration value="Bullying and harassment"/>
          <xsd:enumeration value="Business continuity"/>
          <xsd:enumeration value="Child Safety"/>
          <xsd:enumeration value="Consultation"/>
          <xsd:enumeration value="Credit Card"/>
          <xsd:enumeration value="Delegated legislation"/>
          <xsd:enumeration value="Delegations and Authorisations Register"/>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Financial Viability"/>
          <xsd:enumeration value="Flexible working arrangements"/>
          <xsd:enumeration value="Fraud"/>
          <xsd:enumeration value="Grants"/>
          <xsd:enumeration value="Help guides"/>
          <xsd:enumeration value="Ill or injured employees"/>
          <xsd:enumeration value="Innovation"/>
          <xsd:enumeration value="International travel"/>
          <xsd:enumeration value="Intranet"/>
          <xsd:enumeration value="Leave"/>
          <xsd:enumeration value="Litigation"/>
          <xsd:enumeration value="Managing people concerns"/>
          <xsd:enumeration value="Ombudsman"/>
          <xsd:enumeration value="Onboarding"/>
          <xsd:enumeration value="Outside work"/>
          <xsd:enumeration value="PDMS"/>
          <xsd:enumeration value="Performance development"/>
          <xsd:enumeration value="Placemats"/>
          <xsd:enumeration value="Practical Guide"/>
          <xsd:enumeration value="Primary legislation"/>
          <xsd:enumeration value="Privacy"/>
          <xsd:enumeration value="Probation"/>
          <xsd:enumeration value="Procurement contracts"/>
          <xsd:enumeration value="Project Management"/>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ravel"/>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e72c3662-d489-4d5c-a678-b18c0e8aeb72"/>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7AE71963-4AB1-4823-AAEA-7BD01CF019CE}">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50EBE86-CCF7-488C-9B07-B03CDF2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
  <cp:keywords/>
  <dc:description/>
  <cp:lastModifiedBy/>
  <cp:revision>1</cp:revision>
  <dcterms:created xsi:type="dcterms:W3CDTF">2021-08-01T23:16:00Z</dcterms:created>
  <dcterms:modified xsi:type="dcterms:W3CDTF">2021-11-12T00:33:00Z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y fmtid="{D5CDD505-2E9C-101B-9397-08002B2CF9AE}" pid="11" name="_AdHocReviewCycleID">
    <vt:i4>243680981</vt:i4>
  </property>
  <property fmtid="{D5CDD505-2E9C-101B-9397-08002B2CF9AE}" pid="12" name="_NewReviewCycle">
    <vt:lpwstr/>
  </property>
</Properties>
</file>