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F2D2B" w14:textId="77777777" w:rsidR="00A668BF" w:rsidRDefault="00C60222" w:rsidP="00EA6BF7">
      <w:pPr>
        <w:ind w:left="709"/>
        <w:sectPr w:rsidR="00A668BF" w:rsidSect="002A7840">
          <w:headerReference w:type="default" r:id="rId11"/>
          <w:footerReference w:type="default" r:id="rId12"/>
          <w:type w:val="continuous"/>
          <w:pgSz w:w="11906" w:h="16838"/>
          <w:pgMar w:top="567" w:right="720" w:bottom="720" w:left="720" w:header="708" w:footer="708" w:gutter="0"/>
          <w:cols w:space="708"/>
          <w:docGrid w:linePitch="360"/>
        </w:sectPr>
      </w:pPr>
      <w:r w:rsidRPr="00A668BF">
        <w:rPr>
          <w:noProof/>
          <w:lang w:eastAsia="en-AU"/>
        </w:rPr>
        <w:drawing>
          <wp:anchor distT="0" distB="0" distL="114300" distR="114300" simplePos="0" relativeHeight="251658240" behindDoc="1" locked="1" layoutInCell="1" allowOverlap="1" wp14:anchorId="35FB95A8" wp14:editId="1C386411">
            <wp:simplePos x="0" y="0"/>
            <wp:positionH relativeFrom="column">
              <wp:posOffset>-481330</wp:posOffset>
            </wp:positionH>
            <wp:positionV relativeFrom="page">
              <wp:posOffset>-25400</wp:posOffset>
            </wp:positionV>
            <wp:extent cx="7592060" cy="2166620"/>
            <wp:effectExtent l="0" t="0" r="8890" b="508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3"/>
                    <a:stretch>
                      <a:fillRect/>
                    </a:stretch>
                  </pic:blipFill>
                  <pic:spPr bwMode="auto">
                    <a:xfrm>
                      <a:off x="0" y="0"/>
                      <a:ext cx="7592060" cy="216662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8BF">
        <w:rPr>
          <w:noProof/>
          <w:lang w:eastAsia="en-AU"/>
        </w:rPr>
        <w:drawing>
          <wp:inline distT="0" distB="0" distL="0" distR="0" wp14:anchorId="63D0B132" wp14:editId="582AB70F">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14"/>
                    <a:stretch>
                      <a:fillRect/>
                    </a:stretch>
                  </pic:blipFill>
                  <pic:spPr>
                    <a:xfrm>
                      <a:off x="0" y="0"/>
                      <a:ext cx="2331725" cy="716281"/>
                    </a:xfrm>
                    <a:prstGeom prst="rect">
                      <a:avLst/>
                    </a:prstGeom>
                  </pic:spPr>
                </pic:pic>
              </a:graphicData>
            </a:graphic>
          </wp:inline>
        </w:drawing>
      </w:r>
    </w:p>
    <w:p w14:paraId="409E9155" w14:textId="4A1CB64C" w:rsidR="008E2291" w:rsidRDefault="00426676" w:rsidP="00801D66">
      <w:pPr>
        <w:pStyle w:val="Title"/>
        <w:spacing w:before="1200"/>
        <w:rPr>
          <w:sz w:val="44"/>
          <w:szCs w:val="40"/>
        </w:rPr>
      </w:pPr>
      <w:bookmarkStart w:id="0" w:name="_Hlk62197716"/>
      <w:r>
        <w:rPr>
          <w:sz w:val="44"/>
          <w:szCs w:val="40"/>
        </w:rPr>
        <w:t>ESOS Supplementary Courses Fact Sheet</w:t>
      </w:r>
    </w:p>
    <w:p w14:paraId="6088BC39" w14:textId="5CE24299" w:rsidR="008C0177" w:rsidRDefault="00096EDF" w:rsidP="009E0EDF">
      <w:r>
        <w:br/>
      </w:r>
      <w:r w:rsidR="005E0F00">
        <w:t>T</w:t>
      </w:r>
      <w:r w:rsidR="00490170">
        <w:t>he Minister for Education and Youth has made a legislative instrument</w:t>
      </w:r>
      <w:r w:rsidR="00E24428">
        <w:t>,</w:t>
      </w:r>
      <w:r w:rsidR="00490170">
        <w:t xml:space="preserve"> </w:t>
      </w:r>
      <w:bookmarkStart w:id="1" w:name="_Hlk75855032"/>
      <w:r w:rsidR="00E24428">
        <w:t xml:space="preserve">the </w:t>
      </w:r>
      <w:hyperlink r:id="rId15" w:history="1">
        <w:r w:rsidR="00E24428" w:rsidRPr="00382D65">
          <w:rPr>
            <w:rStyle w:val="Hyperlink"/>
            <w:i/>
            <w:iCs/>
          </w:rPr>
          <w:t>Education Services for Overseas Students (Exempt Courses) Instrument 2021</w:t>
        </w:r>
        <w:bookmarkEnd w:id="1"/>
      </w:hyperlink>
      <w:r w:rsidR="00CA27F6" w:rsidRPr="00CA27F6">
        <w:t>,</w:t>
      </w:r>
      <w:r w:rsidR="00E24428" w:rsidRPr="00CA27F6">
        <w:t xml:space="preserve"> </w:t>
      </w:r>
      <w:r w:rsidR="00490170">
        <w:t xml:space="preserve">exempting specific courses from the definition of </w:t>
      </w:r>
      <w:r w:rsidR="00490170" w:rsidRPr="00E46B0E">
        <w:rPr>
          <w:i/>
          <w:iCs/>
        </w:rPr>
        <w:t>course</w:t>
      </w:r>
      <w:r w:rsidR="00490170">
        <w:t xml:space="preserve"> under the </w:t>
      </w:r>
      <w:r w:rsidR="00C67712" w:rsidRPr="00C67712">
        <w:rPr>
          <w:i/>
          <w:iCs/>
        </w:rPr>
        <w:t>Education Services for Overseas Students Act 2000</w:t>
      </w:r>
      <w:r w:rsidR="00C67712">
        <w:t xml:space="preserve"> (</w:t>
      </w:r>
      <w:r w:rsidR="008C0177">
        <w:t>ESOS Act</w:t>
      </w:r>
      <w:r w:rsidR="00C67712">
        <w:t>)</w:t>
      </w:r>
      <w:r w:rsidR="00490170">
        <w:t xml:space="preserve">. This </w:t>
      </w:r>
      <w:r w:rsidR="0035398F">
        <w:t xml:space="preserve">exemption </w:t>
      </w:r>
      <w:r w:rsidR="005E0F00">
        <w:t xml:space="preserve">was developed through consultation </w:t>
      </w:r>
      <w:r w:rsidR="00F80237">
        <w:t xml:space="preserve">with the sector </w:t>
      </w:r>
      <w:r w:rsidR="005E0F00">
        <w:t>over September</w:t>
      </w:r>
      <w:r w:rsidR="00F80237">
        <w:t>-</w:t>
      </w:r>
      <w:r w:rsidR="005E0F00">
        <w:t xml:space="preserve">October 2020 </w:t>
      </w:r>
      <w:r w:rsidR="00F80237">
        <w:t>and</w:t>
      </w:r>
      <w:r w:rsidR="005E0F00">
        <w:t xml:space="preserve"> March</w:t>
      </w:r>
      <w:r w:rsidR="00F80237">
        <w:t>-</w:t>
      </w:r>
      <w:r w:rsidR="005E0F00">
        <w:t>April 2021</w:t>
      </w:r>
      <w:r w:rsidR="00F80237">
        <w:t xml:space="preserve">. It </w:t>
      </w:r>
      <w:r w:rsidR="008C0177">
        <w:t xml:space="preserve">allows </w:t>
      </w:r>
      <w:r w:rsidR="00A970EC">
        <w:t xml:space="preserve">education </w:t>
      </w:r>
      <w:r w:rsidR="008C0177">
        <w:t xml:space="preserve">providers to deliver </w:t>
      </w:r>
      <w:r w:rsidR="00D42851">
        <w:t>certain</w:t>
      </w:r>
      <w:r w:rsidR="008C0177">
        <w:t xml:space="preserve"> courses to overseas students </w:t>
      </w:r>
      <w:r w:rsidR="008C0177" w:rsidRPr="00CD2C82">
        <w:rPr>
          <w:u w:val="single"/>
        </w:rPr>
        <w:t>without</w:t>
      </w:r>
      <w:r w:rsidR="008C0177">
        <w:t xml:space="preserve"> registering them on </w:t>
      </w:r>
      <w:r w:rsidR="00414211">
        <w:t xml:space="preserve">the </w:t>
      </w:r>
      <w:r w:rsidR="00414211" w:rsidRPr="00414211">
        <w:t xml:space="preserve">Commonwealth Register of Institutions and Courses for Overseas Students </w:t>
      </w:r>
      <w:r w:rsidR="00414211">
        <w:t>(</w:t>
      </w:r>
      <w:r w:rsidR="008C0177">
        <w:t>CRICOS</w:t>
      </w:r>
      <w:r w:rsidR="00414211">
        <w:t>)</w:t>
      </w:r>
      <w:r w:rsidR="008C0177">
        <w:t>.</w:t>
      </w:r>
    </w:p>
    <w:p w14:paraId="1E6A6164" w14:textId="7225FEC0" w:rsidR="005E0F00" w:rsidRDefault="00E24428" w:rsidP="00E6223D">
      <w:r>
        <w:t>This instrument</w:t>
      </w:r>
      <w:r w:rsidR="00490170">
        <w:t xml:space="preserve"> </w:t>
      </w:r>
      <w:r w:rsidR="00F80237">
        <w:t>came into</w:t>
      </w:r>
      <w:r w:rsidR="00490170">
        <w:t xml:space="preserve"> effect</w:t>
      </w:r>
      <w:r w:rsidR="00DF2216">
        <w:t xml:space="preserve"> </w:t>
      </w:r>
      <w:r w:rsidR="00F80237">
        <w:t>on</w:t>
      </w:r>
      <w:r w:rsidR="00F80237" w:rsidRPr="00382D65">
        <w:t xml:space="preserve"> </w:t>
      </w:r>
      <w:r w:rsidR="00156C34" w:rsidRPr="00382D65">
        <w:t>29</w:t>
      </w:r>
      <w:r w:rsidR="004C4A56" w:rsidRPr="00382D65">
        <w:t xml:space="preserve"> Ju</w:t>
      </w:r>
      <w:r w:rsidR="00156C34" w:rsidRPr="00382D65">
        <w:t>ne</w:t>
      </w:r>
      <w:r w:rsidR="004C4A56" w:rsidRPr="00382D65">
        <w:t xml:space="preserve"> </w:t>
      </w:r>
      <w:r w:rsidR="00490170" w:rsidRPr="00382D65">
        <w:t>2021</w:t>
      </w:r>
      <w:r w:rsidR="00DF2216" w:rsidRPr="00382D65">
        <w:t>.</w:t>
      </w:r>
      <w:r w:rsidR="00DF2216">
        <w:t xml:space="preserve"> </w:t>
      </w:r>
    </w:p>
    <w:p w14:paraId="74AC0EB9" w14:textId="77777777" w:rsidR="006019DE" w:rsidRDefault="00DF2216" w:rsidP="00E6223D">
      <w:r>
        <w:t>This means</w:t>
      </w:r>
      <w:r w:rsidR="00490170">
        <w:t xml:space="preserve"> p</w:t>
      </w:r>
      <w:r w:rsidR="00E6223D">
        <w:t xml:space="preserve">roviders </w:t>
      </w:r>
      <w:r w:rsidR="00490170">
        <w:t>can</w:t>
      </w:r>
      <w:r w:rsidR="00E6223D">
        <w:t xml:space="preserve"> deliver certain courses </w:t>
      </w:r>
      <w:r w:rsidR="00611D3F">
        <w:t xml:space="preserve">in both the VET and higher education sectors </w:t>
      </w:r>
      <w:r w:rsidR="00E6223D">
        <w:t>to overseas students without CRICOS registration.</w:t>
      </w:r>
    </w:p>
    <w:p w14:paraId="07BDCFDD" w14:textId="77777777" w:rsidR="006019DE" w:rsidRPr="00CF7AE7" w:rsidRDefault="006019DE" w:rsidP="003A75C7">
      <w:pPr>
        <w:pStyle w:val="Heading1"/>
      </w:pPr>
      <w:r w:rsidRPr="00CF7AE7">
        <w:t>Legislative instrument</w:t>
      </w:r>
    </w:p>
    <w:p w14:paraId="17DC001E" w14:textId="7D29AB75" w:rsidR="006019DE" w:rsidRDefault="00156C34" w:rsidP="006019DE">
      <w:r>
        <w:t xml:space="preserve">Amendments made to the ESOS Act by the </w:t>
      </w:r>
      <w:hyperlink r:id="rId16" w:history="1">
        <w:r w:rsidRPr="00196304">
          <w:rPr>
            <w:rStyle w:val="Hyperlink"/>
            <w:rFonts w:ascii="Calibri" w:hAnsi="Calibri" w:cs="Calibri"/>
            <w:i/>
            <w:iCs/>
          </w:rPr>
          <w:t>Education Services for Overseas Students Amendment (Refunds of Charges and Other Measures) Act 2021</w:t>
        </w:r>
      </w:hyperlink>
      <w:r>
        <w:t xml:space="preserve"> allow t</w:t>
      </w:r>
      <w:r w:rsidR="006019DE" w:rsidRPr="00151C34">
        <w:t xml:space="preserve">he Minister </w:t>
      </w:r>
      <w:r>
        <w:t>to</w:t>
      </w:r>
      <w:r w:rsidR="006019DE" w:rsidRPr="00151C34">
        <w:t xml:space="preserve"> make a legislative instrument </w:t>
      </w:r>
      <w:r>
        <w:t>which may</w:t>
      </w:r>
      <w:r w:rsidR="006019DE" w:rsidRPr="00151C34">
        <w:t xml:space="preserve"> include </w:t>
      </w:r>
      <w:r>
        <w:t>or</w:t>
      </w:r>
      <w:r w:rsidR="006019DE" w:rsidRPr="00151C34">
        <w:t xml:space="preserve"> exempt </w:t>
      </w:r>
      <w:r w:rsidR="006019DE">
        <w:t xml:space="preserve">additional </w:t>
      </w:r>
      <w:r w:rsidR="006019DE" w:rsidRPr="00151C34">
        <w:t xml:space="preserve">courses from the </w:t>
      </w:r>
      <w:r w:rsidR="006019DE">
        <w:t xml:space="preserve">definition of </w:t>
      </w:r>
      <w:r w:rsidR="006019DE" w:rsidRPr="00382D65">
        <w:rPr>
          <w:i/>
          <w:iCs/>
        </w:rPr>
        <w:t>course</w:t>
      </w:r>
      <w:r w:rsidR="006019DE">
        <w:t xml:space="preserve"> in the </w:t>
      </w:r>
      <w:r w:rsidR="006019DE" w:rsidRPr="00151C34">
        <w:t xml:space="preserve">ESOS Act. </w:t>
      </w:r>
      <w:r w:rsidR="006019DE">
        <w:t xml:space="preserve">In accordance with the ESOS Act, the Minister has exempted certain supplementary courses which lead to an Australian Qualifications Framework (AQF) qualification but for which the additional CRICOS requirements are not considered necessary. The instrument exempting these courses commenced on </w:t>
      </w:r>
      <w:r w:rsidR="006019DE" w:rsidRPr="00382D65">
        <w:t>29 June 2021, which</w:t>
      </w:r>
      <w:r w:rsidR="006019DE">
        <w:t xml:space="preserve"> means the exempted courses will not require C</w:t>
      </w:r>
      <w:r w:rsidR="006019DE" w:rsidRPr="00D30CBE">
        <w:t xml:space="preserve">RICOS </w:t>
      </w:r>
      <w:r w:rsidR="006019DE">
        <w:t xml:space="preserve">registration </w:t>
      </w:r>
      <w:r w:rsidR="006019DE" w:rsidRPr="00D30CBE">
        <w:t xml:space="preserve">to be offered to </w:t>
      </w:r>
      <w:r w:rsidR="006019DE">
        <w:t>international</w:t>
      </w:r>
      <w:r w:rsidR="006019DE" w:rsidRPr="00D30CBE">
        <w:t xml:space="preserve"> students</w:t>
      </w:r>
      <w:r w:rsidR="006019DE">
        <w:t xml:space="preserve"> from that date.</w:t>
      </w:r>
    </w:p>
    <w:p w14:paraId="6DFD4687" w14:textId="77777777" w:rsidR="006019DE" w:rsidRPr="00151C34" w:rsidRDefault="006019DE" w:rsidP="006019DE">
      <w:r w:rsidRPr="00151C34">
        <w:t xml:space="preserve">Consultation with the international education industry, </w:t>
      </w:r>
      <w:r>
        <w:t>international</w:t>
      </w:r>
      <w:r w:rsidRPr="00151C34">
        <w:t xml:space="preserve"> students and providers has confirmed support for the Minister to exempt courses that:</w:t>
      </w:r>
    </w:p>
    <w:p w14:paraId="28879BC3" w14:textId="25AADB9C" w:rsidR="006019DE" w:rsidRPr="00151C34" w:rsidRDefault="006019DE" w:rsidP="006019DE">
      <w:pPr>
        <w:numPr>
          <w:ilvl w:val="0"/>
          <w:numId w:val="20"/>
        </w:numPr>
      </w:pPr>
      <w:r w:rsidRPr="00151C34">
        <w:t>students can attend in addition to their full-time main course of study, without jeopardising the attendance or progress of this course (which would breach visa requirements</w:t>
      </w:r>
      <w:r w:rsidR="0012642C" w:rsidRPr="00151C34">
        <w:t>).</w:t>
      </w:r>
    </w:p>
    <w:p w14:paraId="756F3EE9" w14:textId="77777777" w:rsidR="006019DE" w:rsidRPr="00151C34" w:rsidRDefault="006019DE" w:rsidP="006019DE">
      <w:pPr>
        <w:numPr>
          <w:ilvl w:val="0"/>
          <w:numId w:val="20"/>
        </w:numPr>
      </w:pPr>
      <w:r w:rsidRPr="00151C34">
        <w:t>pursue personal interests, while the student is studying to enhance the quality of the students’ Australian experience; or</w:t>
      </w:r>
    </w:p>
    <w:p w14:paraId="47CD5DE4" w14:textId="77777777" w:rsidR="006019DE" w:rsidRPr="00151C34" w:rsidRDefault="006019DE" w:rsidP="006019DE">
      <w:pPr>
        <w:numPr>
          <w:ilvl w:val="0"/>
          <w:numId w:val="20"/>
        </w:numPr>
      </w:pPr>
      <w:r w:rsidRPr="00151C34">
        <w:t>may be required ahead of attending a workplace component approved as part of a substantive qualification or for employment consistent with their student visa requirements of up to 40 hours a fortnight.</w:t>
      </w:r>
    </w:p>
    <w:p w14:paraId="2C97C760" w14:textId="72BAA3C5" w:rsidR="006019DE" w:rsidRDefault="006019DE" w:rsidP="006019DE">
      <w:r w:rsidRPr="00151C34">
        <w:t xml:space="preserve">These courses are typically short in duration and low </w:t>
      </w:r>
      <w:r w:rsidR="0012642C" w:rsidRPr="00151C34">
        <w:t>cost,</w:t>
      </w:r>
      <w:r w:rsidRPr="00151C34">
        <w:t xml:space="preserve"> such as first aid, infection control, construction white cards, or responsible service of alcohol courses.</w:t>
      </w:r>
      <w:r>
        <w:t xml:space="preserve"> </w:t>
      </w:r>
    </w:p>
    <w:p w14:paraId="4CBA4A38" w14:textId="19C9C574" w:rsidR="00E6223D" w:rsidRPr="00A31912" w:rsidRDefault="00E6223D" w:rsidP="003A75C7">
      <w:pPr>
        <w:pStyle w:val="Heading1"/>
      </w:pPr>
      <w:r w:rsidRPr="00B22A73">
        <w:lastRenderedPageBreak/>
        <w:t xml:space="preserve">What is </w:t>
      </w:r>
      <w:r w:rsidRPr="00A31912">
        <w:t>the</w:t>
      </w:r>
      <w:r w:rsidR="00D1125B">
        <w:t xml:space="preserve"> purpose</w:t>
      </w:r>
      <w:r w:rsidRPr="00A31912">
        <w:t xml:space="preserve"> of this instrument?</w:t>
      </w:r>
    </w:p>
    <w:p w14:paraId="0FDFD437" w14:textId="3B228F31" w:rsidR="00D95701" w:rsidRPr="00CA27F6" w:rsidRDefault="00490170" w:rsidP="00CA27F6">
      <w:r w:rsidRPr="00A31912">
        <w:t>The</w:t>
      </w:r>
      <w:r w:rsidR="00D95701" w:rsidRPr="00A31912">
        <w:t xml:space="preserve"> </w:t>
      </w:r>
      <w:r w:rsidR="007E1179" w:rsidRPr="00A31912">
        <w:t>policy intent</w:t>
      </w:r>
      <w:r w:rsidR="00414211" w:rsidRPr="00A31912">
        <w:t xml:space="preserve"> of this </w:t>
      </w:r>
      <w:r w:rsidR="00D95701" w:rsidRPr="00A31912">
        <w:t>instrument</w:t>
      </w:r>
      <w:r w:rsidR="00414211" w:rsidRPr="00A31912">
        <w:t xml:space="preserve"> </w:t>
      </w:r>
      <w:r w:rsidR="005E0F00">
        <w:t xml:space="preserve">is to </w:t>
      </w:r>
      <w:r w:rsidR="00CA27F6" w:rsidRPr="00A31912">
        <w:t>allow</w:t>
      </w:r>
      <w:r w:rsidR="006D3E13" w:rsidRPr="00A31912">
        <w:t xml:space="preserve"> </w:t>
      </w:r>
      <w:r w:rsidR="00AE54D2" w:rsidRPr="00A31912">
        <w:t xml:space="preserve">overseas </w:t>
      </w:r>
      <w:r w:rsidR="00CA27F6" w:rsidRPr="00A31912">
        <w:t xml:space="preserve">students </w:t>
      </w:r>
      <w:r w:rsidR="005E0F00">
        <w:t xml:space="preserve">easier access to a range </w:t>
      </w:r>
      <w:r w:rsidR="00CA27F6" w:rsidRPr="00A31912">
        <w:t xml:space="preserve">supplementary courses, such as hobby </w:t>
      </w:r>
      <w:r w:rsidR="00B22A73" w:rsidRPr="00A31912">
        <w:t>and recreational</w:t>
      </w:r>
      <w:r w:rsidR="00B22A73" w:rsidRPr="00A31912">
        <w:rPr>
          <w:rFonts w:eastAsia="Times New Roman"/>
        </w:rPr>
        <w:t xml:space="preserve"> courses</w:t>
      </w:r>
      <w:r w:rsidR="00B22A73">
        <w:rPr>
          <w:rFonts w:eastAsia="Times New Roman"/>
        </w:rPr>
        <w:t xml:space="preserve">, and other short courses which may be required for employment </w:t>
      </w:r>
      <w:r w:rsidR="005F707E">
        <w:rPr>
          <w:rFonts w:eastAsia="Times New Roman"/>
        </w:rPr>
        <w:t xml:space="preserve">while </w:t>
      </w:r>
      <w:r w:rsidR="00B22A73">
        <w:rPr>
          <w:rFonts w:eastAsia="Times New Roman"/>
        </w:rPr>
        <w:t xml:space="preserve">living in Australia. </w:t>
      </w:r>
      <w:r w:rsidR="005E0F00">
        <w:rPr>
          <w:rFonts w:eastAsia="Times New Roman"/>
        </w:rPr>
        <w:t xml:space="preserve">This instrument reduces regulatory burden for providers, enriches student experiences </w:t>
      </w:r>
      <w:r w:rsidR="005F707E">
        <w:rPr>
          <w:rFonts w:eastAsia="Times New Roman"/>
        </w:rPr>
        <w:t xml:space="preserve">while </w:t>
      </w:r>
      <w:r w:rsidR="005E0F00">
        <w:rPr>
          <w:rFonts w:eastAsia="Times New Roman"/>
        </w:rPr>
        <w:t xml:space="preserve">in Australia, decreases the risk of workplace exploitation and provides Australian businesses with a ready workforce </w:t>
      </w:r>
      <w:r w:rsidR="000367A8">
        <w:rPr>
          <w:rFonts w:eastAsia="Times New Roman"/>
        </w:rPr>
        <w:t>to deliver critically important goods and services</w:t>
      </w:r>
      <w:r w:rsidR="005E0F00">
        <w:rPr>
          <w:rFonts w:eastAsia="Times New Roman"/>
        </w:rPr>
        <w:t xml:space="preserve">. </w:t>
      </w:r>
    </w:p>
    <w:p w14:paraId="7CB4D609" w14:textId="77777777" w:rsidR="0012642C" w:rsidRDefault="004B6BB7" w:rsidP="0012642C">
      <w:pPr>
        <w:pStyle w:val="Heading1"/>
      </w:pPr>
      <w:r w:rsidRPr="00CA27F6">
        <w:t>Course</w:t>
      </w:r>
      <w:r w:rsidR="009867EE">
        <w:t>s</w:t>
      </w:r>
      <w:r w:rsidRPr="00CA27F6">
        <w:t xml:space="preserve"> required for employment purposes</w:t>
      </w:r>
    </w:p>
    <w:p w14:paraId="60950C13" w14:textId="632E27AC" w:rsidR="0007666B" w:rsidRPr="0012642C" w:rsidRDefault="003726D7" w:rsidP="0012642C">
      <w:pPr>
        <w:pStyle w:val="Heading1"/>
        <w:spacing w:before="0" w:after="240"/>
        <w:rPr>
          <w:rFonts w:asciiTheme="minorHAnsi" w:eastAsiaTheme="minorHAnsi" w:hAnsiTheme="minorHAnsi" w:cstheme="minorBidi"/>
          <w:b w:val="0"/>
          <w:color w:val="auto"/>
          <w:sz w:val="22"/>
          <w:szCs w:val="22"/>
        </w:rPr>
      </w:pPr>
      <w:r w:rsidRPr="0012642C">
        <w:rPr>
          <w:rFonts w:asciiTheme="minorHAnsi" w:eastAsiaTheme="minorHAnsi" w:hAnsiTheme="minorHAnsi" w:cstheme="minorBidi"/>
          <w:b w:val="0"/>
          <w:color w:val="auto"/>
          <w:sz w:val="22"/>
          <w:szCs w:val="22"/>
        </w:rPr>
        <w:t xml:space="preserve">Exempt courses may include </w:t>
      </w:r>
      <w:r w:rsidR="009867EE" w:rsidRPr="0012642C">
        <w:rPr>
          <w:rFonts w:asciiTheme="minorHAnsi" w:eastAsiaTheme="minorHAnsi" w:hAnsiTheme="minorHAnsi" w:cstheme="minorBidi"/>
          <w:b w:val="0"/>
          <w:color w:val="auto"/>
          <w:sz w:val="22"/>
          <w:szCs w:val="22"/>
        </w:rPr>
        <w:t xml:space="preserve">short courses required for </w:t>
      </w:r>
      <w:r w:rsidR="00D95701" w:rsidRPr="0012642C">
        <w:rPr>
          <w:rFonts w:asciiTheme="minorHAnsi" w:eastAsiaTheme="minorHAnsi" w:hAnsiTheme="minorHAnsi" w:cstheme="minorBidi"/>
          <w:b w:val="0"/>
          <w:color w:val="auto"/>
          <w:sz w:val="22"/>
          <w:szCs w:val="22"/>
        </w:rPr>
        <w:t>employment in industries, which students could reasonably undertake while meeting their student visa requirements</w:t>
      </w:r>
      <w:r w:rsidR="00B22A73" w:rsidRPr="0012642C">
        <w:rPr>
          <w:rFonts w:asciiTheme="minorHAnsi" w:eastAsiaTheme="minorHAnsi" w:hAnsiTheme="minorHAnsi" w:cstheme="minorBidi"/>
          <w:b w:val="0"/>
          <w:color w:val="auto"/>
          <w:sz w:val="22"/>
          <w:szCs w:val="22"/>
        </w:rPr>
        <w:t>.</w:t>
      </w:r>
    </w:p>
    <w:p w14:paraId="4CD24F51" w14:textId="0A8D4578" w:rsidR="00D95701" w:rsidRDefault="00D95701" w:rsidP="0012642C">
      <w:pPr>
        <w:spacing w:after="240"/>
      </w:pPr>
      <w:r w:rsidRPr="00B22A73">
        <w:t>Importantly,</w:t>
      </w:r>
      <w:r>
        <w:t xml:space="preserve"> all courses made exempt through this instrument will still be required to comply with </w:t>
      </w:r>
      <w:r w:rsidR="00B22A73">
        <w:t xml:space="preserve">Australian </w:t>
      </w:r>
      <w:r>
        <w:t>domestic legislative and regulatory requirements.</w:t>
      </w:r>
      <w:r w:rsidR="00E6223D">
        <w:t xml:space="preserve"> </w:t>
      </w:r>
      <w:r>
        <w:t xml:space="preserve">Overseas students will </w:t>
      </w:r>
      <w:r w:rsidRPr="007C3230">
        <w:rPr>
          <w:b/>
          <w:bCs/>
          <w:u w:val="single"/>
        </w:rPr>
        <w:t>not</w:t>
      </w:r>
      <w:r>
        <w:t xml:space="preserve"> be able to apply for student visas based on exempt courses</w:t>
      </w:r>
      <w:r w:rsidR="005E0F00">
        <w:t xml:space="preserve"> alone</w:t>
      </w:r>
      <w:r>
        <w:t xml:space="preserve">. </w:t>
      </w:r>
    </w:p>
    <w:p w14:paraId="1D0B3917" w14:textId="3388E6BA" w:rsidR="00D00511" w:rsidRPr="00EB445B" w:rsidRDefault="00D00511" w:rsidP="00D00511">
      <w:pPr>
        <w:spacing w:after="0" w:line="240" w:lineRule="auto"/>
        <w:rPr>
          <w:rFonts w:eastAsia="Times New Roman"/>
        </w:rPr>
      </w:pPr>
      <w:r>
        <w:rPr>
          <w:rFonts w:eastAsia="Times New Roman"/>
        </w:rPr>
        <w:t>H</w:t>
      </w:r>
      <w:r w:rsidRPr="00EB445B">
        <w:rPr>
          <w:rFonts w:eastAsia="Times New Roman"/>
        </w:rPr>
        <w:t xml:space="preserve">igher education providers </w:t>
      </w:r>
      <w:r w:rsidRPr="00EB445B">
        <w:rPr>
          <w:rFonts w:eastAsia="Times New Roman"/>
          <w:u w:val="single"/>
        </w:rPr>
        <w:t xml:space="preserve">must </w:t>
      </w:r>
      <w:r w:rsidR="00B22A73">
        <w:rPr>
          <w:rFonts w:eastAsia="Times New Roman"/>
          <w:u w:val="single"/>
        </w:rPr>
        <w:t xml:space="preserve">also </w:t>
      </w:r>
      <w:r w:rsidRPr="00EB445B">
        <w:rPr>
          <w:rFonts w:eastAsia="Times New Roman"/>
          <w:u w:val="single"/>
        </w:rPr>
        <w:t>continue to register</w:t>
      </w:r>
      <w:r>
        <w:rPr>
          <w:rFonts w:eastAsia="Times New Roman"/>
        </w:rPr>
        <w:t xml:space="preserve"> on </w:t>
      </w:r>
      <w:r>
        <w:t>CRICOS</w:t>
      </w:r>
      <w:r w:rsidRPr="00EB445B">
        <w:rPr>
          <w:rFonts w:eastAsia="Times New Roman"/>
        </w:rPr>
        <w:t xml:space="preserve"> any course which leads to an award/qualification </w:t>
      </w:r>
      <w:r>
        <w:rPr>
          <w:rFonts w:eastAsia="Times New Roman"/>
        </w:rPr>
        <w:t>including</w:t>
      </w:r>
      <w:r w:rsidRPr="00EB445B">
        <w:rPr>
          <w:rFonts w:eastAsia="Times New Roman"/>
        </w:rPr>
        <w:t xml:space="preserve"> any of the following </w:t>
      </w:r>
      <w:r w:rsidR="0012642C">
        <w:rPr>
          <w:rFonts w:eastAsia="Times New Roman"/>
        </w:rPr>
        <w:t>‘</w:t>
      </w:r>
      <w:r w:rsidRPr="00EB445B">
        <w:rPr>
          <w:rFonts w:eastAsia="Times New Roman"/>
        </w:rPr>
        <w:t>non-award</w:t>
      </w:r>
      <w:r w:rsidR="0012642C">
        <w:rPr>
          <w:rFonts w:eastAsia="Times New Roman"/>
        </w:rPr>
        <w:t>’</w:t>
      </w:r>
      <w:r w:rsidRPr="00EB445B">
        <w:rPr>
          <w:rFonts w:eastAsia="Times New Roman"/>
        </w:rPr>
        <w:t xml:space="preserve"> courses: </w:t>
      </w:r>
    </w:p>
    <w:p w14:paraId="5299D80F" w14:textId="12559C82" w:rsidR="00D00511" w:rsidRDefault="00D00511" w:rsidP="00D00511">
      <w:pPr>
        <w:pStyle w:val="ListParagraph"/>
        <w:numPr>
          <w:ilvl w:val="0"/>
          <w:numId w:val="5"/>
        </w:numPr>
        <w:spacing w:after="0" w:line="240" w:lineRule="auto"/>
        <w:contextualSpacing w:val="0"/>
        <w:rPr>
          <w:rFonts w:eastAsia="Times New Roman"/>
        </w:rPr>
      </w:pPr>
      <w:r>
        <w:rPr>
          <w:rFonts w:eastAsia="Times New Roman"/>
        </w:rPr>
        <w:t>an English Language Intensive Course for Overseas Students (ELICOS</w:t>
      </w:r>
      <w:r w:rsidR="0012642C">
        <w:rPr>
          <w:rFonts w:eastAsia="Times New Roman"/>
        </w:rPr>
        <w:t>)</w:t>
      </w:r>
    </w:p>
    <w:p w14:paraId="730293D5" w14:textId="7961D66E" w:rsidR="00D00511" w:rsidRDefault="00D00511" w:rsidP="00D00511">
      <w:pPr>
        <w:pStyle w:val="ListParagraph"/>
        <w:numPr>
          <w:ilvl w:val="0"/>
          <w:numId w:val="5"/>
        </w:numPr>
        <w:spacing w:after="0" w:line="240" w:lineRule="auto"/>
        <w:contextualSpacing w:val="0"/>
        <w:rPr>
          <w:rFonts w:eastAsia="Times New Roman"/>
        </w:rPr>
      </w:pPr>
      <w:r>
        <w:rPr>
          <w:rFonts w:eastAsia="Times New Roman"/>
        </w:rPr>
        <w:t>a Foundation Program</w:t>
      </w:r>
    </w:p>
    <w:p w14:paraId="44EE5128" w14:textId="396C246F" w:rsidR="00D00511" w:rsidRPr="00A550B5" w:rsidRDefault="00D00511" w:rsidP="00D00511">
      <w:pPr>
        <w:pStyle w:val="ListParagraph"/>
        <w:numPr>
          <w:ilvl w:val="0"/>
          <w:numId w:val="5"/>
        </w:numPr>
        <w:spacing w:after="0" w:line="240" w:lineRule="auto"/>
        <w:contextualSpacing w:val="0"/>
        <w:rPr>
          <w:rFonts w:eastAsia="Times New Roman"/>
        </w:rPr>
      </w:pPr>
      <w:r>
        <w:rPr>
          <w:rFonts w:eastAsia="Times New Roman"/>
        </w:rPr>
        <w:t xml:space="preserve">study abroad or </w:t>
      </w:r>
      <w:r w:rsidRPr="00A550B5">
        <w:rPr>
          <w:rFonts w:eastAsia="Times New Roman"/>
        </w:rPr>
        <w:t>student exchange</w:t>
      </w:r>
    </w:p>
    <w:p w14:paraId="05AC5243" w14:textId="1E54256E" w:rsidR="00D00511" w:rsidRDefault="00D00511" w:rsidP="00D00511">
      <w:pPr>
        <w:pStyle w:val="ListParagraph"/>
        <w:numPr>
          <w:ilvl w:val="0"/>
          <w:numId w:val="5"/>
        </w:numPr>
        <w:spacing w:after="0" w:line="240" w:lineRule="auto"/>
        <w:contextualSpacing w:val="0"/>
        <w:rPr>
          <w:rFonts w:eastAsia="Times New Roman"/>
        </w:rPr>
      </w:pPr>
      <w:r>
        <w:rPr>
          <w:rFonts w:eastAsia="Times New Roman"/>
        </w:rPr>
        <w:t>a tertiary coursework and research preparatory course</w:t>
      </w:r>
      <w:r w:rsidR="0012642C">
        <w:rPr>
          <w:rFonts w:eastAsia="Times New Roman"/>
        </w:rPr>
        <w:t>,</w:t>
      </w:r>
      <w:r>
        <w:rPr>
          <w:rFonts w:eastAsia="Times New Roman"/>
        </w:rPr>
        <w:t xml:space="preserve"> and </w:t>
      </w:r>
    </w:p>
    <w:p w14:paraId="3EDC88F1" w14:textId="2142695C" w:rsidR="00D00511" w:rsidRDefault="00D00511" w:rsidP="00D00511">
      <w:pPr>
        <w:pStyle w:val="ListParagraph"/>
        <w:numPr>
          <w:ilvl w:val="0"/>
          <w:numId w:val="5"/>
        </w:numPr>
        <w:spacing w:after="0" w:line="240" w:lineRule="auto"/>
        <w:contextualSpacing w:val="0"/>
        <w:rPr>
          <w:rFonts w:eastAsia="Times New Roman"/>
        </w:rPr>
      </w:pPr>
      <w:r w:rsidRPr="00B72B90">
        <w:rPr>
          <w:rFonts w:eastAsia="Times New Roman"/>
        </w:rPr>
        <w:t xml:space="preserve">professional outcomes and placement courses. </w:t>
      </w:r>
    </w:p>
    <w:p w14:paraId="0BD0C32B" w14:textId="77777777" w:rsidR="0012642C" w:rsidRDefault="0012642C" w:rsidP="0012642C">
      <w:pPr>
        <w:pStyle w:val="ListParagraph"/>
        <w:spacing w:after="0" w:line="240" w:lineRule="auto"/>
        <w:contextualSpacing w:val="0"/>
        <w:rPr>
          <w:rFonts w:eastAsia="Times New Roman"/>
        </w:rPr>
      </w:pPr>
    </w:p>
    <w:p w14:paraId="0C1A190F" w14:textId="1A83BE95" w:rsidR="00D95701" w:rsidRPr="0012642C" w:rsidRDefault="00414211" w:rsidP="0012642C">
      <w:pPr>
        <w:spacing w:after="160" w:line="259" w:lineRule="auto"/>
        <w:rPr>
          <w:rFonts w:ascii="Calibri" w:eastAsiaTheme="majorEastAsia" w:hAnsi="Calibri" w:cstheme="majorBidi"/>
          <w:b/>
          <w:color w:val="343741"/>
          <w:sz w:val="32"/>
          <w:szCs w:val="32"/>
        </w:rPr>
      </w:pPr>
      <w:r w:rsidRPr="0012642C">
        <w:rPr>
          <w:rFonts w:ascii="Calibri" w:eastAsiaTheme="majorEastAsia" w:hAnsi="Calibri" w:cstheme="majorBidi"/>
          <w:b/>
          <w:color w:val="343741"/>
          <w:sz w:val="32"/>
          <w:szCs w:val="32"/>
        </w:rPr>
        <w:t xml:space="preserve">Exempt </w:t>
      </w:r>
      <w:r w:rsidR="00085446" w:rsidRPr="0012642C">
        <w:rPr>
          <w:rFonts w:ascii="Calibri" w:eastAsiaTheme="majorEastAsia" w:hAnsi="Calibri" w:cstheme="majorBidi"/>
          <w:b/>
          <w:color w:val="343741"/>
          <w:sz w:val="32"/>
          <w:szCs w:val="32"/>
        </w:rPr>
        <w:t>c</w:t>
      </w:r>
      <w:r w:rsidRPr="0012642C">
        <w:rPr>
          <w:rFonts w:ascii="Calibri" w:eastAsiaTheme="majorEastAsia" w:hAnsi="Calibri" w:cstheme="majorBidi"/>
          <w:b/>
          <w:color w:val="343741"/>
          <w:sz w:val="32"/>
          <w:szCs w:val="32"/>
        </w:rPr>
        <w:t xml:space="preserve">ourses </w:t>
      </w:r>
    </w:p>
    <w:p w14:paraId="266F2078" w14:textId="0D044CFF" w:rsidR="0016262D" w:rsidRPr="00B47509" w:rsidRDefault="00035A9E" w:rsidP="003A75C7">
      <w:pPr>
        <w:pStyle w:val="Heading2"/>
      </w:pPr>
      <w:r w:rsidRPr="00035A9E">
        <w:t>VET courses</w:t>
      </w:r>
      <w:r>
        <w:t xml:space="preserve"> </w:t>
      </w:r>
      <w:r w:rsidR="00A86CAF">
        <w:tab/>
      </w:r>
    </w:p>
    <w:p w14:paraId="2275F647" w14:textId="7BF46452" w:rsidR="0088105C" w:rsidRPr="00035A9E" w:rsidRDefault="00156C34" w:rsidP="00A31912">
      <w:r>
        <w:t xml:space="preserve">Where a VET course only consists of one or more of the following units of competency, it is exempt from the definition of </w:t>
      </w:r>
      <w:r>
        <w:rPr>
          <w:i/>
          <w:iCs/>
        </w:rPr>
        <w:t xml:space="preserve">course. </w:t>
      </w:r>
      <w:r w:rsidR="0057211D">
        <w:t>Providers are now able to offer these courses to overseas students without registering them on CRICOS.</w:t>
      </w:r>
      <w:bookmarkStart w:id="2" w:name="_Hlk70668964"/>
    </w:p>
    <w:tbl>
      <w:tblPr>
        <w:tblW w:w="9418" w:type="dxa"/>
        <w:tblInd w:w="-108" w:type="dxa"/>
        <w:tblLook w:val="06A0" w:firstRow="1" w:lastRow="0" w:firstColumn="1" w:lastColumn="0" w:noHBand="1" w:noVBand="1"/>
      </w:tblPr>
      <w:tblGrid>
        <w:gridCol w:w="1574"/>
        <w:gridCol w:w="7892"/>
      </w:tblGrid>
      <w:tr w:rsidR="0088105C" w:rsidRPr="007150C2" w14:paraId="1F5723A3" w14:textId="77777777" w:rsidTr="00BA4A3D">
        <w:trPr>
          <w:trHeight w:val="253"/>
        </w:trPr>
        <w:tc>
          <w:tcPr>
            <w:tcW w:w="1526" w:type="dxa"/>
            <w:shd w:val="clear" w:color="auto" w:fill="auto"/>
            <w:noWrap/>
            <w:vAlign w:val="center"/>
          </w:tcPr>
          <w:p w14:paraId="2275BFD6" w14:textId="77777777" w:rsidR="0088105C" w:rsidRPr="007150C2" w:rsidRDefault="0088105C" w:rsidP="00BA4A3D">
            <w:pPr>
              <w:spacing w:after="0" w:line="240" w:lineRule="auto"/>
              <w:rPr>
                <w:rFonts w:cstheme="minorHAnsi"/>
                <w:b/>
                <w:bCs/>
              </w:rPr>
            </w:pPr>
            <w:r>
              <w:rPr>
                <w:rFonts w:cstheme="minorHAnsi"/>
                <w:b/>
                <w:bCs/>
              </w:rPr>
              <w:t>C</w:t>
            </w:r>
            <w:r w:rsidRPr="007150C2">
              <w:rPr>
                <w:rFonts w:cstheme="minorHAnsi"/>
                <w:b/>
                <w:bCs/>
              </w:rPr>
              <w:t>ode</w:t>
            </w:r>
          </w:p>
        </w:tc>
        <w:tc>
          <w:tcPr>
            <w:tcW w:w="7892" w:type="dxa"/>
            <w:shd w:val="clear" w:color="auto" w:fill="auto"/>
            <w:noWrap/>
            <w:vAlign w:val="center"/>
          </w:tcPr>
          <w:p w14:paraId="1A4D3782" w14:textId="77777777" w:rsidR="0088105C" w:rsidRPr="007150C2" w:rsidRDefault="0088105C" w:rsidP="00BA4A3D">
            <w:pPr>
              <w:spacing w:after="0" w:line="240" w:lineRule="auto"/>
              <w:rPr>
                <w:rFonts w:cstheme="minorHAnsi"/>
                <w:b/>
                <w:bCs/>
              </w:rPr>
            </w:pPr>
            <w:r>
              <w:rPr>
                <w:rFonts w:cstheme="minorHAnsi"/>
                <w:b/>
                <w:bCs/>
              </w:rPr>
              <w:t>Course</w:t>
            </w:r>
          </w:p>
        </w:tc>
      </w:tr>
      <w:tr w:rsidR="0088105C" w:rsidRPr="007150C2" w14:paraId="4FAC4BB1" w14:textId="77777777" w:rsidTr="00BA4A3D">
        <w:trPr>
          <w:trHeight w:val="253"/>
        </w:trPr>
        <w:tc>
          <w:tcPr>
            <w:tcW w:w="1526" w:type="dxa"/>
            <w:shd w:val="clear" w:color="auto" w:fill="auto"/>
            <w:noWrap/>
            <w:vAlign w:val="center"/>
            <w:hideMark/>
          </w:tcPr>
          <w:p w14:paraId="6CFEDA89" w14:textId="77777777" w:rsidR="0088105C" w:rsidRPr="007150C2" w:rsidRDefault="0088105C" w:rsidP="00BA4A3D">
            <w:pPr>
              <w:spacing w:after="0" w:line="240" w:lineRule="auto"/>
              <w:rPr>
                <w:rFonts w:cstheme="minorHAnsi"/>
              </w:rPr>
            </w:pPr>
            <w:r w:rsidRPr="007150C2">
              <w:rPr>
                <w:rFonts w:cstheme="minorHAnsi"/>
              </w:rPr>
              <w:t>HLTAID009</w:t>
            </w:r>
          </w:p>
        </w:tc>
        <w:tc>
          <w:tcPr>
            <w:tcW w:w="7892" w:type="dxa"/>
            <w:shd w:val="clear" w:color="auto" w:fill="auto"/>
            <w:noWrap/>
            <w:vAlign w:val="center"/>
            <w:hideMark/>
          </w:tcPr>
          <w:p w14:paraId="0812AE10" w14:textId="77777777" w:rsidR="0088105C" w:rsidRPr="007150C2" w:rsidRDefault="0088105C" w:rsidP="00BA4A3D">
            <w:pPr>
              <w:spacing w:after="0" w:line="240" w:lineRule="auto"/>
              <w:rPr>
                <w:rFonts w:cstheme="minorHAnsi"/>
              </w:rPr>
            </w:pPr>
            <w:r w:rsidRPr="007150C2">
              <w:rPr>
                <w:rFonts w:cstheme="minorHAnsi"/>
              </w:rPr>
              <w:t>Provide cardiopulmonary resuscitation</w:t>
            </w:r>
          </w:p>
        </w:tc>
      </w:tr>
      <w:tr w:rsidR="0088105C" w:rsidRPr="007150C2" w14:paraId="362B8E50" w14:textId="77777777" w:rsidTr="00BA4A3D">
        <w:trPr>
          <w:trHeight w:val="253"/>
        </w:trPr>
        <w:tc>
          <w:tcPr>
            <w:tcW w:w="1526" w:type="dxa"/>
            <w:shd w:val="clear" w:color="auto" w:fill="auto"/>
            <w:noWrap/>
            <w:vAlign w:val="center"/>
            <w:hideMark/>
          </w:tcPr>
          <w:p w14:paraId="1FE0A1C4" w14:textId="77777777" w:rsidR="0088105C" w:rsidRPr="007150C2" w:rsidRDefault="0088105C" w:rsidP="00BA4A3D">
            <w:pPr>
              <w:spacing w:after="0" w:line="240" w:lineRule="auto"/>
              <w:rPr>
                <w:rFonts w:cstheme="minorHAnsi"/>
              </w:rPr>
            </w:pPr>
            <w:r w:rsidRPr="007150C2">
              <w:rPr>
                <w:rFonts w:cstheme="minorHAnsi"/>
              </w:rPr>
              <w:t>HLTAID010</w:t>
            </w:r>
          </w:p>
        </w:tc>
        <w:tc>
          <w:tcPr>
            <w:tcW w:w="7892" w:type="dxa"/>
            <w:shd w:val="clear" w:color="auto" w:fill="auto"/>
            <w:noWrap/>
            <w:vAlign w:val="center"/>
            <w:hideMark/>
          </w:tcPr>
          <w:p w14:paraId="07AA953A" w14:textId="77777777" w:rsidR="0088105C" w:rsidRPr="007150C2" w:rsidRDefault="0088105C" w:rsidP="00BA4A3D">
            <w:pPr>
              <w:spacing w:after="0" w:line="240" w:lineRule="auto"/>
              <w:rPr>
                <w:rFonts w:cstheme="minorHAnsi"/>
              </w:rPr>
            </w:pPr>
            <w:r w:rsidRPr="007150C2">
              <w:rPr>
                <w:rFonts w:cstheme="minorHAnsi"/>
              </w:rPr>
              <w:t>Provide basic emergency life support</w:t>
            </w:r>
          </w:p>
        </w:tc>
      </w:tr>
      <w:tr w:rsidR="0088105C" w:rsidRPr="007150C2" w14:paraId="09A0DF10" w14:textId="77777777" w:rsidTr="00BA4A3D">
        <w:trPr>
          <w:trHeight w:val="253"/>
        </w:trPr>
        <w:tc>
          <w:tcPr>
            <w:tcW w:w="1526" w:type="dxa"/>
            <w:shd w:val="clear" w:color="auto" w:fill="auto"/>
            <w:noWrap/>
            <w:vAlign w:val="center"/>
            <w:hideMark/>
          </w:tcPr>
          <w:p w14:paraId="3FFF6E67" w14:textId="77777777" w:rsidR="0088105C" w:rsidRPr="007150C2" w:rsidRDefault="0088105C" w:rsidP="00BA4A3D">
            <w:pPr>
              <w:spacing w:after="0" w:line="240" w:lineRule="auto"/>
              <w:rPr>
                <w:rFonts w:cstheme="minorHAnsi"/>
              </w:rPr>
            </w:pPr>
            <w:r w:rsidRPr="007150C2">
              <w:rPr>
                <w:rFonts w:cstheme="minorHAnsi"/>
              </w:rPr>
              <w:t>HLTAID011</w:t>
            </w:r>
          </w:p>
        </w:tc>
        <w:tc>
          <w:tcPr>
            <w:tcW w:w="7892" w:type="dxa"/>
            <w:shd w:val="clear" w:color="auto" w:fill="auto"/>
            <w:noWrap/>
            <w:vAlign w:val="center"/>
            <w:hideMark/>
          </w:tcPr>
          <w:p w14:paraId="453B2901" w14:textId="77777777" w:rsidR="0088105C" w:rsidRPr="007150C2" w:rsidRDefault="0088105C" w:rsidP="00BA4A3D">
            <w:pPr>
              <w:spacing w:after="0" w:line="240" w:lineRule="auto"/>
              <w:rPr>
                <w:rFonts w:cstheme="minorHAnsi"/>
              </w:rPr>
            </w:pPr>
            <w:r w:rsidRPr="007150C2">
              <w:rPr>
                <w:rFonts w:cstheme="minorHAnsi"/>
              </w:rPr>
              <w:t>Provide First Aid</w:t>
            </w:r>
          </w:p>
        </w:tc>
      </w:tr>
      <w:tr w:rsidR="0088105C" w:rsidRPr="007150C2" w14:paraId="04CCA511" w14:textId="77777777" w:rsidTr="00BA4A3D">
        <w:trPr>
          <w:trHeight w:val="253"/>
        </w:trPr>
        <w:tc>
          <w:tcPr>
            <w:tcW w:w="1526" w:type="dxa"/>
            <w:shd w:val="clear" w:color="auto" w:fill="auto"/>
            <w:noWrap/>
            <w:vAlign w:val="center"/>
            <w:hideMark/>
          </w:tcPr>
          <w:p w14:paraId="7B9A182A" w14:textId="77777777" w:rsidR="0088105C" w:rsidRPr="007150C2" w:rsidRDefault="0088105C" w:rsidP="00BA4A3D">
            <w:pPr>
              <w:spacing w:after="0" w:line="240" w:lineRule="auto"/>
              <w:rPr>
                <w:rFonts w:cstheme="minorHAnsi"/>
              </w:rPr>
            </w:pPr>
            <w:r w:rsidRPr="007150C2">
              <w:rPr>
                <w:rFonts w:cstheme="minorHAnsi"/>
              </w:rPr>
              <w:t>HLTAID012</w:t>
            </w:r>
          </w:p>
        </w:tc>
        <w:tc>
          <w:tcPr>
            <w:tcW w:w="7892" w:type="dxa"/>
            <w:shd w:val="clear" w:color="auto" w:fill="auto"/>
            <w:noWrap/>
            <w:vAlign w:val="center"/>
            <w:hideMark/>
          </w:tcPr>
          <w:p w14:paraId="619DFBAA" w14:textId="77777777" w:rsidR="0088105C" w:rsidRPr="007150C2" w:rsidRDefault="0088105C" w:rsidP="00BA4A3D">
            <w:pPr>
              <w:spacing w:after="0" w:line="240" w:lineRule="auto"/>
              <w:rPr>
                <w:rFonts w:cstheme="minorHAnsi"/>
              </w:rPr>
            </w:pPr>
            <w:r w:rsidRPr="007150C2">
              <w:rPr>
                <w:rFonts w:cstheme="minorHAnsi"/>
              </w:rPr>
              <w:t>Provide First Aid in an education and care setting</w:t>
            </w:r>
          </w:p>
        </w:tc>
      </w:tr>
      <w:tr w:rsidR="0088105C" w:rsidRPr="007150C2" w14:paraId="716E6DDC" w14:textId="77777777" w:rsidTr="00BA4A3D">
        <w:trPr>
          <w:trHeight w:val="253"/>
        </w:trPr>
        <w:tc>
          <w:tcPr>
            <w:tcW w:w="1526" w:type="dxa"/>
            <w:shd w:val="clear" w:color="auto" w:fill="auto"/>
            <w:noWrap/>
            <w:vAlign w:val="center"/>
            <w:hideMark/>
          </w:tcPr>
          <w:p w14:paraId="39E53DC4" w14:textId="77777777" w:rsidR="0088105C" w:rsidRPr="007150C2" w:rsidRDefault="0088105C" w:rsidP="00BA4A3D">
            <w:pPr>
              <w:spacing w:after="0" w:line="240" w:lineRule="auto"/>
              <w:rPr>
                <w:rFonts w:cstheme="minorHAnsi"/>
              </w:rPr>
            </w:pPr>
            <w:r w:rsidRPr="007150C2">
              <w:rPr>
                <w:rFonts w:cstheme="minorHAnsi"/>
              </w:rPr>
              <w:t>HLTAID013</w:t>
            </w:r>
          </w:p>
        </w:tc>
        <w:tc>
          <w:tcPr>
            <w:tcW w:w="7892" w:type="dxa"/>
            <w:shd w:val="clear" w:color="auto" w:fill="auto"/>
            <w:noWrap/>
            <w:vAlign w:val="center"/>
            <w:hideMark/>
          </w:tcPr>
          <w:p w14:paraId="2A7F51B6" w14:textId="77777777" w:rsidR="0088105C" w:rsidRPr="007150C2" w:rsidRDefault="0088105C" w:rsidP="00BA4A3D">
            <w:pPr>
              <w:spacing w:after="0" w:line="240" w:lineRule="auto"/>
              <w:rPr>
                <w:rFonts w:cstheme="minorHAnsi"/>
              </w:rPr>
            </w:pPr>
            <w:r w:rsidRPr="007150C2">
              <w:rPr>
                <w:rFonts w:cstheme="minorHAnsi"/>
              </w:rPr>
              <w:t>Provide First Aid in remote or isolated site</w:t>
            </w:r>
          </w:p>
        </w:tc>
      </w:tr>
      <w:tr w:rsidR="0088105C" w:rsidRPr="007150C2" w14:paraId="3CB1401C" w14:textId="77777777" w:rsidTr="00BA4A3D">
        <w:trPr>
          <w:trHeight w:val="253"/>
        </w:trPr>
        <w:tc>
          <w:tcPr>
            <w:tcW w:w="1526" w:type="dxa"/>
            <w:shd w:val="clear" w:color="auto" w:fill="auto"/>
            <w:noWrap/>
            <w:vAlign w:val="center"/>
            <w:hideMark/>
          </w:tcPr>
          <w:p w14:paraId="34797A59" w14:textId="77777777" w:rsidR="0088105C" w:rsidRPr="007150C2" w:rsidRDefault="0088105C" w:rsidP="00BA4A3D">
            <w:pPr>
              <w:spacing w:after="0" w:line="240" w:lineRule="auto"/>
              <w:rPr>
                <w:rFonts w:cstheme="minorHAnsi"/>
              </w:rPr>
            </w:pPr>
            <w:r w:rsidRPr="007150C2">
              <w:rPr>
                <w:rFonts w:cstheme="minorHAnsi"/>
              </w:rPr>
              <w:t>HLTAID014</w:t>
            </w:r>
          </w:p>
        </w:tc>
        <w:tc>
          <w:tcPr>
            <w:tcW w:w="7892" w:type="dxa"/>
            <w:shd w:val="clear" w:color="auto" w:fill="auto"/>
            <w:noWrap/>
            <w:vAlign w:val="center"/>
            <w:hideMark/>
          </w:tcPr>
          <w:p w14:paraId="335771B0" w14:textId="77777777" w:rsidR="0088105C" w:rsidRPr="007150C2" w:rsidRDefault="0088105C" w:rsidP="00BA4A3D">
            <w:pPr>
              <w:spacing w:after="0" w:line="240" w:lineRule="auto"/>
              <w:rPr>
                <w:rFonts w:cstheme="minorHAnsi"/>
              </w:rPr>
            </w:pPr>
            <w:r w:rsidRPr="007150C2">
              <w:rPr>
                <w:rFonts w:cstheme="minorHAnsi"/>
              </w:rPr>
              <w:t>Provide Advanced First Aid</w:t>
            </w:r>
          </w:p>
        </w:tc>
      </w:tr>
      <w:tr w:rsidR="0088105C" w:rsidRPr="007150C2" w14:paraId="096C3372" w14:textId="77777777" w:rsidTr="00BA4A3D">
        <w:trPr>
          <w:trHeight w:val="253"/>
        </w:trPr>
        <w:tc>
          <w:tcPr>
            <w:tcW w:w="1526" w:type="dxa"/>
            <w:shd w:val="clear" w:color="auto" w:fill="auto"/>
            <w:noWrap/>
            <w:vAlign w:val="center"/>
            <w:hideMark/>
          </w:tcPr>
          <w:p w14:paraId="76F53D79" w14:textId="77777777" w:rsidR="0088105C" w:rsidRPr="007150C2" w:rsidRDefault="0088105C" w:rsidP="00BA4A3D">
            <w:pPr>
              <w:spacing w:after="0" w:line="240" w:lineRule="auto"/>
              <w:rPr>
                <w:rFonts w:cstheme="minorHAnsi"/>
              </w:rPr>
            </w:pPr>
            <w:r w:rsidRPr="007150C2">
              <w:rPr>
                <w:rFonts w:cstheme="minorHAnsi"/>
              </w:rPr>
              <w:t>HLTAID015</w:t>
            </w:r>
          </w:p>
        </w:tc>
        <w:tc>
          <w:tcPr>
            <w:tcW w:w="7892" w:type="dxa"/>
            <w:shd w:val="clear" w:color="auto" w:fill="auto"/>
            <w:noWrap/>
            <w:vAlign w:val="center"/>
            <w:hideMark/>
          </w:tcPr>
          <w:p w14:paraId="394439DA" w14:textId="77777777" w:rsidR="0088105C" w:rsidRPr="007150C2" w:rsidRDefault="0088105C" w:rsidP="00BA4A3D">
            <w:pPr>
              <w:spacing w:after="0" w:line="240" w:lineRule="auto"/>
              <w:rPr>
                <w:rFonts w:cstheme="minorHAnsi"/>
              </w:rPr>
            </w:pPr>
            <w:r w:rsidRPr="007150C2">
              <w:rPr>
                <w:rFonts w:cstheme="minorHAnsi"/>
              </w:rPr>
              <w:t>Provide advanced resuscitation and oxygen therapy</w:t>
            </w:r>
          </w:p>
        </w:tc>
      </w:tr>
      <w:tr w:rsidR="0088105C" w:rsidRPr="007150C2" w14:paraId="31D0D3EF" w14:textId="77777777" w:rsidTr="00BA4A3D">
        <w:trPr>
          <w:trHeight w:val="253"/>
        </w:trPr>
        <w:tc>
          <w:tcPr>
            <w:tcW w:w="1526" w:type="dxa"/>
            <w:shd w:val="clear" w:color="auto" w:fill="auto"/>
            <w:noWrap/>
            <w:vAlign w:val="center"/>
            <w:hideMark/>
          </w:tcPr>
          <w:p w14:paraId="16FE4853" w14:textId="77777777" w:rsidR="0088105C" w:rsidRPr="007150C2" w:rsidRDefault="0088105C" w:rsidP="00BA4A3D">
            <w:pPr>
              <w:spacing w:after="0" w:line="240" w:lineRule="auto"/>
              <w:rPr>
                <w:rFonts w:cstheme="minorHAnsi"/>
              </w:rPr>
            </w:pPr>
            <w:r w:rsidRPr="007150C2">
              <w:rPr>
                <w:rFonts w:cstheme="minorHAnsi"/>
              </w:rPr>
              <w:t>HLTAID016</w:t>
            </w:r>
          </w:p>
        </w:tc>
        <w:tc>
          <w:tcPr>
            <w:tcW w:w="7892" w:type="dxa"/>
            <w:shd w:val="clear" w:color="auto" w:fill="auto"/>
            <w:noWrap/>
            <w:vAlign w:val="center"/>
            <w:hideMark/>
          </w:tcPr>
          <w:p w14:paraId="34295C90" w14:textId="77777777" w:rsidR="0088105C" w:rsidRPr="007150C2" w:rsidRDefault="0088105C" w:rsidP="00BA4A3D">
            <w:pPr>
              <w:spacing w:after="0" w:line="240" w:lineRule="auto"/>
              <w:rPr>
                <w:rFonts w:cstheme="minorHAnsi"/>
              </w:rPr>
            </w:pPr>
            <w:r w:rsidRPr="007150C2">
              <w:rPr>
                <w:rFonts w:cstheme="minorHAnsi"/>
              </w:rPr>
              <w:t>Manage first aid services and resources</w:t>
            </w:r>
          </w:p>
        </w:tc>
      </w:tr>
      <w:tr w:rsidR="0088105C" w:rsidRPr="007150C2" w14:paraId="0A16F589" w14:textId="77777777" w:rsidTr="00BA4A3D">
        <w:trPr>
          <w:trHeight w:val="253"/>
        </w:trPr>
        <w:tc>
          <w:tcPr>
            <w:tcW w:w="1526" w:type="dxa"/>
            <w:shd w:val="clear" w:color="auto" w:fill="auto"/>
            <w:noWrap/>
            <w:vAlign w:val="center"/>
          </w:tcPr>
          <w:p w14:paraId="335F4693" w14:textId="77777777" w:rsidR="0088105C" w:rsidRPr="007150C2" w:rsidRDefault="0088105C" w:rsidP="00BA4A3D">
            <w:pPr>
              <w:spacing w:after="0" w:line="240" w:lineRule="auto"/>
              <w:rPr>
                <w:rFonts w:cstheme="minorHAnsi"/>
              </w:rPr>
            </w:pPr>
            <w:r w:rsidRPr="007150C2">
              <w:rPr>
                <w:rFonts w:cstheme="minorHAnsi"/>
              </w:rPr>
              <w:t>22556VIC</w:t>
            </w:r>
          </w:p>
        </w:tc>
        <w:tc>
          <w:tcPr>
            <w:tcW w:w="7892" w:type="dxa"/>
            <w:shd w:val="clear" w:color="auto" w:fill="auto"/>
            <w:noWrap/>
            <w:vAlign w:val="center"/>
          </w:tcPr>
          <w:p w14:paraId="69234B91" w14:textId="77777777" w:rsidR="0088105C" w:rsidRPr="007150C2" w:rsidRDefault="0088105C" w:rsidP="00BA4A3D">
            <w:pPr>
              <w:spacing w:after="0" w:line="240" w:lineRule="auto"/>
              <w:rPr>
                <w:rFonts w:cstheme="minorHAnsi"/>
              </w:rPr>
            </w:pPr>
            <w:r w:rsidRPr="007150C2">
              <w:rPr>
                <w:rFonts w:cstheme="minorHAnsi"/>
              </w:rPr>
              <w:t>Course in the Management of Asthma Risks and Emergencies in the Workplace</w:t>
            </w:r>
          </w:p>
        </w:tc>
      </w:tr>
      <w:tr w:rsidR="0088105C" w:rsidRPr="007150C2" w14:paraId="3D00B93C" w14:textId="77777777" w:rsidTr="00BA4A3D">
        <w:trPr>
          <w:trHeight w:val="253"/>
        </w:trPr>
        <w:tc>
          <w:tcPr>
            <w:tcW w:w="1526" w:type="dxa"/>
            <w:shd w:val="clear" w:color="auto" w:fill="auto"/>
            <w:noWrap/>
            <w:vAlign w:val="center"/>
          </w:tcPr>
          <w:p w14:paraId="2DD645EA" w14:textId="77777777" w:rsidR="0088105C" w:rsidRPr="007150C2" w:rsidRDefault="0088105C" w:rsidP="00BA4A3D">
            <w:pPr>
              <w:spacing w:after="0" w:line="240" w:lineRule="auto"/>
              <w:rPr>
                <w:rFonts w:cstheme="minorHAnsi"/>
              </w:rPr>
            </w:pPr>
            <w:r w:rsidRPr="00E93402">
              <w:rPr>
                <w:rFonts w:cstheme="minorHAnsi"/>
              </w:rPr>
              <w:t>22578VIC</w:t>
            </w:r>
          </w:p>
        </w:tc>
        <w:tc>
          <w:tcPr>
            <w:tcW w:w="7892" w:type="dxa"/>
            <w:shd w:val="clear" w:color="auto" w:fill="auto"/>
            <w:noWrap/>
            <w:vAlign w:val="center"/>
          </w:tcPr>
          <w:p w14:paraId="1044DDE1" w14:textId="77777777" w:rsidR="0088105C" w:rsidRPr="007150C2" w:rsidRDefault="0088105C" w:rsidP="00BA4A3D">
            <w:pPr>
              <w:spacing w:after="0" w:line="240" w:lineRule="auto"/>
              <w:rPr>
                <w:rFonts w:cstheme="minorHAnsi"/>
              </w:rPr>
            </w:pPr>
            <w:r w:rsidRPr="007150C2">
              <w:rPr>
                <w:rFonts w:cstheme="minorHAnsi"/>
              </w:rPr>
              <w:t xml:space="preserve">Course in First Aid Management of Anaphylaxis </w:t>
            </w:r>
          </w:p>
        </w:tc>
      </w:tr>
      <w:tr w:rsidR="0088105C" w:rsidRPr="007150C2" w14:paraId="0E49B643" w14:textId="77777777" w:rsidTr="00BA4A3D">
        <w:trPr>
          <w:trHeight w:val="253"/>
        </w:trPr>
        <w:tc>
          <w:tcPr>
            <w:tcW w:w="1526" w:type="dxa"/>
            <w:shd w:val="clear" w:color="auto" w:fill="auto"/>
            <w:noWrap/>
            <w:vAlign w:val="center"/>
            <w:hideMark/>
          </w:tcPr>
          <w:p w14:paraId="5FCF0AFC" w14:textId="77777777" w:rsidR="0088105C" w:rsidRPr="007150C2" w:rsidRDefault="0088105C" w:rsidP="00BA4A3D">
            <w:pPr>
              <w:spacing w:after="0" w:line="240" w:lineRule="auto"/>
              <w:rPr>
                <w:rFonts w:cstheme="minorHAnsi"/>
              </w:rPr>
            </w:pPr>
            <w:r w:rsidRPr="007150C2">
              <w:rPr>
                <w:rFonts w:cstheme="minorHAnsi"/>
              </w:rPr>
              <w:t>HLTINFCOV001</w:t>
            </w:r>
          </w:p>
        </w:tc>
        <w:tc>
          <w:tcPr>
            <w:tcW w:w="7892" w:type="dxa"/>
            <w:shd w:val="clear" w:color="auto" w:fill="auto"/>
            <w:noWrap/>
            <w:vAlign w:val="center"/>
            <w:hideMark/>
          </w:tcPr>
          <w:p w14:paraId="24E55DBC" w14:textId="77777777" w:rsidR="0088105C" w:rsidRPr="007150C2" w:rsidRDefault="0088105C" w:rsidP="00BA4A3D">
            <w:pPr>
              <w:spacing w:after="0" w:line="240" w:lineRule="auto"/>
              <w:rPr>
                <w:rFonts w:cstheme="minorHAnsi"/>
              </w:rPr>
            </w:pPr>
            <w:r w:rsidRPr="007150C2">
              <w:rPr>
                <w:rFonts w:cstheme="minorHAnsi"/>
              </w:rPr>
              <w:t>Comply with infection prevention and control policies and procedures</w:t>
            </w:r>
          </w:p>
        </w:tc>
      </w:tr>
      <w:tr w:rsidR="0088105C" w:rsidRPr="007150C2" w14:paraId="5E529BF7" w14:textId="77777777" w:rsidTr="00BA4A3D">
        <w:trPr>
          <w:trHeight w:val="253"/>
        </w:trPr>
        <w:tc>
          <w:tcPr>
            <w:tcW w:w="1526" w:type="dxa"/>
            <w:shd w:val="clear" w:color="auto" w:fill="auto"/>
            <w:noWrap/>
            <w:vAlign w:val="center"/>
            <w:hideMark/>
          </w:tcPr>
          <w:p w14:paraId="3CE1EE53" w14:textId="77777777" w:rsidR="0088105C" w:rsidRPr="007150C2" w:rsidRDefault="0088105C" w:rsidP="00BA4A3D">
            <w:pPr>
              <w:spacing w:after="0" w:line="240" w:lineRule="auto"/>
              <w:rPr>
                <w:rFonts w:cstheme="minorHAnsi"/>
              </w:rPr>
            </w:pPr>
            <w:r w:rsidRPr="007150C2">
              <w:rPr>
                <w:rFonts w:cstheme="minorHAnsi"/>
              </w:rPr>
              <w:t>HLTINF001</w:t>
            </w:r>
          </w:p>
        </w:tc>
        <w:tc>
          <w:tcPr>
            <w:tcW w:w="7892" w:type="dxa"/>
            <w:shd w:val="clear" w:color="auto" w:fill="auto"/>
            <w:noWrap/>
            <w:vAlign w:val="center"/>
            <w:hideMark/>
          </w:tcPr>
          <w:p w14:paraId="4280B2A8" w14:textId="77777777" w:rsidR="0088105C" w:rsidRPr="007150C2" w:rsidRDefault="0088105C" w:rsidP="00BA4A3D">
            <w:pPr>
              <w:spacing w:after="0" w:line="240" w:lineRule="auto"/>
              <w:rPr>
                <w:rFonts w:cstheme="minorHAnsi"/>
              </w:rPr>
            </w:pPr>
            <w:r w:rsidRPr="007150C2">
              <w:rPr>
                <w:rFonts w:cstheme="minorHAnsi"/>
              </w:rPr>
              <w:t>Comply with infection prevention and control policies and procedures</w:t>
            </w:r>
          </w:p>
        </w:tc>
      </w:tr>
      <w:tr w:rsidR="0088105C" w:rsidRPr="007150C2" w14:paraId="6B9A7F62" w14:textId="77777777" w:rsidTr="00BA4A3D">
        <w:trPr>
          <w:trHeight w:val="253"/>
        </w:trPr>
        <w:tc>
          <w:tcPr>
            <w:tcW w:w="1526" w:type="dxa"/>
            <w:shd w:val="clear" w:color="auto" w:fill="auto"/>
            <w:noWrap/>
            <w:vAlign w:val="center"/>
            <w:hideMark/>
          </w:tcPr>
          <w:p w14:paraId="223630C5" w14:textId="77777777" w:rsidR="0088105C" w:rsidRPr="007150C2" w:rsidRDefault="0088105C" w:rsidP="00BA4A3D">
            <w:pPr>
              <w:spacing w:after="0" w:line="240" w:lineRule="auto"/>
              <w:rPr>
                <w:rFonts w:cstheme="minorHAnsi"/>
              </w:rPr>
            </w:pPr>
            <w:r w:rsidRPr="007150C2">
              <w:rPr>
                <w:rFonts w:cstheme="minorHAnsi"/>
              </w:rPr>
              <w:t>BSBWHS332X</w:t>
            </w:r>
          </w:p>
        </w:tc>
        <w:tc>
          <w:tcPr>
            <w:tcW w:w="7892" w:type="dxa"/>
            <w:shd w:val="clear" w:color="auto" w:fill="auto"/>
            <w:noWrap/>
            <w:vAlign w:val="center"/>
            <w:hideMark/>
          </w:tcPr>
          <w:p w14:paraId="13F9A779" w14:textId="77777777" w:rsidR="0088105C" w:rsidRPr="007150C2" w:rsidRDefault="0088105C" w:rsidP="00BA4A3D">
            <w:pPr>
              <w:spacing w:after="0" w:line="240" w:lineRule="auto"/>
              <w:rPr>
                <w:rFonts w:cstheme="minorHAnsi"/>
              </w:rPr>
            </w:pPr>
            <w:r w:rsidRPr="007150C2">
              <w:rPr>
                <w:rFonts w:cstheme="minorHAnsi"/>
              </w:rPr>
              <w:t>Apply infection prevention and control procedures to own work activities</w:t>
            </w:r>
          </w:p>
        </w:tc>
      </w:tr>
      <w:tr w:rsidR="0088105C" w:rsidRPr="007150C2" w14:paraId="05D912EF" w14:textId="77777777" w:rsidTr="00BA4A3D">
        <w:trPr>
          <w:trHeight w:val="253"/>
        </w:trPr>
        <w:tc>
          <w:tcPr>
            <w:tcW w:w="1526" w:type="dxa"/>
            <w:shd w:val="clear" w:color="auto" w:fill="auto"/>
            <w:noWrap/>
            <w:vAlign w:val="center"/>
            <w:hideMark/>
          </w:tcPr>
          <w:p w14:paraId="2115B5CF" w14:textId="77777777" w:rsidR="0088105C" w:rsidRPr="007150C2" w:rsidRDefault="0088105C" w:rsidP="00BA4A3D">
            <w:pPr>
              <w:spacing w:after="0" w:line="240" w:lineRule="auto"/>
              <w:rPr>
                <w:rFonts w:cstheme="minorHAnsi"/>
              </w:rPr>
            </w:pPr>
            <w:r w:rsidRPr="007150C2">
              <w:rPr>
                <w:rFonts w:cstheme="minorHAnsi"/>
              </w:rPr>
              <w:t>SITHFAB002</w:t>
            </w:r>
          </w:p>
        </w:tc>
        <w:tc>
          <w:tcPr>
            <w:tcW w:w="7892" w:type="dxa"/>
            <w:shd w:val="clear" w:color="auto" w:fill="auto"/>
            <w:noWrap/>
            <w:vAlign w:val="center"/>
            <w:hideMark/>
          </w:tcPr>
          <w:p w14:paraId="58EC8C8E" w14:textId="77777777" w:rsidR="0088105C" w:rsidRPr="007150C2" w:rsidRDefault="0088105C" w:rsidP="00BA4A3D">
            <w:pPr>
              <w:spacing w:after="0" w:line="240" w:lineRule="auto"/>
              <w:rPr>
                <w:rFonts w:cstheme="minorHAnsi"/>
              </w:rPr>
            </w:pPr>
            <w:r w:rsidRPr="007150C2">
              <w:rPr>
                <w:rFonts w:cstheme="minorHAnsi"/>
              </w:rPr>
              <w:t>Provide responsible service of alcohol</w:t>
            </w:r>
          </w:p>
        </w:tc>
      </w:tr>
      <w:tr w:rsidR="0088105C" w:rsidRPr="007150C2" w14:paraId="28CC40ED" w14:textId="77777777" w:rsidTr="00BA4A3D">
        <w:trPr>
          <w:trHeight w:val="253"/>
        </w:trPr>
        <w:tc>
          <w:tcPr>
            <w:tcW w:w="1526" w:type="dxa"/>
            <w:shd w:val="clear" w:color="auto" w:fill="auto"/>
            <w:noWrap/>
            <w:vAlign w:val="center"/>
            <w:hideMark/>
          </w:tcPr>
          <w:p w14:paraId="73B80B26" w14:textId="77777777" w:rsidR="0088105C" w:rsidRPr="007150C2" w:rsidRDefault="0088105C" w:rsidP="00BA4A3D">
            <w:pPr>
              <w:spacing w:after="0" w:line="240" w:lineRule="auto"/>
              <w:rPr>
                <w:rFonts w:cstheme="minorHAnsi"/>
              </w:rPr>
            </w:pPr>
            <w:r w:rsidRPr="007150C2">
              <w:rPr>
                <w:rFonts w:cstheme="minorHAnsi"/>
              </w:rPr>
              <w:t>SITHGAM001</w:t>
            </w:r>
          </w:p>
        </w:tc>
        <w:tc>
          <w:tcPr>
            <w:tcW w:w="7892" w:type="dxa"/>
            <w:shd w:val="clear" w:color="auto" w:fill="auto"/>
            <w:noWrap/>
            <w:vAlign w:val="center"/>
            <w:hideMark/>
          </w:tcPr>
          <w:p w14:paraId="7690B713" w14:textId="77777777" w:rsidR="0088105C" w:rsidRPr="007150C2" w:rsidRDefault="0088105C" w:rsidP="00BA4A3D">
            <w:pPr>
              <w:spacing w:after="0" w:line="240" w:lineRule="auto"/>
              <w:rPr>
                <w:rFonts w:cstheme="minorHAnsi"/>
              </w:rPr>
            </w:pPr>
            <w:r w:rsidRPr="007150C2">
              <w:rPr>
                <w:rFonts w:cstheme="minorHAnsi"/>
              </w:rPr>
              <w:t>Provide responsible gambling services</w:t>
            </w:r>
          </w:p>
        </w:tc>
      </w:tr>
      <w:tr w:rsidR="0088105C" w:rsidRPr="007150C2" w14:paraId="7C172E1B" w14:textId="77777777" w:rsidTr="00BA4A3D">
        <w:trPr>
          <w:trHeight w:val="253"/>
        </w:trPr>
        <w:tc>
          <w:tcPr>
            <w:tcW w:w="1526" w:type="dxa"/>
            <w:shd w:val="clear" w:color="auto" w:fill="auto"/>
            <w:noWrap/>
            <w:vAlign w:val="center"/>
            <w:hideMark/>
          </w:tcPr>
          <w:p w14:paraId="3EE382AA" w14:textId="77777777" w:rsidR="0088105C" w:rsidRPr="007150C2" w:rsidRDefault="0088105C" w:rsidP="00BA4A3D">
            <w:pPr>
              <w:spacing w:after="0" w:line="240" w:lineRule="auto"/>
              <w:rPr>
                <w:rFonts w:cstheme="minorHAnsi"/>
              </w:rPr>
            </w:pPr>
            <w:r w:rsidRPr="007150C2">
              <w:rPr>
                <w:rFonts w:cstheme="minorHAnsi"/>
              </w:rPr>
              <w:t>SITXFSA001</w:t>
            </w:r>
          </w:p>
        </w:tc>
        <w:tc>
          <w:tcPr>
            <w:tcW w:w="7892" w:type="dxa"/>
            <w:shd w:val="clear" w:color="auto" w:fill="auto"/>
            <w:noWrap/>
            <w:vAlign w:val="center"/>
            <w:hideMark/>
          </w:tcPr>
          <w:p w14:paraId="391880EF" w14:textId="77777777" w:rsidR="0088105C" w:rsidRPr="007150C2" w:rsidRDefault="0088105C" w:rsidP="00BA4A3D">
            <w:pPr>
              <w:spacing w:after="0" w:line="240" w:lineRule="auto"/>
              <w:rPr>
                <w:rFonts w:cstheme="minorHAnsi"/>
              </w:rPr>
            </w:pPr>
            <w:r w:rsidRPr="007150C2">
              <w:rPr>
                <w:rFonts w:cstheme="minorHAnsi"/>
              </w:rPr>
              <w:t>Use hygienic practices for food safety</w:t>
            </w:r>
          </w:p>
        </w:tc>
      </w:tr>
      <w:tr w:rsidR="0088105C" w:rsidRPr="007150C2" w14:paraId="15CA4A40" w14:textId="77777777" w:rsidTr="00BA4A3D">
        <w:trPr>
          <w:trHeight w:val="253"/>
        </w:trPr>
        <w:tc>
          <w:tcPr>
            <w:tcW w:w="1526" w:type="dxa"/>
            <w:shd w:val="clear" w:color="auto" w:fill="auto"/>
            <w:noWrap/>
            <w:vAlign w:val="center"/>
            <w:hideMark/>
          </w:tcPr>
          <w:p w14:paraId="2050C77C" w14:textId="77777777" w:rsidR="0088105C" w:rsidRPr="007150C2" w:rsidRDefault="0088105C" w:rsidP="00BA4A3D">
            <w:pPr>
              <w:spacing w:after="0" w:line="240" w:lineRule="auto"/>
              <w:rPr>
                <w:rFonts w:cstheme="minorHAnsi"/>
              </w:rPr>
            </w:pPr>
            <w:r w:rsidRPr="007150C2">
              <w:rPr>
                <w:rFonts w:cstheme="minorHAnsi"/>
              </w:rPr>
              <w:t>SITXFSA002</w:t>
            </w:r>
          </w:p>
        </w:tc>
        <w:tc>
          <w:tcPr>
            <w:tcW w:w="7892" w:type="dxa"/>
            <w:shd w:val="clear" w:color="auto" w:fill="auto"/>
            <w:noWrap/>
            <w:vAlign w:val="center"/>
            <w:hideMark/>
          </w:tcPr>
          <w:p w14:paraId="56019552" w14:textId="77777777" w:rsidR="0088105C" w:rsidRPr="007150C2" w:rsidRDefault="0088105C" w:rsidP="00BA4A3D">
            <w:pPr>
              <w:spacing w:after="0" w:line="240" w:lineRule="auto"/>
              <w:rPr>
                <w:rFonts w:cstheme="minorHAnsi"/>
              </w:rPr>
            </w:pPr>
            <w:r w:rsidRPr="007150C2">
              <w:rPr>
                <w:rFonts w:cstheme="minorHAnsi"/>
              </w:rPr>
              <w:t>Participate in safe food handling practices</w:t>
            </w:r>
          </w:p>
        </w:tc>
      </w:tr>
      <w:tr w:rsidR="0088105C" w:rsidRPr="007150C2" w14:paraId="5CCCD9F3" w14:textId="77777777" w:rsidTr="00BA4A3D">
        <w:trPr>
          <w:trHeight w:val="253"/>
        </w:trPr>
        <w:tc>
          <w:tcPr>
            <w:tcW w:w="1526" w:type="dxa"/>
            <w:shd w:val="clear" w:color="auto" w:fill="auto"/>
            <w:noWrap/>
            <w:vAlign w:val="center"/>
            <w:hideMark/>
          </w:tcPr>
          <w:p w14:paraId="0C8F3C77" w14:textId="77777777" w:rsidR="0088105C" w:rsidRPr="007150C2" w:rsidRDefault="0088105C" w:rsidP="00BA4A3D">
            <w:pPr>
              <w:spacing w:after="0" w:line="240" w:lineRule="auto"/>
              <w:rPr>
                <w:rFonts w:cstheme="minorHAnsi"/>
              </w:rPr>
            </w:pPr>
            <w:r w:rsidRPr="007150C2">
              <w:rPr>
                <w:rFonts w:cstheme="minorHAnsi"/>
              </w:rPr>
              <w:t>CPCCWHS1001</w:t>
            </w:r>
          </w:p>
        </w:tc>
        <w:tc>
          <w:tcPr>
            <w:tcW w:w="7892" w:type="dxa"/>
            <w:shd w:val="clear" w:color="auto" w:fill="auto"/>
            <w:noWrap/>
            <w:vAlign w:val="center"/>
            <w:hideMark/>
          </w:tcPr>
          <w:p w14:paraId="6E0F5215" w14:textId="77777777" w:rsidR="0088105C" w:rsidRPr="007150C2" w:rsidRDefault="0088105C" w:rsidP="00BA4A3D">
            <w:pPr>
              <w:spacing w:after="0" w:line="240" w:lineRule="auto"/>
              <w:rPr>
                <w:rFonts w:cstheme="minorHAnsi"/>
              </w:rPr>
            </w:pPr>
            <w:r w:rsidRPr="007150C2">
              <w:rPr>
                <w:rFonts w:cstheme="minorHAnsi"/>
              </w:rPr>
              <w:t>Prepare to work safely in the construction industry</w:t>
            </w:r>
          </w:p>
        </w:tc>
      </w:tr>
      <w:tr w:rsidR="0088105C" w:rsidRPr="007150C2" w14:paraId="15564172" w14:textId="77777777" w:rsidTr="00BA4A3D">
        <w:trPr>
          <w:trHeight w:val="253"/>
        </w:trPr>
        <w:tc>
          <w:tcPr>
            <w:tcW w:w="1526" w:type="dxa"/>
            <w:shd w:val="clear" w:color="auto" w:fill="auto"/>
            <w:noWrap/>
            <w:vAlign w:val="center"/>
            <w:hideMark/>
          </w:tcPr>
          <w:p w14:paraId="39D235E4" w14:textId="77777777" w:rsidR="0088105C" w:rsidRPr="0088105C" w:rsidRDefault="0088105C" w:rsidP="00BA4A3D">
            <w:pPr>
              <w:spacing w:after="0" w:line="240" w:lineRule="auto"/>
              <w:rPr>
                <w:rFonts w:cstheme="minorHAnsi"/>
              </w:rPr>
            </w:pPr>
            <w:r w:rsidRPr="0088105C">
              <w:rPr>
                <w:rFonts w:cstheme="minorHAnsi"/>
              </w:rPr>
              <w:lastRenderedPageBreak/>
              <w:t>SITHFAB005</w:t>
            </w:r>
          </w:p>
        </w:tc>
        <w:tc>
          <w:tcPr>
            <w:tcW w:w="7892" w:type="dxa"/>
            <w:shd w:val="clear" w:color="auto" w:fill="auto"/>
            <w:noWrap/>
            <w:vAlign w:val="center"/>
            <w:hideMark/>
          </w:tcPr>
          <w:p w14:paraId="506A33E9" w14:textId="77777777" w:rsidR="0088105C" w:rsidRPr="0088105C" w:rsidRDefault="0088105C" w:rsidP="00BA4A3D">
            <w:pPr>
              <w:spacing w:after="0" w:line="240" w:lineRule="auto"/>
              <w:rPr>
                <w:rFonts w:cstheme="minorHAnsi"/>
              </w:rPr>
            </w:pPr>
            <w:r w:rsidRPr="0088105C">
              <w:rPr>
                <w:rFonts w:cstheme="minorHAnsi"/>
              </w:rPr>
              <w:t>Prepare and serve espresso coffee</w:t>
            </w:r>
          </w:p>
        </w:tc>
      </w:tr>
      <w:tr w:rsidR="0088105C" w:rsidRPr="007150C2" w14:paraId="791799D9" w14:textId="77777777" w:rsidTr="00BA4A3D">
        <w:trPr>
          <w:trHeight w:val="253"/>
        </w:trPr>
        <w:tc>
          <w:tcPr>
            <w:tcW w:w="1526" w:type="dxa"/>
            <w:shd w:val="clear" w:color="auto" w:fill="auto"/>
            <w:noWrap/>
            <w:vAlign w:val="center"/>
          </w:tcPr>
          <w:p w14:paraId="2919770D" w14:textId="77777777" w:rsidR="0088105C" w:rsidRPr="0088105C" w:rsidRDefault="0088105C" w:rsidP="00BA4A3D">
            <w:pPr>
              <w:spacing w:after="0" w:line="240" w:lineRule="auto"/>
              <w:rPr>
                <w:rFonts w:cstheme="minorHAnsi"/>
              </w:rPr>
            </w:pPr>
            <w:r w:rsidRPr="0088105C">
              <w:rPr>
                <w:rFonts w:cstheme="minorHAnsi"/>
              </w:rPr>
              <w:t>HLTWHS005</w:t>
            </w:r>
          </w:p>
        </w:tc>
        <w:tc>
          <w:tcPr>
            <w:tcW w:w="7892" w:type="dxa"/>
            <w:shd w:val="clear" w:color="auto" w:fill="auto"/>
            <w:noWrap/>
            <w:vAlign w:val="center"/>
          </w:tcPr>
          <w:p w14:paraId="50F8EFE2" w14:textId="77777777" w:rsidR="0088105C" w:rsidRPr="0088105C" w:rsidRDefault="0088105C" w:rsidP="00BA4A3D">
            <w:pPr>
              <w:spacing w:after="0" w:line="240" w:lineRule="auto"/>
              <w:rPr>
                <w:rFonts w:cstheme="minorHAnsi"/>
              </w:rPr>
            </w:pPr>
            <w:r w:rsidRPr="0088105C">
              <w:rPr>
                <w:rFonts w:cstheme="minorHAnsi"/>
              </w:rPr>
              <w:t>Conduct manual tasks safely</w:t>
            </w:r>
          </w:p>
        </w:tc>
      </w:tr>
      <w:tr w:rsidR="0088105C" w:rsidRPr="007150C2" w14:paraId="79277286" w14:textId="77777777" w:rsidTr="00BA4A3D">
        <w:trPr>
          <w:trHeight w:val="253"/>
        </w:trPr>
        <w:tc>
          <w:tcPr>
            <w:tcW w:w="1526" w:type="dxa"/>
            <w:shd w:val="clear" w:color="auto" w:fill="auto"/>
            <w:noWrap/>
            <w:vAlign w:val="center"/>
          </w:tcPr>
          <w:p w14:paraId="1976177D" w14:textId="77777777" w:rsidR="0088105C" w:rsidRPr="0088105C" w:rsidRDefault="0088105C" w:rsidP="00BA4A3D">
            <w:pPr>
              <w:spacing w:after="0" w:line="240" w:lineRule="auto"/>
              <w:rPr>
                <w:rFonts w:cstheme="minorHAnsi"/>
              </w:rPr>
            </w:pPr>
            <w:r w:rsidRPr="0088105C">
              <w:rPr>
                <w:rFonts w:cstheme="minorHAnsi"/>
              </w:rPr>
              <w:t>TLILIC0003</w:t>
            </w:r>
          </w:p>
        </w:tc>
        <w:tc>
          <w:tcPr>
            <w:tcW w:w="7892" w:type="dxa"/>
            <w:shd w:val="clear" w:color="auto" w:fill="auto"/>
            <w:noWrap/>
            <w:vAlign w:val="center"/>
          </w:tcPr>
          <w:p w14:paraId="626FE169" w14:textId="77777777" w:rsidR="0088105C" w:rsidRPr="0088105C" w:rsidRDefault="0088105C" w:rsidP="00BA4A3D">
            <w:pPr>
              <w:spacing w:after="0" w:line="240" w:lineRule="auto"/>
              <w:rPr>
                <w:rFonts w:cstheme="minorHAnsi"/>
              </w:rPr>
            </w:pPr>
            <w:r w:rsidRPr="0088105C">
              <w:rPr>
                <w:rFonts w:cstheme="minorHAnsi"/>
              </w:rPr>
              <w:t>Licence to operate a forklift</w:t>
            </w:r>
          </w:p>
        </w:tc>
      </w:tr>
      <w:tr w:rsidR="0088105C" w:rsidRPr="007150C2" w14:paraId="0EFD7FD6" w14:textId="77777777" w:rsidTr="00BA4A3D">
        <w:trPr>
          <w:trHeight w:val="253"/>
        </w:trPr>
        <w:tc>
          <w:tcPr>
            <w:tcW w:w="1526" w:type="dxa"/>
            <w:shd w:val="clear" w:color="auto" w:fill="auto"/>
            <w:noWrap/>
            <w:vAlign w:val="center"/>
          </w:tcPr>
          <w:p w14:paraId="796188C5" w14:textId="77777777" w:rsidR="0088105C" w:rsidRPr="0088105C" w:rsidRDefault="0088105C" w:rsidP="00BA4A3D">
            <w:pPr>
              <w:spacing w:after="0" w:line="240" w:lineRule="auto"/>
              <w:rPr>
                <w:rFonts w:cstheme="minorHAnsi"/>
              </w:rPr>
            </w:pPr>
            <w:r w:rsidRPr="0088105C">
              <w:rPr>
                <w:rFonts w:cstheme="minorHAnsi"/>
              </w:rPr>
              <w:t>AHCCHM307</w:t>
            </w:r>
          </w:p>
        </w:tc>
        <w:tc>
          <w:tcPr>
            <w:tcW w:w="7892" w:type="dxa"/>
            <w:shd w:val="clear" w:color="auto" w:fill="auto"/>
            <w:noWrap/>
            <w:vAlign w:val="center"/>
          </w:tcPr>
          <w:p w14:paraId="2DC8E4C7" w14:textId="77777777" w:rsidR="0088105C" w:rsidRPr="0088105C" w:rsidRDefault="0088105C" w:rsidP="00BA4A3D">
            <w:pPr>
              <w:spacing w:after="0" w:line="240" w:lineRule="auto"/>
              <w:rPr>
                <w:rFonts w:cstheme="minorHAnsi"/>
              </w:rPr>
            </w:pPr>
            <w:r w:rsidRPr="0088105C">
              <w:rPr>
                <w:rFonts w:cstheme="minorHAnsi"/>
              </w:rPr>
              <w:t>Prepare and apply chemicals to control pest, weeds and diseases</w:t>
            </w:r>
          </w:p>
        </w:tc>
      </w:tr>
      <w:tr w:rsidR="0088105C" w:rsidRPr="007150C2" w14:paraId="54100B74" w14:textId="77777777" w:rsidTr="00BA4A3D">
        <w:trPr>
          <w:trHeight w:val="253"/>
        </w:trPr>
        <w:tc>
          <w:tcPr>
            <w:tcW w:w="1526" w:type="dxa"/>
            <w:shd w:val="clear" w:color="auto" w:fill="auto"/>
            <w:noWrap/>
            <w:vAlign w:val="center"/>
          </w:tcPr>
          <w:p w14:paraId="2E1DEA8B" w14:textId="77777777" w:rsidR="0088105C" w:rsidRPr="0088105C" w:rsidRDefault="0088105C" w:rsidP="00BA4A3D">
            <w:pPr>
              <w:spacing w:after="0" w:line="240" w:lineRule="auto"/>
              <w:rPr>
                <w:rFonts w:cstheme="minorHAnsi"/>
              </w:rPr>
            </w:pPr>
            <w:r w:rsidRPr="0088105C">
              <w:rPr>
                <w:rFonts w:cstheme="minorHAnsi"/>
              </w:rPr>
              <w:t>AHCCHM304</w:t>
            </w:r>
          </w:p>
        </w:tc>
        <w:tc>
          <w:tcPr>
            <w:tcW w:w="7892" w:type="dxa"/>
            <w:shd w:val="clear" w:color="auto" w:fill="auto"/>
            <w:noWrap/>
            <w:vAlign w:val="center"/>
          </w:tcPr>
          <w:p w14:paraId="4CBB9A02" w14:textId="77777777" w:rsidR="0088105C" w:rsidRPr="0088105C" w:rsidRDefault="0088105C" w:rsidP="00BA4A3D">
            <w:pPr>
              <w:spacing w:after="0" w:line="240" w:lineRule="auto"/>
              <w:rPr>
                <w:rFonts w:cstheme="minorHAnsi"/>
              </w:rPr>
            </w:pPr>
            <w:r w:rsidRPr="0088105C">
              <w:rPr>
                <w:rFonts w:cstheme="minorHAnsi"/>
              </w:rPr>
              <w:t>Transport and store chemicals</w:t>
            </w:r>
          </w:p>
        </w:tc>
      </w:tr>
    </w:tbl>
    <w:p w14:paraId="10715902" w14:textId="305E9A45" w:rsidR="00597CF4" w:rsidRDefault="00597CF4" w:rsidP="002C6C83">
      <w:pPr>
        <w:pStyle w:val="subsection"/>
        <w:spacing w:before="0" w:beforeAutospacing="0"/>
        <w:rPr>
          <w:rFonts w:asciiTheme="minorHAnsi" w:eastAsiaTheme="minorHAnsi" w:hAnsiTheme="minorHAnsi" w:cstheme="minorHAnsi"/>
          <w:b/>
          <w:bCs/>
          <w:sz w:val="22"/>
          <w:szCs w:val="22"/>
          <w:lang w:eastAsia="en-US"/>
        </w:rPr>
      </w:pPr>
    </w:p>
    <w:bookmarkEnd w:id="2"/>
    <w:p w14:paraId="23324588" w14:textId="574F5B2B" w:rsidR="007C3230" w:rsidRDefault="007C3230" w:rsidP="002C6C83">
      <w:pPr>
        <w:pStyle w:val="Heading2"/>
        <w:spacing w:before="0" w:after="240"/>
      </w:pPr>
      <w:r>
        <w:t>Higher education courses</w:t>
      </w:r>
    </w:p>
    <w:p w14:paraId="2E4DADDD" w14:textId="77777777" w:rsidR="002C6C83" w:rsidRDefault="002C6C83" w:rsidP="002C6C83">
      <w:pPr>
        <w:spacing w:before="120" w:after="120"/>
        <w:rPr>
          <w:rFonts w:cstheme="minorHAnsi"/>
          <w:iCs/>
          <w:szCs w:val="24"/>
        </w:rPr>
      </w:pPr>
      <w:r>
        <w:rPr>
          <w:rFonts w:cstheme="minorHAnsi"/>
          <w:iCs/>
          <w:szCs w:val="24"/>
        </w:rPr>
        <w:t>The instrument also exempts some courses delivered by higher education providers which do not lead to a qualification recognised under the Australian Qualifications Framework (AQF),</w:t>
      </w:r>
      <w:r w:rsidRPr="007361F2">
        <w:rPr>
          <w:rFonts w:cstheme="minorHAnsi"/>
          <w:iCs/>
          <w:szCs w:val="24"/>
        </w:rPr>
        <w:t xml:space="preserve"> </w:t>
      </w:r>
      <w:r>
        <w:rPr>
          <w:rFonts w:cstheme="minorHAnsi"/>
          <w:iCs/>
          <w:szCs w:val="24"/>
        </w:rPr>
        <w:t>including hobby or recreational courses.</w:t>
      </w:r>
    </w:p>
    <w:p w14:paraId="4D82B518" w14:textId="365EC520" w:rsidR="002C6C83" w:rsidRDefault="002C6C83" w:rsidP="002C6C83">
      <w:pPr>
        <w:spacing w:before="120" w:after="120"/>
        <w:rPr>
          <w:rFonts w:cstheme="minorHAnsi"/>
          <w:iCs/>
          <w:szCs w:val="24"/>
        </w:rPr>
      </w:pPr>
      <w:r>
        <w:rPr>
          <w:rFonts w:cstheme="minorHAnsi"/>
          <w:iCs/>
          <w:szCs w:val="24"/>
        </w:rPr>
        <w:t xml:space="preserve">It enables higher education providers to deliver short recreational courses </w:t>
      </w:r>
      <w:r w:rsidR="005E0F00">
        <w:rPr>
          <w:rFonts w:cstheme="minorHAnsi"/>
          <w:iCs/>
          <w:szCs w:val="24"/>
        </w:rPr>
        <w:t xml:space="preserve">(non-AQF courses) </w:t>
      </w:r>
      <w:r>
        <w:rPr>
          <w:rFonts w:cstheme="minorHAnsi"/>
          <w:iCs/>
          <w:szCs w:val="24"/>
        </w:rPr>
        <w:t>in subjects such as creative arts, languages</w:t>
      </w:r>
      <w:r w:rsidR="005E0F00">
        <w:rPr>
          <w:rFonts w:cstheme="minorHAnsi"/>
          <w:iCs/>
          <w:szCs w:val="24"/>
        </w:rPr>
        <w:t xml:space="preserve"> other than English</w:t>
      </w:r>
      <w:r>
        <w:rPr>
          <w:rFonts w:cstheme="minorHAnsi"/>
          <w:iCs/>
          <w:szCs w:val="24"/>
        </w:rPr>
        <w:t xml:space="preserve">, or music that are not part </w:t>
      </w:r>
      <w:r w:rsidR="005E0F00">
        <w:rPr>
          <w:rFonts w:cstheme="minorHAnsi"/>
          <w:iCs/>
          <w:szCs w:val="24"/>
        </w:rPr>
        <w:t>of, or</w:t>
      </w:r>
      <w:r>
        <w:rPr>
          <w:rFonts w:cstheme="minorHAnsi"/>
          <w:iCs/>
          <w:szCs w:val="24"/>
        </w:rPr>
        <w:t xml:space="preserve"> do not lead to</w:t>
      </w:r>
      <w:r w:rsidR="005E0F00">
        <w:rPr>
          <w:rFonts w:cstheme="minorHAnsi"/>
          <w:iCs/>
          <w:szCs w:val="24"/>
        </w:rPr>
        <w:t>,</w:t>
      </w:r>
      <w:r>
        <w:rPr>
          <w:rFonts w:cstheme="minorHAnsi"/>
          <w:iCs/>
          <w:szCs w:val="24"/>
        </w:rPr>
        <w:t xml:space="preserve"> an AQF qualification</w:t>
      </w:r>
      <w:r w:rsidR="005E0F00">
        <w:rPr>
          <w:rFonts w:cstheme="minorHAnsi"/>
          <w:iCs/>
          <w:szCs w:val="24"/>
        </w:rPr>
        <w:t>.</w:t>
      </w:r>
      <w:r>
        <w:rPr>
          <w:rFonts w:cstheme="minorHAnsi"/>
          <w:iCs/>
          <w:szCs w:val="24"/>
        </w:rPr>
        <w:t xml:space="preserve"> </w:t>
      </w:r>
    </w:p>
    <w:p w14:paraId="5A205DB2" w14:textId="3236746C" w:rsidR="00873A38" w:rsidRPr="00873A38" w:rsidRDefault="00873A38" w:rsidP="00873A38">
      <w:pPr>
        <w:pStyle w:val="subsection"/>
        <w:spacing w:before="0" w:beforeAutospacing="0" w:after="240" w:afterAutospacing="0"/>
        <w:rPr>
          <w:rFonts w:asciiTheme="minorHAnsi" w:hAnsiTheme="minorHAnsi" w:cstheme="minorHAnsi"/>
          <w:sz w:val="22"/>
          <w:szCs w:val="22"/>
        </w:rPr>
      </w:pPr>
      <w:r>
        <w:rPr>
          <w:rFonts w:asciiTheme="minorHAnsi" w:hAnsiTheme="minorHAnsi" w:cstheme="minorHAnsi"/>
          <w:sz w:val="22"/>
          <w:szCs w:val="22"/>
        </w:rPr>
        <w:t xml:space="preserve">Providers </w:t>
      </w:r>
      <w:r>
        <w:rPr>
          <w:rFonts w:asciiTheme="minorHAnsi" w:hAnsiTheme="minorHAnsi" w:cstheme="minorHAnsi"/>
          <w:sz w:val="22"/>
          <w:szCs w:val="22"/>
          <w:u w:val="single"/>
        </w:rPr>
        <w:t>must not</w:t>
      </w:r>
      <w:r>
        <w:rPr>
          <w:rFonts w:asciiTheme="minorHAnsi" w:hAnsiTheme="minorHAnsi" w:cstheme="minorHAnsi"/>
          <w:sz w:val="22"/>
          <w:szCs w:val="22"/>
        </w:rPr>
        <w:t xml:space="preserve"> deliver these courses with the intention to </w:t>
      </w:r>
      <w:r w:rsidRPr="00C97F7C">
        <w:rPr>
          <w:rFonts w:asciiTheme="minorHAnsi" w:hAnsiTheme="minorHAnsi" w:cstheme="minorHAnsi"/>
          <w:sz w:val="22"/>
          <w:szCs w:val="22"/>
        </w:rPr>
        <w:t xml:space="preserve">grant credit (whether as prior learning or otherwise) towards another course that leads to a qualification recognised under </w:t>
      </w:r>
      <w:r w:rsidR="005E0F00">
        <w:rPr>
          <w:rFonts w:asciiTheme="minorHAnsi" w:hAnsiTheme="minorHAnsi" w:cstheme="minorHAnsi"/>
          <w:sz w:val="22"/>
          <w:szCs w:val="22"/>
        </w:rPr>
        <w:t>the AQF</w:t>
      </w:r>
      <w:r w:rsidR="00156C34">
        <w:rPr>
          <w:rFonts w:asciiTheme="minorHAnsi" w:hAnsiTheme="minorHAnsi" w:cstheme="minorHAnsi"/>
          <w:sz w:val="22"/>
          <w:szCs w:val="22"/>
        </w:rPr>
        <w:t>,</w:t>
      </w:r>
      <w:r w:rsidR="00134127">
        <w:rPr>
          <w:rFonts w:asciiTheme="minorHAnsi" w:hAnsiTheme="minorHAnsi" w:cstheme="minorHAnsi"/>
          <w:sz w:val="22"/>
          <w:szCs w:val="22"/>
        </w:rPr>
        <w:t xml:space="preserve"> regardless</w:t>
      </w:r>
      <w:r w:rsidR="00384A58">
        <w:rPr>
          <w:rFonts w:asciiTheme="minorHAnsi" w:hAnsiTheme="minorHAnsi" w:cstheme="minorHAnsi"/>
          <w:sz w:val="22"/>
          <w:szCs w:val="22"/>
        </w:rPr>
        <w:t xml:space="preserve"> </w:t>
      </w:r>
      <w:r w:rsidR="0012642C">
        <w:rPr>
          <w:rFonts w:asciiTheme="minorHAnsi" w:hAnsiTheme="minorHAnsi" w:cstheme="minorHAnsi"/>
          <w:sz w:val="22"/>
          <w:szCs w:val="22"/>
        </w:rPr>
        <w:t>if</w:t>
      </w:r>
      <w:r w:rsidR="00134127">
        <w:rPr>
          <w:rFonts w:asciiTheme="minorHAnsi" w:hAnsiTheme="minorHAnsi" w:cstheme="minorHAnsi"/>
          <w:sz w:val="22"/>
          <w:szCs w:val="22"/>
        </w:rPr>
        <w:t xml:space="preserve"> </w:t>
      </w:r>
      <w:r>
        <w:rPr>
          <w:rFonts w:asciiTheme="minorHAnsi" w:hAnsiTheme="minorHAnsi" w:cstheme="minorHAnsi"/>
          <w:sz w:val="22"/>
          <w:szCs w:val="22"/>
        </w:rPr>
        <w:t>it is delivered by the provider or a secondary provider.</w:t>
      </w:r>
    </w:p>
    <w:p w14:paraId="6D10BA53" w14:textId="0277352D" w:rsidR="002C6C83" w:rsidRDefault="002C6C83" w:rsidP="002C6C83">
      <w:pPr>
        <w:spacing w:before="120" w:after="120"/>
        <w:rPr>
          <w:rFonts w:cstheme="minorHAnsi"/>
          <w:iCs/>
          <w:szCs w:val="24"/>
        </w:rPr>
      </w:pPr>
      <w:r>
        <w:rPr>
          <w:rFonts w:cstheme="minorHAnsi"/>
          <w:iCs/>
          <w:szCs w:val="24"/>
        </w:rPr>
        <w:t xml:space="preserve">Registered higher education providers must still register </w:t>
      </w:r>
      <w:r w:rsidR="00134127">
        <w:rPr>
          <w:rFonts w:cstheme="minorHAnsi"/>
          <w:iCs/>
          <w:szCs w:val="24"/>
        </w:rPr>
        <w:t xml:space="preserve">the following </w:t>
      </w:r>
      <w:r>
        <w:rPr>
          <w:rFonts w:cstheme="minorHAnsi"/>
          <w:iCs/>
          <w:szCs w:val="24"/>
        </w:rPr>
        <w:t>non-AQF courses:</w:t>
      </w:r>
    </w:p>
    <w:p w14:paraId="35C901C2" w14:textId="6E1D13E5" w:rsidR="002C6C83" w:rsidRDefault="002C6C83" w:rsidP="002C6C83">
      <w:pPr>
        <w:pStyle w:val="ListParagraph"/>
        <w:numPr>
          <w:ilvl w:val="0"/>
          <w:numId w:val="19"/>
        </w:numPr>
        <w:spacing w:before="120" w:after="120" w:line="276" w:lineRule="auto"/>
        <w:rPr>
          <w:rFonts w:cstheme="minorHAnsi"/>
          <w:iCs/>
          <w:szCs w:val="24"/>
        </w:rPr>
      </w:pPr>
      <w:r>
        <w:rPr>
          <w:rFonts w:cstheme="minorHAnsi"/>
          <w:iCs/>
          <w:szCs w:val="24"/>
        </w:rPr>
        <w:t>English Language Intensive Courses for Overseas Students (ELICOS)</w:t>
      </w:r>
    </w:p>
    <w:p w14:paraId="7B552FD6" w14:textId="6C912F06" w:rsidR="002C6C83" w:rsidRDefault="002C6C83" w:rsidP="002C6C83">
      <w:pPr>
        <w:pStyle w:val="ListParagraph"/>
        <w:numPr>
          <w:ilvl w:val="0"/>
          <w:numId w:val="19"/>
        </w:numPr>
        <w:spacing w:before="120" w:after="120" w:line="276" w:lineRule="auto"/>
        <w:rPr>
          <w:rFonts w:cstheme="minorHAnsi"/>
          <w:iCs/>
          <w:szCs w:val="24"/>
        </w:rPr>
      </w:pPr>
      <w:r>
        <w:rPr>
          <w:rFonts w:cstheme="minorHAnsi"/>
          <w:iCs/>
          <w:szCs w:val="24"/>
        </w:rPr>
        <w:t>Foundation Programs</w:t>
      </w:r>
    </w:p>
    <w:p w14:paraId="0E192612" w14:textId="18C5FCAE" w:rsidR="002C6C83" w:rsidRPr="00042F15" w:rsidRDefault="002C6C83" w:rsidP="002C6C83">
      <w:pPr>
        <w:pStyle w:val="ListParagraph"/>
        <w:numPr>
          <w:ilvl w:val="0"/>
          <w:numId w:val="19"/>
        </w:numPr>
        <w:spacing w:before="120" w:after="120" w:line="276" w:lineRule="auto"/>
        <w:rPr>
          <w:rFonts w:cstheme="minorHAnsi"/>
          <w:iCs/>
          <w:szCs w:val="24"/>
        </w:rPr>
      </w:pPr>
      <w:r w:rsidRPr="00003C5A">
        <w:rPr>
          <w:rFonts w:cstheme="minorHAnsi"/>
          <w:iCs/>
          <w:szCs w:val="24"/>
        </w:rPr>
        <w:t>study abroad</w:t>
      </w:r>
      <w:r>
        <w:rPr>
          <w:rFonts w:cstheme="minorHAnsi"/>
          <w:iCs/>
          <w:szCs w:val="24"/>
        </w:rPr>
        <w:t xml:space="preserve"> or </w:t>
      </w:r>
      <w:r w:rsidRPr="00042F15">
        <w:rPr>
          <w:rFonts w:cstheme="minorHAnsi"/>
          <w:iCs/>
          <w:szCs w:val="24"/>
        </w:rPr>
        <w:t>student exchange</w:t>
      </w:r>
    </w:p>
    <w:p w14:paraId="75D647CB" w14:textId="609DC7E1" w:rsidR="002C6C83" w:rsidRDefault="002C6C83" w:rsidP="002C6C83">
      <w:pPr>
        <w:pStyle w:val="ListParagraph"/>
        <w:numPr>
          <w:ilvl w:val="0"/>
          <w:numId w:val="19"/>
        </w:numPr>
        <w:spacing w:before="120" w:after="120" w:line="276" w:lineRule="auto"/>
        <w:rPr>
          <w:rFonts w:cstheme="minorHAnsi"/>
          <w:iCs/>
          <w:szCs w:val="24"/>
        </w:rPr>
      </w:pPr>
      <w:r w:rsidRPr="00003C5A">
        <w:rPr>
          <w:rFonts w:cstheme="minorHAnsi"/>
          <w:iCs/>
          <w:szCs w:val="24"/>
        </w:rPr>
        <w:t>tertiary coursework and research preparatory courses</w:t>
      </w:r>
      <w:r w:rsidR="0012642C">
        <w:rPr>
          <w:rFonts w:cstheme="minorHAnsi"/>
          <w:iCs/>
          <w:szCs w:val="24"/>
        </w:rPr>
        <w:t>,</w:t>
      </w:r>
      <w:r w:rsidRPr="00003C5A">
        <w:rPr>
          <w:rFonts w:cstheme="minorHAnsi"/>
          <w:iCs/>
          <w:szCs w:val="24"/>
        </w:rPr>
        <w:t xml:space="preserve"> and </w:t>
      </w:r>
    </w:p>
    <w:p w14:paraId="6158A80E" w14:textId="29EAF654" w:rsidR="00C97F7C" w:rsidRPr="002C6C83" w:rsidRDefault="002C6C83" w:rsidP="002C6C83">
      <w:pPr>
        <w:pStyle w:val="ListParagraph"/>
        <w:numPr>
          <w:ilvl w:val="0"/>
          <w:numId w:val="19"/>
        </w:numPr>
        <w:spacing w:before="120" w:after="120" w:line="276" w:lineRule="auto"/>
        <w:rPr>
          <w:rFonts w:cstheme="minorHAnsi"/>
          <w:iCs/>
          <w:szCs w:val="24"/>
        </w:rPr>
      </w:pPr>
      <w:r w:rsidRPr="00003C5A">
        <w:rPr>
          <w:rFonts w:cstheme="minorHAnsi"/>
          <w:iCs/>
          <w:szCs w:val="24"/>
        </w:rPr>
        <w:t>professional outcomes and placement courses</w:t>
      </w:r>
      <w:r>
        <w:rPr>
          <w:rFonts w:cstheme="minorHAnsi"/>
          <w:iCs/>
          <w:szCs w:val="24"/>
        </w:rPr>
        <w:t>.</w:t>
      </w:r>
    </w:p>
    <w:p w14:paraId="1E08AAEB" w14:textId="0439F7AC" w:rsidR="00134127" w:rsidRPr="00CD3F86" w:rsidRDefault="00134127" w:rsidP="002C6C83">
      <w:pPr>
        <w:pStyle w:val="Definition"/>
        <w:ind w:left="0"/>
        <w:rPr>
          <w:rFonts w:asciiTheme="minorHAnsi" w:eastAsiaTheme="minorHAnsi" w:hAnsiTheme="minorHAnsi" w:cstheme="minorHAnsi"/>
          <w:iCs/>
          <w:szCs w:val="24"/>
          <w:lang w:eastAsia="en-US"/>
        </w:rPr>
      </w:pPr>
      <w:bookmarkStart w:id="3" w:name="_Toc63329806"/>
      <w:r w:rsidRPr="00CD3F86">
        <w:rPr>
          <w:rFonts w:asciiTheme="minorHAnsi" w:eastAsiaTheme="minorHAnsi" w:hAnsiTheme="minorHAnsi" w:cstheme="minorHAnsi"/>
          <w:iCs/>
          <w:szCs w:val="24"/>
          <w:lang w:eastAsia="en-US"/>
        </w:rPr>
        <w:t>For the purposes of clarity:</w:t>
      </w:r>
    </w:p>
    <w:p w14:paraId="6B568453" w14:textId="2CE310CF" w:rsidR="002C6C83" w:rsidRPr="002C6C83" w:rsidRDefault="002C6C83" w:rsidP="002C6C83">
      <w:pPr>
        <w:pStyle w:val="Definition"/>
        <w:ind w:left="0"/>
        <w:rPr>
          <w:rFonts w:asciiTheme="minorHAnsi" w:eastAsiaTheme="minorHAnsi" w:hAnsiTheme="minorHAnsi" w:cstheme="minorHAnsi"/>
          <w:iCs/>
          <w:szCs w:val="24"/>
          <w:lang w:eastAsia="en-US"/>
        </w:rPr>
      </w:pPr>
      <w:r w:rsidRPr="002C6C83">
        <w:rPr>
          <w:rFonts w:asciiTheme="minorHAnsi" w:eastAsiaTheme="minorHAnsi" w:hAnsiTheme="minorHAnsi" w:cstheme="minorHAnsi"/>
          <w:i/>
          <w:szCs w:val="24"/>
          <w:lang w:eastAsia="en-US"/>
        </w:rPr>
        <w:t>Professional outcomes and placement course</w:t>
      </w:r>
      <w:r w:rsidRPr="002C6C83">
        <w:rPr>
          <w:rFonts w:asciiTheme="minorHAnsi" w:eastAsiaTheme="minorHAnsi" w:hAnsiTheme="minorHAnsi" w:cstheme="minorHAnsi"/>
          <w:iCs/>
          <w:szCs w:val="24"/>
          <w:lang w:eastAsia="en-US"/>
        </w:rPr>
        <w:t xml:space="preserve"> means a course for which the requirements include practical work placements and professional skills study aimed at enabling work in a certain occupation or profession.</w:t>
      </w:r>
    </w:p>
    <w:p w14:paraId="711F66C0" w14:textId="77777777" w:rsidR="002C6C83" w:rsidRPr="002C6C83" w:rsidRDefault="002C6C83" w:rsidP="002C6C83">
      <w:pPr>
        <w:pStyle w:val="Definition"/>
        <w:ind w:left="0"/>
        <w:rPr>
          <w:rFonts w:asciiTheme="minorHAnsi" w:eastAsiaTheme="minorHAnsi" w:hAnsiTheme="minorHAnsi" w:cstheme="minorHAnsi"/>
          <w:iCs/>
          <w:szCs w:val="24"/>
          <w:lang w:eastAsia="en-US"/>
        </w:rPr>
      </w:pPr>
      <w:r w:rsidRPr="002C6C83">
        <w:rPr>
          <w:rFonts w:asciiTheme="minorHAnsi" w:eastAsiaTheme="minorHAnsi" w:hAnsiTheme="minorHAnsi" w:cstheme="minorHAnsi"/>
          <w:i/>
          <w:szCs w:val="24"/>
          <w:lang w:eastAsia="en-US"/>
        </w:rPr>
        <w:t>Study abroad or student exchange</w:t>
      </w:r>
      <w:r w:rsidRPr="002C6C83">
        <w:rPr>
          <w:rFonts w:asciiTheme="minorHAnsi" w:eastAsiaTheme="minorHAnsi" w:hAnsiTheme="minorHAnsi" w:cstheme="minorHAnsi"/>
          <w:iCs/>
          <w:szCs w:val="24"/>
          <w:lang w:eastAsia="en-US"/>
        </w:rPr>
        <w:t xml:space="preserve"> means a course provided under an arrangement where a student of an overseas institution undertakes study at an Australian higher education provider, where the study at the Australian higher education provider contributes to the requirements of a course of study being undertaken by the student with the overseas institution. </w:t>
      </w:r>
    </w:p>
    <w:p w14:paraId="5CB5C4AA" w14:textId="77777777" w:rsidR="002C6C83" w:rsidRPr="002C6C83" w:rsidRDefault="002C6C83" w:rsidP="002C6C83">
      <w:pPr>
        <w:pStyle w:val="Definition"/>
        <w:ind w:left="0"/>
        <w:rPr>
          <w:rFonts w:asciiTheme="minorHAnsi" w:eastAsiaTheme="minorHAnsi" w:hAnsiTheme="minorHAnsi" w:cstheme="minorHAnsi"/>
          <w:iCs/>
          <w:szCs w:val="24"/>
          <w:lang w:eastAsia="en-US"/>
        </w:rPr>
      </w:pPr>
      <w:r w:rsidRPr="002C6C83">
        <w:rPr>
          <w:rFonts w:asciiTheme="minorHAnsi" w:eastAsiaTheme="minorHAnsi" w:hAnsiTheme="minorHAnsi" w:cstheme="minorHAnsi"/>
          <w:i/>
          <w:szCs w:val="24"/>
          <w:lang w:eastAsia="en-US"/>
        </w:rPr>
        <w:t>Tertiary coursework and research preparatory course</w:t>
      </w:r>
      <w:r w:rsidRPr="002C6C83">
        <w:rPr>
          <w:rFonts w:asciiTheme="minorHAnsi" w:eastAsiaTheme="minorHAnsi" w:hAnsiTheme="minorHAnsi" w:cstheme="minorHAnsi"/>
          <w:iCs/>
          <w:szCs w:val="24"/>
          <w:lang w:eastAsia="en-US"/>
        </w:rPr>
        <w:t xml:space="preserve"> means a short course which a student must pass as a condition of admission to a main course of study.</w:t>
      </w:r>
    </w:p>
    <w:p w14:paraId="19453541" w14:textId="6A3CF01E" w:rsidR="00CD5389" w:rsidRPr="004812B5" w:rsidRDefault="00CD5389" w:rsidP="004812B5">
      <w:pPr>
        <w:pStyle w:val="Heading1"/>
      </w:pPr>
      <w:r>
        <w:br w:type="page"/>
      </w:r>
      <w:r w:rsidR="008C0177">
        <w:lastRenderedPageBreak/>
        <w:t>FAQs</w:t>
      </w:r>
    </w:p>
    <w:p w14:paraId="06B2AFDE" w14:textId="0C7BFDA5" w:rsidR="009C4FC3" w:rsidRDefault="003A2B33" w:rsidP="003A75C7">
      <w:pPr>
        <w:pStyle w:val="Heading2"/>
      </w:pPr>
      <w:r w:rsidRPr="00B22A73">
        <w:t>I am an international student</w:t>
      </w:r>
      <w:r w:rsidR="004812B5" w:rsidRPr="00B22A73">
        <w:t xml:space="preserve"> </w:t>
      </w:r>
    </w:p>
    <w:p w14:paraId="5E821E8E" w14:textId="5484D380" w:rsidR="003A2B33" w:rsidRPr="003A75C7" w:rsidRDefault="004812B5" w:rsidP="003A75C7">
      <w:pPr>
        <w:pStyle w:val="Heading3"/>
        <w:rPr>
          <w:b/>
          <w:bCs/>
          <w:i/>
          <w:iCs/>
          <w:color w:val="auto"/>
          <w:sz w:val="22"/>
          <w:szCs w:val="22"/>
        </w:rPr>
      </w:pPr>
      <w:r w:rsidRPr="003A75C7">
        <w:rPr>
          <w:b/>
          <w:bCs/>
          <w:i/>
          <w:iCs/>
          <w:color w:val="auto"/>
          <w:sz w:val="22"/>
          <w:szCs w:val="22"/>
        </w:rPr>
        <w:t>W</w:t>
      </w:r>
      <w:r w:rsidR="003A2B33" w:rsidRPr="003A75C7">
        <w:rPr>
          <w:b/>
          <w:bCs/>
          <w:i/>
          <w:iCs/>
          <w:color w:val="auto"/>
          <w:sz w:val="22"/>
          <w:szCs w:val="22"/>
        </w:rPr>
        <w:t>hat courses can I take?</w:t>
      </w:r>
    </w:p>
    <w:p w14:paraId="40DB28C5" w14:textId="3EDF32CA" w:rsidR="003A2B33" w:rsidRDefault="003A2B33" w:rsidP="003A2B33">
      <w:r>
        <w:t xml:space="preserve">Your principal course of study in Australia </w:t>
      </w:r>
      <w:r w:rsidR="00DB7CC7">
        <w:t xml:space="preserve">and any packaged courses </w:t>
      </w:r>
      <w:r>
        <w:t>for which you have been granted a student visa</w:t>
      </w:r>
      <w:r w:rsidR="00F922D6">
        <w:t>,</w:t>
      </w:r>
      <w:r>
        <w:t xml:space="preserve"> </w:t>
      </w:r>
      <w:r w:rsidRPr="00B22A73">
        <w:rPr>
          <w:u w:val="single"/>
        </w:rPr>
        <w:t>must be</w:t>
      </w:r>
      <w:r>
        <w:t xml:space="preserve"> CRICOS registered. </w:t>
      </w:r>
      <w:r w:rsidRPr="00E94975">
        <w:t xml:space="preserve">All institutions and courses available to </w:t>
      </w:r>
      <w:r>
        <w:t>international</w:t>
      </w:r>
      <w:r w:rsidRPr="00E94975">
        <w:t xml:space="preserve"> students are listed on CRICOS at </w:t>
      </w:r>
      <w:hyperlink r:id="rId17" w:history="1">
        <w:r w:rsidRPr="00E94975">
          <w:rPr>
            <w:rStyle w:val="Hyperlink"/>
          </w:rPr>
          <w:t>cricos.education.gov.au</w:t>
        </w:r>
      </w:hyperlink>
      <w:r w:rsidRPr="00E94975">
        <w:t>.</w:t>
      </w:r>
    </w:p>
    <w:p w14:paraId="13AC36CB" w14:textId="673C9766" w:rsidR="00134127" w:rsidRDefault="00134127" w:rsidP="003A2B33">
      <w:r>
        <w:t>You can undertake supplementary courses offered by higher education and non-higher education providers that may be required for employment, or to develop a hobby or special interest to contribute and enrich your time in Australia.</w:t>
      </w:r>
    </w:p>
    <w:p w14:paraId="42B684F7" w14:textId="05F313DA" w:rsidR="00870E4B" w:rsidRDefault="003A2B33" w:rsidP="003A2B33">
      <w:r>
        <w:t xml:space="preserve">You </w:t>
      </w:r>
      <w:r w:rsidR="00870E4B">
        <w:t>can</w:t>
      </w:r>
      <w:r>
        <w:t xml:space="preserve"> continue to enrol or participate in these types of courses</w:t>
      </w:r>
      <w:r w:rsidR="00F922D6">
        <w:t xml:space="preserve">, in addition to your </w:t>
      </w:r>
      <w:r w:rsidR="007F0466">
        <w:t>main</w:t>
      </w:r>
      <w:r w:rsidR="00F922D6">
        <w:t xml:space="preserve"> course of study</w:t>
      </w:r>
      <w:r>
        <w:t xml:space="preserve">. </w:t>
      </w:r>
    </w:p>
    <w:p w14:paraId="2A69AF40" w14:textId="41877450" w:rsidR="00870E4B" w:rsidRDefault="00870E4B" w:rsidP="00870E4B">
      <w:r>
        <w:t>The changes only affect providers’ requirements, not the visa conditions attached to your student visa.</w:t>
      </w:r>
      <w:r w:rsidRPr="00870E4B">
        <w:t xml:space="preserve"> </w:t>
      </w:r>
      <w:r>
        <w:t>The instrument allows some supplementary courses to</w:t>
      </w:r>
      <w:r w:rsidR="00177ABC">
        <w:t xml:space="preserve"> be</w:t>
      </w:r>
      <w:r>
        <w:t xml:space="preserve"> exempted from the requirement to be registered on CRICOS. These exemptions will make it easier for providers to offer you better and wider access to supplementary courses you may be interested in taking. </w:t>
      </w:r>
    </w:p>
    <w:p w14:paraId="02D6ECD3" w14:textId="3375013E" w:rsidR="00870E4B" w:rsidRDefault="00870E4B" w:rsidP="00870E4B">
      <w:r>
        <w:t xml:space="preserve">A list of exempt courses is available in the instrument and in this fact sheet. </w:t>
      </w:r>
    </w:p>
    <w:p w14:paraId="2EBFF2F6" w14:textId="694E1A25" w:rsidR="003A2B33" w:rsidRPr="00474C07" w:rsidRDefault="003A2B33" w:rsidP="003A2B33">
      <w:r>
        <w:t xml:space="preserve">Education providers will also be able to provide you with advice </w:t>
      </w:r>
      <w:r w:rsidR="00606F8B">
        <w:t xml:space="preserve">about available </w:t>
      </w:r>
      <w:r>
        <w:t xml:space="preserve">courses. </w:t>
      </w:r>
    </w:p>
    <w:p w14:paraId="21F256A0" w14:textId="77777777" w:rsidR="003A2B33" w:rsidRPr="003A75C7" w:rsidRDefault="003A2B33" w:rsidP="003A75C7">
      <w:pPr>
        <w:pStyle w:val="Heading3"/>
        <w:rPr>
          <w:b/>
          <w:bCs/>
          <w:i/>
          <w:iCs/>
          <w:color w:val="auto"/>
          <w:sz w:val="22"/>
          <w:szCs w:val="22"/>
        </w:rPr>
      </w:pPr>
      <w:r w:rsidRPr="003A75C7">
        <w:rPr>
          <w:b/>
          <w:bCs/>
          <w:i/>
          <w:iCs/>
          <w:color w:val="auto"/>
          <w:sz w:val="22"/>
          <w:szCs w:val="22"/>
        </w:rPr>
        <w:t>How will I know if a course is exempt?</w:t>
      </w:r>
    </w:p>
    <w:p w14:paraId="68F20320" w14:textId="53EE6B9C" w:rsidR="003A2B33" w:rsidRPr="00474C07" w:rsidRDefault="003A2B33" w:rsidP="003A2B33">
      <w:r>
        <w:t>The list of exemp</w:t>
      </w:r>
      <w:r w:rsidR="00611D3F">
        <w:t>t</w:t>
      </w:r>
      <w:r>
        <w:t xml:space="preserve"> courses is listed in the instrument</w:t>
      </w:r>
      <w:r w:rsidR="00DB7CC7">
        <w:t xml:space="preserve"> and in this fact</w:t>
      </w:r>
      <w:r w:rsidR="0016262D">
        <w:t xml:space="preserve"> </w:t>
      </w:r>
      <w:r w:rsidR="00DB7CC7">
        <w:t>sheet</w:t>
      </w:r>
      <w:r>
        <w:t xml:space="preserve">. </w:t>
      </w:r>
      <w:r w:rsidR="00DB7CC7">
        <w:t xml:space="preserve">The </w:t>
      </w:r>
      <w:r w:rsidR="00A31912">
        <w:t>latest</w:t>
      </w:r>
      <w:r w:rsidR="00DB7CC7">
        <w:t xml:space="preserve"> version of the factsheet is available</w:t>
      </w:r>
      <w:r>
        <w:t xml:space="preserve"> on the</w:t>
      </w:r>
      <w:r w:rsidR="002A5C8E">
        <w:t xml:space="preserve"> </w:t>
      </w:r>
      <w:r w:rsidR="002A5C8E">
        <w:rPr>
          <w:rFonts w:cstheme="minorHAnsi"/>
          <w:iCs/>
        </w:rPr>
        <w:t>Department of Education, Skills and Employment</w:t>
      </w:r>
      <w:r>
        <w:t xml:space="preserve"> website</w:t>
      </w:r>
      <w:r w:rsidR="00B22A73">
        <w:t>.</w:t>
      </w:r>
      <w:r w:rsidR="00870E4B">
        <w:t xml:space="preserve"> Education providers can also provide you with a list of </w:t>
      </w:r>
      <w:r w:rsidR="000D5183">
        <w:t xml:space="preserve">the </w:t>
      </w:r>
      <w:r w:rsidR="00870E4B">
        <w:t>courses they deliver.</w:t>
      </w:r>
    </w:p>
    <w:p w14:paraId="6C163EEE" w14:textId="27AE36C4" w:rsidR="00C80BC7" w:rsidRPr="003A75C7" w:rsidRDefault="00C80BC7" w:rsidP="003A75C7">
      <w:pPr>
        <w:pStyle w:val="Heading3"/>
        <w:rPr>
          <w:b/>
          <w:bCs/>
          <w:i/>
          <w:iCs/>
          <w:color w:val="auto"/>
          <w:sz w:val="22"/>
          <w:szCs w:val="22"/>
        </w:rPr>
      </w:pPr>
      <w:r w:rsidRPr="003A75C7">
        <w:rPr>
          <w:b/>
          <w:bCs/>
          <w:i/>
          <w:iCs/>
          <w:color w:val="auto"/>
          <w:sz w:val="22"/>
          <w:szCs w:val="22"/>
        </w:rPr>
        <w:t>Where can I find a supplementary course</w:t>
      </w:r>
      <w:r w:rsidR="00C809A6" w:rsidRPr="003A75C7">
        <w:rPr>
          <w:b/>
          <w:bCs/>
          <w:i/>
          <w:iCs/>
          <w:color w:val="auto"/>
          <w:sz w:val="22"/>
          <w:szCs w:val="22"/>
        </w:rPr>
        <w:t xml:space="preserve"> near me</w:t>
      </w:r>
      <w:r w:rsidRPr="003A75C7">
        <w:rPr>
          <w:b/>
          <w:bCs/>
          <w:i/>
          <w:iCs/>
          <w:color w:val="auto"/>
          <w:sz w:val="22"/>
          <w:szCs w:val="22"/>
        </w:rPr>
        <w:t>?</w:t>
      </w:r>
    </w:p>
    <w:p w14:paraId="77C567AE" w14:textId="3C5C5D6F" w:rsidR="00C809A6" w:rsidRPr="0012642C" w:rsidRDefault="00C809A6" w:rsidP="003A2B33">
      <w:pPr>
        <w:rPr>
          <w:iCs/>
        </w:rPr>
      </w:pPr>
      <w:r w:rsidRPr="00177ABC">
        <w:rPr>
          <w:iCs/>
        </w:rPr>
        <w:t xml:space="preserve">Once you have identified the name or </w:t>
      </w:r>
      <w:r w:rsidR="005C5757" w:rsidRPr="00177ABC">
        <w:rPr>
          <w:iCs/>
        </w:rPr>
        <w:t>code of an exempt unit you wish to take, you can search for provider</w:t>
      </w:r>
      <w:r w:rsidR="00A31912" w:rsidRPr="00177ABC">
        <w:rPr>
          <w:iCs/>
        </w:rPr>
        <w:t>s</w:t>
      </w:r>
      <w:r w:rsidR="005C5757" w:rsidRPr="00177ABC">
        <w:rPr>
          <w:iCs/>
        </w:rPr>
        <w:t xml:space="preserve"> deliver</w:t>
      </w:r>
      <w:r w:rsidR="00A31912" w:rsidRPr="00177ABC">
        <w:rPr>
          <w:iCs/>
        </w:rPr>
        <w:t>ing</w:t>
      </w:r>
      <w:r w:rsidR="005C5757" w:rsidRPr="00177ABC">
        <w:rPr>
          <w:iCs/>
        </w:rPr>
        <w:t xml:space="preserve"> this course </w:t>
      </w:r>
      <w:r w:rsidR="00A739DF" w:rsidRPr="00177ABC">
        <w:rPr>
          <w:iCs/>
        </w:rPr>
        <w:t>on</w:t>
      </w:r>
      <w:r w:rsidR="005C5757">
        <w:rPr>
          <w:i/>
          <w:u w:val="single"/>
        </w:rPr>
        <w:t xml:space="preserve"> </w:t>
      </w:r>
      <w:hyperlink r:id="rId18" w:history="1">
        <w:r w:rsidR="005C5757" w:rsidRPr="003F0952">
          <w:rPr>
            <w:rStyle w:val="Hyperlink"/>
            <w:i/>
          </w:rPr>
          <w:t>https://training.gov.au/</w:t>
        </w:r>
      </w:hyperlink>
      <w:r w:rsidR="0012642C">
        <w:rPr>
          <w:i/>
          <w:u w:val="single"/>
        </w:rPr>
        <w:t xml:space="preserve"> </w:t>
      </w:r>
      <w:r w:rsidR="0012642C">
        <w:rPr>
          <w:iCs/>
        </w:rPr>
        <w:t>.</w:t>
      </w:r>
    </w:p>
    <w:p w14:paraId="276EDC03" w14:textId="459479EC" w:rsidR="003A2B33" w:rsidRPr="003A75C7" w:rsidRDefault="003A2B33" w:rsidP="003A75C7">
      <w:pPr>
        <w:pStyle w:val="Heading3"/>
        <w:rPr>
          <w:b/>
          <w:bCs/>
          <w:i/>
          <w:iCs/>
          <w:color w:val="auto"/>
          <w:sz w:val="22"/>
          <w:szCs w:val="22"/>
        </w:rPr>
      </w:pPr>
      <w:r w:rsidRPr="003A75C7">
        <w:rPr>
          <w:b/>
          <w:bCs/>
          <w:i/>
          <w:iCs/>
          <w:color w:val="auto"/>
          <w:sz w:val="22"/>
          <w:szCs w:val="22"/>
        </w:rPr>
        <w:t>Will ELICOS courses be exempted from CRICOS?</w:t>
      </w:r>
    </w:p>
    <w:p w14:paraId="7528C749" w14:textId="2AD76BD2" w:rsidR="003A2B33" w:rsidRPr="003A2B33" w:rsidRDefault="003A2B33" w:rsidP="003A2B33">
      <w:r w:rsidRPr="00177ABC">
        <w:rPr>
          <w:u w:val="single"/>
        </w:rPr>
        <w:t>No</w:t>
      </w:r>
      <w:r>
        <w:t xml:space="preserve">, CRICOS requirements and compliance with the </w:t>
      </w:r>
      <w:r w:rsidRPr="00082566">
        <w:rPr>
          <w:i/>
          <w:iCs/>
        </w:rPr>
        <w:t>ELICOS Standards 2018</w:t>
      </w:r>
      <w:r>
        <w:t xml:space="preserve"> will remain in place for ELICOS courses delivered to international students. </w:t>
      </w:r>
    </w:p>
    <w:p w14:paraId="38723B33" w14:textId="7DA38096" w:rsidR="003A2B33" w:rsidRPr="003A75C7" w:rsidRDefault="003A2B33" w:rsidP="003A75C7">
      <w:pPr>
        <w:pStyle w:val="Heading3"/>
        <w:rPr>
          <w:b/>
          <w:bCs/>
          <w:i/>
          <w:iCs/>
          <w:color w:val="auto"/>
          <w:sz w:val="22"/>
          <w:szCs w:val="22"/>
        </w:rPr>
      </w:pPr>
      <w:r w:rsidRPr="003A75C7">
        <w:rPr>
          <w:b/>
          <w:bCs/>
          <w:i/>
          <w:iCs/>
          <w:color w:val="auto"/>
          <w:sz w:val="22"/>
          <w:szCs w:val="22"/>
        </w:rPr>
        <w:t>If a course is not registered on CRICOS, will this affect the quality of education provided</w:t>
      </w:r>
      <w:r w:rsidR="00870E4B" w:rsidRPr="003A75C7">
        <w:rPr>
          <w:b/>
          <w:bCs/>
          <w:i/>
          <w:iCs/>
          <w:color w:val="auto"/>
          <w:sz w:val="22"/>
          <w:szCs w:val="22"/>
        </w:rPr>
        <w:t xml:space="preserve"> in these supplementary courses</w:t>
      </w:r>
      <w:r w:rsidRPr="003A75C7">
        <w:rPr>
          <w:b/>
          <w:bCs/>
          <w:i/>
          <w:iCs/>
          <w:color w:val="auto"/>
          <w:sz w:val="22"/>
          <w:szCs w:val="22"/>
        </w:rPr>
        <w:t xml:space="preserve">? </w:t>
      </w:r>
    </w:p>
    <w:p w14:paraId="1155DACA" w14:textId="24D730D1" w:rsidR="003A2B33" w:rsidRDefault="003A2B33" w:rsidP="003A2B33">
      <w:pPr>
        <w:spacing w:after="160" w:line="256" w:lineRule="auto"/>
      </w:pPr>
      <w:r>
        <w:t xml:space="preserve">All exempt courses will remain </w:t>
      </w:r>
      <w:r w:rsidR="00B22A73">
        <w:t xml:space="preserve">covered under </w:t>
      </w:r>
      <w:r>
        <w:t xml:space="preserve">the same quality assurance mechanisms that apply to other domestic courses, including regulation by the Australian Skills Quality Authority (ASQA) or Tertiary Education Quality and Standards Agency (TEQSA). </w:t>
      </w:r>
    </w:p>
    <w:p w14:paraId="25B720E5" w14:textId="1D553FF6" w:rsidR="003A2B33" w:rsidRPr="003A75C7" w:rsidRDefault="001C12DF" w:rsidP="003A75C7">
      <w:pPr>
        <w:pStyle w:val="Heading3"/>
        <w:rPr>
          <w:b/>
          <w:bCs/>
          <w:i/>
          <w:iCs/>
          <w:color w:val="auto"/>
          <w:sz w:val="22"/>
          <w:szCs w:val="22"/>
        </w:rPr>
      </w:pPr>
      <w:r w:rsidRPr="003A75C7">
        <w:rPr>
          <w:b/>
          <w:bCs/>
          <w:i/>
          <w:iCs/>
          <w:color w:val="auto"/>
          <w:sz w:val="22"/>
          <w:szCs w:val="22"/>
        </w:rPr>
        <w:t>What protections do international students have</w:t>
      </w:r>
      <w:r w:rsidR="004812B5" w:rsidRPr="003A75C7">
        <w:rPr>
          <w:b/>
          <w:bCs/>
          <w:i/>
          <w:iCs/>
          <w:color w:val="auto"/>
          <w:sz w:val="22"/>
          <w:szCs w:val="22"/>
        </w:rPr>
        <w:t xml:space="preserve"> </w:t>
      </w:r>
      <w:r w:rsidR="003A2B33" w:rsidRPr="003A75C7">
        <w:rPr>
          <w:b/>
          <w:bCs/>
          <w:i/>
          <w:iCs/>
          <w:color w:val="auto"/>
          <w:sz w:val="22"/>
          <w:szCs w:val="22"/>
        </w:rPr>
        <w:t xml:space="preserve">when undertaking </w:t>
      </w:r>
      <w:r w:rsidRPr="003A75C7">
        <w:rPr>
          <w:b/>
          <w:bCs/>
          <w:i/>
          <w:iCs/>
          <w:color w:val="auto"/>
          <w:sz w:val="22"/>
          <w:szCs w:val="22"/>
        </w:rPr>
        <w:t xml:space="preserve">these </w:t>
      </w:r>
      <w:r w:rsidR="003A2B33" w:rsidRPr="003A75C7">
        <w:rPr>
          <w:b/>
          <w:bCs/>
          <w:i/>
          <w:iCs/>
          <w:color w:val="auto"/>
          <w:sz w:val="22"/>
          <w:szCs w:val="22"/>
        </w:rPr>
        <w:t>courses</w:t>
      </w:r>
      <w:r w:rsidRPr="003A75C7">
        <w:rPr>
          <w:b/>
          <w:bCs/>
          <w:i/>
          <w:iCs/>
          <w:color w:val="auto"/>
          <w:sz w:val="22"/>
          <w:szCs w:val="22"/>
        </w:rPr>
        <w:t>?</w:t>
      </w:r>
    </w:p>
    <w:p w14:paraId="5BFC36C1" w14:textId="0E6DE7CA" w:rsidR="001C12DF" w:rsidRDefault="001C12DF" w:rsidP="001C12DF">
      <w:pPr>
        <w:spacing w:after="160" w:line="259" w:lineRule="auto"/>
      </w:pPr>
      <w:r>
        <w:t>T</w:t>
      </w:r>
      <w:r w:rsidRPr="00F947D9">
        <w:t xml:space="preserve">he </w:t>
      </w:r>
      <w:r>
        <w:t xml:space="preserve">quality assurance protections in place for domestic delivery of exempt courses, with oversight from ASQA and </w:t>
      </w:r>
      <w:r w:rsidRPr="00F947D9">
        <w:t>TEQSA</w:t>
      </w:r>
      <w:r w:rsidR="00085446">
        <w:t>,</w:t>
      </w:r>
      <w:r>
        <w:t xml:space="preserve"> still appl</w:t>
      </w:r>
      <w:r w:rsidR="000D5183">
        <w:t>y</w:t>
      </w:r>
      <w:r>
        <w:t>. Just like domestic students enrolled in these courses, international</w:t>
      </w:r>
      <w:r w:rsidRPr="00F947D9">
        <w:t xml:space="preserve"> students </w:t>
      </w:r>
      <w:r>
        <w:t xml:space="preserve">will have remedies under </w:t>
      </w:r>
      <w:r w:rsidRPr="00F947D9">
        <w:t xml:space="preserve">Australian consumer law </w:t>
      </w:r>
      <w:r>
        <w:t xml:space="preserve">for their tuition fees or other matters covered by consumer protection law. </w:t>
      </w:r>
    </w:p>
    <w:p w14:paraId="6FC1E816" w14:textId="458606F1" w:rsidR="001C12DF" w:rsidRDefault="00177ABC" w:rsidP="001C12DF">
      <w:r>
        <w:lastRenderedPageBreak/>
        <w:t xml:space="preserve">The </w:t>
      </w:r>
      <w:r w:rsidR="001C12DF">
        <w:t>Tuition Protection Service (TPS) protect</w:t>
      </w:r>
      <w:r>
        <w:t>s</w:t>
      </w:r>
      <w:r w:rsidR="001C12DF">
        <w:t xml:space="preserve"> the significant investment you make when you pay tuition fees and travel to Australia for your principal course. These exempt courses are supplementary to your main course of study and are generally short in duration and are not covered by the TPS.</w:t>
      </w:r>
    </w:p>
    <w:p w14:paraId="75CD7842" w14:textId="6E6047AC" w:rsidR="001C12DF" w:rsidRDefault="001C12DF" w:rsidP="001C12DF">
      <w:r w:rsidRPr="00870E4B">
        <w:t xml:space="preserve">The Minister </w:t>
      </w:r>
      <w:r w:rsidR="000D5183">
        <w:t xml:space="preserve">also has </w:t>
      </w:r>
      <w:r w:rsidR="00384A58">
        <w:t>the power</w:t>
      </w:r>
      <w:r w:rsidR="00382D65">
        <w:t xml:space="preserve"> </w:t>
      </w:r>
      <w:r w:rsidR="00384A58">
        <w:t xml:space="preserve">(through a future legislative instrument) </w:t>
      </w:r>
      <w:r w:rsidRPr="00870E4B">
        <w:t>to reinstate courses under the ESOS </w:t>
      </w:r>
      <w:r w:rsidR="00D0077F" w:rsidRPr="00870E4B">
        <w:t>Act or</w:t>
      </w:r>
      <w:r w:rsidRPr="00870E4B">
        <w:t xml:space="preserve"> determine certain courses must be registered under the ESOS Act if the need arises.</w:t>
      </w:r>
      <w:r w:rsidRPr="002F2C34">
        <w:t xml:space="preserve"> </w:t>
      </w:r>
    </w:p>
    <w:p w14:paraId="087C0014" w14:textId="77777777" w:rsidR="0001371E" w:rsidRPr="003A75C7" w:rsidRDefault="00C13FC8" w:rsidP="003A75C7">
      <w:pPr>
        <w:pStyle w:val="Heading3"/>
        <w:rPr>
          <w:b/>
          <w:bCs/>
          <w:i/>
          <w:iCs/>
          <w:color w:val="auto"/>
          <w:sz w:val="22"/>
          <w:szCs w:val="22"/>
        </w:rPr>
      </w:pPr>
      <w:r w:rsidRPr="003A75C7">
        <w:rPr>
          <w:b/>
          <w:bCs/>
          <w:i/>
          <w:iCs/>
          <w:color w:val="auto"/>
          <w:sz w:val="22"/>
          <w:szCs w:val="22"/>
        </w:rPr>
        <w:t>Will the workplace component of an exempt course count towards my 40 hour per fortnight work limitation?</w:t>
      </w:r>
    </w:p>
    <w:p w14:paraId="65717EB5" w14:textId="7F5F01F0" w:rsidR="00E22725" w:rsidRPr="00382D65" w:rsidRDefault="00C13FC8" w:rsidP="0001371E">
      <w:r w:rsidRPr="00382D65">
        <w:t xml:space="preserve">Courses listed in the instrument may also be </w:t>
      </w:r>
      <w:r w:rsidR="00870E4B" w:rsidRPr="00382D65">
        <w:t>a</w:t>
      </w:r>
      <w:r w:rsidRPr="00382D65">
        <w:t xml:space="preserve"> course required to attend a workplace component, embedded as part of a substantive qualification</w:t>
      </w:r>
      <w:r w:rsidR="00870E4B" w:rsidRPr="00382D65">
        <w:t xml:space="preserve"> that has a </w:t>
      </w:r>
      <w:r w:rsidRPr="00382D65">
        <w:t xml:space="preserve">CRICOS registration. </w:t>
      </w:r>
    </w:p>
    <w:p w14:paraId="74FA5923" w14:textId="625D0927" w:rsidR="00C13FC8" w:rsidRPr="00382D65" w:rsidRDefault="008C7B7B" w:rsidP="0001371E">
      <w:pPr>
        <w:rPr>
          <w:rFonts w:ascii="Calibri" w:eastAsiaTheme="majorEastAsia" w:hAnsi="Calibri" w:cstheme="majorBidi"/>
          <w:b/>
          <w:color w:val="343741"/>
          <w:sz w:val="32"/>
          <w:szCs w:val="32"/>
        </w:rPr>
      </w:pPr>
      <w:r w:rsidRPr="00382D65">
        <w:t xml:space="preserve">The Department of Home Affairs have advised </w:t>
      </w:r>
      <w:r w:rsidR="00D0077F">
        <w:t xml:space="preserve">that </w:t>
      </w:r>
      <w:r w:rsidR="00C13FC8" w:rsidRPr="00382D65">
        <w:t xml:space="preserve">the workplace component </w:t>
      </w:r>
      <w:r w:rsidR="00870E4B" w:rsidRPr="00382D65">
        <w:t>requires you to undertake a</w:t>
      </w:r>
      <w:r w:rsidR="00E22725" w:rsidRPr="00382D65">
        <w:t xml:space="preserve"> supplementary</w:t>
      </w:r>
      <w:r w:rsidR="00C13FC8" w:rsidRPr="00382D65">
        <w:t xml:space="preserve"> course as </w:t>
      </w:r>
      <w:r w:rsidR="00E22725" w:rsidRPr="00382D65">
        <w:t xml:space="preserve">a </w:t>
      </w:r>
      <w:r w:rsidR="00C13FC8" w:rsidRPr="00382D65">
        <w:t>part of a substantive qualification</w:t>
      </w:r>
      <w:r w:rsidR="00E22725" w:rsidRPr="00382D65">
        <w:t xml:space="preserve"> under a</w:t>
      </w:r>
      <w:r w:rsidR="00C13FC8" w:rsidRPr="00382D65">
        <w:t xml:space="preserve"> CRICOS registration, the workplace component of the course will </w:t>
      </w:r>
      <w:r w:rsidR="00C13FC8" w:rsidRPr="00382D65">
        <w:rPr>
          <w:u w:val="single"/>
        </w:rPr>
        <w:t>not</w:t>
      </w:r>
      <w:r w:rsidR="00C13FC8" w:rsidRPr="00382D65">
        <w:t xml:space="preserve"> count towards your forty hours per fortnight limitation.</w:t>
      </w:r>
    </w:p>
    <w:p w14:paraId="44C94D79" w14:textId="387C7709" w:rsidR="009C4FC3" w:rsidRPr="00674CD9" w:rsidRDefault="00C13FC8" w:rsidP="00674CD9">
      <w:pPr>
        <w:spacing w:before="240" w:line="240" w:lineRule="auto"/>
      </w:pPr>
      <w:r w:rsidRPr="00382D65">
        <w:t xml:space="preserve">However, if you undertake an exempt course that includes a work component and is </w:t>
      </w:r>
      <w:r w:rsidRPr="00382D65">
        <w:rPr>
          <w:u w:val="single"/>
        </w:rPr>
        <w:t>supplementary</w:t>
      </w:r>
      <w:r w:rsidRPr="00382D65">
        <w:t xml:space="preserve"> to your main course</w:t>
      </w:r>
      <w:r w:rsidR="00870E4B" w:rsidRPr="00382D65">
        <w:t xml:space="preserve"> of study</w:t>
      </w:r>
      <w:r w:rsidRPr="00382D65">
        <w:t xml:space="preserve">, the work component of that course </w:t>
      </w:r>
      <w:r w:rsidRPr="00382D65">
        <w:rPr>
          <w:u w:val="single"/>
        </w:rPr>
        <w:t>will</w:t>
      </w:r>
      <w:r w:rsidRPr="00382D65">
        <w:t xml:space="preserve"> count towards </w:t>
      </w:r>
      <w:r w:rsidR="00870E4B" w:rsidRPr="00382D65">
        <w:t xml:space="preserve">your forty </w:t>
      </w:r>
      <w:r w:rsidRPr="00382D65">
        <w:t>hour per fortnight work limitation.</w:t>
      </w:r>
    </w:p>
    <w:p w14:paraId="0C5F9BFD" w14:textId="76FB69FF" w:rsidR="009C4FC3" w:rsidRPr="00B22A73" w:rsidRDefault="009C4FC3" w:rsidP="003A75C7">
      <w:pPr>
        <w:pStyle w:val="Heading2"/>
      </w:pPr>
      <w:r w:rsidRPr="00B22A73">
        <w:t>I am an education provider</w:t>
      </w:r>
    </w:p>
    <w:p w14:paraId="5F89AFC3" w14:textId="2929BD83" w:rsidR="002774BA" w:rsidRPr="003A75C7" w:rsidRDefault="002774BA" w:rsidP="003A75C7">
      <w:pPr>
        <w:pStyle w:val="Heading3"/>
        <w:rPr>
          <w:b/>
          <w:bCs/>
          <w:i/>
          <w:iCs/>
          <w:color w:val="auto"/>
          <w:sz w:val="22"/>
          <w:szCs w:val="22"/>
        </w:rPr>
      </w:pPr>
      <w:r w:rsidRPr="003A75C7">
        <w:rPr>
          <w:b/>
          <w:bCs/>
          <w:i/>
          <w:iCs/>
          <w:color w:val="auto"/>
          <w:sz w:val="22"/>
          <w:szCs w:val="22"/>
        </w:rPr>
        <w:t xml:space="preserve">I’m not a CRICOS registered provider, can I deliver these </w:t>
      </w:r>
      <w:r w:rsidR="00E22725" w:rsidRPr="003A75C7">
        <w:rPr>
          <w:b/>
          <w:bCs/>
          <w:i/>
          <w:iCs/>
          <w:color w:val="auto"/>
          <w:sz w:val="22"/>
          <w:szCs w:val="22"/>
        </w:rPr>
        <w:t xml:space="preserve">exempt </w:t>
      </w:r>
      <w:r w:rsidRPr="003A75C7">
        <w:rPr>
          <w:b/>
          <w:bCs/>
          <w:i/>
          <w:iCs/>
          <w:color w:val="auto"/>
          <w:sz w:val="22"/>
          <w:szCs w:val="22"/>
        </w:rPr>
        <w:t>courses to international students?</w:t>
      </w:r>
    </w:p>
    <w:p w14:paraId="5B524428" w14:textId="7C229236" w:rsidR="002774BA" w:rsidRPr="00177ABC" w:rsidRDefault="002774BA" w:rsidP="00606556">
      <w:r w:rsidRPr="00177ABC">
        <w:t xml:space="preserve">Yes, as </w:t>
      </w:r>
      <w:r>
        <w:t xml:space="preserve">these courses are exempt from the ESOS Act non-CRICOS registered providers can deliver them to overseas students if </w:t>
      </w:r>
      <w:r w:rsidR="00E22725">
        <w:t>the provider can</w:t>
      </w:r>
      <w:r>
        <w:t xml:space="preserve"> </w:t>
      </w:r>
      <w:r w:rsidR="00A739DF">
        <w:t>meet the domestic requirements for registration and delivery</w:t>
      </w:r>
      <w:r>
        <w:t xml:space="preserve">. For more information on your ongoing responsibilities, </w:t>
      </w:r>
      <w:r w:rsidR="00606556">
        <w:t>such as compliance with the</w:t>
      </w:r>
      <w:r w:rsidR="00606556" w:rsidRPr="00606556">
        <w:t xml:space="preserve"> </w:t>
      </w:r>
      <w:r w:rsidR="00606556" w:rsidRPr="00606556">
        <w:rPr>
          <w:i/>
          <w:iCs/>
        </w:rPr>
        <w:t>Standards for Registered Training Organisations (RTOs) 2015</w:t>
      </w:r>
      <w:r>
        <w:t xml:space="preserve">, contact ASQA at </w:t>
      </w:r>
      <w:hyperlink r:id="rId19" w:history="1">
        <w:r w:rsidR="00606556" w:rsidRPr="003F0952">
          <w:rPr>
            <w:rStyle w:val="Hyperlink"/>
          </w:rPr>
          <w:t>https://www.asqa.gov.au/about/contact-us</w:t>
        </w:r>
      </w:hyperlink>
      <w:r w:rsidR="00606556">
        <w:t xml:space="preserve">. </w:t>
      </w:r>
    </w:p>
    <w:p w14:paraId="51508032" w14:textId="4BA3A1F9" w:rsidR="009E242A" w:rsidRPr="003A75C7" w:rsidRDefault="009E242A" w:rsidP="003A75C7">
      <w:pPr>
        <w:pStyle w:val="Heading3"/>
        <w:rPr>
          <w:b/>
          <w:bCs/>
          <w:i/>
          <w:iCs/>
          <w:color w:val="auto"/>
          <w:sz w:val="22"/>
          <w:szCs w:val="22"/>
        </w:rPr>
      </w:pPr>
      <w:r w:rsidRPr="003A75C7">
        <w:rPr>
          <w:b/>
          <w:bCs/>
          <w:i/>
          <w:iCs/>
          <w:color w:val="auto"/>
          <w:sz w:val="22"/>
          <w:szCs w:val="22"/>
        </w:rPr>
        <w:t>Will there be an opportunity to</w:t>
      </w:r>
      <w:r w:rsidR="009B3E60" w:rsidRPr="003A75C7">
        <w:rPr>
          <w:b/>
          <w:bCs/>
          <w:i/>
          <w:iCs/>
          <w:color w:val="auto"/>
          <w:sz w:val="22"/>
          <w:szCs w:val="22"/>
        </w:rPr>
        <w:t xml:space="preserve"> include</w:t>
      </w:r>
      <w:r w:rsidRPr="003A75C7">
        <w:rPr>
          <w:b/>
          <w:bCs/>
          <w:i/>
          <w:iCs/>
          <w:color w:val="auto"/>
          <w:sz w:val="22"/>
          <w:szCs w:val="22"/>
        </w:rPr>
        <w:t xml:space="preserve"> additional courses </w:t>
      </w:r>
      <w:r w:rsidR="009B3E60" w:rsidRPr="003A75C7">
        <w:rPr>
          <w:b/>
          <w:bCs/>
          <w:i/>
          <w:iCs/>
          <w:color w:val="auto"/>
          <w:sz w:val="22"/>
          <w:szCs w:val="22"/>
        </w:rPr>
        <w:t xml:space="preserve">for exemption </w:t>
      </w:r>
      <w:r w:rsidRPr="003A75C7">
        <w:rPr>
          <w:b/>
          <w:bCs/>
          <w:i/>
          <w:iCs/>
          <w:color w:val="auto"/>
          <w:sz w:val="22"/>
          <w:szCs w:val="22"/>
        </w:rPr>
        <w:t>in the future?</w:t>
      </w:r>
    </w:p>
    <w:p w14:paraId="41D91DF1" w14:textId="25284403" w:rsidR="009E242A" w:rsidRPr="00093732" w:rsidRDefault="00093732" w:rsidP="00093732">
      <w:pPr>
        <w:spacing w:before="120" w:after="120"/>
        <w:rPr>
          <w:rFonts w:cstheme="minorHAnsi"/>
          <w:iCs/>
          <w:szCs w:val="24"/>
        </w:rPr>
      </w:pPr>
      <w:r>
        <w:rPr>
          <w:rFonts w:cstheme="minorHAnsi"/>
          <w:iCs/>
          <w:szCs w:val="24"/>
        </w:rPr>
        <w:t xml:space="preserve">As student needs change, the Minister may consider amending the instrument to either add or remove courses from the definition of ‘course’ under the ESOS Act. The </w:t>
      </w:r>
      <w:r>
        <w:rPr>
          <w:rFonts w:cstheme="minorHAnsi"/>
          <w:iCs/>
        </w:rPr>
        <w:t>Department of Education Skills and Employment</w:t>
      </w:r>
      <w:r>
        <w:rPr>
          <w:rFonts w:cstheme="minorHAnsi"/>
          <w:iCs/>
          <w:szCs w:val="24"/>
        </w:rPr>
        <w:t xml:space="preserve"> (the department) </w:t>
      </w:r>
      <w:r w:rsidR="00674CD9">
        <w:rPr>
          <w:rFonts w:cstheme="minorHAnsi"/>
          <w:iCs/>
          <w:szCs w:val="24"/>
        </w:rPr>
        <w:t>will</w:t>
      </w:r>
      <w:r>
        <w:rPr>
          <w:rFonts w:cstheme="minorHAnsi"/>
          <w:iCs/>
          <w:szCs w:val="24"/>
        </w:rPr>
        <w:t xml:space="preserve"> consult providers, industry and regulators when updating </w:t>
      </w:r>
      <w:r w:rsidR="000D5183">
        <w:rPr>
          <w:rFonts w:cstheme="minorHAnsi"/>
          <w:iCs/>
          <w:szCs w:val="24"/>
        </w:rPr>
        <w:t>or making a new</w:t>
      </w:r>
      <w:r>
        <w:rPr>
          <w:rFonts w:cstheme="minorHAnsi"/>
          <w:iCs/>
          <w:szCs w:val="24"/>
        </w:rPr>
        <w:t xml:space="preserve"> instrument</w:t>
      </w:r>
      <w:r w:rsidR="009E242A">
        <w:t>.</w:t>
      </w:r>
      <w:r w:rsidR="001C12DF">
        <w:t xml:space="preserve"> The list will be reviewed regularly and amended as needed.</w:t>
      </w:r>
      <w:r w:rsidR="009E242A">
        <w:t xml:space="preserve"> </w:t>
      </w:r>
    </w:p>
    <w:p w14:paraId="33E655F2" w14:textId="7D7198D7" w:rsidR="009E242A" w:rsidRPr="003A75C7" w:rsidRDefault="00831949" w:rsidP="003A75C7">
      <w:pPr>
        <w:pStyle w:val="Heading3"/>
        <w:rPr>
          <w:b/>
          <w:bCs/>
          <w:i/>
          <w:iCs/>
          <w:color w:val="auto"/>
          <w:sz w:val="22"/>
          <w:szCs w:val="22"/>
        </w:rPr>
      </w:pPr>
      <w:r w:rsidRPr="003A75C7">
        <w:rPr>
          <w:b/>
          <w:bCs/>
          <w:i/>
          <w:iCs/>
          <w:color w:val="auto"/>
          <w:sz w:val="22"/>
          <w:szCs w:val="22"/>
        </w:rPr>
        <w:t xml:space="preserve">What about the proposed </w:t>
      </w:r>
      <w:r w:rsidR="00EF7E67" w:rsidRPr="003A75C7">
        <w:rPr>
          <w:b/>
          <w:bCs/>
          <w:i/>
          <w:iCs/>
          <w:color w:val="auto"/>
          <w:sz w:val="22"/>
          <w:szCs w:val="22"/>
        </w:rPr>
        <w:t xml:space="preserve">0.25 </w:t>
      </w:r>
      <w:r w:rsidR="002A5C8E" w:rsidRPr="003A75C7">
        <w:rPr>
          <w:b/>
          <w:bCs/>
          <w:i/>
          <w:iCs/>
          <w:color w:val="auto"/>
          <w:sz w:val="22"/>
          <w:szCs w:val="22"/>
        </w:rPr>
        <w:t>Equivalent Full-Time Student Load</w:t>
      </w:r>
      <w:r w:rsidR="002A5C8E" w:rsidRPr="003A75C7">
        <w:rPr>
          <w:rFonts w:ascii="Arial" w:hAnsi="Arial" w:cs="Arial"/>
          <w:b/>
          <w:bCs/>
          <w:i/>
          <w:iCs/>
          <w:color w:val="auto"/>
          <w:sz w:val="22"/>
          <w:szCs w:val="22"/>
          <w:shd w:val="clear" w:color="auto" w:fill="FFFFFF"/>
        </w:rPr>
        <w:t> </w:t>
      </w:r>
      <w:r w:rsidR="002A5C8E" w:rsidRPr="003A75C7">
        <w:rPr>
          <w:b/>
          <w:bCs/>
          <w:i/>
          <w:iCs/>
          <w:color w:val="auto"/>
          <w:sz w:val="22"/>
          <w:szCs w:val="22"/>
        </w:rPr>
        <w:t>(</w:t>
      </w:r>
      <w:r w:rsidR="00FE6235" w:rsidRPr="003A75C7">
        <w:rPr>
          <w:b/>
          <w:bCs/>
          <w:i/>
          <w:iCs/>
          <w:color w:val="auto"/>
          <w:sz w:val="22"/>
          <w:szCs w:val="22"/>
        </w:rPr>
        <w:t>EFTSL</w:t>
      </w:r>
      <w:r w:rsidR="002A5C8E" w:rsidRPr="003A75C7">
        <w:rPr>
          <w:b/>
          <w:bCs/>
          <w:i/>
          <w:iCs/>
          <w:color w:val="auto"/>
          <w:sz w:val="22"/>
          <w:szCs w:val="22"/>
        </w:rPr>
        <w:t>)</w:t>
      </w:r>
      <w:r w:rsidR="00FE6235" w:rsidRPr="003A75C7">
        <w:rPr>
          <w:b/>
          <w:bCs/>
          <w:i/>
          <w:iCs/>
          <w:color w:val="auto"/>
          <w:sz w:val="22"/>
          <w:szCs w:val="22"/>
        </w:rPr>
        <w:t xml:space="preserve"> cap for higher education courses</w:t>
      </w:r>
      <w:r w:rsidR="00D03A38" w:rsidRPr="003A75C7">
        <w:rPr>
          <w:b/>
          <w:bCs/>
          <w:i/>
          <w:iCs/>
          <w:color w:val="auto"/>
          <w:sz w:val="22"/>
          <w:szCs w:val="22"/>
        </w:rPr>
        <w:t>?</w:t>
      </w:r>
      <w:r w:rsidR="00FE6235" w:rsidRPr="003A75C7">
        <w:rPr>
          <w:b/>
          <w:bCs/>
          <w:i/>
          <w:iCs/>
          <w:color w:val="auto"/>
          <w:sz w:val="22"/>
          <w:szCs w:val="22"/>
        </w:rPr>
        <w:t xml:space="preserve"> </w:t>
      </w:r>
    </w:p>
    <w:p w14:paraId="261856C8" w14:textId="040FE244" w:rsidR="00831949" w:rsidRDefault="009E242A" w:rsidP="003A2B33">
      <w:r>
        <w:t>Feedback from the sector</w:t>
      </w:r>
      <w:r w:rsidR="00FE6235">
        <w:t xml:space="preserve"> during consultation</w:t>
      </w:r>
      <w:r>
        <w:t xml:space="preserve"> indicated the proposed 0.25 EFTSL cap was unclear.</w:t>
      </w:r>
      <w:r w:rsidR="00D03A38">
        <w:t xml:space="preserve">     </w:t>
      </w:r>
      <w:r>
        <w:t>In consultation with TEQSA</w:t>
      </w:r>
      <w:r w:rsidR="00E073DC">
        <w:t xml:space="preserve"> and other stakeholders</w:t>
      </w:r>
      <w:r>
        <w:t xml:space="preserve">, </w:t>
      </w:r>
      <w:r w:rsidR="00FE6235">
        <w:t xml:space="preserve">the department </w:t>
      </w:r>
      <w:r w:rsidR="00831949">
        <w:t>decided not to proceed with the cap proposal</w:t>
      </w:r>
      <w:r w:rsidR="00FE6235">
        <w:t>.</w:t>
      </w:r>
      <w:r w:rsidR="00D42851">
        <w:t xml:space="preserve"> </w:t>
      </w:r>
    </w:p>
    <w:p w14:paraId="1D64B203" w14:textId="7C35933A" w:rsidR="00FE6235" w:rsidRDefault="00FE6235" w:rsidP="003A2B33">
      <w:r>
        <w:t xml:space="preserve">The revised </w:t>
      </w:r>
      <w:r w:rsidR="007A7A08">
        <w:t xml:space="preserve">higher education </w:t>
      </w:r>
      <w:r>
        <w:t xml:space="preserve">model </w:t>
      </w:r>
      <w:r w:rsidR="00E073DC">
        <w:t xml:space="preserve">for exempting courses </w:t>
      </w:r>
      <w:r>
        <w:t xml:space="preserve">means higher education providers will only be able to offer non-award courses. </w:t>
      </w:r>
    </w:p>
    <w:p w14:paraId="5CE280BA" w14:textId="4619A81C" w:rsidR="009E242A" w:rsidRPr="003A75C7" w:rsidRDefault="009E242A" w:rsidP="003A75C7">
      <w:pPr>
        <w:pStyle w:val="Heading3"/>
        <w:rPr>
          <w:b/>
          <w:bCs/>
          <w:i/>
          <w:iCs/>
          <w:color w:val="auto"/>
          <w:sz w:val="22"/>
          <w:szCs w:val="22"/>
        </w:rPr>
      </w:pPr>
      <w:r w:rsidRPr="003A75C7">
        <w:rPr>
          <w:b/>
          <w:bCs/>
          <w:i/>
          <w:iCs/>
          <w:color w:val="auto"/>
          <w:sz w:val="22"/>
          <w:szCs w:val="22"/>
        </w:rPr>
        <w:lastRenderedPageBreak/>
        <w:t>I’m a CRICOS-registered provider offering some of the units now exempt</w:t>
      </w:r>
      <w:r w:rsidR="00D42851" w:rsidRPr="003A75C7">
        <w:rPr>
          <w:b/>
          <w:bCs/>
          <w:i/>
          <w:iCs/>
          <w:color w:val="auto"/>
          <w:sz w:val="22"/>
          <w:szCs w:val="22"/>
        </w:rPr>
        <w:t xml:space="preserve"> under this instrument</w:t>
      </w:r>
      <w:r w:rsidRPr="003A75C7">
        <w:rPr>
          <w:b/>
          <w:bCs/>
          <w:i/>
          <w:iCs/>
          <w:color w:val="auto"/>
          <w:sz w:val="22"/>
          <w:szCs w:val="22"/>
        </w:rPr>
        <w:t>. What does this mean for me?</w:t>
      </w:r>
    </w:p>
    <w:p w14:paraId="17BE0301" w14:textId="37475233" w:rsidR="002A5C8E" w:rsidRDefault="002A5C8E" w:rsidP="003A2B33">
      <w:r>
        <w:t>You</w:t>
      </w:r>
      <w:r w:rsidR="00A96862">
        <w:t xml:space="preserve"> are </w:t>
      </w:r>
      <w:r w:rsidR="00177ABC">
        <w:t xml:space="preserve">no </w:t>
      </w:r>
      <w:r w:rsidR="00A96862">
        <w:t xml:space="preserve">longer required to hold CRICOS registration for </w:t>
      </w:r>
      <w:r>
        <w:t>the supplementary</w:t>
      </w:r>
      <w:r w:rsidR="00A96862">
        <w:t xml:space="preserve"> courses exempted through this instrument</w:t>
      </w:r>
      <w:r>
        <w:t xml:space="preserve"> (as listed in this </w:t>
      </w:r>
      <w:r w:rsidR="00382D65">
        <w:t xml:space="preserve">fact sheet and at </w:t>
      </w:r>
      <w:r w:rsidR="00382D65" w:rsidRPr="00382D65">
        <w:t>www.legislation.gov.au/Details/F2021L00877</w:t>
      </w:r>
      <w:r w:rsidR="00F9088D">
        <w:t>)</w:t>
      </w:r>
      <w:r w:rsidR="00382D65">
        <w:t>.</w:t>
      </w:r>
      <w:r w:rsidR="00A96862">
        <w:t xml:space="preserve"> </w:t>
      </w:r>
    </w:p>
    <w:p w14:paraId="606F29AD" w14:textId="0CC27188" w:rsidR="00FE6235" w:rsidRDefault="002A5C8E" w:rsidP="003A2B33">
      <w:r>
        <w:t xml:space="preserve">If you have </w:t>
      </w:r>
      <w:r w:rsidR="00FE6235">
        <w:t xml:space="preserve">registered </w:t>
      </w:r>
      <w:r w:rsidR="000D5183">
        <w:t>courses which are now exempt</w:t>
      </w:r>
      <w:r>
        <w:t xml:space="preserve">, you </w:t>
      </w:r>
      <w:r w:rsidR="00FF62E9">
        <w:t xml:space="preserve">should </w:t>
      </w:r>
      <w:r w:rsidR="00FE6235">
        <w:t xml:space="preserve">contact ASQA </w:t>
      </w:r>
      <w:r w:rsidR="00A970EC">
        <w:t>for more information</w:t>
      </w:r>
      <w:r w:rsidR="00FE6235">
        <w:t xml:space="preserve">. </w:t>
      </w:r>
    </w:p>
    <w:p w14:paraId="7BF104BF" w14:textId="1A8A1EE3" w:rsidR="007C3230" w:rsidRPr="003A75C7" w:rsidRDefault="007C3230" w:rsidP="00D0077F">
      <w:pPr>
        <w:pStyle w:val="Heading3"/>
        <w:spacing w:before="0"/>
        <w:rPr>
          <w:b/>
          <w:bCs/>
          <w:i/>
          <w:iCs/>
          <w:color w:val="auto"/>
          <w:sz w:val="22"/>
          <w:szCs w:val="22"/>
        </w:rPr>
      </w:pPr>
      <w:r w:rsidRPr="003A75C7">
        <w:rPr>
          <w:b/>
          <w:bCs/>
          <w:i/>
          <w:iCs/>
          <w:color w:val="auto"/>
          <w:sz w:val="22"/>
          <w:szCs w:val="22"/>
        </w:rPr>
        <w:t xml:space="preserve">How did the </w:t>
      </w:r>
      <w:r w:rsidR="00591422" w:rsidRPr="003A75C7">
        <w:rPr>
          <w:b/>
          <w:bCs/>
          <w:i/>
          <w:iCs/>
          <w:color w:val="auto"/>
          <w:sz w:val="22"/>
          <w:szCs w:val="22"/>
        </w:rPr>
        <w:t xml:space="preserve">Minister </w:t>
      </w:r>
      <w:r w:rsidRPr="003A75C7">
        <w:rPr>
          <w:b/>
          <w:bCs/>
          <w:i/>
          <w:iCs/>
          <w:color w:val="auto"/>
          <w:sz w:val="22"/>
          <w:szCs w:val="22"/>
        </w:rPr>
        <w:t>decide on which courses to exempt?</w:t>
      </w:r>
    </w:p>
    <w:p w14:paraId="39B9FCE9" w14:textId="62A97B5D" w:rsidR="007C3230" w:rsidRDefault="007C3230" w:rsidP="00D0077F">
      <w:pPr>
        <w:spacing w:after="0"/>
      </w:pPr>
      <w:r>
        <w:t xml:space="preserve">In deciding which units to exempt, the department assessed each </w:t>
      </w:r>
      <w:r w:rsidR="00A33F65">
        <w:t>course</w:t>
      </w:r>
      <w:r w:rsidR="00C05576">
        <w:t xml:space="preserve"> proposed through the consultation process</w:t>
      </w:r>
      <w:r w:rsidR="00A33F65">
        <w:t xml:space="preserve"> </w:t>
      </w:r>
      <w:r>
        <w:t>against the original policy intent</w:t>
      </w:r>
      <w:r w:rsidR="00A33F65">
        <w:t xml:space="preserve"> to</w:t>
      </w:r>
      <w:r>
        <w:t xml:space="preserve">: </w:t>
      </w:r>
    </w:p>
    <w:p w14:paraId="2F283702" w14:textId="4FB2C0A6" w:rsidR="007C3230" w:rsidRDefault="007C3230" w:rsidP="007C3230">
      <w:pPr>
        <w:pStyle w:val="ListParagraph"/>
        <w:numPr>
          <w:ilvl w:val="0"/>
          <w:numId w:val="5"/>
        </w:numPr>
        <w:spacing w:line="240" w:lineRule="auto"/>
        <w:contextualSpacing w:val="0"/>
        <w:rPr>
          <w:rFonts w:eastAsia="Times New Roman"/>
        </w:rPr>
      </w:pPr>
      <w:r>
        <w:rPr>
          <w:rFonts w:eastAsia="Times New Roman"/>
        </w:rPr>
        <w:t>allow students to take supplementary courses such as hobby courses</w:t>
      </w:r>
      <w:r w:rsidR="00306C2D">
        <w:rPr>
          <w:rFonts w:eastAsia="Times New Roman"/>
        </w:rPr>
        <w:t>,</w:t>
      </w:r>
      <w:r>
        <w:rPr>
          <w:rFonts w:eastAsia="Times New Roman"/>
        </w:rPr>
        <w:t xml:space="preserve"> recreational courses and other short courses which may be required for employment while living in Australia; and</w:t>
      </w:r>
    </w:p>
    <w:p w14:paraId="34D322B1" w14:textId="19EDF30E" w:rsidR="007C3230" w:rsidRDefault="007A7A08" w:rsidP="007C3230">
      <w:pPr>
        <w:pStyle w:val="ListParagraph"/>
        <w:numPr>
          <w:ilvl w:val="0"/>
          <w:numId w:val="5"/>
        </w:numPr>
        <w:spacing w:after="0" w:line="240" w:lineRule="auto"/>
        <w:contextualSpacing w:val="0"/>
        <w:rPr>
          <w:rFonts w:eastAsia="Times New Roman"/>
        </w:rPr>
      </w:pPr>
      <w:r>
        <w:rPr>
          <w:rFonts w:eastAsia="Times New Roman"/>
        </w:rPr>
        <w:t>ensure</w:t>
      </w:r>
      <w:r w:rsidR="007C3230">
        <w:rPr>
          <w:rFonts w:eastAsia="Times New Roman"/>
        </w:rPr>
        <w:t xml:space="preserve"> higher education providers continue to register any course which leads to an award/qualification on CRICOS</w:t>
      </w:r>
      <w:r w:rsidR="00E837DD">
        <w:rPr>
          <w:rFonts w:eastAsia="Times New Roman"/>
        </w:rPr>
        <w:t xml:space="preserve"> </w:t>
      </w:r>
      <w:r w:rsidR="00E073DC">
        <w:rPr>
          <w:rFonts w:eastAsia="Times New Roman"/>
        </w:rPr>
        <w:t>and</w:t>
      </w:r>
      <w:r w:rsidR="007C3230">
        <w:rPr>
          <w:rFonts w:eastAsia="Times New Roman"/>
        </w:rPr>
        <w:t xml:space="preserve"> the following non-award courses: </w:t>
      </w:r>
    </w:p>
    <w:p w14:paraId="22E6A769" w14:textId="77777777" w:rsidR="007C3230" w:rsidRDefault="007C3230" w:rsidP="007C3230">
      <w:pPr>
        <w:pStyle w:val="ListParagraph"/>
        <w:numPr>
          <w:ilvl w:val="1"/>
          <w:numId w:val="5"/>
        </w:numPr>
        <w:spacing w:after="0" w:line="240" w:lineRule="auto"/>
        <w:contextualSpacing w:val="0"/>
        <w:rPr>
          <w:rFonts w:eastAsia="Times New Roman"/>
        </w:rPr>
      </w:pPr>
      <w:r>
        <w:rPr>
          <w:rFonts w:eastAsia="Times New Roman"/>
        </w:rPr>
        <w:t xml:space="preserve">an ELICOS; </w:t>
      </w:r>
    </w:p>
    <w:p w14:paraId="05B12916" w14:textId="77777777" w:rsidR="007C3230" w:rsidRDefault="007C3230" w:rsidP="007C3230">
      <w:pPr>
        <w:pStyle w:val="ListParagraph"/>
        <w:numPr>
          <w:ilvl w:val="1"/>
          <w:numId w:val="5"/>
        </w:numPr>
        <w:spacing w:after="0" w:line="240" w:lineRule="auto"/>
        <w:contextualSpacing w:val="0"/>
        <w:rPr>
          <w:rFonts w:eastAsia="Times New Roman"/>
        </w:rPr>
      </w:pPr>
      <w:r>
        <w:rPr>
          <w:rFonts w:eastAsia="Times New Roman"/>
        </w:rPr>
        <w:t>a Foundation Program;</w:t>
      </w:r>
    </w:p>
    <w:p w14:paraId="7881DE78" w14:textId="77777777" w:rsidR="007C3230" w:rsidRPr="00A550B5" w:rsidRDefault="007C3230" w:rsidP="007C3230">
      <w:pPr>
        <w:pStyle w:val="ListParagraph"/>
        <w:numPr>
          <w:ilvl w:val="1"/>
          <w:numId w:val="5"/>
        </w:numPr>
        <w:spacing w:after="0" w:line="240" w:lineRule="auto"/>
        <w:contextualSpacing w:val="0"/>
        <w:rPr>
          <w:rFonts w:eastAsia="Times New Roman"/>
        </w:rPr>
      </w:pPr>
      <w:r>
        <w:rPr>
          <w:rFonts w:eastAsia="Times New Roman"/>
        </w:rPr>
        <w:t xml:space="preserve">study abroad or </w:t>
      </w:r>
      <w:r w:rsidRPr="00A550B5">
        <w:rPr>
          <w:rFonts w:eastAsia="Times New Roman"/>
        </w:rPr>
        <w:t>student exchange;</w:t>
      </w:r>
    </w:p>
    <w:p w14:paraId="2940AB9D" w14:textId="77777777" w:rsidR="007C3230" w:rsidRDefault="007C3230" w:rsidP="007C3230">
      <w:pPr>
        <w:pStyle w:val="ListParagraph"/>
        <w:numPr>
          <w:ilvl w:val="1"/>
          <w:numId w:val="5"/>
        </w:numPr>
        <w:spacing w:after="0" w:line="240" w:lineRule="auto"/>
        <w:contextualSpacing w:val="0"/>
        <w:rPr>
          <w:rFonts w:eastAsia="Times New Roman"/>
        </w:rPr>
      </w:pPr>
      <w:r>
        <w:rPr>
          <w:rFonts w:eastAsia="Times New Roman"/>
        </w:rPr>
        <w:t xml:space="preserve">a tertiary coursework and research preparatory course; and </w:t>
      </w:r>
    </w:p>
    <w:p w14:paraId="771503B6" w14:textId="1BCC2EC8" w:rsidR="00AE54D2" w:rsidRPr="00E837DD" w:rsidRDefault="007C3230" w:rsidP="00AE54D2">
      <w:pPr>
        <w:pStyle w:val="ListParagraph"/>
        <w:numPr>
          <w:ilvl w:val="1"/>
          <w:numId w:val="5"/>
        </w:numPr>
        <w:spacing w:after="0" w:line="240" w:lineRule="auto"/>
        <w:contextualSpacing w:val="0"/>
        <w:rPr>
          <w:rFonts w:eastAsia="Times New Roman"/>
        </w:rPr>
      </w:pPr>
      <w:r>
        <w:rPr>
          <w:rFonts w:eastAsia="Times New Roman"/>
        </w:rPr>
        <w:t xml:space="preserve">a </w:t>
      </w:r>
      <w:r w:rsidRPr="00B72B90">
        <w:rPr>
          <w:rFonts w:eastAsia="Times New Roman"/>
        </w:rPr>
        <w:t xml:space="preserve">professional outcomes and placement courses. </w:t>
      </w:r>
    </w:p>
    <w:p w14:paraId="367F7490" w14:textId="77777777" w:rsidR="00E837DD" w:rsidRDefault="00E837DD" w:rsidP="007C3230">
      <w:pPr>
        <w:spacing w:after="0" w:line="240" w:lineRule="auto"/>
        <w:rPr>
          <w:rFonts w:eastAsia="Times New Roman"/>
          <w:b/>
          <w:bCs/>
          <w:i/>
          <w:iCs/>
        </w:rPr>
      </w:pPr>
    </w:p>
    <w:p w14:paraId="0D937B9F" w14:textId="032B7DA2" w:rsidR="007C3230" w:rsidRPr="003A75C7" w:rsidRDefault="007C3230" w:rsidP="00D0077F">
      <w:pPr>
        <w:pStyle w:val="Heading3"/>
        <w:spacing w:before="0"/>
        <w:rPr>
          <w:rFonts w:eastAsia="Times New Roman"/>
          <w:b/>
          <w:bCs/>
          <w:i/>
          <w:iCs/>
          <w:color w:val="auto"/>
          <w:sz w:val="22"/>
          <w:szCs w:val="22"/>
        </w:rPr>
      </w:pPr>
      <w:r w:rsidRPr="003A75C7">
        <w:rPr>
          <w:rFonts w:eastAsia="Times New Roman"/>
          <w:b/>
          <w:bCs/>
          <w:i/>
          <w:iCs/>
          <w:color w:val="auto"/>
          <w:sz w:val="22"/>
          <w:szCs w:val="22"/>
        </w:rPr>
        <w:t xml:space="preserve">I proposed units for exemption during the consultation </w:t>
      </w:r>
      <w:r w:rsidR="008C09BF" w:rsidRPr="003A75C7">
        <w:rPr>
          <w:rFonts w:eastAsia="Times New Roman"/>
          <w:b/>
          <w:bCs/>
          <w:i/>
          <w:iCs/>
          <w:color w:val="auto"/>
          <w:sz w:val="22"/>
          <w:szCs w:val="22"/>
        </w:rPr>
        <w:t>process,</w:t>
      </w:r>
      <w:r w:rsidRPr="003A75C7">
        <w:rPr>
          <w:rFonts w:eastAsia="Times New Roman"/>
          <w:b/>
          <w:bCs/>
          <w:i/>
          <w:iCs/>
          <w:color w:val="auto"/>
          <w:sz w:val="22"/>
          <w:szCs w:val="22"/>
        </w:rPr>
        <w:t xml:space="preserve"> </w:t>
      </w:r>
      <w:r w:rsidR="008C09BF" w:rsidRPr="003A75C7">
        <w:rPr>
          <w:rFonts w:eastAsia="Times New Roman"/>
          <w:b/>
          <w:bCs/>
          <w:i/>
          <w:iCs/>
          <w:color w:val="auto"/>
          <w:sz w:val="22"/>
          <w:szCs w:val="22"/>
        </w:rPr>
        <w:t xml:space="preserve">but they have not </w:t>
      </w:r>
      <w:r w:rsidRPr="003A75C7">
        <w:rPr>
          <w:rFonts w:eastAsia="Times New Roman"/>
          <w:b/>
          <w:bCs/>
          <w:i/>
          <w:iCs/>
          <w:color w:val="auto"/>
          <w:sz w:val="22"/>
          <w:szCs w:val="22"/>
        </w:rPr>
        <w:t>been added</w:t>
      </w:r>
      <w:r w:rsidR="008C09BF" w:rsidRPr="003A75C7">
        <w:rPr>
          <w:rFonts w:eastAsia="Times New Roman"/>
          <w:b/>
          <w:bCs/>
          <w:i/>
          <w:iCs/>
          <w:color w:val="auto"/>
          <w:sz w:val="22"/>
          <w:szCs w:val="22"/>
        </w:rPr>
        <w:t xml:space="preserve"> to the instrument</w:t>
      </w:r>
      <w:r w:rsidRPr="003A75C7">
        <w:rPr>
          <w:rFonts w:eastAsia="Times New Roman"/>
          <w:b/>
          <w:bCs/>
          <w:i/>
          <w:iCs/>
          <w:color w:val="auto"/>
          <w:sz w:val="22"/>
          <w:szCs w:val="22"/>
        </w:rPr>
        <w:t>. Why?</w:t>
      </w:r>
    </w:p>
    <w:p w14:paraId="1360B897" w14:textId="1DEA75B2" w:rsidR="007C3230" w:rsidRDefault="008C09BF" w:rsidP="00D0077F">
      <w:pPr>
        <w:spacing w:after="0" w:line="240" w:lineRule="auto"/>
        <w:rPr>
          <w:rFonts w:eastAsia="Times New Roman"/>
        </w:rPr>
      </w:pPr>
      <w:r>
        <w:rPr>
          <w:rFonts w:eastAsia="Times New Roman"/>
        </w:rPr>
        <w:t xml:space="preserve">The </w:t>
      </w:r>
      <w:r w:rsidR="00591422">
        <w:rPr>
          <w:rFonts w:eastAsia="Times New Roman"/>
        </w:rPr>
        <w:t xml:space="preserve">Minister’s </w:t>
      </w:r>
      <w:r>
        <w:rPr>
          <w:rFonts w:eastAsia="Times New Roman"/>
        </w:rPr>
        <w:t xml:space="preserve">decision not to exempt certain </w:t>
      </w:r>
      <w:r w:rsidR="00085446">
        <w:rPr>
          <w:rFonts w:eastAsia="Times New Roman"/>
        </w:rPr>
        <w:t>v</w:t>
      </w:r>
      <w:r w:rsidR="00085446" w:rsidRPr="00580B40">
        <w:rPr>
          <w:rFonts w:eastAsia="Times New Roman"/>
        </w:rPr>
        <w:t xml:space="preserve">ocational </w:t>
      </w:r>
      <w:r w:rsidR="00085446">
        <w:rPr>
          <w:rFonts w:eastAsia="Times New Roman"/>
        </w:rPr>
        <w:t>e</w:t>
      </w:r>
      <w:r w:rsidR="00085446" w:rsidRPr="00580B40">
        <w:rPr>
          <w:rFonts w:eastAsia="Times New Roman"/>
        </w:rPr>
        <w:t xml:space="preserve">ducation </w:t>
      </w:r>
      <w:r w:rsidR="00580B40" w:rsidRPr="00580B40">
        <w:rPr>
          <w:rFonts w:eastAsia="Times New Roman"/>
        </w:rPr>
        <w:t xml:space="preserve">and </w:t>
      </w:r>
      <w:r w:rsidR="00085446">
        <w:rPr>
          <w:rFonts w:eastAsia="Times New Roman"/>
        </w:rPr>
        <w:t>t</w:t>
      </w:r>
      <w:r w:rsidR="00085446" w:rsidRPr="00580B40">
        <w:rPr>
          <w:rFonts w:eastAsia="Times New Roman"/>
        </w:rPr>
        <w:t xml:space="preserve">raining </w:t>
      </w:r>
      <w:r w:rsidR="00580B40">
        <w:rPr>
          <w:rFonts w:eastAsia="Times New Roman"/>
        </w:rPr>
        <w:t>(</w:t>
      </w:r>
      <w:r>
        <w:rPr>
          <w:rFonts w:eastAsia="Times New Roman"/>
        </w:rPr>
        <w:t>VET</w:t>
      </w:r>
      <w:r w:rsidR="00580B40">
        <w:rPr>
          <w:rFonts w:eastAsia="Times New Roman"/>
        </w:rPr>
        <w:t>)</w:t>
      </w:r>
      <w:r>
        <w:rPr>
          <w:rFonts w:eastAsia="Times New Roman"/>
        </w:rPr>
        <w:t xml:space="preserve"> </w:t>
      </w:r>
      <w:r w:rsidR="00591422">
        <w:rPr>
          <w:rFonts w:eastAsia="Times New Roman"/>
        </w:rPr>
        <w:t xml:space="preserve">courses </w:t>
      </w:r>
      <w:r>
        <w:rPr>
          <w:rFonts w:eastAsia="Times New Roman"/>
        </w:rPr>
        <w:t xml:space="preserve">identified through consultation </w:t>
      </w:r>
      <w:r w:rsidR="00580B40">
        <w:rPr>
          <w:rFonts w:eastAsia="Times New Roman"/>
        </w:rPr>
        <w:t xml:space="preserve">was </w:t>
      </w:r>
      <w:r>
        <w:rPr>
          <w:rFonts w:eastAsia="Times New Roman"/>
        </w:rPr>
        <w:t xml:space="preserve">based on </w:t>
      </w:r>
      <w:r w:rsidR="00580B40">
        <w:rPr>
          <w:rFonts w:eastAsia="Times New Roman"/>
        </w:rPr>
        <w:t xml:space="preserve">one or all of </w:t>
      </w:r>
      <w:r>
        <w:rPr>
          <w:rFonts w:eastAsia="Times New Roman"/>
        </w:rPr>
        <w:t>the following reasons:</w:t>
      </w:r>
    </w:p>
    <w:p w14:paraId="280375B8" w14:textId="31A3A8E5" w:rsidR="008C09BF" w:rsidRDefault="00580B40" w:rsidP="008C09BF">
      <w:pPr>
        <w:pStyle w:val="ListParagraph"/>
        <w:numPr>
          <w:ilvl w:val="0"/>
          <w:numId w:val="16"/>
        </w:numPr>
        <w:spacing w:before="240" w:after="0" w:line="240" w:lineRule="auto"/>
        <w:rPr>
          <w:rFonts w:eastAsia="Times New Roman"/>
        </w:rPr>
      </w:pPr>
      <w:r>
        <w:rPr>
          <w:rFonts w:eastAsia="Times New Roman"/>
        </w:rPr>
        <w:t>supplementary course</w:t>
      </w:r>
      <w:r w:rsidR="000D5183">
        <w:rPr>
          <w:rFonts w:eastAsia="Times New Roman"/>
        </w:rPr>
        <w:t>s</w:t>
      </w:r>
      <w:r>
        <w:rPr>
          <w:rFonts w:eastAsia="Times New Roman"/>
        </w:rPr>
        <w:t xml:space="preserve"> </w:t>
      </w:r>
      <w:r w:rsidR="008C09BF">
        <w:rPr>
          <w:rFonts w:eastAsia="Times New Roman"/>
        </w:rPr>
        <w:t>were not an identified specific VET unit of competency;</w:t>
      </w:r>
    </w:p>
    <w:p w14:paraId="4DD78FDF" w14:textId="77FAA51E" w:rsidR="008C09BF" w:rsidRDefault="00580B40" w:rsidP="008C09BF">
      <w:pPr>
        <w:pStyle w:val="ListParagraph"/>
        <w:numPr>
          <w:ilvl w:val="0"/>
          <w:numId w:val="16"/>
        </w:numPr>
        <w:spacing w:before="240" w:after="0" w:line="240" w:lineRule="auto"/>
        <w:rPr>
          <w:rFonts w:eastAsia="Times New Roman"/>
        </w:rPr>
      </w:pPr>
      <w:r>
        <w:rPr>
          <w:rFonts w:eastAsia="Times New Roman"/>
        </w:rPr>
        <w:t xml:space="preserve">courses </w:t>
      </w:r>
      <w:r w:rsidR="008C09BF">
        <w:rPr>
          <w:rFonts w:eastAsia="Times New Roman"/>
        </w:rPr>
        <w:t>did not attract broad support from the sector;</w:t>
      </w:r>
    </w:p>
    <w:p w14:paraId="01F7AC89" w14:textId="2829A4DE" w:rsidR="008C09BF" w:rsidRDefault="00F9088D" w:rsidP="008C09BF">
      <w:pPr>
        <w:pStyle w:val="ListParagraph"/>
        <w:numPr>
          <w:ilvl w:val="0"/>
          <w:numId w:val="16"/>
        </w:numPr>
        <w:spacing w:before="240" w:after="0" w:line="240" w:lineRule="auto"/>
        <w:rPr>
          <w:rFonts w:eastAsia="Times New Roman"/>
        </w:rPr>
      </w:pPr>
      <w:r>
        <w:rPr>
          <w:rFonts w:eastAsia="Times New Roman"/>
        </w:rPr>
        <w:t xml:space="preserve">courses </w:t>
      </w:r>
      <w:r w:rsidR="008C09BF">
        <w:rPr>
          <w:rFonts w:eastAsia="Times New Roman"/>
        </w:rPr>
        <w:t>were not identified by the sector as being specifically required for employment purposes in industries international students</w:t>
      </w:r>
      <w:r w:rsidR="006A1362">
        <w:rPr>
          <w:rFonts w:eastAsia="Times New Roman"/>
        </w:rPr>
        <w:t xml:space="preserve"> usually </w:t>
      </w:r>
      <w:r w:rsidR="008C09BF">
        <w:rPr>
          <w:rFonts w:eastAsia="Times New Roman"/>
        </w:rPr>
        <w:t>work</w:t>
      </w:r>
      <w:r w:rsidR="000D2ED6">
        <w:rPr>
          <w:rFonts w:eastAsia="Times New Roman"/>
        </w:rPr>
        <w:t xml:space="preserve"> in</w:t>
      </w:r>
      <w:r w:rsidR="008C09BF">
        <w:rPr>
          <w:rFonts w:eastAsia="Times New Roman"/>
        </w:rPr>
        <w:t xml:space="preserve"> whil</w:t>
      </w:r>
      <w:r w:rsidR="006A1362">
        <w:rPr>
          <w:rFonts w:eastAsia="Times New Roman"/>
        </w:rPr>
        <w:t>e</w:t>
      </w:r>
      <w:r w:rsidR="008C09BF">
        <w:rPr>
          <w:rFonts w:eastAsia="Times New Roman"/>
        </w:rPr>
        <w:t xml:space="preserve"> studying in Australia;</w:t>
      </w:r>
    </w:p>
    <w:p w14:paraId="1152488D" w14:textId="0F9960B5" w:rsidR="008C09BF" w:rsidRDefault="008C09BF" w:rsidP="008C09BF">
      <w:pPr>
        <w:pStyle w:val="ListParagraph"/>
        <w:numPr>
          <w:ilvl w:val="0"/>
          <w:numId w:val="16"/>
        </w:numPr>
        <w:spacing w:before="240" w:after="0" w:line="240" w:lineRule="auto"/>
        <w:rPr>
          <w:rFonts w:eastAsia="Times New Roman"/>
        </w:rPr>
      </w:pPr>
      <w:r>
        <w:rPr>
          <w:rFonts w:eastAsia="Times New Roman"/>
        </w:rPr>
        <w:t>there is no</w:t>
      </w:r>
      <w:r w:rsidR="00E837DD">
        <w:rPr>
          <w:rFonts w:eastAsia="Times New Roman"/>
        </w:rPr>
        <w:t xml:space="preserve"> clear evidence </w:t>
      </w:r>
      <w:r w:rsidR="00901333">
        <w:rPr>
          <w:rFonts w:eastAsia="Times New Roman"/>
        </w:rPr>
        <w:t>the course will</w:t>
      </w:r>
      <w:r>
        <w:rPr>
          <w:rFonts w:eastAsia="Times New Roman"/>
        </w:rPr>
        <w:t xml:space="preserve"> enhance overseas students’ employment prospects and</w:t>
      </w:r>
      <w:r w:rsidR="000D2ED6">
        <w:rPr>
          <w:rFonts w:eastAsia="Times New Roman"/>
        </w:rPr>
        <w:t>/or</w:t>
      </w:r>
      <w:r>
        <w:rPr>
          <w:rFonts w:eastAsia="Times New Roman"/>
        </w:rPr>
        <w:t xml:space="preserve"> experience;</w:t>
      </w:r>
    </w:p>
    <w:p w14:paraId="12D7881C" w14:textId="33BB216D" w:rsidR="008C09BF" w:rsidRDefault="008C09BF" w:rsidP="008C09BF">
      <w:pPr>
        <w:pStyle w:val="ListParagraph"/>
        <w:numPr>
          <w:ilvl w:val="0"/>
          <w:numId w:val="16"/>
        </w:numPr>
        <w:spacing w:before="240" w:after="0" w:line="240" w:lineRule="auto"/>
        <w:rPr>
          <w:rFonts w:eastAsia="Times New Roman"/>
        </w:rPr>
      </w:pPr>
      <w:r>
        <w:rPr>
          <w:rFonts w:eastAsia="Times New Roman"/>
        </w:rPr>
        <w:t>several units (i.e. more than two or three) are required before a student is qualified to undertake employment</w:t>
      </w:r>
      <w:r w:rsidR="007A5746">
        <w:rPr>
          <w:rFonts w:eastAsia="Times New Roman"/>
        </w:rPr>
        <w:t xml:space="preserve"> in that field</w:t>
      </w:r>
      <w:r>
        <w:rPr>
          <w:rFonts w:eastAsia="Times New Roman"/>
        </w:rPr>
        <w:t>; or</w:t>
      </w:r>
    </w:p>
    <w:p w14:paraId="37CA10FD" w14:textId="7B98EAFA" w:rsidR="008C09BF" w:rsidRDefault="00F9088D" w:rsidP="008C09BF">
      <w:pPr>
        <w:pStyle w:val="ListParagraph"/>
        <w:numPr>
          <w:ilvl w:val="0"/>
          <w:numId w:val="16"/>
        </w:numPr>
        <w:spacing w:before="240" w:after="0" w:line="240" w:lineRule="auto"/>
        <w:rPr>
          <w:rFonts w:eastAsia="Times New Roman"/>
        </w:rPr>
      </w:pPr>
      <w:r>
        <w:rPr>
          <w:rFonts w:eastAsia="Times New Roman"/>
        </w:rPr>
        <w:t xml:space="preserve">courses do </w:t>
      </w:r>
      <w:r w:rsidR="008C09BF">
        <w:rPr>
          <w:rFonts w:eastAsia="Times New Roman"/>
        </w:rPr>
        <w:t xml:space="preserve">not satisfy a risk assessment undertaken by the department, where it is deemed there may be a potential risk to a student’s study load, visa integrity or it does not align with broader policy intent. </w:t>
      </w:r>
    </w:p>
    <w:p w14:paraId="7A2C29EC" w14:textId="4BB96DB7" w:rsidR="003B4160" w:rsidRPr="008C0177" w:rsidRDefault="008C09BF" w:rsidP="00B173E5">
      <w:pPr>
        <w:spacing w:before="240" w:after="0" w:line="240" w:lineRule="auto"/>
      </w:pPr>
      <w:r>
        <w:rPr>
          <w:rFonts w:eastAsia="Times New Roman"/>
        </w:rPr>
        <w:t xml:space="preserve">All other </w:t>
      </w:r>
      <w:r w:rsidR="00591422">
        <w:rPr>
          <w:rFonts w:eastAsia="Times New Roman"/>
        </w:rPr>
        <w:t xml:space="preserve">courses </w:t>
      </w:r>
      <w:r>
        <w:rPr>
          <w:rFonts w:eastAsia="Times New Roman"/>
        </w:rPr>
        <w:t>proposed for exemption</w:t>
      </w:r>
      <w:r w:rsidR="00F87645">
        <w:rPr>
          <w:rFonts w:eastAsia="Times New Roman"/>
        </w:rPr>
        <w:t xml:space="preserve"> during consultation</w:t>
      </w:r>
      <w:r w:rsidR="00F87645" w:rsidRPr="00F87645">
        <w:rPr>
          <w:rFonts w:eastAsia="Times New Roman"/>
        </w:rPr>
        <w:t xml:space="preserve"> </w:t>
      </w:r>
      <w:r w:rsidR="00F87645">
        <w:rPr>
          <w:rFonts w:eastAsia="Times New Roman"/>
        </w:rPr>
        <w:t>with the sector</w:t>
      </w:r>
      <w:r>
        <w:rPr>
          <w:rFonts w:eastAsia="Times New Roman"/>
        </w:rPr>
        <w:t xml:space="preserve">, but </w:t>
      </w:r>
      <w:r w:rsidR="00D7535A">
        <w:rPr>
          <w:rFonts w:eastAsia="Times New Roman"/>
        </w:rPr>
        <w:t xml:space="preserve">not </w:t>
      </w:r>
      <w:r>
        <w:rPr>
          <w:rFonts w:eastAsia="Times New Roman"/>
        </w:rPr>
        <w:t xml:space="preserve">added to the instrument, may be considered for exemption by the department at a later date </w:t>
      </w:r>
      <w:r w:rsidR="000D5183">
        <w:rPr>
          <w:rFonts w:eastAsia="Times New Roman"/>
        </w:rPr>
        <w:t>in respon</w:t>
      </w:r>
      <w:r w:rsidR="00D0077F">
        <w:rPr>
          <w:rFonts w:eastAsia="Times New Roman"/>
        </w:rPr>
        <w:t>se</w:t>
      </w:r>
      <w:r w:rsidR="000D5183">
        <w:rPr>
          <w:rFonts w:eastAsia="Times New Roman"/>
        </w:rPr>
        <w:t xml:space="preserve"> </w:t>
      </w:r>
      <w:r w:rsidR="00F87645">
        <w:rPr>
          <w:rFonts w:eastAsia="Times New Roman"/>
        </w:rPr>
        <w:t>to</w:t>
      </w:r>
      <w:r w:rsidR="00440916">
        <w:rPr>
          <w:rFonts w:eastAsia="Times New Roman"/>
        </w:rPr>
        <w:t xml:space="preserve"> emerging</w:t>
      </w:r>
      <w:r>
        <w:rPr>
          <w:rFonts w:eastAsia="Times New Roman"/>
        </w:rPr>
        <w:t xml:space="preserve"> student needs</w:t>
      </w:r>
      <w:r w:rsidR="000D5183">
        <w:rPr>
          <w:rFonts w:eastAsia="Times New Roman"/>
        </w:rPr>
        <w:t>,</w:t>
      </w:r>
      <w:r>
        <w:rPr>
          <w:rFonts w:eastAsia="Times New Roman"/>
        </w:rPr>
        <w:t xml:space="preserve"> and </w:t>
      </w:r>
      <w:r w:rsidR="00F87645">
        <w:rPr>
          <w:rFonts w:eastAsia="Times New Roman"/>
        </w:rPr>
        <w:t xml:space="preserve">if </w:t>
      </w:r>
      <w:r w:rsidR="00440916">
        <w:rPr>
          <w:rFonts w:eastAsia="Times New Roman"/>
        </w:rPr>
        <w:t xml:space="preserve">there is </w:t>
      </w:r>
      <w:r>
        <w:rPr>
          <w:rFonts w:eastAsia="Times New Roman"/>
        </w:rPr>
        <w:t xml:space="preserve">broad </w:t>
      </w:r>
      <w:r w:rsidR="0007501D">
        <w:rPr>
          <w:rFonts w:eastAsia="Times New Roman"/>
        </w:rPr>
        <w:t xml:space="preserve">sector and/or industry </w:t>
      </w:r>
      <w:r>
        <w:rPr>
          <w:rFonts w:eastAsia="Times New Roman"/>
        </w:rPr>
        <w:t xml:space="preserve">support. </w:t>
      </w:r>
      <w:bookmarkEnd w:id="0"/>
      <w:bookmarkEnd w:id="3"/>
    </w:p>
    <w:sectPr w:rsidR="003B4160" w:rsidRPr="008C0177" w:rsidSect="003A7323">
      <w:type w:val="continuous"/>
      <w:pgSz w:w="11906" w:h="16838"/>
      <w:pgMar w:top="1276" w:right="1440" w:bottom="993" w:left="1440"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396E0" w14:textId="77777777" w:rsidR="007E709B" w:rsidRDefault="007E709B" w:rsidP="0051352E">
      <w:pPr>
        <w:spacing w:after="0" w:line="240" w:lineRule="auto"/>
      </w:pPr>
      <w:r>
        <w:separator/>
      </w:r>
    </w:p>
  </w:endnote>
  <w:endnote w:type="continuationSeparator" w:id="0">
    <w:p w14:paraId="4AB37BC0" w14:textId="77777777" w:rsidR="007E709B" w:rsidRDefault="007E709B"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4138450"/>
      <w:docPartObj>
        <w:docPartGallery w:val="Page Numbers (Bottom of Page)"/>
        <w:docPartUnique/>
      </w:docPartObj>
    </w:sdtPr>
    <w:sdtEndPr/>
    <w:sdtContent>
      <w:sdt>
        <w:sdtPr>
          <w:id w:val="-1769616900"/>
          <w:docPartObj>
            <w:docPartGallery w:val="Page Numbers (Top of Page)"/>
            <w:docPartUnique/>
          </w:docPartObj>
        </w:sdtPr>
        <w:sdtEndPr/>
        <w:sdtContent>
          <w:p w14:paraId="2F73E6CF" w14:textId="26B17DB9" w:rsidR="00AC5308" w:rsidRDefault="00A86CAF">
            <w:r>
              <w:rPr>
                <w:sz w:val="20"/>
                <w:szCs w:val="20"/>
              </w:rPr>
              <w:tab/>
            </w:r>
            <w:r w:rsidR="00322D58">
              <w:t xml:space="preserve">Page </w:t>
            </w:r>
            <w:r w:rsidR="00322D58">
              <w:rPr>
                <w:b/>
                <w:bCs/>
                <w:sz w:val="24"/>
                <w:szCs w:val="24"/>
              </w:rPr>
              <w:fldChar w:fldCharType="begin"/>
            </w:r>
            <w:r w:rsidR="00322D58">
              <w:rPr>
                <w:b/>
                <w:bCs/>
              </w:rPr>
              <w:instrText xml:space="preserve"> PAGE </w:instrText>
            </w:r>
            <w:r w:rsidR="00322D58">
              <w:rPr>
                <w:b/>
                <w:bCs/>
                <w:sz w:val="24"/>
                <w:szCs w:val="24"/>
              </w:rPr>
              <w:fldChar w:fldCharType="separate"/>
            </w:r>
            <w:r w:rsidR="00322D58">
              <w:rPr>
                <w:b/>
                <w:bCs/>
                <w:noProof/>
              </w:rPr>
              <w:t>2</w:t>
            </w:r>
            <w:r w:rsidR="00322D58">
              <w:rPr>
                <w:b/>
                <w:bCs/>
                <w:sz w:val="24"/>
                <w:szCs w:val="24"/>
              </w:rPr>
              <w:fldChar w:fldCharType="end"/>
            </w:r>
            <w:r w:rsidR="00322D58">
              <w:t xml:space="preserve"> of </w:t>
            </w:r>
            <w:r w:rsidR="00322D58">
              <w:rPr>
                <w:b/>
                <w:bCs/>
                <w:sz w:val="24"/>
                <w:szCs w:val="24"/>
              </w:rPr>
              <w:fldChar w:fldCharType="begin"/>
            </w:r>
            <w:r w:rsidR="00322D58">
              <w:rPr>
                <w:b/>
                <w:bCs/>
              </w:rPr>
              <w:instrText xml:space="preserve"> NUMPAGES  </w:instrText>
            </w:r>
            <w:r w:rsidR="00322D58">
              <w:rPr>
                <w:b/>
                <w:bCs/>
                <w:sz w:val="24"/>
                <w:szCs w:val="24"/>
              </w:rPr>
              <w:fldChar w:fldCharType="separate"/>
            </w:r>
            <w:r w:rsidR="00322D58">
              <w:rPr>
                <w:b/>
                <w:bCs/>
                <w:noProof/>
              </w:rPr>
              <w:t>2</w:t>
            </w:r>
            <w:r w:rsidR="00322D58">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69A39" w14:textId="77777777" w:rsidR="007E709B" w:rsidRDefault="007E709B" w:rsidP="0051352E">
      <w:pPr>
        <w:spacing w:after="0" w:line="240" w:lineRule="auto"/>
      </w:pPr>
      <w:r>
        <w:separator/>
      </w:r>
    </w:p>
  </w:footnote>
  <w:footnote w:type="continuationSeparator" w:id="0">
    <w:p w14:paraId="073583CF" w14:textId="77777777" w:rsidR="007E709B" w:rsidRDefault="007E709B"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7E690" w14:textId="1FA89DF3" w:rsidR="00322D58" w:rsidRPr="00CD2C82" w:rsidRDefault="00CD2C82" w:rsidP="00CD2C82">
    <w:pPr>
      <w:pStyle w:val="Header"/>
      <w:jc w:val="right"/>
    </w:pPr>
    <w:r w:rsidRPr="00CD2C82">
      <w:rPr>
        <w:rFonts w:cstheme="minorHAnsi"/>
        <w:b/>
        <w:bCs/>
        <w:sz w:val="18"/>
        <w:szCs w:val="18"/>
      </w:rPr>
      <w:t>ESOS Supplementary Courses Fact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128D2"/>
    <w:multiLevelType w:val="hybridMultilevel"/>
    <w:tmpl w:val="60DEA8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693699C"/>
    <w:multiLevelType w:val="hybridMultilevel"/>
    <w:tmpl w:val="98C8BC2A"/>
    <w:lvl w:ilvl="0" w:tplc="0D74929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330D66"/>
    <w:multiLevelType w:val="hybridMultilevel"/>
    <w:tmpl w:val="5A3053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F1729C"/>
    <w:multiLevelType w:val="hybridMultilevel"/>
    <w:tmpl w:val="2E42FC9C"/>
    <w:lvl w:ilvl="0" w:tplc="0D74929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C73894"/>
    <w:multiLevelType w:val="hybridMultilevel"/>
    <w:tmpl w:val="881C1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EC14B1"/>
    <w:multiLevelType w:val="hybridMultilevel"/>
    <w:tmpl w:val="EBB2A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1F22B0C"/>
    <w:multiLevelType w:val="hybridMultilevel"/>
    <w:tmpl w:val="A5F636CC"/>
    <w:lvl w:ilvl="0" w:tplc="A8CAB8AC">
      <w:start w:val="1"/>
      <w:numFmt w:val="decimal"/>
      <w:lvlText w:val="(%1)"/>
      <w:lvlJc w:val="left"/>
      <w:pPr>
        <w:ind w:left="720" w:hanging="360"/>
      </w:pPr>
      <w:rPr>
        <w:rFonts w:hint="default"/>
      </w:rPr>
    </w:lvl>
    <w:lvl w:ilvl="1" w:tplc="9F2A9260">
      <w:start w:val="1"/>
      <w:numFmt w:val="lowerLetter"/>
      <w:lvlText w:val="(%2)"/>
      <w:lvlJc w:val="left"/>
      <w:pPr>
        <w:ind w:left="1440" w:hanging="360"/>
      </w:pPr>
      <w:rPr>
        <w:rFonts w:hint="default"/>
      </w:rPr>
    </w:lvl>
    <w:lvl w:ilvl="2" w:tplc="78780B9A">
      <w:start w:val="1"/>
      <w:numFmt w:val="lowerRoman"/>
      <w:lvlText w:val="%3)"/>
      <w:lvlJc w:val="left"/>
      <w:pPr>
        <w:ind w:left="2700" w:hanging="720"/>
      </w:pPr>
      <w:rPr>
        <w:rFonts w:hint="default"/>
      </w:rPr>
    </w:lvl>
    <w:lvl w:ilvl="3" w:tplc="C248CB2C">
      <w:start w:val="1"/>
      <w:numFmt w:val="lowerRoman"/>
      <w:lvlText w:val="(%4)"/>
      <w:lvlJc w:val="left"/>
      <w:pPr>
        <w:ind w:left="3240"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A04301"/>
    <w:multiLevelType w:val="hybridMultilevel"/>
    <w:tmpl w:val="94C84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655BF2"/>
    <w:multiLevelType w:val="hybridMultilevel"/>
    <w:tmpl w:val="426C9D82"/>
    <w:lvl w:ilvl="0" w:tplc="9F2A926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507019CF"/>
    <w:multiLevelType w:val="hybridMultilevel"/>
    <w:tmpl w:val="9FC02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B5242A"/>
    <w:multiLevelType w:val="hybridMultilevel"/>
    <w:tmpl w:val="6ABC288E"/>
    <w:lvl w:ilvl="0" w:tplc="B60C624A">
      <w:start w:val="1"/>
      <w:numFmt w:val="decimal"/>
      <w:pStyle w:val="ECPoint"/>
      <w:lvlText w:val="%1."/>
      <w:lvlJc w:val="left"/>
      <w:pPr>
        <w:ind w:left="-207"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2FD09082">
      <w:start w:val="1"/>
      <w:numFmt w:val="lowerLetter"/>
      <w:lvlText w:val="%2."/>
      <w:lvlJc w:val="left"/>
      <w:pPr>
        <w:ind w:left="513" w:hanging="360"/>
      </w:pPr>
    </w:lvl>
    <w:lvl w:ilvl="2" w:tplc="4EAA434A" w:tentative="1">
      <w:start w:val="1"/>
      <w:numFmt w:val="lowerRoman"/>
      <w:lvlText w:val="%3."/>
      <w:lvlJc w:val="right"/>
      <w:pPr>
        <w:ind w:left="1233" w:hanging="180"/>
      </w:pPr>
    </w:lvl>
    <w:lvl w:ilvl="3" w:tplc="F89E61BE" w:tentative="1">
      <w:start w:val="1"/>
      <w:numFmt w:val="decimal"/>
      <w:lvlText w:val="%4."/>
      <w:lvlJc w:val="left"/>
      <w:pPr>
        <w:ind w:left="1953" w:hanging="360"/>
      </w:pPr>
    </w:lvl>
    <w:lvl w:ilvl="4" w:tplc="2DC2E770" w:tentative="1">
      <w:start w:val="1"/>
      <w:numFmt w:val="lowerLetter"/>
      <w:lvlText w:val="%5."/>
      <w:lvlJc w:val="left"/>
      <w:pPr>
        <w:ind w:left="2673" w:hanging="360"/>
      </w:pPr>
    </w:lvl>
    <w:lvl w:ilvl="5" w:tplc="3306DC10" w:tentative="1">
      <w:start w:val="1"/>
      <w:numFmt w:val="lowerRoman"/>
      <w:lvlText w:val="%6."/>
      <w:lvlJc w:val="right"/>
      <w:pPr>
        <w:ind w:left="3393" w:hanging="180"/>
      </w:pPr>
    </w:lvl>
    <w:lvl w:ilvl="6" w:tplc="0318109E" w:tentative="1">
      <w:start w:val="1"/>
      <w:numFmt w:val="decimal"/>
      <w:lvlText w:val="%7."/>
      <w:lvlJc w:val="left"/>
      <w:pPr>
        <w:ind w:left="4113" w:hanging="360"/>
      </w:pPr>
    </w:lvl>
    <w:lvl w:ilvl="7" w:tplc="ED90477A" w:tentative="1">
      <w:start w:val="1"/>
      <w:numFmt w:val="lowerLetter"/>
      <w:lvlText w:val="%8."/>
      <w:lvlJc w:val="left"/>
      <w:pPr>
        <w:ind w:left="4833" w:hanging="360"/>
      </w:pPr>
    </w:lvl>
    <w:lvl w:ilvl="8" w:tplc="6AC23446" w:tentative="1">
      <w:start w:val="1"/>
      <w:numFmt w:val="lowerRoman"/>
      <w:lvlText w:val="%9."/>
      <w:lvlJc w:val="right"/>
      <w:pPr>
        <w:ind w:left="5553" w:hanging="180"/>
      </w:pPr>
    </w:lvl>
  </w:abstractNum>
  <w:abstractNum w:abstractNumId="14" w15:restartNumberingAfterBreak="0">
    <w:nsid w:val="60AA1E59"/>
    <w:multiLevelType w:val="hybridMultilevel"/>
    <w:tmpl w:val="0E9E0176"/>
    <w:lvl w:ilvl="0" w:tplc="9BE4E93A">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5" w15:restartNumberingAfterBreak="0">
    <w:nsid w:val="64C355AD"/>
    <w:multiLevelType w:val="hybridMultilevel"/>
    <w:tmpl w:val="420E75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9077FC2"/>
    <w:multiLevelType w:val="hybridMultilevel"/>
    <w:tmpl w:val="29B0942A"/>
    <w:lvl w:ilvl="0" w:tplc="9F2A92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4582C25"/>
    <w:multiLevelType w:val="hybridMultilevel"/>
    <w:tmpl w:val="705CD41E"/>
    <w:lvl w:ilvl="0" w:tplc="37A05550">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76486EE6"/>
    <w:multiLevelType w:val="hybridMultilevel"/>
    <w:tmpl w:val="0C56A9C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557257"/>
    <w:multiLevelType w:val="hybridMultilevel"/>
    <w:tmpl w:val="111A6BA4"/>
    <w:lvl w:ilvl="0" w:tplc="04D6D94E">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2"/>
  </w:num>
  <w:num w:numId="2">
    <w:abstractNumId w:val="6"/>
  </w:num>
  <w:num w:numId="3">
    <w:abstractNumId w:val="8"/>
  </w:num>
  <w:num w:numId="4">
    <w:abstractNumId w:val="13"/>
  </w:num>
  <w:num w:numId="5">
    <w:abstractNumId w:val="0"/>
  </w:num>
  <w:num w:numId="6">
    <w:abstractNumId w:val="12"/>
  </w:num>
  <w:num w:numId="7">
    <w:abstractNumId w:val="15"/>
  </w:num>
  <w:num w:numId="8">
    <w:abstractNumId w:val="7"/>
  </w:num>
  <w:num w:numId="9">
    <w:abstractNumId w:val="14"/>
  </w:num>
  <w:num w:numId="10">
    <w:abstractNumId w:val="9"/>
  </w:num>
  <w:num w:numId="11">
    <w:abstractNumId w:val="11"/>
  </w:num>
  <w:num w:numId="12">
    <w:abstractNumId w:val="17"/>
  </w:num>
  <w:num w:numId="13">
    <w:abstractNumId w:val="16"/>
  </w:num>
  <w:num w:numId="14">
    <w:abstractNumId w:val="19"/>
  </w:num>
  <w:num w:numId="15">
    <w:abstractNumId w:val="10"/>
  </w:num>
  <w:num w:numId="16">
    <w:abstractNumId w:val="5"/>
  </w:num>
  <w:num w:numId="17">
    <w:abstractNumId w:val="1"/>
  </w:num>
  <w:num w:numId="18">
    <w:abstractNumId w:val="4"/>
  </w:num>
  <w:num w:numId="19">
    <w:abstractNumId w:val="18"/>
  </w:num>
  <w:num w:numId="2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A021F73-B5F2-429D-A5E1-3715D22602EB}"/>
    <w:docVar w:name="dgnword-eventsink" w:val="1557080061312"/>
  </w:docVars>
  <w:rsids>
    <w:rsidRoot w:val="008E2291"/>
    <w:rsid w:val="00007501"/>
    <w:rsid w:val="0001371E"/>
    <w:rsid w:val="00014B46"/>
    <w:rsid w:val="000150F0"/>
    <w:rsid w:val="00022D57"/>
    <w:rsid w:val="00031E45"/>
    <w:rsid w:val="00035A9E"/>
    <w:rsid w:val="000367A8"/>
    <w:rsid w:val="0004492C"/>
    <w:rsid w:val="00045B87"/>
    <w:rsid w:val="00052A5D"/>
    <w:rsid w:val="00052BBC"/>
    <w:rsid w:val="00056508"/>
    <w:rsid w:val="00061AEB"/>
    <w:rsid w:val="00063A97"/>
    <w:rsid w:val="0006423F"/>
    <w:rsid w:val="000643DE"/>
    <w:rsid w:val="000652E3"/>
    <w:rsid w:val="00066AF8"/>
    <w:rsid w:val="00066BB0"/>
    <w:rsid w:val="0007501D"/>
    <w:rsid w:val="00075E78"/>
    <w:rsid w:val="0007666B"/>
    <w:rsid w:val="000804C0"/>
    <w:rsid w:val="00080E6D"/>
    <w:rsid w:val="000847DB"/>
    <w:rsid w:val="00085446"/>
    <w:rsid w:val="00093732"/>
    <w:rsid w:val="000939FD"/>
    <w:rsid w:val="00096A5C"/>
    <w:rsid w:val="00096EDF"/>
    <w:rsid w:val="000A453D"/>
    <w:rsid w:val="000A4F8E"/>
    <w:rsid w:val="000A716F"/>
    <w:rsid w:val="000D19EE"/>
    <w:rsid w:val="000D2245"/>
    <w:rsid w:val="000D2ED6"/>
    <w:rsid w:val="000D3E8F"/>
    <w:rsid w:val="000D3EB4"/>
    <w:rsid w:val="000D5183"/>
    <w:rsid w:val="000F09EF"/>
    <w:rsid w:val="00101C5F"/>
    <w:rsid w:val="00103AC5"/>
    <w:rsid w:val="00103EA2"/>
    <w:rsid w:val="00103F4D"/>
    <w:rsid w:val="0010471F"/>
    <w:rsid w:val="00105447"/>
    <w:rsid w:val="00107A75"/>
    <w:rsid w:val="00110088"/>
    <w:rsid w:val="00115CDE"/>
    <w:rsid w:val="0012224E"/>
    <w:rsid w:val="00123C14"/>
    <w:rsid w:val="0012642C"/>
    <w:rsid w:val="0012695E"/>
    <w:rsid w:val="00130369"/>
    <w:rsid w:val="00133438"/>
    <w:rsid w:val="00133C2B"/>
    <w:rsid w:val="00134127"/>
    <w:rsid w:val="00140383"/>
    <w:rsid w:val="00141596"/>
    <w:rsid w:val="001437C5"/>
    <w:rsid w:val="00150841"/>
    <w:rsid w:val="00150B12"/>
    <w:rsid w:val="001534C1"/>
    <w:rsid w:val="001557C4"/>
    <w:rsid w:val="00156BBD"/>
    <w:rsid w:val="00156C34"/>
    <w:rsid w:val="00157F35"/>
    <w:rsid w:val="0016262D"/>
    <w:rsid w:val="00163DBD"/>
    <w:rsid w:val="00171AD9"/>
    <w:rsid w:val="00177ABC"/>
    <w:rsid w:val="0018096E"/>
    <w:rsid w:val="00183887"/>
    <w:rsid w:val="0018448F"/>
    <w:rsid w:val="00191284"/>
    <w:rsid w:val="001943CC"/>
    <w:rsid w:val="001946E9"/>
    <w:rsid w:val="0019473C"/>
    <w:rsid w:val="00196304"/>
    <w:rsid w:val="001A28E6"/>
    <w:rsid w:val="001A6777"/>
    <w:rsid w:val="001A6D63"/>
    <w:rsid w:val="001B2627"/>
    <w:rsid w:val="001B4A24"/>
    <w:rsid w:val="001C12DF"/>
    <w:rsid w:val="001C1D5F"/>
    <w:rsid w:val="001C48C7"/>
    <w:rsid w:val="001D109A"/>
    <w:rsid w:val="001D10F1"/>
    <w:rsid w:val="001D7D70"/>
    <w:rsid w:val="001E7078"/>
    <w:rsid w:val="001F2F0E"/>
    <w:rsid w:val="001F79C1"/>
    <w:rsid w:val="002020AE"/>
    <w:rsid w:val="00211A1A"/>
    <w:rsid w:val="0021496A"/>
    <w:rsid w:val="00216F44"/>
    <w:rsid w:val="00217EAB"/>
    <w:rsid w:val="0022498C"/>
    <w:rsid w:val="002335C7"/>
    <w:rsid w:val="00233EA5"/>
    <w:rsid w:val="00241545"/>
    <w:rsid w:val="00247D21"/>
    <w:rsid w:val="002541AB"/>
    <w:rsid w:val="00255047"/>
    <w:rsid w:val="002607CB"/>
    <w:rsid w:val="00263F1B"/>
    <w:rsid w:val="00267CE3"/>
    <w:rsid w:val="002724D0"/>
    <w:rsid w:val="0027722A"/>
    <w:rsid w:val="002774BA"/>
    <w:rsid w:val="0028557C"/>
    <w:rsid w:val="00292B13"/>
    <w:rsid w:val="002930C2"/>
    <w:rsid w:val="00295910"/>
    <w:rsid w:val="002A2795"/>
    <w:rsid w:val="002A4DBC"/>
    <w:rsid w:val="002A5C8E"/>
    <w:rsid w:val="002A7840"/>
    <w:rsid w:val="002B1CE5"/>
    <w:rsid w:val="002B4C50"/>
    <w:rsid w:val="002B76E5"/>
    <w:rsid w:val="002C1AD8"/>
    <w:rsid w:val="002C6C83"/>
    <w:rsid w:val="002E7B0C"/>
    <w:rsid w:val="002F19C9"/>
    <w:rsid w:val="002F4DB3"/>
    <w:rsid w:val="00300B39"/>
    <w:rsid w:val="00306C2D"/>
    <w:rsid w:val="003219B3"/>
    <w:rsid w:val="00322D58"/>
    <w:rsid w:val="00324456"/>
    <w:rsid w:val="0033011F"/>
    <w:rsid w:val="00330BE9"/>
    <w:rsid w:val="0033496D"/>
    <w:rsid w:val="00336B50"/>
    <w:rsid w:val="00341DA9"/>
    <w:rsid w:val="0034209C"/>
    <w:rsid w:val="00350150"/>
    <w:rsid w:val="00350FFA"/>
    <w:rsid w:val="003527C7"/>
    <w:rsid w:val="0035398F"/>
    <w:rsid w:val="0035662C"/>
    <w:rsid w:val="00360C7C"/>
    <w:rsid w:val="003622CE"/>
    <w:rsid w:val="003635B6"/>
    <w:rsid w:val="003637EC"/>
    <w:rsid w:val="003704BA"/>
    <w:rsid w:val="003726D7"/>
    <w:rsid w:val="00382D65"/>
    <w:rsid w:val="00382F07"/>
    <w:rsid w:val="00384A58"/>
    <w:rsid w:val="00385BD7"/>
    <w:rsid w:val="00392CE4"/>
    <w:rsid w:val="00397E00"/>
    <w:rsid w:val="003A13B6"/>
    <w:rsid w:val="003A2B33"/>
    <w:rsid w:val="003A510C"/>
    <w:rsid w:val="003A7323"/>
    <w:rsid w:val="003A75C7"/>
    <w:rsid w:val="003B0146"/>
    <w:rsid w:val="003B4160"/>
    <w:rsid w:val="003B75E1"/>
    <w:rsid w:val="003B7B67"/>
    <w:rsid w:val="003C3E7E"/>
    <w:rsid w:val="003C4D8B"/>
    <w:rsid w:val="003D2F29"/>
    <w:rsid w:val="003E129D"/>
    <w:rsid w:val="003E7357"/>
    <w:rsid w:val="003F0F68"/>
    <w:rsid w:val="003F2992"/>
    <w:rsid w:val="003F5231"/>
    <w:rsid w:val="003F6896"/>
    <w:rsid w:val="00414211"/>
    <w:rsid w:val="00414677"/>
    <w:rsid w:val="004229DE"/>
    <w:rsid w:val="00422D99"/>
    <w:rsid w:val="00423AC0"/>
    <w:rsid w:val="0042406F"/>
    <w:rsid w:val="00426676"/>
    <w:rsid w:val="004404FD"/>
    <w:rsid w:val="00440916"/>
    <w:rsid w:val="004423E5"/>
    <w:rsid w:val="00442B07"/>
    <w:rsid w:val="00445563"/>
    <w:rsid w:val="00446364"/>
    <w:rsid w:val="004475FB"/>
    <w:rsid w:val="00453C04"/>
    <w:rsid w:val="0045797C"/>
    <w:rsid w:val="00466E6A"/>
    <w:rsid w:val="00467789"/>
    <w:rsid w:val="00472A3A"/>
    <w:rsid w:val="00474D06"/>
    <w:rsid w:val="00480207"/>
    <w:rsid w:val="004812B5"/>
    <w:rsid w:val="00490170"/>
    <w:rsid w:val="00497764"/>
    <w:rsid w:val="004A0899"/>
    <w:rsid w:val="004A35E5"/>
    <w:rsid w:val="004A380D"/>
    <w:rsid w:val="004A62F1"/>
    <w:rsid w:val="004B1025"/>
    <w:rsid w:val="004B38DC"/>
    <w:rsid w:val="004B6BB7"/>
    <w:rsid w:val="004C16BB"/>
    <w:rsid w:val="004C3BA9"/>
    <w:rsid w:val="004C4A56"/>
    <w:rsid w:val="004C4C29"/>
    <w:rsid w:val="004C50EA"/>
    <w:rsid w:val="004D0569"/>
    <w:rsid w:val="004D1C82"/>
    <w:rsid w:val="004E2020"/>
    <w:rsid w:val="004E2BEF"/>
    <w:rsid w:val="004E65FE"/>
    <w:rsid w:val="004F1645"/>
    <w:rsid w:val="004F61D2"/>
    <w:rsid w:val="005014F7"/>
    <w:rsid w:val="005015FA"/>
    <w:rsid w:val="00503DA4"/>
    <w:rsid w:val="005103A4"/>
    <w:rsid w:val="00511893"/>
    <w:rsid w:val="0051352E"/>
    <w:rsid w:val="00513920"/>
    <w:rsid w:val="005153FE"/>
    <w:rsid w:val="00517DA7"/>
    <w:rsid w:val="00520A33"/>
    <w:rsid w:val="00521C73"/>
    <w:rsid w:val="00527AE4"/>
    <w:rsid w:val="00531E58"/>
    <w:rsid w:val="00532D80"/>
    <w:rsid w:val="00542BAE"/>
    <w:rsid w:val="00550094"/>
    <w:rsid w:val="0055201E"/>
    <w:rsid w:val="0055569D"/>
    <w:rsid w:val="00561824"/>
    <w:rsid w:val="0056529E"/>
    <w:rsid w:val="0057211D"/>
    <w:rsid w:val="0058015F"/>
    <w:rsid w:val="00580B40"/>
    <w:rsid w:val="00584C45"/>
    <w:rsid w:val="005858B6"/>
    <w:rsid w:val="00591422"/>
    <w:rsid w:val="0059474C"/>
    <w:rsid w:val="00597CF4"/>
    <w:rsid w:val="005A30C6"/>
    <w:rsid w:val="005A4DC3"/>
    <w:rsid w:val="005A7A47"/>
    <w:rsid w:val="005B4C11"/>
    <w:rsid w:val="005C1D2C"/>
    <w:rsid w:val="005C5757"/>
    <w:rsid w:val="005C68A1"/>
    <w:rsid w:val="005D687A"/>
    <w:rsid w:val="005D7CE7"/>
    <w:rsid w:val="005E0F00"/>
    <w:rsid w:val="005E19EE"/>
    <w:rsid w:val="005F2DBE"/>
    <w:rsid w:val="005F707E"/>
    <w:rsid w:val="006019DE"/>
    <w:rsid w:val="00606556"/>
    <w:rsid w:val="00606F8B"/>
    <w:rsid w:val="00610737"/>
    <w:rsid w:val="00610A38"/>
    <w:rsid w:val="00610DB8"/>
    <w:rsid w:val="00611D3F"/>
    <w:rsid w:val="00621D39"/>
    <w:rsid w:val="00630DDF"/>
    <w:rsid w:val="00644433"/>
    <w:rsid w:val="006444B5"/>
    <w:rsid w:val="00647294"/>
    <w:rsid w:val="00650BA4"/>
    <w:rsid w:val="0065542C"/>
    <w:rsid w:val="006562C3"/>
    <w:rsid w:val="0066064D"/>
    <w:rsid w:val="00661BD9"/>
    <w:rsid w:val="00664466"/>
    <w:rsid w:val="00666548"/>
    <w:rsid w:val="00667554"/>
    <w:rsid w:val="00673077"/>
    <w:rsid w:val="00674CD9"/>
    <w:rsid w:val="006758C7"/>
    <w:rsid w:val="00680F97"/>
    <w:rsid w:val="00681BA3"/>
    <w:rsid w:val="006859A2"/>
    <w:rsid w:val="0069183D"/>
    <w:rsid w:val="00695310"/>
    <w:rsid w:val="006A1362"/>
    <w:rsid w:val="006A157F"/>
    <w:rsid w:val="006A500E"/>
    <w:rsid w:val="006B0AB8"/>
    <w:rsid w:val="006C6CE0"/>
    <w:rsid w:val="006D134E"/>
    <w:rsid w:val="006D3E13"/>
    <w:rsid w:val="006E1A6C"/>
    <w:rsid w:val="006E3C6E"/>
    <w:rsid w:val="006E455F"/>
    <w:rsid w:val="006E4584"/>
    <w:rsid w:val="006E4968"/>
    <w:rsid w:val="006E5D6E"/>
    <w:rsid w:val="006F17F7"/>
    <w:rsid w:val="00705B7D"/>
    <w:rsid w:val="00713201"/>
    <w:rsid w:val="00714558"/>
    <w:rsid w:val="00716213"/>
    <w:rsid w:val="0071739D"/>
    <w:rsid w:val="00721B03"/>
    <w:rsid w:val="007252CD"/>
    <w:rsid w:val="00731879"/>
    <w:rsid w:val="00732A12"/>
    <w:rsid w:val="00732E6E"/>
    <w:rsid w:val="00734B36"/>
    <w:rsid w:val="007406BD"/>
    <w:rsid w:val="00740C61"/>
    <w:rsid w:val="00752B4A"/>
    <w:rsid w:val="00756076"/>
    <w:rsid w:val="007570DC"/>
    <w:rsid w:val="00761F1B"/>
    <w:rsid w:val="00766424"/>
    <w:rsid w:val="0077542E"/>
    <w:rsid w:val="00786D6C"/>
    <w:rsid w:val="007909DD"/>
    <w:rsid w:val="0079139E"/>
    <w:rsid w:val="00793D60"/>
    <w:rsid w:val="00796EE2"/>
    <w:rsid w:val="007A3392"/>
    <w:rsid w:val="007A37A9"/>
    <w:rsid w:val="007A3F26"/>
    <w:rsid w:val="007A5746"/>
    <w:rsid w:val="007A7A08"/>
    <w:rsid w:val="007B1ABA"/>
    <w:rsid w:val="007B2EBC"/>
    <w:rsid w:val="007B74C5"/>
    <w:rsid w:val="007C1AC6"/>
    <w:rsid w:val="007C3230"/>
    <w:rsid w:val="007C325A"/>
    <w:rsid w:val="007C3673"/>
    <w:rsid w:val="007E0856"/>
    <w:rsid w:val="007E1179"/>
    <w:rsid w:val="007E709B"/>
    <w:rsid w:val="007F0466"/>
    <w:rsid w:val="007F7FB2"/>
    <w:rsid w:val="00801D66"/>
    <w:rsid w:val="00810670"/>
    <w:rsid w:val="00820E8B"/>
    <w:rsid w:val="00826805"/>
    <w:rsid w:val="008269AF"/>
    <w:rsid w:val="00831949"/>
    <w:rsid w:val="00834C97"/>
    <w:rsid w:val="008358B6"/>
    <w:rsid w:val="00837126"/>
    <w:rsid w:val="0083714E"/>
    <w:rsid w:val="008507C1"/>
    <w:rsid w:val="00852EFE"/>
    <w:rsid w:val="00854D5A"/>
    <w:rsid w:val="0085528A"/>
    <w:rsid w:val="0085717C"/>
    <w:rsid w:val="008600B5"/>
    <w:rsid w:val="008613D6"/>
    <w:rsid w:val="008618F5"/>
    <w:rsid w:val="00861934"/>
    <w:rsid w:val="00862182"/>
    <w:rsid w:val="00862B44"/>
    <w:rsid w:val="00870E4B"/>
    <w:rsid w:val="00873485"/>
    <w:rsid w:val="00873A38"/>
    <w:rsid w:val="008754C3"/>
    <w:rsid w:val="00877FF9"/>
    <w:rsid w:val="0088105C"/>
    <w:rsid w:val="008823A8"/>
    <w:rsid w:val="00883C49"/>
    <w:rsid w:val="008848F5"/>
    <w:rsid w:val="0088795F"/>
    <w:rsid w:val="008A3B7A"/>
    <w:rsid w:val="008C0177"/>
    <w:rsid w:val="008C09BF"/>
    <w:rsid w:val="008C333D"/>
    <w:rsid w:val="008C7B7B"/>
    <w:rsid w:val="008D0094"/>
    <w:rsid w:val="008D1CFC"/>
    <w:rsid w:val="008D1EA3"/>
    <w:rsid w:val="008D1F96"/>
    <w:rsid w:val="008E2291"/>
    <w:rsid w:val="008E3917"/>
    <w:rsid w:val="008E58EB"/>
    <w:rsid w:val="008E73B7"/>
    <w:rsid w:val="008E7AD4"/>
    <w:rsid w:val="008F0AC9"/>
    <w:rsid w:val="008F0EDC"/>
    <w:rsid w:val="008F38C7"/>
    <w:rsid w:val="008F3C86"/>
    <w:rsid w:val="008F58BA"/>
    <w:rsid w:val="00901333"/>
    <w:rsid w:val="009229A0"/>
    <w:rsid w:val="00927899"/>
    <w:rsid w:val="009303D2"/>
    <w:rsid w:val="0093473D"/>
    <w:rsid w:val="00934D70"/>
    <w:rsid w:val="00941C27"/>
    <w:rsid w:val="0094349A"/>
    <w:rsid w:val="00944ECC"/>
    <w:rsid w:val="00946D49"/>
    <w:rsid w:val="00951867"/>
    <w:rsid w:val="00951DDB"/>
    <w:rsid w:val="009556D1"/>
    <w:rsid w:val="00955F92"/>
    <w:rsid w:val="0096009C"/>
    <w:rsid w:val="00965975"/>
    <w:rsid w:val="00966C0B"/>
    <w:rsid w:val="00967F08"/>
    <w:rsid w:val="00970E09"/>
    <w:rsid w:val="00972A3E"/>
    <w:rsid w:val="00972F57"/>
    <w:rsid w:val="0097385E"/>
    <w:rsid w:val="00973F55"/>
    <w:rsid w:val="00983022"/>
    <w:rsid w:val="009850B0"/>
    <w:rsid w:val="00985372"/>
    <w:rsid w:val="009867EE"/>
    <w:rsid w:val="00990488"/>
    <w:rsid w:val="00995280"/>
    <w:rsid w:val="009968A2"/>
    <w:rsid w:val="009A1E29"/>
    <w:rsid w:val="009A25C8"/>
    <w:rsid w:val="009B3E60"/>
    <w:rsid w:val="009B4890"/>
    <w:rsid w:val="009C4FC3"/>
    <w:rsid w:val="009C5BF1"/>
    <w:rsid w:val="009D4A9E"/>
    <w:rsid w:val="009E0EDF"/>
    <w:rsid w:val="009E242A"/>
    <w:rsid w:val="009E4F55"/>
    <w:rsid w:val="009F175F"/>
    <w:rsid w:val="009F6F98"/>
    <w:rsid w:val="00A043C4"/>
    <w:rsid w:val="00A0508F"/>
    <w:rsid w:val="00A1469D"/>
    <w:rsid w:val="00A24E6E"/>
    <w:rsid w:val="00A24FF1"/>
    <w:rsid w:val="00A258F4"/>
    <w:rsid w:val="00A31896"/>
    <w:rsid w:val="00A31912"/>
    <w:rsid w:val="00A32181"/>
    <w:rsid w:val="00A33F65"/>
    <w:rsid w:val="00A4198C"/>
    <w:rsid w:val="00A421EE"/>
    <w:rsid w:val="00A43694"/>
    <w:rsid w:val="00A53AC7"/>
    <w:rsid w:val="00A5479E"/>
    <w:rsid w:val="00A550B5"/>
    <w:rsid w:val="00A56FC7"/>
    <w:rsid w:val="00A57D84"/>
    <w:rsid w:val="00A6030D"/>
    <w:rsid w:val="00A63472"/>
    <w:rsid w:val="00A668BF"/>
    <w:rsid w:val="00A72575"/>
    <w:rsid w:val="00A739DF"/>
    <w:rsid w:val="00A74071"/>
    <w:rsid w:val="00A754E4"/>
    <w:rsid w:val="00A833F1"/>
    <w:rsid w:val="00A8545D"/>
    <w:rsid w:val="00A85E60"/>
    <w:rsid w:val="00A86CAF"/>
    <w:rsid w:val="00A904D9"/>
    <w:rsid w:val="00A96862"/>
    <w:rsid w:val="00A970EC"/>
    <w:rsid w:val="00AA124A"/>
    <w:rsid w:val="00AA2A96"/>
    <w:rsid w:val="00AA509F"/>
    <w:rsid w:val="00AA6FC9"/>
    <w:rsid w:val="00AC1358"/>
    <w:rsid w:val="00AC20E1"/>
    <w:rsid w:val="00AC3C7E"/>
    <w:rsid w:val="00AC5308"/>
    <w:rsid w:val="00AD0CDC"/>
    <w:rsid w:val="00AD3D0F"/>
    <w:rsid w:val="00AD4A46"/>
    <w:rsid w:val="00AD6D68"/>
    <w:rsid w:val="00AE54D2"/>
    <w:rsid w:val="00AE6BA2"/>
    <w:rsid w:val="00AF4C6F"/>
    <w:rsid w:val="00B00390"/>
    <w:rsid w:val="00B01909"/>
    <w:rsid w:val="00B06B10"/>
    <w:rsid w:val="00B100CC"/>
    <w:rsid w:val="00B12936"/>
    <w:rsid w:val="00B1705A"/>
    <w:rsid w:val="00B173E5"/>
    <w:rsid w:val="00B205DA"/>
    <w:rsid w:val="00B22A73"/>
    <w:rsid w:val="00B36F74"/>
    <w:rsid w:val="00B434A2"/>
    <w:rsid w:val="00B47509"/>
    <w:rsid w:val="00B555F3"/>
    <w:rsid w:val="00B57407"/>
    <w:rsid w:val="00B63237"/>
    <w:rsid w:val="00B6689D"/>
    <w:rsid w:val="00B71032"/>
    <w:rsid w:val="00B72368"/>
    <w:rsid w:val="00B728EB"/>
    <w:rsid w:val="00B72B90"/>
    <w:rsid w:val="00B76491"/>
    <w:rsid w:val="00B801CA"/>
    <w:rsid w:val="00B87358"/>
    <w:rsid w:val="00B8791B"/>
    <w:rsid w:val="00B91048"/>
    <w:rsid w:val="00B952A6"/>
    <w:rsid w:val="00BA35FF"/>
    <w:rsid w:val="00BA65AD"/>
    <w:rsid w:val="00BB0510"/>
    <w:rsid w:val="00BB1559"/>
    <w:rsid w:val="00BB1AC0"/>
    <w:rsid w:val="00BB235A"/>
    <w:rsid w:val="00BB5270"/>
    <w:rsid w:val="00BB7F55"/>
    <w:rsid w:val="00BC0A48"/>
    <w:rsid w:val="00BC177E"/>
    <w:rsid w:val="00BC7F1C"/>
    <w:rsid w:val="00BD51A2"/>
    <w:rsid w:val="00BD5BC4"/>
    <w:rsid w:val="00BE1163"/>
    <w:rsid w:val="00BF07ED"/>
    <w:rsid w:val="00BF0A90"/>
    <w:rsid w:val="00BF2F22"/>
    <w:rsid w:val="00BF5FC1"/>
    <w:rsid w:val="00BF7746"/>
    <w:rsid w:val="00C0214B"/>
    <w:rsid w:val="00C05576"/>
    <w:rsid w:val="00C104DD"/>
    <w:rsid w:val="00C10A97"/>
    <w:rsid w:val="00C13FC8"/>
    <w:rsid w:val="00C14B59"/>
    <w:rsid w:val="00C1711E"/>
    <w:rsid w:val="00C229EF"/>
    <w:rsid w:val="00C237FB"/>
    <w:rsid w:val="00C31CA6"/>
    <w:rsid w:val="00C338E3"/>
    <w:rsid w:val="00C36516"/>
    <w:rsid w:val="00C370D8"/>
    <w:rsid w:val="00C44F91"/>
    <w:rsid w:val="00C45EA4"/>
    <w:rsid w:val="00C46F6A"/>
    <w:rsid w:val="00C54D58"/>
    <w:rsid w:val="00C573E1"/>
    <w:rsid w:val="00C60222"/>
    <w:rsid w:val="00C641E3"/>
    <w:rsid w:val="00C67712"/>
    <w:rsid w:val="00C67D6D"/>
    <w:rsid w:val="00C7308A"/>
    <w:rsid w:val="00C736D3"/>
    <w:rsid w:val="00C77017"/>
    <w:rsid w:val="00C77B9E"/>
    <w:rsid w:val="00C809A6"/>
    <w:rsid w:val="00C80BC7"/>
    <w:rsid w:val="00C82B89"/>
    <w:rsid w:val="00C863CD"/>
    <w:rsid w:val="00C877D2"/>
    <w:rsid w:val="00C95339"/>
    <w:rsid w:val="00C95DF6"/>
    <w:rsid w:val="00C961A5"/>
    <w:rsid w:val="00C97F7C"/>
    <w:rsid w:val="00CA27F6"/>
    <w:rsid w:val="00CA2F57"/>
    <w:rsid w:val="00CA5A99"/>
    <w:rsid w:val="00CA6A64"/>
    <w:rsid w:val="00CB4C87"/>
    <w:rsid w:val="00CC7E59"/>
    <w:rsid w:val="00CD2C82"/>
    <w:rsid w:val="00CD3F86"/>
    <w:rsid w:val="00CD5389"/>
    <w:rsid w:val="00CD5BF8"/>
    <w:rsid w:val="00CE09D4"/>
    <w:rsid w:val="00CE70DD"/>
    <w:rsid w:val="00CE7F82"/>
    <w:rsid w:val="00CF192C"/>
    <w:rsid w:val="00CF5287"/>
    <w:rsid w:val="00CF5639"/>
    <w:rsid w:val="00D00511"/>
    <w:rsid w:val="00D0077F"/>
    <w:rsid w:val="00D035B5"/>
    <w:rsid w:val="00D03A38"/>
    <w:rsid w:val="00D04524"/>
    <w:rsid w:val="00D1125B"/>
    <w:rsid w:val="00D12BDA"/>
    <w:rsid w:val="00D147CB"/>
    <w:rsid w:val="00D16E3F"/>
    <w:rsid w:val="00D17977"/>
    <w:rsid w:val="00D2078E"/>
    <w:rsid w:val="00D33A3A"/>
    <w:rsid w:val="00D34461"/>
    <w:rsid w:val="00D354E4"/>
    <w:rsid w:val="00D42851"/>
    <w:rsid w:val="00D43F0E"/>
    <w:rsid w:val="00D45E90"/>
    <w:rsid w:val="00D462F9"/>
    <w:rsid w:val="00D64BC9"/>
    <w:rsid w:val="00D651A0"/>
    <w:rsid w:val="00D65319"/>
    <w:rsid w:val="00D7253F"/>
    <w:rsid w:val="00D7535A"/>
    <w:rsid w:val="00D9018F"/>
    <w:rsid w:val="00D95602"/>
    <w:rsid w:val="00D95701"/>
    <w:rsid w:val="00D976E1"/>
    <w:rsid w:val="00D97C0D"/>
    <w:rsid w:val="00DA0376"/>
    <w:rsid w:val="00DA1B7B"/>
    <w:rsid w:val="00DA3BB2"/>
    <w:rsid w:val="00DA76C6"/>
    <w:rsid w:val="00DB79DF"/>
    <w:rsid w:val="00DB7CC7"/>
    <w:rsid w:val="00DC5677"/>
    <w:rsid w:val="00DC7490"/>
    <w:rsid w:val="00DD36A7"/>
    <w:rsid w:val="00DD4D53"/>
    <w:rsid w:val="00DE142D"/>
    <w:rsid w:val="00DE1CF6"/>
    <w:rsid w:val="00DF0DB8"/>
    <w:rsid w:val="00DF2216"/>
    <w:rsid w:val="00DF22A6"/>
    <w:rsid w:val="00DF41B0"/>
    <w:rsid w:val="00DF4E00"/>
    <w:rsid w:val="00DF7B74"/>
    <w:rsid w:val="00E01426"/>
    <w:rsid w:val="00E0233A"/>
    <w:rsid w:val="00E073DC"/>
    <w:rsid w:val="00E118A0"/>
    <w:rsid w:val="00E14A1D"/>
    <w:rsid w:val="00E15ABE"/>
    <w:rsid w:val="00E1674F"/>
    <w:rsid w:val="00E211D2"/>
    <w:rsid w:val="00E22725"/>
    <w:rsid w:val="00E24428"/>
    <w:rsid w:val="00E34FBB"/>
    <w:rsid w:val="00E41BEC"/>
    <w:rsid w:val="00E42984"/>
    <w:rsid w:val="00E46B0E"/>
    <w:rsid w:val="00E55A10"/>
    <w:rsid w:val="00E60761"/>
    <w:rsid w:val="00E6223D"/>
    <w:rsid w:val="00E64F6F"/>
    <w:rsid w:val="00E710E3"/>
    <w:rsid w:val="00E7289D"/>
    <w:rsid w:val="00E7676F"/>
    <w:rsid w:val="00E80871"/>
    <w:rsid w:val="00E837DD"/>
    <w:rsid w:val="00E87726"/>
    <w:rsid w:val="00E87DF9"/>
    <w:rsid w:val="00E963BE"/>
    <w:rsid w:val="00EA32F7"/>
    <w:rsid w:val="00EA34D7"/>
    <w:rsid w:val="00EA35EC"/>
    <w:rsid w:val="00EA6BF7"/>
    <w:rsid w:val="00EA7616"/>
    <w:rsid w:val="00EB0008"/>
    <w:rsid w:val="00ED1B9C"/>
    <w:rsid w:val="00EE77AD"/>
    <w:rsid w:val="00EE7F55"/>
    <w:rsid w:val="00EF7E67"/>
    <w:rsid w:val="00F230CD"/>
    <w:rsid w:val="00F23255"/>
    <w:rsid w:val="00F25101"/>
    <w:rsid w:val="00F44626"/>
    <w:rsid w:val="00F44CC8"/>
    <w:rsid w:val="00F45983"/>
    <w:rsid w:val="00F51C18"/>
    <w:rsid w:val="00F53921"/>
    <w:rsid w:val="00F615AD"/>
    <w:rsid w:val="00F62C95"/>
    <w:rsid w:val="00F70F87"/>
    <w:rsid w:val="00F73C84"/>
    <w:rsid w:val="00F756AC"/>
    <w:rsid w:val="00F80237"/>
    <w:rsid w:val="00F87645"/>
    <w:rsid w:val="00F8765F"/>
    <w:rsid w:val="00F9088D"/>
    <w:rsid w:val="00F922D6"/>
    <w:rsid w:val="00F93CE5"/>
    <w:rsid w:val="00F96E76"/>
    <w:rsid w:val="00F97C93"/>
    <w:rsid w:val="00F97DFF"/>
    <w:rsid w:val="00FA0295"/>
    <w:rsid w:val="00FA14C5"/>
    <w:rsid w:val="00FA31E2"/>
    <w:rsid w:val="00FA4063"/>
    <w:rsid w:val="00FA51BE"/>
    <w:rsid w:val="00FA58D1"/>
    <w:rsid w:val="00FB37C8"/>
    <w:rsid w:val="00FB4E15"/>
    <w:rsid w:val="00FC355E"/>
    <w:rsid w:val="00FC65F6"/>
    <w:rsid w:val="00FD0845"/>
    <w:rsid w:val="00FD1FC3"/>
    <w:rsid w:val="00FD6639"/>
    <w:rsid w:val="00FD7774"/>
    <w:rsid w:val="00FE0539"/>
    <w:rsid w:val="00FE2716"/>
    <w:rsid w:val="00FE2C21"/>
    <w:rsid w:val="00FE6235"/>
    <w:rsid w:val="00FE6BAB"/>
    <w:rsid w:val="00FF5B70"/>
    <w:rsid w:val="00FF5BB9"/>
    <w:rsid w:val="00FF62E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46A4F57A"/>
  <w14:defaultImageDpi w14:val="330"/>
  <w15:chartTrackingRefBased/>
  <w15:docId w15:val="{8876ACDE-DE24-4B82-91B9-EE5964AB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C2B"/>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列出段落,列出段落1"/>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iPriority w:val="99"/>
    <w:unhideWhenUsed/>
    <w:qFormat/>
    <w:rsid w:val="00A56FC7"/>
    <w:pPr>
      <w:numPr>
        <w:numId w:val="2"/>
      </w:numPr>
    </w:pPr>
  </w:style>
  <w:style w:type="paragraph" w:styleId="List">
    <w:name w:val="List"/>
    <w:basedOn w:val="ListBullet"/>
    <w:uiPriority w:val="99"/>
    <w:unhideWhenUsed/>
    <w:qFormat/>
    <w:rsid w:val="00A56FC7"/>
    <w:pPr>
      <w:numPr>
        <w:numId w:val="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8E2291"/>
  </w:style>
  <w:style w:type="paragraph" w:styleId="FootnoteText">
    <w:name w:val="footnote text"/>
    <w:basedOn w:val="Normal"/>
    <w:link w:val="FootnoteTextChar"/>
    <w:uiPriority w:val="99"/>
    <w:unhideWhenUsed/>
    <w:rsid w:val="008E2291"/>
    <w:pPr>
      <w:spacing w:after="0" w:line="240" w:lineRule="auto"/>
    </w:pPr>
    <w:rPr>
      <w:sz w:val="20"/>
      <w:szCs w:val="20"/>
    </w:rPr>
  </w:style>
  <w:style w:type="character" w:customStyle="1" w:styleId="FootnoteTextChar">
    <w:name w:val="Footnote Text Char"/>
    <w:basedOn w:val="DefaultParagraphFont"/>
    <w:link w:val="FootnoteText"/>
    <w:uiPriority w:val="99"/>
    <w:rsid w:val="008E2291"/>
    <w:rPr>
      <w:sz w:val="20"/>
      <w:szCs w:val="20"/>
    </w:rPr>
  </w:style>
  <w:style w:type="character" w:styleId="FootnoteReference">
    <w:name w:val="footnote reference"/>
    <w:aliases w:val="FC,(NECG) Footnote Reference,Footnote sign,Footnote sign1,EN Footnote Reference,number,SUPERS"/>
    <w:basedOn w:val="DefaultParagraphFont"/>
    <w:uiPriority w:val="99"/>
    <w:unhideWhenUsed/>
    <w:rsid w:val="008E2291"/>
    <w:rPr>
      <w:vertAlign w:val="superscript"/>
    </w:rPr>
  </w:style>
  <w:style w:type="paragraph" w:customStyle="1" w:styleId="ECPoint">
    <w:name w:val="EC Point"/>
    <w:link w:val="ECPointChar"/>
    <w:qFormat/>
    <w:rsid w:val="008E2291"/>
    <w:pPr>
      <w:numPr>
        <w:numId w:val="4"/>
      </w:numPr>
      <w:spacing w:after="120" w:line="240" w:lineRule="auto"/>
    </w:pPr>
    <w:rPr>
      <w:rFonts w:cs="Times New Roman"/>
      <w:szCs w:val="24"/>
    </w:rPr>
  </w:style>
  <w:style w:type="character" w:customStyle="1" w:styleId="ECPointChar">
    <w:name w:val="EC Point Char"/>
    <w:basedOn w:val="DefaultParagraphFont"/>
    <w:link w:val="ECPoint"/>
    <w:rsid w:val="008E2291"/>
    <w:rPr>
      <w:rFonts w:cs="Times New Roman"/>
      <w:szCs w:val="24"/>
    </w:rPr>
  </w:style>
  <w:style w:type="character" w:styleId="UnresolvedMention">
    <w:name w:val="Unresolved Mention"/>
    <w:basedOn w:val="DefaultParagraphFont"/>
    <w:uiPriority w:val="99"/>
    <w:semiHidden/>
    <w:unhideWhenUsed/>
    <w:rsid w:val="00AA6FC9"/>
    <w:rPr>
      <w:color w:val="605E5C"/>
      <w:shd w:val="clear" w:color="auto" w:fill="E1DFDD"/>
    </w:rPr>
  </w:style>
  <w:style w:type="character" w:styleId="FollowedHyperlink">
    <w:name w:val="FollowedHyperlink"/>
    <w:basedOn w:val="DefaultParagraphFont"/>
    <w:uiPriority w:val="99"/>
    <w:semiHidden/>
    <w:unhideWhenUsed/>
    <w:rsid w:val="00AC20E1"/>
    <w:rPr>
      <w:color w:val="002D3F" w:themeColor="followedHyperlink"/>
      <w:u w:val="single"/>
    </w:rPr>
  </w:style>
  <w:style w:type="character" w:styleId="CommentReference">
    <w:name w:val="annotation reference"/>
    <w:basedOn w:val="DefaultParagraphFont"/>
    <w:uiPriority w:val="99"/>
    <w:semiHidden/>
    <w:unhideWhenUsed/>
    <w:rsid w:val="00385BD7"/>
    <w:rPr>
      <w:sz w:val="16"/>
      <w:szCs w:val="16"/>
    </w:rPr>
  </w:style>
  <w:style w:type="paragraph" w:styleId="CommentText">
    <w:name w:val="annotation text"/>
    <w:basedOn w:val="Normal"/>
    <w:link w:val="CommentTextChar"/>
    <w:uiPriority w:val="99"/>
    <w:unhideWhenUsed/>
    <w:rsid w:val="00385BD7"/>
    <w:pPr>
      <w:spacing w:line="240" w:lineRule="auto"/>
    </w:pPr>
    <w:rPr>
      <w:sz w:val="20"/>
      <w:szCs w:val="20"/>
    </w:rPr>
  </w:style>
  <w:style w:type="character" w:customStyle="1" w:styleId="CommentTextChar">
    <w:name w:val="Comment Text Char"/>
    <w:basedOn w:val="DefaultParagraphFont"/>
    <w:link w:val="CommentText"/>
    <w:uiPriority w:val="99"/>
    <w:rsid w:val="00385BD7"/>
    <w:rPr>
      <w:sz w:val="20"/>
      <w:szCs w:val="20"/>
    </w:rPr>
  </w:style>
  <w:style w:type="paragraph" w:styleId="CommentSubject">
    <w:name w:val="annotation subject"/>
    <w:basedOn w:val="CommentText"/>
    <w:next w:val="CommentText"/>
    <w:link w:val="CommentSubjectChar"/>
    <w:uiPriority w:val="99"/>
    <w:semiHidden/>
    <w:unhideWhenUsed/>
    <w:rsid w:val="00385BD7"/>
    <w:rPr>
      <w:b/>
      <w:bCs/>
    </w:rPr>
  </w:style>
  <w:style w:type="character" w:customStyle="1" w:styleId="CommentSubjectChar">
    <w:name w:val="Comment Subject Char"/>
    <w:basedOn w:val="CommentTextChar"/>
    <w:link w:val="CommentSubject"/>
    <w:uiPriority w:val="99"/>
    <w:semiHidden/>
    <w:rsid w:val="00385BD7"/>
    <w:rPr>
      <w:b/>
      <w:bCs/>
      <w:sz w:val="20"/>
      <w:szCs w:val="20"/>
    </w:rPr>
  </w:style>
  <w:style w:type="paragraph" w:customStyle="1" w:styleId="ShortT">
    <w:name w:val="ShortT"/>
    <w:basedOn w:val="Normal"/>
    <w:next w:val="Normal"/>
    <w:qFormat/>
    <w:rsid w:val="00BF2F22"/>
    <w:pPr>
      <w:spacing w:after="0" w:line="240" w:lineRule="auto"/>
    </w:pPr>
    <w:rPr>
      <w:rFonts w:ascii="Times New Roman" w:eastAsia="Times New Roman" w:hAnsi="Times New Roman" w:cs="Times New Roman"/>
      <w:b/>
      <w:sz w:val="40"/>
      <w:szCs w:val="20"/>
      <w:lang w:eastAsia="en-AU"/>
    </w:rPr>
  </w:style>
  <w:style w:type="character" w:styleId="Emphasis">
    <w:name w:val="Emphasis"/>
    <w:basedOn w:val="DefaultParagraphFont"/>
    <w:uiPriority w:val="20"/>
    <w:qFormat/>
    <w:rsid w:val="0059474C"/>
    <w:rPr>
      <w:i/>
      <w:iCs/>
    </w:rPr>
  </w:style>
  <w:style w:type="paragraph" w:customStyle="1" w:styleId="acthead5">
    <w:name w:val="acthead5"/>
    <w:basedOn w:val="Normal"/>
    <w:rsid w:val="0066446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664466"/>
  </w:style>
  <w:style w:type="paragraph" w:customStyle="1" w:styleId="subsection">
    <w:name w:val="subsection"/>
    <w:aliases w:val="ss,Subsection"/>
    <w:basedOn w:val="Normal"/>
    <w:link w:val="subsectionChar"/>
    <w:rsid w:val="0066446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rsid w:val="0066446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basedOn w:val="Normal"/>
    <w:rsid w:val="0066446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6">
    <w:name w:val="ActHead 6"/>
    <w:aliases w:val="as"/>
    <w:basedOn w:val="Normal"/>
    <w:next w:val="Normal"/>
    <w:qFormat/>
    <w:rsid w:val="00854D5A"/>
    <w:pPr>
      <w:keepNext/>
      <w:keepLines/>
      <w:spacing w:after="0" w:line="240" w:lineRule="auto"/>
      <w:ind w:left="1134" w:hanging="1134"/>
      <w:outlineLvl w:val="5"/>
    </w:pPr>
    <w:rPr>
      <w:rFonts w:ascii="Arial" w:eastAsia="Times New Roman" w:hAnsi="Arial" w:cs="Times New Roman"/>
      <w:b/>
      <w:kern w:val="28"/>
      <w:sz w:val="32"/>
      <w:szCs w:val="20"/>
      <w:lang w:eastAsia="en-AU"/>
    </w:rPr>
  </w:style>
  <w:style w:type="character" w:customStyle="1" w:styleId="subsectionChar">
    <w:name w:val="subsection Char"/>
    <w:aliases w:val="ss Char"/>
    <w:basedOn w:val="DefaultParagraphFont"/>
    <w:link w:val="subsection"/>
    <w:locked/>
    <w:rsid w:val="00854D5A"/>
    <w:rPr>
      <w:rFonts w:ascii="Times New Roman" w:eastAsia="Times New Roman" w:hAnsi="Times New Roman" w:cs="Times New Roman"/>
      <w:sz w:val="24"/>
      <w:szCs w:val="24"/>
      <w:lang w:eastAsia="en-AU"/>
    </w:rPr>
  </w:style>
  <w:style w:type="paragraph" w:customStyle="1" w:styleId="paragraphsub">
    <w:name w:val="paragraph(sub)"/>
    <w:aliases w:val="aa"/>
    <w:basedOn w:val="Normal"/>
    <w:rsid w:val="008C0177"/>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Definition">
    <w:name w:val="Definition"/>
    <w:aliases w:val="dd"/>
    <w:basedOn w:val="Normal"/>
    <w:rsid w:val="004812B5"/>
    <w:pPr>
      <w:spacing w:before="180" w:after="0" w:line="240" w:lineRule="auto"/>
      <w:ind w:left="1134"/>
    </w:pPr>
    <w:rPr>
      <w:rFonts w:ascii="Times New Roman" w:eastAsia="Times New Roman" w:hAnsi="Times New Roman" w:cs="Times New Roman"/>
      <w:szCs w:val="20"/>
      <w:lang w:eastAsia="en-AU"/>
    </w:rPr>
  </w:style>
  <w:style w:type="paragraph" w:styleId="Revision">
    <w:name w:val="Revision"/>
    <w:hidden/>
    <w:uiPriority w:val="99"/>
    <w:semiHidden/>
    <w:rsid w:val="004901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062972">
      <w:bodyDiv w:val="1"/>
      <w:marLeft w:val="0"/>
      <w:marRight w:val="0"/>
      <w:marTop w:val="0"/>
      <w:marBottom w:val="0"/>
      <w:divBdr>
        <w:top w:val="none" w:sz="0" w:space="0" w:color="auto"/>
        <w:left w:val="none" w:sz="0" w:space="0" w:color="auto"/>
        <w:bottom w:val="none" w:sz="0" w:space="0" w:color="auto"/>
        <w:right w:val="none" w:sz="0" w:space="0" w:color="auto"/>
      </w:divBdr>
    </w:div>
    <w:div w:id="536428198">
      <w:bodyDiv w:val="1"/>
      <w:marLeft w:val="0"/>
      <w:marRight w:val="0"/>
      <w:marTop w:val="0"/>
      <w:marBottom w:val="0"/>
      <w:divBdr>
        <w:top w:val="none" w:sz="0" w:space="0" w:color="auto"/>
        <w:left w:val="none" w:sz="0" w:space="0" w:color="auto"/>
        <w:bottom w:val="none" w:sz="0" w:space="0" w:color="auto"/>
        <w:right w:val="none" w:sz="0" w:space="0" w:color="auto"/>
      </w:divBdr>
      <w:divsChild>
        <w:div w:id="1310671093">
          <w:marLeft w:val="0"/>
          <w:marRight w:val="0"/>
          <w:marTop w:val="0"/>
          <w:marBottom w:val="0"/>
          <w:divBdr>
            <w:top w:val="none" w:sz="0" w:space="0" w:color="auto"/>
            <w:left w:val="none" w:sz="0" w:space="0" w:color="auto"/>
            <w:bottom w:val="none" w:sz="0" w:space="0" w:color="auto"/>
            <w:right w:val="none" w:sz="0" w:space="0" w:color="auto"/>
          </w:divBdr>
          <w:divsChild>
            <w:div w:id="463740321">
              <w:marLeft w:val="0"/>
              <w:marRight w:val="398"/>
              <w:marTop w:val="0"/>
              <w:marBottom w:val="0"/>
              <w:divBdr>
                <w:top w:val="none" w:sz="0" w:space="0" w:color="auto"/>
                <w:left w:val="none" w:sz="0" w:space="0" w:color="auto"/>
                <w:bottom w:val="none" w:sz="0" w:space="0" w:color="auto"/>
                <w:right w:val="none" w:sz="0" w:space="0" w:color="auto"/>
              </w:divBdr>
              <w:divsChild>
                <w:div w:id="1282566473">
                  <w:marLeft w:val="0"/>
                  <w:marRight w:val="0"/>
                  <w:marTop w:val="0"/>
                  <w:marBottom w:val="0"/>
                  <w:divBdr>
                    <w:top w:val="none" w:sz="0" w:space="0" w:color="auto"/>
                    <w:left w:val="none" w:sz="0" w:space="0" w:color="auto"/>
                    <w:bottom w:val="none" w:sz="0" w:space="0" w:color="auto"/>
                    <w:right w:val="none" w:sz="0" w:space="0" w:color="auto"/>
                  </w:divBdr>
                </w:div>
                <w:div w:id="1169176497">
                  <w:marLeft w:val="0"/>
                  <w:marRight w:val="0"/>
                  <w:marTop w:val="0"/>
                  <w:marBottom w:val="0"/>
                  <w:divBdr>
                    <w:top w:val="none" w:sz="0" w:space="0" w:color="auto"/>
                    <w:left w:val="none" w:sz="0" w:space="0" w:color="auto"/>
                    <w:bottom w:val="none" w:sz="0" w:space="0" w:color="auto"/>
                    <w:right w:val="none" w:sz="0" w:space="0" w:color="auto"/>
                  </w:divBdr>
                  <w:divsChild>
                    <w:div w:id="1559168776">
                      <w:marLeft w:val="0"/>
                      <w:marRight w:val="0"/>
                      <w:marTop w:val="0"/>
                      <w:marBottom w:val="0"/>
                      <w:divBdr>
                        <w:top w:val="none" w:sz="0" w:space="0" w:color="auto"/>
                        <w:left w:val="none" w:sz="0" w:space="0" w:color="auto"/>
                        <w:bottom w:val="none" w:sz="0" w:space="0" w:color="auto"/>
                        <w:right w:val="none" w:sz="0" w:space="0" w:color="auto"/>
                      </w:divBdr>
                      <w:divsChild>
                        <w:div w:id="79267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84515">
              <w:marLeft w:val="0"/>
              <w:marRight w:val="398"/>
              <w:marTop w:val="0"/>
              <w:marBottom w:val="0"/>
              <w:divBdr>
                <w:top w:val="none" w:sz="0" w:space="0" w:color="auto"/>
                <w:left w:val="none" w:sz="0" w:space="0" w:color="auto"/>
                <w:bottom w:val="none" w:sz="0" w:space="0" w:color="auto"/>
                <w:right w:val="none" w:sz="0" w:space="0" w:color="auto"/>
              </w:divBdr>
              <w:divsChild>
                <w:div w:id="1184788876">
                  <w:marLeft w:val="0"/>
                  <w:marRight w:val="0"/>
                  <w:marTop w:val="0"/>
                  <w:marBottom w:val="0"/>
                  <w:divBdr>
                    <w:top w:val="none" w:sz="0" w:space="0" w:color="auto"/>
                    <w:left w:val="none" w:sz="0" w:space="0" w:color="auto"/>
                    <w:bottom w:val="none" w:sz="0" w:space="0" w:color="auto"/>
                    <w:right w:val="none" w:sz="0" w:space="0" w:color="auto"/>
                  </w:divBdr>
                </w:div>
                <w:div w:id="1577282538">
                  <w:marLeft w:val="0"/>
                  <w:marRight w:val="0"/>
                  <w:marTop w:val="0"/>
                  <w:marBottom w:val="0"/>
                  <w:divBdr>
                    <w:top w:val="none" w:sz="0" w:space="0" w:color="auto"/>
                    <w:left w:val="none" w:sz="0" w:space="0" w:color="auto"/>
                    <w:bottom w:val="none" w:sz="0" w:space="0" w:color="auto"/>
                    <w:right w:val="none" w:sz="0" w:space="0" w:color="auto"/>
                  </w:divBdr>
                  <w:divsChild>
                    <w:div w:id="1972975726">
                      <w:marLeft w:val="0"/>
                      <w:marRight w:val="0"/>
                      <w:marTop w:val="0"/>
                      <w:marBottom w:val="0"/>
                      <w:divBdr>
                        <w:top w:val="none" w:sz="0" w:space="0" w:color="auto"/>
                        <w:left w:val="none" w:sz="0" w:space="0" w:color="auto"/>
                        <w:bottom w:val="none" w:sz="0" w:space="0" w:color="auto"/>
                        <w:right w:val="none" w:sz="0" w:space="0" w:color="auto"/>
                      </w:divBdr>
                      <w:divsChild>
                        <w:div w:id="7301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046">
              <w:marLeft w:val="0"/>
              <w:marRight w:val="0"/>
              <w:marTop w:val="0"/>
              <w:marBottom w:val="0"/>
              <w:divBdr>
                <w:top w:val="none" w:sz="0" w:space="0" w:color="auto"/>
                <w:left w:val="none" w:sz="0" w:space="0" w:color="auto"/>
                <w:bottom w:val="none" w:sz="0" w:space="0" w:color="auto"/>
                <w:right w:val="none" w:sz="0" w:space="0" w:color="auto"/>
              </w:divBdr>
              <w:divsChild>
                <w:div w:id="100495135">
                  <w:marLeft w:val="0"/>
                  <w:marRight w:val="0"/>
                  <w:marTop w:val="0"/>
                  <w:marBottom w:val="0"/>
                  <w:divBdr>
                    <w:top w:val="none" w:sz="0" w:space="0" w:color="auto"/>
                    <w:left w:val="none" w:sz="0" w:space="0" w:color="auto"/>
                    <w:bottom w:val="none" w:sz="0" w:space="0" w:color="auto"/>
                    <w:right w:val="none" w:sz="0" w:space="0" w:color="auto"/>
                  </w:divBdr>
                </w:div>
                <w:div w:id="467406088">
                  <w:marLeft w:val="0"/>
                  <w:marRight w:val="0"/>
                  <w:marTop w:val="0"/>
                  <w:marBottom w:val="0"/>
                  <w:divBdr>
                    <w:top w:val="none" w:sz="0" w:space="0" w:color="auto"/>
                    <w:left w:val="none" w:sz="0" w:space="0" w:color="auto"/>
                    <w:bottom w:val="none" w:sz="0" w:space="0" w:color="auto"/>
                    <w:right w:val="none" w:sz="0" w:space="0" w:color="auto"/>
                  </w:divBdr>
                  <w:divsChild>
                    <w:div w:id="48577281">
                      <w:marLeft w:val="0"/>
                      <w:marRight w:val="0"/>
                      <w:marTop w:val="0"/>
                      <w:marBottom w:val="0"/>
                      <w:divBdr>
                        <w:top w:val="none" w:sz="0" w:space="0" w:color="auto"/>
                        <w:left w:val="none" w:sz="0" w:space="0" w:color="auto"/>
                        <w:bottom w:val="none" w:sz="0" w:space="0" w:color="auto"/>
                        <w:right w:val="none" w:sz="0" w:space="0" w:color="auto"/>
                      </w:divBdr>
                      <w:divsChild>
                        <w:div w:id="7248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017223">
      <w:bodyDiv w:val="1"/>
      <w:marLeft w:val="0"/>
      <w:marRight w:val="0"/>
      <w:marTop w:val="0"/>
      <w:marBottom w:val="0"/>
      <w:divBdr>
        <w:top w:val="none" w:sz="0" w:space="0" w:color="auto"/>
        <w:left w:val="none" w:sz="0" w:space="0" w:color="auto"/>
        <w:bottom w:val="none" w:sz="0" w:space="0" w:color="auto"/>
        <w:right w:val="none" w:sz="0" w:space="0" w:color="auto"/>
      </w:divBdr>
    </w:div>
    <w:div w:id="942031687">
      <w:bodyDiv w:val="1"/>
      <w:marLeft w:val="0"/>
      <w:marRight w:val="0"/>
      <w:marTop w:val="0"/>
      <w:marBottom w:val="0"/>
      <w:divBdr>
        <w:top w:val="none" w:sz="0" w:space="0" w:color="auto"/>
        <w:left w:val="none" w:sz="0" w:space="0" w:color="auto"/>
        <w:bottom w:val="none" w:sz="0" w:space="0" w:color="auto"/>
        <w:right w:val="none" w:sz="0" w:space="0" w:color="auto"/>
      </w:divBdr>
    </w:div>
    <w:div w:id="960915135">
      <w:bodyDiv w:val="1"/>
      <w:marLeft w:val="0"/>
      <w:marRight w:val="0"/>
      <w:marTop w:val="0"/>
      <w:marBottom w:val="0"/>
      <w:divBdr>
        <w:top w:val="none" w:sz="0" w:space="0" w:color="auto"/>
        <w:left w:val="none" w:sz="0" w:space="0" w:color="auto"/>
        <w:bottom w:val="none" w:sz="0" w:space="0" w:color="auto"/>
        <w:right w:val="none" w:sz="0" w:space="0" w:color="auto"/>
      </w:divBdr>
    </w:div>
    <w:div w:id="1028146561">
      <w:bodyDiv w:val="1"/>
      <w:marLeft w:val="0"/>
      <w:marRight w:val="0"/>
      <w:marTop w:val="0"/>
      <w:marBottom w:val="0"/>
      <w:divBdr>
        <w:top w:val="none" w:sz="0" w:space="0" w:color="auto"/>
        <w:left w:val="none" w:sz="0" w:space="0" w:color="auto"/>
        <w:bottom w:val="none" w:sz="0" w:space="0" w:color="auto"/>
        <w:right w:val="none" w:sz="0" w:space="0" w:color="auto"/>
      </w:divBdr>
    </w:div>
    <w:div w:id="1154486477">
      <w:bodyDiv w:val="1"/>
      <w:marLeft w:val="0"/>
      <w:marRight w:val="0"/>
      <w:marTop w:val="0"/>
      <w:marBottom w:val="0"/>
      <w:divBdr>
        <w:top w:val="none" w:sz="0" w:space="0" w:color="auto"/>
        <w:left w:val="none" w:sz="0" w:space="0" w:color="auto"/>
        <w:bottom w:val="none" w:sz="0" w:space="0" w:color="auto"/>
        <w:right w:val="none" w:sz="0" w:space="0" w:color="auto"/>
      </w:divBdr>
    </w:div>
    <w:div w:id="1366250150">
      <w:bodyDiv w:val="1"/>
      <w:marLeft w:val="0"/>
      <w:marRight w:val="0"/>
      <w:marTop w:val="0"/>
      <w:marBottom w:val="0"/>
      <w:divBdr>
        <w:top w:val="none" w:sz="0" w:space="0" w:color="auto"/>
        <w:left w:val="none" w:sz="0" w:space="0" w:color="auto"/>
        <w:bottom w:val="none" w:sz="0" w:space="0" w:color="auto"/>
        <w:right w:val="none" w:sz="0" w:space="0" w:color="auto"/>
      </w:divBdr>
    </w:div>
    <w:div w:id="1502313359">
      <w:bodyDiv w:val="1"/>
      <w:marLeft w:val="0"/>
      <w:marRight w:val="0"/>
      <w:marTop w:val="0"/>
      <w:marBottom w:val="0"/>
      <w:divBdr>
        <w:top w:val="none" w:sz="0" w:space="0" w:color="auto"/>
        <w:left w:val="none" w:sz="0" w:space="0" w:color="auto"/>
        <w:bottom w:val="none" w:sz="0" w:space="0" w:color="auto"/>
        <w:right w:val="none" w:sz="0" w:space="0" w:color="auto"/>
      </w:divBdr>
    </w:div>
    <w:div w:id="1574467200">
      <w:bodyDiv w:val="1"/>
      <w:marLeft w:val="0"/>
      <w:marRight w:val="0"/>
      <w:marTop w:val="0"/>
      <w:marBottom w:val="0"/>
      <w:divBdr>
        <w:top w:val="none" w:sz="0" w:space="0" w:color="auto"/>
        <w:left w:val="none" w:sz="0" w:space="0" w:color="auto"/>
        <w:bottom w:val="none" w:sz="0" w:space="0" w:color="auto"/>
        <w:right w:val="none" w:sz="0" w:space="0" w:color="auto"/>
      </w:divBdr>
    </w:div>
    <w:div w:id="1599215334">
      <w:bodyDiv w:val="1"/>
      <w:marLeft w:val="0"/>
      <w:marRight w:val="0"/>
      <w:marTop w:val="0"/>
      <w:marBottom w:val="0"/>
      <w:divBdr>
        <w:top w:val="none" w:sz="0" w:space="0" w:color="auto"/>
        <w:left w:val="none" w:sz="0" w:space="0" w:color="auto"/>
        <w:bottom w:val="none" w:sz="0" w:space="0" w:color="auto"/>
        <w:right w:val="none" w:sz="0" w:space="0" w:color="auto"/>
      </w:divBdr>
    </w:div>
    <w:div w:id="1758087550">
      <w:bodyDiv w:val="1"/>
      <w:marLeft w:val="0"/>
      <w:marRight w:val="0"/>
      <w:marTop w:val="0"/>
      <w:marBottom w:val="0"/>
      <w:divBdr>
        <w:top w:val="none" w:sz="0" w:space="0" w:color="auto"/>
        <w:left w:val="none" w:sz="0" w:space="0" w:color="auto"/>
        <w:bottom w:val="none" w:sz="0" w:space="0" w:color="auto"/>
        <w:right w:val="none" w:sz="0" w:space="0" w:color="auto"/>
      </w:divBdr>
    </w:div>
    <w:div w:id="1874727839">
      <w:bodyDiv w:val="1"/>
      <w:marLeft w:val="0"/>
      <w:marRight w:val="0"/>
      <w:marTop w:val="0"/>
      <w:marBottom w:val="0"/>
      <w:divBdr>
        <w:top w:val="none" w:sz="0" w:space="0" w:color="auto"/>
        <w:left w:val="none" w:sz="0" w:space="0" w:color="auto"/>
        <w:bottom w:val="none" w:sz="0" w:space="0" w:color="auto"/>
        <w:right w:val="none" w:sz="0" w:space="0" w:color="auto"/>
      </w:divBdr>
    </w:div>
    <w:div w:id="1969118361">
      <w:bodyDiv w:val="1"/>
      <w:marLeft w:val="0"/>
      <w:marRight w:val="0"/>
      <w:marTop w:val="0"/>
      <w:marBottom w:val="0"/>
      <w:divBdr>
        <w:top w:val="none" w:sz="0" w:space="0" w:color="auto"/>
        <w:left w:val="none" w:sz="0" w:space="0" w:color="auto"/>
        <w:bottom w:val="none" w:sz="0" w:space="0" w:color="auto"/>
        <w:right w:val="none" w:sz="0" w:space="0" w:color="auto"/>
      </w:divBdr>
    </w:div>
    <w:div w:id="2076466679">
      <w:bodyDiv w:val="1"/>
      <w:marLeft w:val="0"/>
      <w:marRight w:val="0"/>
      <w:marTop w:val="0"/>
      <w:marBottom w:val="0"/>
      <w:divBdr>
        <w:top w:val="none" w:sz="0" w:space="0" w:color="auto"/>
        <w:left w:val="none" w:sz="0" w:space="0" w:color="auto"/>
        <w:bottom w:val="none" w:sz="0" w:space="0" w:color="auto"/>
        <w:right w:val="none" w:sz="0" w:space="0" w:color="auto"/>
      </w:divBdr>
    </w:div>
    <w:div w:id="208020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yperlink" Target="https://training.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cricos.education.gov.au/" TargetMode="External"/><Relationship Id="rId2" Type="http://schemas.openxmlformats.org/officeDocument/2006/relationships/customXml" Target="../customXml/item2.xml"/><Relationship Id="rId16" Type="http://schemas.openxmlformats.org/officeDocument/2006/relationships/hyperlink" Target="https://www.legislation.gov.au/Details/C2021A0001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legislation.gov.au/Details/F2021L00877" TargetMode="External"/><Relationship Id="rId10" Type="http://schemas.openxmlformats.org/officeDocument/2006/relationships/endnotes" Target="endnotes.xml"/><Relationship Id="rId19" Type="http://schemas.openxmlformats.org/officeDocument/2006/relationships/hyperlink" Target="https://www.asqa.gov.au/about/contact-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app.application.enet\OfficeTemplates\DESE\Factsheet%20Template.dotx"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D2D8658A17E04B980BA8EDC9C63851" ma:contentTypeVersion="11" ma:contentTypeDescription="Create a new document." ma:contentTypeScope="" ma:versionID="027c3783d09917921c80bf29a26f7d09">
  <xsd:schema xmlns:xsd="http://www.w3.org/2001/XMLSchema" xmlns:xs="http://www.w3.org/2001/XMLSchema" xmlns:p="http://schemas.microsoft.com/office/2006/metadata/properties" xmlns:ns3="a21dec86-b98f-4059-a566-9548a2e68148" xmlns:ns4="735fd857-d023-48d2-bfd3-f9f4c4c06d66" targetNamespace="http://schemas.microsoft.com/office/2006/metadata/properties" ma:root="true" ma:fieldsID="fd7c3f3b33f846a7428ceae88a17d943" ns3:_="" ns4:_="">
    <xsd:import namespace="a21dec86-b98f-4059-a566-9548a2e68148"/>
    <xsd:import namespace="735fd857-d023-48d2-bfd3-f9f4c4c06d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dec86-b98f-4059-a566-9548a2e68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fd857-d023-48d2-bfd3-f9f4c4c06d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1FB18E-08B4-4252-8763-8876F55357F9}">
  <ds:schemaRefs>
    <ds:schemaRef ds:uri="http://schemas.openxmlformats.org/officeDocument/2006/bibliography"/>
  </ds:schemaRefs>
</ds:datastoreItem>
</file>

<file path=customXml/itemProps2.xml><?xml version="1.0" encoding="utf-8"?>
<ds:datastoreItem xmlns:ds="http://schemas.openxmlformats.org/officeDocument/2006/customXml" ds:itemID="{289CA24D-EDCA-4836-9327-9672569F3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dec86-b98f-4059-a566-9548a2e68148"/>
    <ds:schemaRef ds:uri="735fd857-d023-48d2-bfd3-f9f4c4c06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D6226-3EAF-46C5-B0F2-A2410F074527}">
  <ds:schemaRefs>
    <ds:schemaRef ds:uri="http://schemas.microsoft.com/office/2006/documentManagement/types"/>
    <ds:schemaRef ds:uri="http://schemas.microsoft.com/office/2006/metadata/properties"/>
    <ds:schemaRef ds:uri="a21dec86-b98f-4059-a566-9548a2e68148"/>
    <ds:schemaRef ds:uri="http://schemas.microsoft.com/office/infopath/2007/PartnerControls"/>
    <ds:schemaRef ds:uri="http://purl.org/dc/terms/"/>
    <ds:schemaRef ds:uri="http://schemas.openxmlformats.org/package/2006/metadata/core-properties"/>
    <ds:schemaRef ds:uri="735fd857-d023-48d2-bfd3-f9f4c4c06d66"/>
    <ds:schemaRef ds:uri="http://www.w3.org/XML/1998/namespace"/>
    <ds:schemaRef ds:uri="http://purl.org/dc/elements/1.1/"/>
    <ds:schemaRef ds:uri="http://purl.org/dc/dcmitype/"/>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Factsheet Template.dotx</Template>
  <TotalTime>27</TotalTime>
  <Pages>6</Pages>
  <Words>2297</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KING,Willem</dc:creator>
  <cp:keywords/>
  <dc:description/>
  <cp:lastModifiedBy>KRALJEVIC,Kristina</cp:lastModifiedBy>
  <cp:revision>7</cp:revision>
  <cp:lastPrinted>2021-04-15T01:44:00Z</cp:lastPrinted>
  <dcterms:created xsi:type="dcterms:W3CDTF">2021-07-01T05:20:00Z</dcterms:created>
  <dcterms:modified xsi:type="dcterms:W3CDTF">2021-07-02T05:52:00Z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0x0101002AD2D8658A17E04B980BA8EDC9C63851</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ies>
</file>