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8F1F6" w14:textId="77777777" w:rsidR="00A668BF" w:rsidRDefault="00C60222" w:rsidP="006D440B">
      <w:pPr>
        <w:ind w:left="709"/>
        <w:sectPr w:rsidR="00A668BF" w:rsidSect="002A784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  <w:r w:rsidRPr="00A668BF"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5D672496" wp14:editId="4D3FF16D">
            <wp:simplePos x="0" y="0"/>
            <wp:positionH relativeFrom="column">
              <wp:posOffset>-476250</wp:posOffset>
            </wp:positionH>
            <wp:positionV relativeFrom="page">
              <wp:posOffset>-25400</wp:posOffset>
            </wp:positionV>
            <wp:extent cx="7592400" cy="2167200"/>
            <wp:effectExtent l="0" t="0" r="0" b="1905"/>
            <wp:wrapNone/>
            <wp:docPr id="7" name="Picture 7" descr="Decorativ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400" cy="21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8BF">
        <w:rPr>
          <w:noProof/>
          <w:lang w:eastAsia="en-AU"/>
        </w:rPr>
        <w:drawing>
          <wp:inline distT="0" distB="0" distL="0" distR="0" wp14:anchorId="0FED3469" wp14:editId="1A006BC0">
            <wp:extent cx="2331725" cy="716281"/>
            <wp:effectExtent l="0" t="0" r="0" b="7620"/>
            <wp:docPr id="1" name="Picture 1" descr="Australian Government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t Education, Skills and Employment_Inline_Rev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766FA" w14:textId="49A6AC41" w:rsidR="002B1CE5" w:rsidRPr="009A099C" w:rsidRDefault="00162FA4" w:rsidP="006D440B">
      <w:pPr>
        <w:pStyle w:val="Title"/>
        <w:jc w:val="center"/>
        <w:rPr>
          <w:sz w:val="56"/>
          <w:szCs w:val="52"/>
        </w:rPr>
      </w:pPr>
      <w:r w:rsidRPr="009A099C">
        <w:rPr>
          <w:sz w:val="56"/>
          <w:szCs w:val="52"/>
        </w:rPr>
        <w:t>Direct Measure of Income (DMI) Refinement Working Group</w:t>
      </w:r>
    </w:p>
    <w:p w14:paraId="15B6B3B1" w14:textId="75595286" w:rsidR="006D440B" w:rsidRPr="00C6788D" w:rsidRDefault="006D440B" w:rsidP="006D440B">
      <w:pPr>
        <w:jc w:val="both"/>
        <w:rPr>
          <w:rFonts w:ascii="Calibri" w:eastAsia="Times New Roman" w:hAnsi="Calibri" w:cs="Times New Roman"/>
        </w:rPr>
      </w:pPr>
      <w:r w:rsidRPr="00C6788D">
        <w:rPr>
          <w:rFonts w:ascii="Calibri" w:eastAsia="Times New Roman" w:hAnsi="Calibri" w:cs="Times New Roman"/>
        </w:rPr>
        <w:t xml:space="preserve">The Department of Education, Skills and Employment (the </w:t>
      </w:r>
      <w:r w:rsidR="00A30904">
        <w:rPr>
          <w:rFonts w:ascii="Calibri" w:eastAsia="Times New Roman" w:hAnsi="Calibri" w:cs="Times New Roman"/>
        </w:rPr>
        <w:t>D</w:t>
      </w:r>
      <w:r w:rsidRPr="00C6788D">
        <w:rPr>
          <w:rFonts w:ascii="Calibri" w:eastAsia="Times New Roman" w:hAnsi="Calibri" w:cs="Times New Roman"/>
        </w:rPr>
        <w:t>epartment)</w:t>
      </w:r>
      <w:r>
        <w:rPr>
          <w:rFonts w:ascii="Calibri" w:eastAsia="Times New Roman" w:hAnsi="Calibri" w:cs="Times New Roman"/>
        </w:rPr>
        <w:t xml:space="preserve"> </w:t>
      </w:r>
      <w:r w:rsidRPr="00C6788D">
        <w:rPr>
          <w:rFonts w:ascii="Calibri" w:eastAsia="Times New Roman" w:hAnsi="Calibri" w:cs="Times New Roman"/>
        </w:rPr>
        <w:t xml:space="preserve">established the DMI Refinement Working Group (Working Group) to undertake further work on the DMI methodology. As whole of government data is expected to become increasingly available, further work </w:t>
      </w:r>
      <w:r>
        <w:rPr>
          <w:rFonts w:ascii="Calibri" w:eastAsia="Times New Roman" w:hAnsi="Calibri" w:cs="Times New Roman"/>
        </w:rPr>
        <w:t>is being</w:t>
      </w:r>
      <w:r w:rsidRPr="00C6788D">
        <w:rPr>
          <w:rFonts w:ascii="Calibri" w:eastAsia="Times New Roman" w:hAnsi="Calibri" w:cs="Times New Roman"/>
        </w:rPr>
        <w:t xml:space="preserve"> undertaken to explore how innovations in the use of additional Multi-Agency Data Integration Project (MADIP) data could </w:t>
      </w:r>
      <w:r>
        <w:rPr>
          <w:rFonts w:ascii="Calibri" w:eastAsia="Times New Roman" w:hAnsi="Calibri" w:cs="Times New Roman"/>
        </w:rPr>
        <w:t xml:space="preserve">be used to </w:t>
      </w:r>
      <w:r w:rsidRPr="00C6788D">
        <w:rPr>
          <w:rFonts w:ascii="Calibri" w:eastAsia="Times New Roman" w:hAnsi="Calibri" w:cs="Times New Roman"/>
        </w:rPr>
        <w:t xml:space="preserve">further refine the DMI. This will ensure that the DMI continues to be </w:t>
      </w:r>
      <w:r>
        <w:rPr>
          <w:rFonts w:ascii="Calibri" w:eastAsia="Times New Roman" w:hAnsi="Calibri" w:cs="Times New Roman"/>
        </w:rPr>
        <w:t>the most</w:t>
      </w:r>
      <w:r w:rsidRPr="00C6788D">
        <w:rPr>
          <w:rFonts w:ascii="Calibri" w:eastAsia="Times New Roman" w:hAnsi="Calibri" w:cs="Times New Roman"/>
        </w:rPr>
        <w:t xml:space="preserve"> reliable and robust measure available to determine </w:t>
      </w:r>
      <w:r>
        <w:rPr>
          <w:rFonts w:ascii="Calibri" w:eastAsia="Times New Roman" w:hAnsi="Calibri" w:cs="Times New Roman"/>
        </w:rPr>
        <w:t xml:space="preserve">the Commonwealth’s contribution to </w:t>
      </w:r>
      <w:r w:rsidRPr="00C6788D">
        <w:rPr>
          <w:rFonts w:ascii="Calibri" w:eastAsia="Times New Roman" w:hAnsi="Calibri" w:cs="Times New Roman"/>
        </w:rPr>
        <w:t xml:space="preserve">non-government school funding. </w:t>
      </w:r>
    </w:p>
    <w:p w14:paraId="1A2B073E" w14:textId="49B06E0D" w:rsidR="00162FA4" w:rsidRPr="006D440B" w:rsidRDefault="00162FA4" w:rsidP="006D440B">
      <w:pPr>
        <w:pStyle w:val="Heading1"/>
        <w:rPr>
          <w:color w:val="007CAF" w:themeColor="accent1" w:themeTint="BF"/>
          <w:sz w:val="36"/>
          <w:szCs w:val="36"/>
        </w:rPr>
      </w:pPr>
      <w:r w:rsidRPr="006D440B">
        <w:rPr>
          <w:color w:val="007CAF" w:themeColor="accent1" w:themeTint="BF"/>
          <w:sz w:val="36"/>
          <w:szCs w:val="36"/>
        </w:rPr>
        <w:t xml:space="preserve">Meeting </w:t>
      </w:r>
      <w:r w:rsidR="00E62502">
        <w:rPr>
          <w:color w:val="007CAF" w:themeColor="accent1" w:themeTint="BF"/>
          <w:sz w:val="36"/>
          <w:szCs w:val="36"/>
        </w:rPr>
        <w:t>6</w:t>
      </w:r>
      <w:r w:rsidRPr="006D440B">
        <w:rPr>
          <w:color w:val="007CAF" w:themeColor="accent1" w:themeTint="BF"/>
          <w:sz w:val="36"/>
          <w:szCs w:val="36"/>
        </w:rPr>
        <w:t xml:space="preserve"> – </w:t>
      </w:r>
      <w:r w:rsidR="00E62502">
        <w:rPr>
          <w:color w:val="007CAF" w:themeColor="accent1" w:themeTint="BF"/>
          <w:sz w:val="36"/>
          <w:szCs w:val="36"/>
        </w:rPr>
        <w:t>22 April</w:t>
      </w:r>
      <w:r w:rsidR="009A099C" w:rsidRPr="006D440B">
        <w:rPr>
          <w:color w:val="007CAF" w:themeColor="accent1" w:themeTint="BF"/>
          <w:sz w:val="36"/>
          <w:szCs w:val="36"/>
        </w:rPr>
        <w:t xml:space="preserve"> 2021 - Communique</w:t>
      </w:r>
    </w:p>
    <w:p w14:paraId="627DCEC7" w14:textId="6CB49A74" w:rsidR="00162FA4" w:rsidRDefault="009A099C" w:rsidP="006D440B">
      <w:r>
        <w:t xml:space="preserve">The </w:t>
      </w:r>
      <w:r w:rsidR="00E62502">
        <w:t>sixth</w:t>
      </w:r>
      <w:r>
        <w:t xml:space="preserve"> meeting of the DMI Refinement Working Group was held via video conference. </w:t>
      </w:r>
    </w:p>
    <w:p w14:paraId="7392F23C" w14:textId="39BD483E" w:rsidR="00E62502" w:rsidRDefault="00E62502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Linkage improvement investigation </w:t>
      </w:r>
    </w:p>
    <w:p w14:paraId="2D8939DB" w14:textId="630B7D38" w:rsidR="00802713" w:rsidRPr="00802713" w:rsidRDefault="00802713" w:rsidP="00C82FB3">
      <w:r>
        <w:t xml:space="preserve">The </w:t>
      </w:r>
      <w:r w:rsidR="00B66175">
        <w:t xml:space="preserve">Australian Bureau of Statistics (ABS) </w:t>
      </w:r>
      <w:r>
        <w:t>presented their findings and recommendations from the linkage improvement investigation</w:t>
      </w:r>
      <w:r w:rsidR="00B66175">
        <w:t xml:space="preserve">. </w:t>
      </w:r>
      <w:r w:rsidR="005E21B2">
        <w:t>As an outcome address coding for Aboriginal and Torres Strait Islander Community localities enabled an additional 2,700 parent records to be coded to a geographic location, which supported improvements to linkage rates for a subset of schools.</w:t>
      </w:r>
      <w:r w:rsidR="005E21B2" w:rsidDel="005E21B2">
        <w:t xml:space="preserve"> </w:t>
      </w:r>
      <w:r w:rsidR="005E21B2">
        <w:t xml:space="preserve">The ABS highlighted the </w:t>
      </w:r>
      <w:r w:rsidR="008E5C29">
        <w:t>2020 h</w:t>
      </w:r>
      <w:r w:rsidR="005E21B2">
        <w:t xml:space="preserve">igh-quality linkage rate of 90.8%. </w:t>
      </w:r>
      <w:r w:rsidR="00390E3C" w:rsidRPr="00390E3C">
        <w:t>The Department and ABS will continue to investigate linkage improvements</w:t>
      </w:r>
      <w:r w:rsidR="005E21B2">
        <w:t xml:space="preserve"> with future advancements in whole-of-government data.</w:t>
      </w:r>
      <w:r w:rsidR="00390E3C" w:rsidRPr="00390E3C">
        <w:t xml:space="preserve"> </w:t>
      </w:r>
    </w:p>
    <w:p w14:paraId="3B4C101F" w14:textId="393B6834" w:rsidR="00126F64" w:rsidRDefault="00126F64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Family </w:t>
      </w:r>
      <w:r w:rsidR="00E62502">
        <w:rPr>
          <w:sz w:val="28"/>
          <w:szCs w:val="24"/>
        </w:rPr>
        <w:t>s</w:t>
      </w:r>
      <w:r>
        <w:rPr>
          <w:sz w:val="28"/>
          <w:szCs w:val="24"/>
        </w:rPr>
        <w:t>ize</w:t>
      </w:r>
    </w:p>
    <w:p w14:paraId="0850F793" w14:textId="0660B3B9" w:rsidR="00126F64" w:rsidRDefault="00126F64" w:rsidP="00390E3C">
      <w:r>
        <w:t>Th</w:t>
      </w:r>
      <w:r w:rsidR="00C10699">
        <w:t>e ABS</w:t>
      </w:r>
      <w:r>
        <w:t xml:space="preserve"> </w:t>
      </w:r>
      <w:r w:rsidR="00390E3C">
        <w:t>presented their findings on the incorporation of family size into a refined DMI methodology. The ABS found that standard approaches could not be used due to</w:t>
      </w:r>
      <w:r w:rsidR="007D2F8E">
        <w:t xml:space="preserve"> data</w:t>
      </w:r>
      <w:r w:rsidR="00390E3C">
        <w:t xml:space="preserve"> limitations</w:t>
      </w:r>
      <w:r w:rsidR="00A26CD2">
        <w:t xml:space="preserve">. </w:t>
      </w:r>
      <w:r w:rsidR="00905A7E">
        <w:rPr>
          <w:rFonts w:eastAsia="Calibri" w:cs="Calibri"/>
          <w:color w:val="000000" w:themeColor="text1"/>
        </w:rPr>
        <w:t>M</w:t>
      </w:r>
      <w:r w:rsidR="00254F4C" w:rsidRPr="00006ACB">
        <w:rPr>
          <w:rFonts w:eastAsia="Calibri" w:cs="Calibri"/>
          <w:color w:val="000000" w:themeColor="text1"/>
        </w:rPr>
        <w:t>embers agreed there was merit for the inclusion of an adjustment for family size in the methodology</w:t>
      </w:r>
      <w:r w:rsidR="00905A7E">
        <w:rPr>
          <w:rFonts w:eastAsia="Calibri" w:cs="Calibri"/>
          <w:color w:val="000000" w:themeColor="text1"/>
        </w:rPr>
        <w:t xml:space="preserve"> and that</w:t>
      </w:r>
      <w:r w:rsidR="00254F4C">
        <w:rPr>
          <w:rFonts w:eastAsia="Calibri" w:cs="Calibri"/>
          <w:color w:val="000000" w:themeColor="text1"/>
        </w:rPr>
        <w:t xml:space="preserve"> f</w:t>
      </w:r>
      <w:r w:rsidR="00390E3C">
        <w:t xml:space="preserve">urther investigations </w:t>
      </w:r>
      <w:r w:rsidR="00254F4C">
        <w:t>should</w:t>
      </w:r>
      <w:r w:rsidR="00390E3C">
        <w:t xml:space="preserve"> be undertaken if a fit-for-purpose dataset becomes available</w:t>
      </w:r>
      <w:r w:rsidR="00A26CD2">
        <w:t xml:space="preserve"> in the future</w:t>
      </w:r>
      <w:r w:rsidR="00390E3C">
        <w:t>. In the meantime, schools are able to seek a review of their CTC score based on large family size</w:t>
      </w:r>
      <w:r w:rsidR="00B50573">
        <w:t xml:space="preserve">. Details about the review process are </w:t>
      </w:r>
      <w:r w:rsidR="008B573A">
        <w:t xml:space="preserve">available </w:t>
      </w:r>
      <w:r w:rsidR="008C26C2">
        <w:t>in</w:t>
      </w:r>
      <w:r w:rsidR="008B573A">
        <w:t xml:space="preserve"> the CTC review Guidelines</w:t>
      </w:r>
      <w:r w:rsidR="00390E3C">
        <w:t>.</w:t>
      </w:r>
    </w:p>
    <w:p w14:paraId="1D73F1EB" w14:textId="3840D49E" w:rsidR="003C0124" w:rsidRPr="006D440B" w:rsidRDefault="00BA3B29" w:rsidP="006D440B">
      <w:pPr>
        <w:pStyle w:val="Heading2"/>
        <w:rPr>
          <w:sz w:val="28"/>
          <w:szCs w:val="24"/>
        </w:rPr>
      </w:pPr>
      <w:r>
        <w:rPr>
          <w:sz w:val="28"/>
          <w:szCs w:val="24"/>
        </w:rPr>
        <w:t xml:space="preserve">Alternative </w:t>
      </w:r>
      <w:r w:rsidR="004F1883">
        <w:rPr>
          <w:sz w:val="28"/>
          <w:szCs w:val="24"/>
        </w:rPr>
        <w:t>statistical measures</w:t>
      </w:r>
    </w:p>
    <w:p w14:paraId="07F9EE76" w14:textId="7713D0AF" w:rsidR="00FE2798" w:rsidRPr="00350232" w:rsidRDefault="00A26CD2" w:rsidP="006D440B">
      <w:r>
        <w:t>The University of Adelaide presented its literature and peer review of the ABS papers on the alternative statistical measures</w:t>
      </w:r>
      <w:r w:rsidR="00254F4C">
        <w:t xml:space="preserve">. </w:t>
      </w:r>
      <w:r w:rsidR="00CF6456">
        <w:t xml:space="preserve">The Department summarised some of the key challenges with different measures if used to calculate DMI scores. </w:t>
      </w:r>
      <w:r w:rsidR="00246299">
        <w:t>The Working Group discussed th</w:t>
      </w:r>
      <w:r w:rsidR="00254F4C">
        <w:t>e</w:t>
      </w:r>
      <w:r w:rsidR="00246299">
        <w:t xml:space="preserve"> trade-offs </w:t>
      </w:r>
      <w:r w:rsidR="00254F4C">
        <w:t xml:space="preserve">that </w:t>
      </w:r>
      <w:r w:rsidR="00246299">
        <w:t xml:space="preserve">exist among the </w:t>
      </w:r>
      <w:r w:rsidR="00596730">
        <w:t xml:space="preserve">alternative </w:t>
      </w:r>
      <w:r w:rsidR="00246299">
        <w:t>measures</w:t>
      </w:r>
      <w:r w:rsidR="00CF6456">
        <w:t>, noting for example the capacity of the median to deal with missing incomes</w:t>
      </w:r>
      <w:r w:rsidR="00350232">
        <w:t xml:space="preserve">. </w:t>
      </w:r>
      <w:r w:rsidR="008D0D66">
        <w:t>O</w:t>
      </w:r>
      <w:r w:rsidR="00E403C5">
        <w:t xml:space="preserve">verall, </w:t>
      </w:r>
      <w:r w:rsidR="005F0F4C">
        <w:t xml:space="preserve">as tested against the </w:t>
      </w:r>
      <w:r w:rsidR="008D0D66">
        <w:t xml:space="preserve">seven </w:t>
      </w:r>
      <w:r w:rsidR="005F0F4C">
        <w:t xml:space="preserve">principles agreed by the Working Group, </w:t>
      </w:r>
      <w:r w:rsidR="00E403C5">
        <w:t>the median</w:t>
      </w:r>
      <w:r w:rsidR="008D0D66">
        <w:t xml:space="preserve"> performed well against all principles</w:t>
      </w:r>
      <w:r w:rsidR="00CF6456">
        <w:t xml:space="preserve"> </w:t>
      </w:r>
      <w:r>
        <w:t xml:space="preserve">but </w:t>
      </w:r>
      <w:r w:rsidR="008D0D66">
        <w:t>it does have</w:t>
      </w:r>
      <w:r w:rsidR="00254F4C">
        <w:t xml:space="preserve"> limitations in representing </w:t>
      </w:r>
      <w:r w:rsidR="002B3B08">
        <w:t>the shape of the distribution of incomes in schools.</w:t>
      </w:r>
    </w:p>
    <w:sectPr w:rsidR="00FE2798" w:rsidRPr="00350232" w:rsidSect="006D440B">
      <w:type w:val="continuous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DE563" w14:textId="77777777" w:rsidR="00C2151D" w:rsidRDefault="00C2151D" w:rsidP="0051352E">
      <w:pPr>
        <w:spacing w:after="0" w:line="240" w:lineRule="auto"/>
      </w:pPr>
      <w:r>
        <w:separator/>
      </w:r>
    </w:p>
  </w:endnote>
  <w:endnote w:type="continuationSeparator" w:id="0">
    <w:p w14:paraId="372187B7" w14:textId="77777777" w:rsidR="00C2151D" w:rsidRDefault="00C2151D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3AB4F" w14:textId="77777777" w:rsidR="00C2151D" w:rsidRDefault="00C2151D" w:rsidP="0051352E">
      <w:pPr>
        <w:spacing w:after="0" w:line="240" w:lineRule="auto"/>
      </w:pPr>
      <w:r>
        <w:separator/>
      </w:r>
    </w:p>
  </w:footnote>
  <w:footnote w:type="continuationSeparator" w:id="0">
    <w:p w14:paraId="3AE9D3EA" w14:textId="77777777" w:rsidR="00C2151D" w:rsidRDefault="00C2151D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0805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3224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DCA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3066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BC3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8AB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8F8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523B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D02D5"/>
    <w:multiLevelType w:val="hybridMultilevel"/>
    <w:tmpl w:val="DCC03556"/>
    <w:lvl w:ilvl="0" w:tplc="51D23E0A">
      <w:start w:val="1"/>
      <w:numFmt w:val="decimal"/>
      <w:lvlText w:val="%1."/>
      <w:lvlJc w:val="left"/>
      <w:pPr>
        <w:ind w:left="1742" w:hanging="360"/>
      </w:pPr>
      <w:rPr>
        <w:color w:val="auto"/>
      </w:rPr>
    </w:lvl>
    <w:lvl w:ilvl="1" w:tplc="940290B0">
      <w:start w:val="1"/>
      <w:numFmt w:val="lowerLetter"/>
      <w:lvlText w:val="%2."/>
      <w:lvlJc w:val="left"/>
      <w:pPr>
        <w:ind w:left="2462" w:hanging="360"/>
      </w:pPr>
    </w:lvl>
    <w:lvl w:ilvl="2" w:tplc="4094E83E">
      <w:start w:val="1"/>
      <w:numFmt w:val="lowerRoman"/>
      <w:lvlText w:val="%3."/>
      <w:lvlJc w:val="right"/>
      <w:pPr>
        <w:ind w:left="3182" w:hanging="180"/>
      </w:pPr>
    </w:lvl>
    <w:lvl w:ilvl="3" w:tplc="3CD89738">
      <w:start w:val="1"/>
      <w:numFmt w:val="decimal"/>
      <w:lvlText w:val="%4."/>
      <w:lvlJc w:val="left"/>
      <w:pPr>
        <w:ind w:left="3902" w:hanging="360"/>
      </w:pPr>
    </w:lvl>
    <w:lvl w:ilvl="4" w:tplc="D39A5D04">
      <w:start w:val="1"/>
      <w:numFmt w:val="lowerLetter"/>
      <w:lvlText w:val="%5."/>
      <w:lvlJc w:val="left"/>
      <w:pPr>
        <w:ind w:left="4622" w:hanging="360"/>
      </w:pPr>
    </w:lvl>
    <w:lvl w:ilvl="5" w:tplc="012891FA">
      <w:start w:val="1"/>
      <w:numFmt w:val="lowerRoman"/>
      <w:lvlText w:val="%6."/>
      <w:lvlJc w:val="right"/>
      <w:pPr>
        <w:ind w:left="5342" w:hanging="180"/>
      </w:pPr>
    </w:lvl>
    <w:lvl w:ilvl="6" w:tplc="9D566794">
      <w:start w:val="1"/>
      <w:numFmt w:val="decimal"/>
      <w:lvlText w:val="%7."/>
      <w:lvlJc w:val="left"/>
      <w:pPr>
        <w:ind w:left="6062" w:hanging="360"/>
      </w:pPr>
    </w:lvl>
    <w:lvl w:ilvl="7" w:tplc="10F61B82">
      <w:start w:val="1"/>
      <w:numFmt w:val="lowerLetter"/>
      <w:lvlText w:val="%8."/>
      <w:lvlJc w:val="left"/>
      <w:pPr>
        <w:ind w:left="6782" w:hanging="360"/>
      </w:pPr>
    </w:lvl>
    <w:lvl w:ilvl="8" w:tplc="C7CED808">
      <w:start w:val="1"/>
      <w:numFmt w:val="lowerRoman"/>
      <w:lvlText w:val="%9."/>
      <w:lvlJc w:val="right"/>
      <w:pPr>
        <w:ind w:left="7502" w:hanging="180"/>
      </w:pPr>
    </w:lvl>
  </w:abstractNum>
  <w:abstractNum w:abstractNumId="11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FA4"/>
    <w:rsid w:val="00025BC2"/>
    <w:rsid w:val="000375AD"/>
    <w:rsid w:val="00052BBC"/>
    <w:rsid w:val="000A453D"/>
    <w:rsid w:val="000B3AFB"/>
    <w:rsid w:val="00122B19"/>
    <w:rsid w:val="00126F64"/>
    <w:rsid w:val="001579AC"/>
    <w:rsid w:val="00157F35"/>
    <w:rsid w:val="00162FA4"/>
    <w:rsid w:val="00164385"/>
    <w:rsid w:val="001C4D1B"/>
    <w:rsid w:val="001D0421"/>
    <w:rsid w:val="001E120E"/>
    <w:rsid w:val="001E331E"/>
    <w:rsid w:val="001F20A0"/>
    <w:rsid w:val="001F4F7D"/>
    <w:rsid w:val="00217EAB"/>
    <w:rsid w:val="0022498C"/>
    <w:rsid w:val="00246299"/>
    <w:rsid w:val="00254F4C"/>
    <w:rsid w:val="002724D0"/>
    <w:rsid w:val="002A7840"/>
    <w:rsid w:val="002B1CE5"/>
    <w:rsid w:val="002B313B"/>
    <w:rsid w:val="002B3B08"/>
    <w:rsid w:val="002D2B7E"/>
    <w:rsid w:val="002F4DB3"/>
    <w:rsid w:val="00342FAD"/>
    <w:rsid w:val="003451A0"/>
    <w:rsid w:val="00350232"/>
    <w:rsid w:val="00350FFA"/>
    <w:rsid w:val="00382F07"/>
    <w:rsid w:val="00390E3C"/>
    <w:rsid w:val="003B3B21"/>
    <w:rsid w:val="003C0124"/>
    <w:rsid w:val="00402FEE"/>
    <w:rsid w:val="00414677"/>
    <w:rsid w:val="00453C04"/>
    <w:rsid w:val="00485471"/>
    <w:rsid w:val="00492580"/>
    <w:rsid w:val="00497764"/>
    <w:rsid w:val="004C5719"/>
    <w:rsid w:val="004E7C1C"/>
    <w:rsid w:val="004F1883"/>
    <w:rsid w:val="00510C42"/>
    <w:rsid w:val="0051352E"/>
    <w:rsid w:val="00517DA7"/>
    <w:rsid w:val="00517F3F"/>
    <w:rsid w:val="00520A33"/>
    <w:rsid w:val="00527AE4"/>
    <w:rsid w:val="0055569D"/>
    <w:rsid w:val="00560147"/>
    <w:rsid w:val="0056313D"/>
    <w:rsid w:val="005677C2"/>
    <w:rsid w:val="005744C6"/>
    <w:rsid w:val="00596730"/>
    <w:rsid w:val="005B3E41"/>
    <w:rsid w:val="005D7CE7"/>
    <w:rsid w:val="005E21B2"/>
    <w:rsid w:val="005F0F4C"/>
    <w:rsid w:val="00610A38"/>
    <w:rsid w:val="00620D88"/>
    <w:rsid w:val="00630DDF"/>
    <w:rsid w:val="00632C33"/>
    <w:rsid w:val="00634841"/>
    <w:rsid w:val="00647BBF"/>
    <w:rsid w:val="0066190D"/>
    <w:rsid w:val="006621DD"/>
    <w:rsid w:val="006767EF"/>
    <w:rsid w:val="00686DE0"/>
    <w:rsid w:val="006941B8"/>
    <w:rsid w:val="006D440B"/>
    <w:rsid w:val="006E3D3F"/>
    <w:rsid w:val="006E5D6E"/>
    <w:rsid w:val="00703CC5"/>
    <w:rsid w:val="00721B03"/>
    <w:rsid w:val="0073235C"/>
    <w:rsid w:val="007570DC"/>
    <w:rsid w:val="007A672D"/>
    <w:rsid w:val="007B1ABA"/>
    <w:rsid w:val="007B74C5"/>
    <w:rsid w:val="007D2F8E"/>
    <w:rsid w:val="00802713"/>
    <w:rsid w:val="00802AED"/>
    <w:rsid w:val="0081681C"/>
    <w:rsid w:val="008507C1"/>
    <w:rsid w:val="00852664"/>
    <w:rsid w:val="00861934"/>
    <w:rsid w:val="008B3A5E"/>
    <w:rsid w:val="008B573A"/>
    <w:rsid w:val="008C26C2"/>
    <w:rsid w:val="008D0D66"/>
    <w:rsid w:val="008E5C29"/>
    <w:rsid w:val="008F0AC9"/>
    <w:rsid w:val="008F5786"/>
    <w:rsid w:val="00905A7E"/>
    <w:rsid w:val="00920B5D"/>
    <w:rsid w:val="0093473D"/>
    <w:rsid w:val="00944ECC"/>
    <w:rsid w:val="00964B1B"/>
    <w:rsid w:val="00972F57"/>
    <w:rsid w:val="00995280"/>
    <w:rsid w:val="009A099C"/>
    <w:rsid w:val="009A5D9C"/>
    <w:rsid w:val="009B5C66"/>
    <w:rsid w:val="00A13395"/>
    <w:rsid w:val="00A24E6E"/>
    <w:rsid w:val="00A26CD2"/>
    <w:rsid w:val="00A30904"/>
    <w:rsid w:val="00A43694"/>
    <w:rsid w:val="00A56FC7"/>
    <w:rsid w:val="00A668BF"/>
    <w:rsid w:val="00A70E46"/>
    <w:rsid w:val="00A72575"/>
    <w:rsid w:val="00A73555"/>
    <w:rsid w:val="00A74071"/>
    <w:rsid w:val="00A754E4"/>
    <w:rsid w:val="00A7753A"/>
    <w:rsid w:val="00A859B5"/>
    <w:rsid w:val="00AA124A"/>
    <w:rsid w:val="00AA2A96"/>
    <w:rsid w:val="00B100CC"/>
    <w:rsid w:val="00B27F81"/>
    <w:rsid w:val="00B345CE"/>
    <w:rsid w:val="00B40812"/>
    <w:rsid w:val="00B45F9D"/>
    <w:rsid w:val="00B50573"/>
    <w:rsid w:val="00B533D1"/>
    <w:rsid w:val="00B66175"/>
    <w:rsid w:val="00B6689D"/>
    <w:rsid w:val="00B72368"/>
    <w:rsid w:val="00B7649E"/>
    <w:rsid w:val="00B909E9"/>
    <w:rsid w:val="00BA3B29"/>
    <w:rsid w:val="00BB07CE"/>
    <w:rsid w:val="00BD39D5"/>
    <w:rsid w:val="00BD7E9C"/>
    <w:rsid w:val="00BF6DA9"/>
    <w:rsid w:val="00C10699"/>
    <w:rsid w:val="00C149A5"/>
    <w:rsid w:val="00C2151D"/>
    <w:rsid w:val="00C51CF1"/>
    <w:rsid w:val="00C54D58"/>
    <w:rsid w:val="00C573E1"/>
    <w:rsid w:val="00C60222"/>
    <w:rsid w:val="00C71923"/>
    <w:rsid w:val="00C736D3"/>
    <w:rsid w:val="00C73704"/>
    <w:rsid w:val="00C82FB3"/>
    <w:rsid w:val="00C95DF6"/>
    <w:rsid w:val="00CC50EB"/>
    <w:rsid w:val="00CC7867"/>
    <w:rsid w:val="00CD6F1C"/>
    <w:rsid w:val="00CF46C0"/>
    <w:rsid w:val="00CF6456"/>
    <w:rsid w:val="00CF753D"/>
    <w:rsid w:val="00D2634D"/>
    <w:rsid w:val="00D33FAF"/>
    <w:rsid w:val="00D52118"/>
    <w:rsid w:val="00D90123"/>
    <w:rsid w:val="00D93214"/>
    <w:rsid w:val="00DA1B7B"/>
    <w:rsid w:val="00DB79DF"/>
    <w:rsid w:val="00E00282"/>
    <w:rsid w:val="00E32EAE"/>
    <w:rsid w:val="00E403C5"/>
    <w:rsid w:val="00E62502"/>
    <w:rsid w:val="00E701E4"/>
    <w:rsid w:val="00EA32F7"/>
    <w:rsid w:val="00EB1513"/>
    <w:rsid w:val="00EE2BDE"/>
    <w:rsid w:val="00F15336"/>
    <w:rsid w:val="00F230CD"/>
    <w:rsid w:val="00F37F96"/>
    <w:rsid w:val="00F51C18"/>
    <w:rsid w:val="00F763A4"/>
    <w:rsid w:val="00F8499E"/>
    <w:rsid w:val="00FA31E2"/>
    <w:rsid w:val="00FD1D76"/>
    <w:rsid w:val="00FE2798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9ADB611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B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C1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69D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1C18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8276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610A38"/>
    <w:pPr>
      <w:spacing w:before="1800" w:after="0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610A38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2B1CE5"/>
    <w:pPr>
      <w:numPr>
        <w:ilvl w:val="1"/>
      </w:numPr>
      <w:spacing w:after="0"/>
    </w:pPr>
    <w:rPr>
      <w:rFonts w:ascii="Calibri" w:eastAsiaTheme="minorEastAsia" w:hAnsi="Calibri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B100CC"/>
    <w:rPr>
      <w:rFonts w:ascii="Calibri" w:eastAsiaTheme="minorEastAsia" w:hAnsi="Calibri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F51C18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569D"/>
    <w:rPr>
      <w:rFonts w:ascii="Calibri" w:eastAsiaTheme="majorEastAsia" w:hAnsi="Calibri" w:cstheme="majorBidi"/>
      <w:b/>
      <w:color w:val="287DB2" w:themeColor="accent6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1C18"/>
    <w:rPr>
      <w:rFonts w:ascii="Calibri" w:eastAsiaTheme="majorEastAsia" w:hAnsi="Calibri" w:cstheme="majorBidi"/>
      <w:color w:val="008276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100CC"/>
    <w:rPr>
      <w:color w:val="287BB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22498C"/>
    <w:rPr>
      <w:sz w:val="18"/>
    </w:rPr>
  </w:style>
  <w:style w:type="table" w:customStyle="1" w:styleId="DESE">
    <w:name w:val="DESE"/>
    <w:basedOn w:val="TableNormal"/>
    <w:uiPriority w:val="99"/>
    <w:rsid w:val="0055569D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002D3F" w:themeFill="text2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ed Para,Bulletr List Paragraph,FooterText,L,List Paragraph1,List Paragraph11,List Paragraph2,List Paragraph21,Listeafsnit1,NFP GP Bulleted List,Paragraphe de liste1,Parágrafo da Lista1,Recommendation,bullet point list,numbered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A56FC7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A56FC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7A672D"/>
  </w:style>
  <w:style w:type="character" w:customStyle="1" w:styleId="ListParagraphChar">
    <w:name w:val="List Paragraph Char"/>
    <w:aliases w:val="Bulleted Para Char,Bulletr List Paragraph Char,FooterText Char,L Char,List Paragraph1 Char,List Paragraph11 Char,List Paragraph2 Char,List Paragraph21 Char,Listeafsnit1 Char,NFP GP Bulleted List Char,Paragraphe de liste1 Char"/>
    <w:basedOn w:val="DefaultParagraphFont"/>
    <w:link w:val="ListParagraph"/>
    <w:uiPriority w:val="34"/>
    <w:qFormat/>
    <w:locked/>
    <w:rsid w:val="00634841"/>
  </w:style>
  <w:style w:type="character" w:styleId="CommentReference">
    <w:name w:val="annotation reference"/>
    <w:basedOn w:val="DefaultParagraphFont"/>
    <w:uiPriority w:val="99"/>
    <w:semiHidden/>
    <w:unhideWhenUsed/>
    <w:rsid w:val="003B3B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B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B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B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B2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6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9" ma:contentTypeDescription="Create a new document." ma:contentTypeScope="" ma:versionID="3180f40cf209bc4f4948dd64e6f1d0a9">
  <xsd:schema xmlns:xsd="http://www.w3.org/2001/XMLSchema" xmlns:xs="http://www.w3.org/2001/XMLSchema" xmlns:p="http://schemas.microsoft.com/office/2006/metadata/properties" xmlns:ns2="e72c3662-d489-4d5c-a678-b18c0e8aeb72" targetNamespace="http://schemas.microsoft.com/office/2006/metadata/properties" ma:root="true" ma:fieldsID="3f7ad6cf21444496d772c8ce1802ec33" ns2:_="">
    <xsd:import namespace="e72c3662-d489-4d5c-a678-b18c0e8aeb72"/>
    <xsd:element name="properties">
      <xsd:complexType>
        <xsd:sequence>
          <xsd:element name="documentManagement">
            <xsd:complexType>
              <xsd:all>
                <xsd:element ref="ns2:la020d86e283469abb02d1589f8af8a1" minOccurs="0"/>
                <xsd:element ref="ns2:TaxCatchAll" minOccurs="0"/>
                <xsd:element ref="ns2:pfc532bc3d924724be3e431fa8a34286" minOccurs="0"/>
                <xsd:element ref="ns2:ItemPublishedDate" minOccurs="0"/>
                <xsd:element ref="ns2:idf49b01858c4ab7b49fec8a6554c79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9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2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3" nillable="true" ma:displayName="ItemPublishedDate" ma:format="DateOnly" ma:internalName="ItemPublishedDate">
      <xsd:simpleType>
        <xsd:restriction base="dms:DateTime"/>
      </xsd:simpleType>
    </xsd:element>
    <xsd:element name="idf49b01858c4ab7b49fec8a6554c79a" ma:index="15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3BD14-F52E-4479-8807-B806156B0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c3662-d489-4d5c-a678-b18c0e8aeb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</ds:schemaRefs>
</ds:datastoreItem>
</file>

<file path=customXml/itemProps4.xml><?xml version="1.0" encoding="utf-8"?>
<ds:datastoreItem xmlns:ds="http://schemas.openxmlformats.org/officeDocument/2006/customXml" ds:itemID="{37CA4413-909A-40AB-A0FA-0BD84A5F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2021-06-17T22:48:00Z</dcterms:created>
  <dcterms:modified xsi:type="dcterms:W3CDTF">2021-06-17T22:48:00Z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</Properties>
</file>