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D628E2D" w14:textId="5DBFCEB1" w:rsidR="0024408A" w:rsidRPr="00BA1317" w:rsidRDefault="0024408A" w:rsidP="00AA7C09">
      <w:pPr>
        <w:spacing w:before="480"/>
        <w:jc w:val="center"/>
        <w:rPr>
          <w:rFonts w:ascii="Calibri" w:hAnsi="Calibri" w:cs="Arial"/>
          <w:b/>
          <w:bCs/>
          <w:iCs/>
          <w:sz w:val="36"/>
        </w:rPr>
      </w:pPr>
      <w:r w:rsidRPr="0024408A">
        <w:rPr>
          <w:rFonts w:ascii="Calibri" w:hAnsi="Calibri" w:cs="Arial"/>
          <w:b/>
          <w:bCs/>
          <w:iCs/>
          <w:noProof/>
          <w:sz w:val="36"/>
        </w:rPr>
        <w:t>Higher Education Leadership Institute Pty Ltd</w:t>
      </w:r>
      <w:r w:rsidRPr="0024408A" w:rsidDel="0024408A">
        <w:rPr>
          <w:rFonts w:ascii="Calibri" w:hAnsi="Calibri" w:cs="Arial"/>
          <w:b/>
          <w:bCs/>
          <w:iCs/>
          <w:noProof/>
          <w:sz w:val="36"/>
          <w:highlight w:val="yellow"/>
        </w:rPr>
        <w:t xml:space="preserve"> </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7F656271" w:rsidR="009F4442" w:rsidRPr="00A54985" w:rsidRDefault="0024408A" w:rsidP="009F4442">
      <w:pPr>
        <w:rPr>
          <w:rFonts w:asciiTheme="minorHAnsi" w:hAnsiTheme="minorHAnsi" w:cstheme="minorHAnsi"/>
          <w:sz w:val="22"/>
        </w:rPr>
      </w:pPr>
      <w:r w:rsidRPr="0024408A">
        <w:rPr>
          <w:rFonts w:asciiTheme="minorHAnsi" w:hAnsiTheme="minorHAnsi" w:cstheme="minorHAnsi"/>
          <w:b/>
          <w:noProof/>
          <w:sz w:val="22"/>
          <w:szCs w:val="22"/>
        </w:rPr>
        <w:t>Higher Education Leadership Institute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A467BD">
        <w:rPr>
          <w:rFonts w:asciiTheme="minorHAnsi" w:hAnsiTheme="minorHAnsi" w:cstheme="minorHAnsi"/>
          <w:bCs/>
          <w:sz w:val="22"/>
          <w:szCs w:val="22"/>
        </w:rPr>
        <w:t>Level 10, 160 Sussex Street SYDNEY NSW 2011</w:t>
      </w:r>
      <w:r w:rsidR="009F4442" w:rsidRPr="00A54985">
        <w:rPr>
          <w:rFonts w:asciiTheme="minorHAnsi" w:hAnsiTheme="minorHAnsi" w:cstheme="minorHAnsi"/>
          <w:sz w:val="22"/>
          <w:szCs w:val="22"/>
        </w:rPr>
        <w:t xml:space="preserve"> (‘Provider’)</w:t>
      </w:r>
    </w:p>
    <w:p w14:paraId="515C8AD4" w14:textId="1E96C95F"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6C7865" w:rsidRPr="006C7865">
        <w:rPr>
          <w:rFonts w:asciiTheme="minorHAnsi" w:hAnsiTheme="minorHAnsi" w:cstheme="minorHAnsi"/>
          <w:sz w:val="22"/>
        </w:rPr>
        <w:t>ABN 71 606 961 451</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1B0E307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24408A" w:rsidRPr="0024408A">
        <w:rPr>
          <w:rFonts w:ascii="Calibri" w:hAnsi="Calibri" w:cs="Arial"/>
          <w:sz w:val="22"/>
          <w:szCs w:val="22"/>
        </w:rPr>
        <w:t>$</w:t>
      </w:r>
      <w:r w:rsidR="00A467BD" w:rsidRPr="00A467BD">
        <w:rPr>
          <w:rFonts w:ascii="Calibri" w:hAnsi="Calibri" w:cs="Arial"/>
          <w:sz w:val="22"/>
          <w:szCs w:val="22"/>
        </w:rPr>
        <w:t>125,875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007B2B0A"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367DB">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D367DB">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A467BD" w:rsidRPr="00A37B5E" w14:paraId="60FABE71" w14:textId="77777777" w:rsidTr="00A467BD">
        <w:tc>
          <w:tcPr>
            <w:tcW w:w="2500" w:type="pct"/>
            <w:shd w:val="clear" w:color="auto" w:fill="auto"/>
            <w:vAlign w:val="center"/>
          </w:tcPr>
          <w:p w14:paraId="20424CEC" w14:textId="63628F60" w:rsidR="00A467BD" w:rsidRPr="00A37B5E" w:rsidRDefault="00A467BD" w:rsidP="00B067F6">
            <w:pPr>
              <w:rPr>
                <w:rFonts w:ascii="Calibri" w:hAnsi="Calibri" w:cs="Calibri"/>
                <w:color w:val="000000"/>
                <w:sz w:val="22"/>
                <w:szCs w:val="22"/>
              </w:rPr>
            </w:pPr>
            <w:r>
              <w:rPr>
                <w:rFonts w:ascii="Calibri" w:hAnsi="Calibri" w:cs="Calibri"/>
                <w:color w:val="000000"/>
                <w:sz w:val="22"/>
                <w:szCs w:val="22"/>
              </w:rPr>
              <w:t>Online</w:t>
            </w:r>
          </w:p>
        </w:tc>
        <w:tc>
          <w:tcPr>
            <w:tcW w:w="2500" w:type="pct"/>
            <w:shd w:val="clear" w:color="auto" w:fill="auto"/>
            <w:vAlign w:val="center"/>
          </w:tcPr>
          <w:p w14:paraId="321B6B93" w14:textId="3E301243" w:rsidR="00A467BD" w:rsidRPr="00A37B5E" w:rsidRDefault="00A467BD" w:rsidP="00B067F6">
            <w:pPr>
              <w:rPr>
                <w:rFonts w:ascii="Calibri" w:hAnsi="Calibri" w:cs="Calibri"/>
                <w:color w:val="000000"/>
                <w:sz w:val="22"/>
                <w:szCs w:val="22"/>
              </w:rPr>
            </w:pPr>
            <w:r>
              <w:rPr>
                <w:rFonts w:ascii="Calibri" w:hAnsi="Calibri" w:cs="Calibri"/>
                <w:color w:val="000000"/>
                <w:sz w:val="22"/>
                <w:szCs w:val="22"/>
              </w:rPr>
              <w:t xml:space="preserve">Melbourne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1A419118" w:rsidR="00120A05" w:rsidRDefault="00A4142B" w:rsidP="00CF5877">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if given by the Commonwealth, marked for the attention of the</w:t>
      </w:r>
      <w:r w:rsidR="00023FAF">
        <w:rPr>
          <w:rFonts w:ascii="Calibri" w:hAnsi="Calibri" w:cs="Arial"/>
          <w:sz w:val="22"/>
          <w:szCs w:val="22"/>
        </w:rPr>
        <w:t xml:space="preserve"> </w:t>
      </w:r>
      <w:r w:rsidR="0024408A">
        <w:rPr>
          <w:rFonts w:ascii="Calibri" w:hAnsi="Calibri" w:cs="Arial"/>
          <w:noProof/>
          <w:sz w:val="22"/>
          <w:szCs w:val="22"/>
        </w:rPr>
        <w:t xml:space="preserve">Chief Executive Officer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6D58AF1D" w14:textId="14B4F316" w:rsidR="0024408A" w:rsidRDefault="0024408A" w:rsidP="00395FE7">
      <w:pPr>
        <w:pStyle w:val="sub-paraxChar"/>
        <w:keepNext/>
        <w:keepLines/>
        <w:numPr>
          <w:ilvl w:val="0"/>
          <w:numId w:val="0"/>
        </w:numPr>
        <w:ind w:left="1134"/>
        <w:rPr>
          <w:rFonts w:ascii="Calibri" w:hAnsi="Calibri" w:cs="Arial"/>
          <w:noProof/>
          <w:sz w:val="22"/>
          <w:szCs w:val="22"/>
        </w:rPr>
      </w:pPr>
      <w:r w:rsidRPr="0024408A">
        <w:rPr>
          <w:rFonts w:ascii="Calibri" w:hAnsi="Calibri" w:cs="Arial"/>
          <w:noProof/>
          <w:sz w:val="22"/>
          <w:szCs w:val="22"/>
        </w:rPr>
        <w:t>Higher Education Leadership Institute Pty Ltd</w:t>
      </w:r>
    </w:p>
    <w:p w14:paraId="4FD98FB5" w14:textId="6CF0B67B" w:rsidR="0024408A" w:rsidRDefault="00F0149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Level 10, 160 Sussex Street</w:t>
      </w:r>
    </w:p>
    <w:p w14:paraId="7CDE518E" w14:textId="72F5CF79" w:rsidR="0024408A" w:rsidRDefault="00F0149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SYDNEY NSW</w:t>
      </w:r>
      <w:r w:rsidR="00CF417F">
        <w:rPr>
          <w:rFonts w:ascii="Calibri" w:hAnsi="Calibri" w:cs="Arial"/>
          <w:noProof/>
          <w:sz w:val="22"/>
          <w:szCs w:val="22"/>
        </w:rPr>
        <w:t xml:space="preserve"> </w:t>
      </w:r>
      <w:r>
        <w:rPr>
          <w:rFonts w:ascii="Calibri" w:hAnsi="Calibri" w:cs="Arial"/>
          <w:noProof/>
          <w:sz w:val="22"/>
          <w:szCs w:val="22"/>
        </w:rPr>
        <w:t xml:space="preserve"> 2011</w:t>
      </w:r>
    </w:p>
    <w:p w14:paraId="5A123B59" w14:textId="08BD9778" w:rsidR="00023FAF" w:rsidRDefault="00F01497" w:rsidP="00395FE7">
      <w:pPr>
        <w:pStyle w:val="sub-paraxChar"/>
        <w:keepNext/>
        <w:keepLines/>
        <w:numPr>
          <w:ilvl w:val="0"/>
          <w:numId w:val="0"/>
        </w:numPr>
        <w:ind w:left="1134"/>
        <w:rPr>
          <w:rFonts w:ascii="Calibri" w:hAnsi="Calibri" w:cs="Arial"/>
          <w:noProof/>
          <w:sz w:val="22"/>
          <w:szCs w:val="22"/>
        </w:rPr>
      </w:pPr>
      <w:r w:rsidRPr="00F01497">
        <w:rPr>
          <w:rFonts w:ascii="Calibri" w:hAnsi="Calibri" w:cs="Arial"/>
          <w:noProof/>
          <w:sz w:val="22"/>
          <w:szCs w:val="22"/>
        </w:rPr>
        <w:t>andrew.crevald@eca.edu.au</w:t>
      </w:r>
    </w:p>
    <w:p w14:paraId="075C0545" w14:textId="70BD9CA4" w:rsidR="00A4142B" w:rsidRPr="00BA1317" w:rsidRDefault="00023FAF"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FD6616" w:rsidDel="00023FAF">
        <w:rPr>
          <w:rFonts w:ascii="Calibri" w:hAnsi="Calibri" w:cs="Arial"/>
          <w:noProof/>
          <w:sz w:val="22"/>
          <w:szCs w:val="22"/>
        </w:rPr>
        <w:t xml:space="preserve"> </w:t>
      </w:r>
      <w:r w:rsidR="00A4142B"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367DB">
        <w:rPr>
          <w:rFonts w:ascii="Calibri" w:hAnsi="Calibri" w:cs="Arial"/>
          <w:sz w:val="22"/>
          <w:szCs w:val="22"/>
        </w:rPr>
        <w:t>28</w:t>
      </w:r>
      <w:r w:rsidR="00120A05">
        <w:rPr>
          <w:rFonts w:ascii="Calibri" w:hAnsi="Calibri" w:cs="Arial"/>
          <w:sz w:val="22"/>
          <w:szCs w:val="22"/>
        </w:rPr>
        <w:fldChar w:fldCharType="end"/>
      </w:r>
      <w:r w:rsidR="00A4142B"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1A3DEEFF" w14:textId="77777777" w:rsidR="00E94EEE" w:rsidRPr="00981955" w:rsidRDefault="00E94EEE" w:rsidP="00E94EEE">
      <w:pPr>
        <w:rPr>
          <w:rFonts w:ascii="Calibri" w:hAnsi="Calibri" w:cs="Arial"/>
          <w:b/>
        </w:rPr>
      </w:pPr>
      <w:bookmarkStart w:id="4" w:name="_Hlk61625116"/>
      <w:r w:rsidRPr="00981955">
        <w:rPr>
          <w:rFonts w:ascii="Calibri" w:hAnsi="Calibri" w:cs="Arial"/>
          <w:b/>
        </w:rPr>
        <w:t>SIGNED for and on behalf of</w:t>
      </w:r>
    </w:p>
    <w:p w14:paraId="55067D69" w14:textId="77777777" w:rsidR="00E94EEE" w:rsidRPr="00981955" w:rsidRDefault="00E94EEE" w:rsidP="00E94EEE">
      <w:pPr>
        <w:rPr>
          <w:rFonts w:ascii="Calibri" w:hAnsi="Calibri" w:cs="Arial"/>
        </w:rPr>
      </w:pPr>
    </w:p>
    <w:p w14:paraId="7505F7A3" w14:textId="77777777" w:rsidR="00E94EEE" w:rsidRPr="00981955" w:rsidRDefault="00E94EEE" w:rsidP="00E94EEE">
      <w:pPr>
        <w:rPr>
          <w:rFonts w:ascii="Calibri" w:hAnsi="Calibri" w:cs="Arial"/>
        </w:rPr>
      </w:pPr>
      <w:r w:rsidRPr="00981955">
        <w:rPr>
          <w:rFonts w:ascii="Calibri" w:hAnsi="Calibri" w:cs="Arial"/>
        </w:rPr>
        <w:t>THE COMMONWEALTH OF AUSTRALIA</w:t>
      </w:r>
    </w:p>
    <w:p w14:paraId="00FA27E6" w14:textId="77777777" w:rsidR="00E94EEE" w:rsidRPr="00981955" w:rsidRDefault="00E94EEE" w:rsidP="00E94EEE">
      <w:pPr>
        <w:rPr>
          <w:rFonts w:ascii="Calibri" w:hAnsi="Calibri" w:cs="Arial"/>
        </w:rPr>
      </w:pPr>
    </w:p>
    <w:p w14:paraId="17D94373" w14:textId="77777777" w:rsidR="00E94EEE" w:rsidRPr="00981955" w:rsidRDefault="00E94EEE" w:rsidP="00E94EEE">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4FD62A8" w14:textId="77777777" w:rsidR="00E94EEE" w:rsidRPr="00981955" w:rsidRDefault="00E94EEE" w:rsidP="00E94EEE">
      <w:pPr>
        <w:rPr>
          <w:rFonts w:ascii="Calibri" w:hAnsi="Calibri" w:cs="Arial"/>
        </w:rPr>
      </w:pPr>
    </w:p>
    <w:p w14:paraId="07BE77C7"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42C89DEF" w14:textId="77777777" w:rsidTr="0056127E">
        <w:tc>
          <w:tcPr>
            <w:tcW w:w="9854" w:type="dxa"/>
          </w:tcPr>
          <w:p w14:paraId="3105B39F" w14:textId="77777777" w:rsidR="00E94EEE" w:rsidRPr="00981955" w:rsidRDefault="00E94EEE" w:rsidP="0056127E">
            <w:pPr>
              <w:rPr>
                <w:rFonts w:ascii="Calibri" w:hAnsi="Calibri" w:cs="Arial"/>
                <w:b/>
              </w:rPr>
            </w:pPr>
            <w:r w:rsidRPr="00981955">
              <w:rPr>
                <w:rFonts w:ascii="Calibri" w:hAnsi="Calibri" w:cs="Arial"/>
                <w:b/>
              </w:rPr>
              <w:t xml:space="preserve">Signed by </w:t>
            </w:r>
          </w:p>
        </w:tc>
      </w:tr>
      <w:tr w:rsidR="00E94EEE" w:rsidRPr="00981955" w14:paraId="6571EBD3" w14:textId="77777777" w:rsidTr="0056127E">
        <w:tc>
          <w:tcPr>
            <w:tcW w:w="9854" w:type="dxa"/>
            <w:tcBorders>
              <w:bottom w:val="single" w:sz="4" w:space="0" w:color="auto"/>
            </w:tcBorders>
          </w:tcPr>
          <w:p w14:paraId="255FC0BD" w14:textId="77777777" w:rsidR="00E94EEE" w:rsidRPr="00981955" w:rsidRDefault="00E94EEE" w:rsidP="0056127E">
            <w:pPr>
              <w:rPr>
                <w:rFonts w:ascii="Calibri" w:hAnsi="Calibri" w:cs="Arial"/>
              </w:rPr>
            </w:pPr>
            <w:r>
              <w:rPr>
                <w:rFonts w:ascii="Calibri" w:hAnsi="Calibri" w:cs="Arial"/>
              </w:rPr>
              <w:t xml:space="preserve">Dom English </w:t>
            </w:r>
          </w:p>
        </w:tc>
      </w:tr>
    </w:tbl>
    <w:p w14:paraId="5E70DD56"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E94EEE" w:rsidRPr="00981955" w14:paraId="5CD650E0" w14:textId="77777777" w:rsidTr="0056127E">
        <w:tc>
          <w:tcPr>
            <w:tcW w:w="675" w:type="dxa"/>
            <w:tcBorders>
              <w:bottom w:val="single" w:sz="4" w:space="0" w:color="auto"/>
            </w:tcBorders>
          </w:tcPr>
          <w:p w14:paraId="2AE8045C" w14:textId="77777777" w:rsidR="00E94EEE" w:rsidRPr="00981955" w:rsidRDefault="00E94EEE"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21FC0847" w14:textId="77777777" w:rsidR="00E94EEE" w:rsidRPr="00981955" w:rsidRDefault="00E94EEE" w:rsidP="0056127E">
            <w:pPr>
              <w:rPr>
                <w:rFonts w:ascii="Calibri" w:hAnsi="Calibri" w:cs="Arial"/>
              </w:rPr>
            </w:pPr>
            <w:r>
              <w:rPr>
                <w:rFonts w:ascii="Calibri" w:hAnsi="Calibri" w:cs="Arial"/>
              </w:rPr>
              <w:t>2 August 2021</w:t>
            </w:r>
          </w:p>
        </w:tc>
      </w:tr>
    </w:tbl>
    <w:p w14:paraId="24E98D59" w14:textId="77777777" w:rsidR="00E94EEE" w:rsidRPr="00981955" w:rsidRDefault="00E94EEE" w:rsidP="00E94EEE">
      <w:pPr>
        <w:rPr>
          <w:rFonts w:ascii="Calibri" w:hAnsi="Calibri" w:cs="Arial"/>
        </w:rPr>
      </w:pPr>
    </w:p>
    <w:p w14:paraId="2EE05F5B" w14:textId="77777777" w:rsidR="00E94EEE" w:rsidRPr="00981955" w:rsidRDefault="00E94EEE" w:rsidP="00E94EE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37786CBF" w14:textId="77777777" w:rsidTr="0056127E">
        <w:tc>
          <w:tcPr>
            <w:tcW w:w="9854" w:type="dxa"/>
          </w:tcPr>
          <w:p w14:paraId="70B6FF98" w14:textId="77777777" w:rsidR="00E94EEE" w:rsidRPr="00981955" w:rsidRDefault="00E94EEE" w:rsidP="0056127E">
            <w:pPr>
              <w:rPr>
                <w:rFonts w:ascii="Calibri" w:hAnsi="Calibri" w:cs="Arial"/>
                <w:b/>
              </w:rPr>
            </w:pPr>
            <w:r w:rsidRPr="00981955">
              <w:rPr>
                <w:rFonts w:ascii="Calibri" w:hAnsi="Calibri" w:cs="Arial"/>
                <w:b/>
              </w:rPr>
              <w:t xml:space="preserve">Signed by </w:t>
            </w:r>
          </w:p>
        </w:tc>
      </w:tr>
      <w:tr w:rsidR="00E94EEE" w:rsidRPr="00981955" w14:paraId="27126A06" w14:textId="77777777" w:rsidTr="0056127E">
        <w:tc>
          <w:tcPr>
            <w:tcW w:w="9854" w:type="dxa"/>
            <w:tcBorders>
              <w:bottom w:val="single" w:sz="4" w:space="0" w:color="auto"/>
            </w:tcBorders>
          </w:tcPr>
          <w:p w14:paraId="21F09F0D" w14:textId="77777777" w:rsidR="00E94EEE" w:rsidRPr="00981955" w:rsidRDefault="00E94EEE" w:rsidP="0056127E">
            <w:pPr>
              <w:rPr>
                <w:rFonts w:ascii="Calibri" w:hAnsi="Calibri" w:cs="Arial"/>
              </w:rPr>
            </w:pPr>
            <w:r>
              <w:rPr>
                <w:rFonts w:ascii="Calibri" w:hAnsi="Calibri" w:cs="Arial"/>
              </w:rPr>
              <w:t>Andrew Herd</w:t>
            </w:r>
          </w:p>
        </w:tc>
      </w:tr>
    </w:tbl>
    <w:p w14:paraId="087A39C8"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390993D4" w14:textId="77777777" w:rsidTr="0056127E">
        <w:tc>
          <w:tcPr>
            <w:tcW w:w="9854" w:type="dxa"/>
          </w:tcPr>
          <w:p w14:paraId="540759B7" w14:textId="77777777" w:rsidR="00E94EEE" w:rsidRPr="00981955" w:rsidRDefault="00E94EEE" w:rsidP="0056127E">
            <w:pPr>
              <w:rPr>
                <w:rFonts w:ascii="Calibri" w:hAnsi="Calibri" w:cs="Arial"/>
                <w:b/>
              </w:rPr>
            </w:pPr>
            <w:r w:rsidRPr="00981955">
              <w:rPr>
                <w:rFonts w:ascii="Calibri" w:hAnsi="Calibri" w:cs="Arial"/>
                <w:b/>
              </w:rPr>
              <w:t xml:space="preserve">Position of witness </w:t>
            </w:r>
          </w:p>
        </w:tc>
      </w:tr>
      <w:tr w:rsidR="00E94EEE" w:rsidRPr="00981955" w14:paraId="1EB7AD31" w14:textId="77777777" w:rsidTr="0056127E">
        <w:tc>
          <w:tcPr>
            <w:tcW w:w="9854" w:type="dxa"/>
            <w:tcBorders>
              <w:bottom w:val="single" w:sz="4" w:space="0" w:color="auto"/>
            </w:tcBorders>
          </w:tcPr>
          <w:p w14:paraId="3F78F765" w14:textId="77777777" w:rsidR="00E94EEE" w:rsidRPr="00981955" w:rsidRDefault="00E94EEE" w:rsidP="0056127E">
            <w:pPr>
              <w:rPr>
                <w:rFonts w:ascii="Calibri" w:hAnsi="Calibri" w:cs="Arial"/>
              </w:rPr>
            </w:pPr>
            <w:r>
              <w:rPr>
                <w:rFonts w:ascii="Calibri" w:hAnsi="Calibri" w:cs="Arial"/>
              </w:rPr>
              <w:t>A/G Assistant Secretary</w:t>
            </w:r>
          </w:p>
        </w:tc>
      </w:tr>
    </w:tbl>
    <w:p w14:paraId="077BFFEE" w14:textId="77777777" w:rsidR="00E94EEE" w:rsidRPr="00981955" w:rsidRDefault="00E94EEE" w:rsidP="00E94EEE">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3B15F9BF" w14:textId="6B776381" w:rsidR="00E94EEE" w:rsidRPr="00981955" w:rsidRDefault="00E94EEE" w:rsidP="00E94EEE">
      <w:pPr>
        <w:rPr>
          <w:rFonts w:ascii="Calibri" w:hAnsi="Calibri" w:cs="Arial"/>
          <w:b/>
        </w:rPr>
      </w:pPr>
      <w:r w:rsidRPr="00E94EEE">
        <w:rPr>
          <w:rFonts w:ascii="Calibri" w:hAnsi="Calibri" w:cs="Arial"/>
          <w:noProof/>
        </w:rPr>
        <w:t>Higher Education Leadership Institute Pty Ltd</w:t>
      </w:r>
    </w:p>
    <w:p w14:paraId="551AD546"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7788ACD2" w14:textId="77777777" w:rsidTr="0056127E">
        <w:tc>
          <w:tcPr>
            <w:tcW w:w="9854" w:type="dxa"/>
          </w:tcPr>
          <w:p w14:paraId="0174C3D0" w14:textId="77777777" w:rsidR="00E94EEE" w:rsidRPr="00981955" w:rsidRDefault="00E94EEE" w:rsidP="0056127E">
            <w:pPr>
              <w:rPr>
                <w:rFonts w:ascii="Calibri" w:hAnsi="Calibri" w:cs="Arial"/>
                <w:b/>
              </w:rPr>
            </w:pPr>
            <w:r w:rsidRPr="00981955">
              <w:rPr>
                <w:rFonts w:ascii="Calibri" w:hAnsi="Calibri" w:cs="Arial"/>
                <w:b/>
              </w:rPr>
              <w:t xml:space="preserve">Signed by </w:t>
            </w:r>
          </w:p>
        </w:tc>
      </w:tr>
      <w:tr w:rsidR="00E94EEE" w:rsidRPr="00981955" w14:paraId="263207CA" w14:textId="77777777" w:rsidTr="0056127E">
        <w:trPr>
          <w:trHeight w:val="122"/>
        </w:trPr>
        <w:tc>
          <w:tcPr>
            <w:tcW w:w="9854" w:type="dxa"/>
            <w:tcBorders>
              <w:bottom w:val="single" w:sz="4" w:space="0" w:color="auto"/>
            </w:tcBorders>
            <w:vAlign w:val="bottom"/>
          </w:tcPr>
          <w:p w14:paraId="515ADF36" w14:textId="53800527" w:rsidR="00E94EEE" w:rsidRPr="00981955" w:rsidRDefault="00E94EEE" w:rsidP="0056127E">
            <w:pPr>
              <w:tabs>
                <w:tab w:val="left" w:pos="4820"/>
              </w:tabs>
              <w:rPr>
                <w:rFonts w:ascii="Calibri" w:hAnsi="Calibri" w:cs="Arial"/>
              </w:rPr>
            </w:pPr>
            <w:r>
              <w:rPr>
                <w:rFonts w:ascii="Calibri" w:hAnsi="Calibri" w:cs="Arial"/>
              </w:rPr>
              <w:t>Andrew Richard Mark Crevald</w:t>
            </w:r>
          </w:p>
        </w:tc>
      </w:tr>
    </w:tbl>
    <w:p w14:paraId="68619CCF"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677A3E32" w14:textId="77777777" w:rsidTr="0056127E">
        <w:tc>
          <w:tcPr>
            <w:tcW w:w="9854" w:type="dxa"/>
          </w:tcPr>
          <w:p w14:paraId="03C99588" w14:textId="77777777" w:rsidR="00E94EEE" w:rsidRPr="00981955" w:rsidRDefault="00E94EEE" w:rsidP="0056127E">
            <w:pPr>
              <w:rPr>
                <w:rFonts w:ascii="Calibri" w:hAnsi="Calibri" w:cs="Arial"/>
                <w:b/>
              </w:rPr>
            </w:pPr>
            <w:r w:rsidRPr="00981955">
              <w:rPr>
                <w:rFonts w:ascii="Calibri" w:hAnsi="Calibri" w:cs="Arial"/>
                <w:b/>
              </w:rPr>
              <w:t xml:space="preserve">Position </w:t>
            </w:r>
          </w:p>
        </w:tc>
      </w:tr>
      <w:tr w:rsidR="00E94EEE" w:rsidRPr="00981955" w14:paraId="3CB69F2F" w14:textId="77777777" w:rsidTr="0056127E">
        <w:tc>
          <w:tcPr>
            <w:tcW w:w="9854" w:type="dxa"/>
            <w:tcBorders>
              <w:bottom w:val="single" w:sz="4" w:space="0" w:color="auto"/>
            </w:tcBorders>
          </w:tcPr>
          <w:p w14:paraId="57B1026B" w14:textId="0B0C2068" w:rsidR="00E94EEE" w:rsidRPr="00981955" w:rsidRDefault="00E94EEE" w:rsidP="0056127E">
            <w:pPr>
              <w:tabs>
                <w:tab w:val="left" w:pos="4820"/>
              </w:tabs>
              <w:rPr>
                <w:rFonts w:ascii="Calibri" w:hAnsi="Calibri" w:cs="Arial"/>
              </w:rPr>
            </w:pPr>
            <w:r>
              <w:rPr>
                <w:rFonts w:ascii="Calibri" w:hAnsi="Calibri" w:cs="Arial"/>
              </w:rPr>
              <w:t>Chief Executive Officer</w:t>
            </w:r>
          </w:p>
        </w:tc>
      </w:tr>
    </w:tbl>
    <w:p w14:paraId="45059F85" w14:textId="77777777" w:rsidR="00E94EEE" w:rsidRPr="00981955" w:rsidRDefault="00E94EEE" w:rsidP="00E94EEE">
      <w:pPr>
        <w:rPr>
          <w:rFonts w:ascii="Calibri" w:hAnsi="Calibri" w:cs="Arial"/>
        </w:rPr>
      </w:pPr>
    </w:p>
    <w:p w14:paraId="03C59C2B" w14:textId="77777777" w:rsidR="00E94EEE" w:rsidRPr="00981955" w:rsidRDefault="00E94EEE" w:rsidP="00E94EE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06F33C77" w14:textId="77777777" w:rsidTr="0056127E">
        <w:tc>
          <w:tcPr>
            <w:tcW w:w="9854" w:type="dxa"/>
          </w:tcPr>
          <w:p w14:paraId="4F04D1D8" w14:textId="77777777" w:rsidR="00E94EEE" w:rsidRPr="00981955" w:rsidRDefault="00E94EEE" w:rsidP="0056127E">
            <w:pPr>
              <w:rPr>
                <w:rFonts w:ascii="Calibri" w:hAnsi="Calibri" w:cs="Arial"/>
                <w:b/>
              </w:rPr>
            </w:pPr>
            <w:r w:rsidRPr="00981955">
              <w:rPr>
                <w:rFonts w:ascii="Calibri" w:hAnsi="Calibri" w:cs="Arial"/>
                <w:b/>
              </w:rPr>
              <w:t xml:space="preserve">Signed by </w:t>
            </w:r>
          </w:p>
        </w:tc>
      </w:tr>
      <w:tr w:rsidR="00E94EEE" w:rsidRPr="00981955" w14:paraId="4936FB1E" w14:textId="77777777" w:rsidTr="0056127E">
        <w:tc>
          <w:tcPr>
            <w:tcW w:w="9854" w:type="dxa"/>
            <w:tcBorders>
              <w:bottom w:val="single" w:sz="4" w:space="0" w:color="auto"/>
            </w:tcBorders>
          </w:tcPr>
          <w:p w14:paraId="3C635169" w14:textId="0DF6E826" w:rsidR="00E94EEE" w:rsidRPr="00981955" w:rsidRDefault="00E94EEE" w:rsidP="0056127E">
            <w:pPr>
              <w:rPr>
                <w:rFonts w:ascii="Calibri" w:hAnsi="Calibri" w:cs="Arial"/>
              </w:rPr>
            </w:pPr>
            <w:r>
              <w:rPr>
                <w:rFonts w:ascii="Calibri" w:hAnsi="Calibri" w:cs="Arial"/>
              </w:rPr>
              <w:t>Gemma Margaret Clarke</w:t>
            </w:r>
          </w:p>
        </w:tc>
      </w:tr>
    </w:tbl>
    <w:p w14:paraId="5D4C7CCC" w14:textId="77777777" w:rsidR="00E94EEE" w:rsidRPr="00981955" w:rsidRDefault="00E94EEE" w:rsidP="00E94EE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E94EEE" w:rsidRPr="00981955" w14:paraId="29FC453C" w14:textId="77777777" w:rsidTr="0056127E">
        <w:tc>
          <w:tcPr>
            <w:tcW w:w="9854" w:type="dxa"/>
          </w:tcPr>
          <w:p w14:paraId="5A5C8236" w14:textId="77777777" w:rsidR="00E94EEE" w:rsidRPr="00981955" w:rsidRDefault="00E94EEE" w:rsidP="0056127E">
            <w:pPr>
              <w:rPr>
                <w:rFonts w:ascii="Calibri" w:hAnsi="Calibri" w:cs="Arial"/>
                <w:b/>
              </w:rPr>
            </w:pPr>
            <w:r w:rsidRPr="00981955">
              <w:rPr>
                <w:rFonts w:ascii="Calibri" w:hAnsi="Calibri" w:cs="Arial"/>
                <w:b/>
              </w:rPr>
              <w:t xml:space="preserve">Position or profession of witness </w:t>
            </w:r>
          </w:p>
        </w:tc>
      </w:tr>
      <w:tr w:rsidR="00E94EEE" w:rsidRPr="00981955" w14:paraId="5CD15720" w14:textId="77777777" w:rsidTr="0056127E">
        <w:tc>
          <w:tcPr>
            <w:tcW w:w="9854" w:type="dxa"/>
            <w:tcBorders>
              <w:bottom w:val="single" w:sz="4" w:space="0" w:color="auto"/>
            </w:tcBorders>
          </w:tcPr>
          <w:p w14:paraId="4DF8CCB0" w14:textId="7856CBD8" w:rsidR="00E94EEE" w:rsidRPr="00981955" w:rsidRDefault="00E94EEE" w:rsidP="0056127E">
            <w:pPr>
              <w:rPr>
                <w:rFonts w:ascii="Calibri" w:hAnsi="Calibri" w:cs="Arial"/>
              </w:rPr>
            </w:pPr>
            <w:r>
              <w:rPr>
                <w:rFonts w:ascii="Calibri" w:hAnsi="Calibri" w:cs="Arial"/>
              </w:rPr>
              <w:t>Teacher</w:t>
            </w:r>
          </w:p>
        </w:tc>
      </w:tr>
    </w:tbl>
    <w:p w14:paraId="660842A3" w14:textId="77777777" w:rsidR="00E94EEE" w:rsidRDefault="00E94EEE" w:rsidP="00E94EEE">
      <w:pPr>
        <w:rPr>
          <w:rFonts w:ascii="Calibri" w:hAnsi="Calibri" w:cs="Arial"/>
          <w:sz w:val="22"/>
          <w:szCs w:val="22"/>
        </w:rPr>
        <w:sectPr w:rsidR="00E94EEE" w:rsidSect="00E94EEE">
          <w:type w:val="continuous"/>
          <w:pgSz w:w="11906" w:h="16838" w:code="9"/>
          <w:pgMar w:top="1134" w:right="1134" w:bottom="1134" w:left="1134" w:header="567" w:footer="567" w:gutter="0"/>
          <w:cols w:num="2" w:space="340"/>
          <w:docGrid w:linePitch="272"/>
        </w:sectPr>
      </w:pPr>
    </w:p>
    <w:bookmarkEnd w:id="4"/>
    <w:p w14:paraId="65F14326" w14:textId="77777777" w:rsidR="00E94EEE" w:rsidRDefault="00E94EEE" w:rsidP="00E94EEE"/>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A467BD" w14:paraId="4EA7E5B6" w14:textId="77777777" w:rsidTr="00A467B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A467BD" w:rsidRPr="00AB13EF" w:rsidRDefault="00A467BD" w:rsidP="00A467BD">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A467BD" w:rsidRPr="00AB13EF" w:rsidRDefault="00A467BD" w:rsidP="00A467BD">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61637A56"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7DA59CE"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ACB6B0C"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r>
      <w:tr w:rsidR="00A467BD" w14:paraId="166F6F4B" w14:textId="77777777" w:rsidTr="00A467B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A467BD" w:rsidRPr="00AB13EF" w:rsidRDefault="00A467BD" w:rsidP="00A467BD">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14D8F320" w:rsidR="00A467BD" w:rsidRPr="00AB13EF" w:rsidRDefault="00A467BD" w:rsidP="00A467BD">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9F45982"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4E90739"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9.5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0DFD32BB"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9.5</w:t>
            </w:r>
          </w:p>
        </w:tc>
      </w:tr>
      <w:tr w:rsidR="00A467BD" w14:paraId="72DCDD32" w14:textId="77777777" w:rsidTr="00A467B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A467BD" w:rsidRPr="006C275D" w:rsidRDefault="00A467BD" w:rsidP="00A467BD">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A467BD" w:rsidRPr="006C275D" w:rsidRDefault="00A467BD" w:rsidP="00A467BD">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E1C4D69"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C26695A"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593DE747"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r>
      <w:tr w:rsidR="00A467BD" w14:paraId="2F08869A" w14:textId="77777777" w:rsidTr="00A467B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A467BD" w:rsidRPr="006C275D" w:rsidRDefault="00A467BD" w:rsidP="00A467BD">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A467BD" w:rsidRPr="006C275D" w:rsidRDefault="00A467BD" w:rsidP="00A467BD">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0D835EFA"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275D9933"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300EDDC" w:rsidR="00A467BD" w:rsidRPr="00A467BD" w:rsidRDefault="00A467BD" w:rsidP="00A467BD">
            <w:pPr>
              <w:jc w:val="right"/>
              <w:rPr>
                <w:rFonts w:asciiTheme="minorHAnsi" w:hAnsiTheme="minorHAnsi" w:cstheme="minorHAnsi"/>
                <w:color w:val="000000"/>
                <w:sz w:val="20"/>
                <w:szCs w:val="20"/>
              </w:rPr>
            </w:pPr>
            <w:r w:rsidRPr="00A467BD">
              <w:rPr>
                <w:rFonts w:asciiTheme="minorHAnsi" w:hAnsiTheme="minorHAnsi" w:cstheme="minorHAnsi"/>
                <w:sz w:val="20"/>
                <w:szCs w:val="20"/>
              </w:rPr>
              <w:t>0.0</w:t>
            </w:r>
          </w:p>
        </w:tc>
      </w:tr>
      <w:tr w:rsidR="00A467BD" w14:paraId="6A5F7F56" w14:textId="77777777" w:rsidTr="00A467B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A467BD" w:rsidRPr="006C275D" w:rsidRDefault="00A467BD" w:rsidP="00A467BD">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A467BD" w:rsidRPr="006C275D" w:rsidRDefault="00A467BD" w:rsidP="00A467BD">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4434DBC6" w:rsidR="00A467BD" w:rsidRPr="00A467BD" w:rsidRDefault="00A467BD" w:rsidP="00A467BD">
            <w:pPr>
              <w:jc w:val="right"/>
              <w:rPr>
                <w:rFonts w:asciiTheme="minorHAnsi" w:hAnsiTheme="minorHAnsi" w:cstheme="minorHAnsi"/>
                <w:b/>
                <w:bCs/>
                <w:color w:val="000000"/>
                <w:sz w:val="20"/>
                <w:szCs w:val="20"/>
              </w:rPr>
            </w:pPr>
            <w:r w:rsidRPr="00A467BD">
              <w:rPr>
                <w:rFonts w:asciiTheme="minorHAnsi" w:hAnsiTheme="minorHAnsi" w:cs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F9B317C" w:rsidR="00A467BD" w:rsidRPr="00A467BD" w:rsidRDefault="00A467BD" w:rsidP="00A467BD">
            <w:pPr>
              <w:jc w:val="right"/>
              <w:rPr>
                <w:rFonts w:asciiTheme="minorHAnsi" w:hAnsiTheme="minorHAnsi" w:cstheme="minorHAnsi"/>
                <w:b/>
                <w:bCs/>
                <w:color w:val="000000"/>
                <w:sz w:val="20"/>
                <w:szCs w:val="20"/>
              </w:rPr>
            </w:pPr>
            <w:r w:rsidRPr="00A467BD">
              <w:rPr>
                <w:rFonts w:asciiTheme="minorHAnsi" w:hAnsiTheme="minorHAnsi" w:cstheme="minorHAnsi"/>
                <w:b/>
                <w:bCs/>
                <w:sz w:val="20"/>
                <w:szCs w:val="20"/>
              </w:rPr>
              <w:t>9.5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2FE0A893" w:rsidR="00A467BD" w:rsidRPr="00A467BD" w:rsidRDefault="00A467BD" w:rsidP="00A467BD">
            <w:pPr>
              <w:jc w:val="right"/>
              <w:rPr>
                <w:rFonts w:asciiTheme="minorHAnsi" w:hAnsiTheme="minorHAnsi" w:cstheme="minorHAnsi"/>
                <w:b/>
                <w:bCs/>
                <w:color w:val="000000"/>
                <w:sz w:val="20"/>
                <w:szCs w:val="20"/>
              </w:rPr>
            </w:pPr>
            <w:r w:rsidRPr="00A467BD">
              <w:rPr>
                <w:rFonts w:asciiTheme="minorHAnsi" w:hAnsiTheme="minorHAnsi" w:cstheme="minorHAnsi"/>
                <w:b/>
                <w:bCs/>
                <w:sz w:val="20"/>
                <w:szCs w:val="20"/>
              </w:rPr>
              <w:t>9.5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9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04DCC734" w14:textId="77777777" w:rsidTr="00BA6DE5">
        <w:trPr>
          <w:trHeight w:val="257"/>
        </w:trPr>
        <w:tc>
          <w:tcPr>
            <w:tcW w:w="1560" w:type="dxa"/>
          </w:tcPr>
          <w:p w14:paraId="4C26E2D9" w14:textId="7ED98ED4" w:rsidR="00B0498C" w:rsidRPr="0024408A" w:rsidRDefault="0024408A" w:rsidP="0002332F">
            <w:pPr>
              <w:tabs>
                <w:tab w:val="left" w:pos="567"/>
                <w:tab w:val="left" w:pos="8222"/>
              </w:tabs>
              <w:rPr>
                <w:rFonts w:ascii="Calibri" w:hAnsi="Calibri" w:cs="Calibri"/>
                <w:bCs/>
                <w:color w:val="000000"/>
                <w:sz w:val="20"/>
                <w:szCs w:val="20"/>
              </w:rPr>
            </w:pPr>
            <w:r w:rsidRPr="00CF5877">
              <w:rPr>
                <w:rFonts w:ascii="Calibri" w:hAnsi="Calibri" w:cs="Calibri"/>
                <w:color w:val="000000"/>
                <w:sz w:val="20"/>
                <w:szCs w:val="20"/>
              </w:rPr>
              <w:t>Graduate Certificate</w:t>
            </w:r>
          </w:p>
        </w:tc>
        <w:tc>
          <w:tcPr>
            <w:tcW w:w="3402" w:type="dxa"/>
            <w:shd w:val="clear" w:color="auto" w:fill="auto"/>
          </w:tcPr>
          <w:p w14:paraId="0AD98497" w14:textId="4FAAD7AF" w:rsidR="00B0498C" w:rsidRPr="00CF5877" w:rsidRDefault="0024408A" w:rsidP="00CF5877">
            <w:pPr>
              <w:rPr>
                <w:rFonts w:ascii="Calibri" w:hAnsi="Calibri" w:cs="Calibri"/>
                <w:color w:val="000000"/>
                <w:sz w:val="20"/>
                <w:szCs w:val="20"/>
              </w:rPr>
            </w:pPr>
            <w:r w:rsidRPr="00CF5877">
              <w:rPr>
                <w:rFonts w:ascii="Calibri" w:hAnsi="Calibri" w:cs="Calibri"/>
                <w:color w:val="000000"/>
                <w:sz w:val="20"/>
                <w:szCs w:val="20"/>
              </w:rPr>
              <w:t>Graduate Certificate in Higher Education Academic Practice</w:t>
            </w:r>
          </w:p>
        </w:tc>
        <w:tc>
          <w:tcPr>
            <w:tcW w:w="2916" w:type="dxa"/>
            <w:shd w:val="clear" w:color="auto" w:fill="BFBFBF" w:themeFill="background1" w:themeFillShade="BF"/>
          </w:tcPr>
          <w:p w14:paraId="55C03B98" w14:textId="77777777" w:rsidR="00B0498C" w:rsidRPr="0024408A" w:rsidRDefault="00B0498C" w:rsidP="0002332F">
            <w:pPr>
              <w:rPr>
                <w:rFonts w:ascii="Calibri" w:hAnsi="Calibri" w:cs="Calibri"/>
                <w:color w:val="000000"/>
                <w:sz w:val="20"/>
                <w:szCs w:val="20"/>
              </w:rPr>
            </w:pPr>
          </w:p>
        </w:tc>
        <w:tc>
          <w:tcPr>
            <w:tcW w:w="1143" w:type="dxa"/>
          </w:tcPr>
          <w:p w14:paraId="247B1EA7" w14:textId="2708B11B" w:rsidR="0024408A" w:rsidRPr="00CF5877" w:rsidRDefault="00A467BD" w:rsidP="0024408A">
            <w:pPr>
              <w:jc w:val="right"/>
              <w:rPr>
                <w:rFonts w:ascii="Calibri" w:hAnsi="Calibri" w:cs="Calibri"/>
                <w:color w:val="000000"/>
                <w:sz w:val="20"/>
                <w:szCs w:val="20"/>
              </w:rPr>
            </w:pPr>
            <w:bookmarkStart w:id="5" w:name="_Hlk63983383"/>
            <w:r>
              <w:rPr>
                <w:rFonts w:ascii="Calibri" w:hAnsi="Calibri" w:cs="Calibri"/>
                <w:color w:val="000000"/>
                <w:sz w:val="20"/>
                <w:szCs w:val="20"/>
              </w:rPr>
              <w:t>$</w:t>
            </w:r>
            <w:r w:rsidRPr="00A467BD">
              <w:rPr>
                <w:rFonts w:ascii="Calibri" w:hAnsi="Calibri" w:cs="Calibri"/>
                <w:color w:val="000000"/>
                <w:sz w:val="20"/>
                <w:szCs w:val="20"/>
              </w:rPr>
              <w:t>125,875</w:t>
            </w:r>
          </w:p>
          <w:bookmarkEnd w:id="5"/>
          <w:p w14:paraId="4ABB0C89" w14:textId="548D500E" w:rsidR="00B0498C" w:rsidRPr="0024408A" w:rsidRDefault="00B0498C" w:rsidP="0002332F">
            <w:pPr>
              <w:tabs>
                <w:tab w:val="left" w:pos="567"/>
                <w:tab w:val="left" w:pos="8222"/>
              </w:tabs>
              <w:jc w:val="right"/>
              <w:rPr>
                <w:rFonts w:asciiTheme="minorHAnsi" w:hAnsiTheme="minorHAnsi" w:cstheme="minorHAnsi"/>
                <w:noProof/>
                <w:sz w:val="20"/>
                <w:szCs w:val="20"/>
              </w:rPr>
            </w:pPr>
          </w:p>
        </w:tc>
      </w:tr>
      <w:tr w:rsidR="00B0498C" w:rsidRPr="00BE77BA" w14:paraId="67662BC2" w14:textId="77777777" w:rsidTr="00BA6DE5">
        <w:trPr>
          <w:trHeight w:val="257"/>
        </w:trPr>
        <w:tc>
          <w:tcPr>
            <w:tcW w:w="7878" w:type="dxa"/>
            <w:gridSpan w:val="3"/>
          </w:tcPr>
          <w:p w14:paraId="5FEA1C01" w14:textId="1F3A8C51" w:rsidR="00B0498C" w:rsidRPr="0024408A" w:rsidRDefault="00B0498C" w:rsidP="0002332F">
            <w:pPr>
              <w:tabs>
                <w:tab w:val="left" w:pos="567"/>
                <w:tab w:val="left" w:pos="8222"/>
              </w:tabs>
              <w:rPr>
                <w:rFonts w:asciiTheme="minorHAnsi" w:hAnsiTheme="minorHAnsi" w:cstheme="minorHAnsi"/>
                <w:b/>
                <w:bCs/>
                <w:noProof/>
                <w:sz w:val="20"/>
                <w:szCs w:val="20"/>
                <w:highlight w:val="green"/>
              </w:rPr>
            </w:pPr>
            <w:r w:rsidRPr="0024408A">
              <w:rPr>
                <w:rFonts w:asciiTheme="minorHAnsi" w:hAnsiTheme="minorHAnsi" w:cstheme="minorHAnsi"/>
                <w:b/>
                <w:bCs/>
                <w:noProof/>
                <w:sz w:val="20"/>
                <w:szCs w:val="20"/>
              </w:rPr>
              <w:t>Total</w:t>
            </w:r>
            <w:r w:rsidR="001B082C" w:rsidRPr="0024408A">
              <w:rPr>
                <w:rFonts w:asciiTheme="minorHAnsi" w:hAnsiTheme="minorHAnsi" w:cstheme="minorHAnsi"/>
                <w:b/>
                <w:bCs/>
                <w:noProof/>
                <w:sz w:val="20"/>
                <w:szCs w:val="20"/>
              </w:rPr>
              <w:t xml:space="preserve"> funding</w:t>
            </w:r>
          </w:p>
        </w:tc>
        <w:tc>
          <w:tcPr>
            <w:tcW w:w="1143" w:type="dxa"/>
          </w:tcPr>
          <w:p w14:paraId="3341339F" w14:textId="5D3B5A3E" w:rsidR="00B0498C" w:rsidRPr="00CF5877" w:rsidRDefault="00A467BD" w:rsidP="00CF5877">
            <w:pPr>
              <w:jc w:val="right"/>
              <w:rPr>
                <w:rFonts w:ascii="Calibri" w:hAnsi="Calibri" w:cs="Calibri"/>
                <w:b/>
                <w:bCs/>
                <w:color w:val="000000"/>
                <w:sz w:val="20"/>
                <w:szCs w:val="20"/>
              </w:rPr>
            </w:pPr>
            <w:r>
              <w:rPr>
                <w:rFonts w:ascii="Calibri" w:hAnsi="Calibri" w:cs="Calibri"/>
                <w:b/>
                <w:bCs/>
                <w:color w:val="000000"/>
                <w:sz w:val="20"/>
                <w:szCs w:val="20"/>
              </w:rPr>
              <w:t>$</w:t>
            </w:r>
            <w:r w:rsidRPr="00A467BD">
              <w:rPr>
                <w:rFonts w:ascii="Calibri" w:hAnsi="Calibri" w:cs="Calibri"/>
                <w:b/>
                <w:bCs/>
                <w:color w:val="000000"/>
                <w:sz w:val="20"/>
                <w:szCs w:val="20"/>
              </w:rPr>
              <w:t>125,875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BA4B4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11ED" w14:textId="77777777" w:rsidR="004D5E3B" w:rsidRDefault="004D5E3B">
      <w:r>
        <w:separator/>
      </w:r>
    </w:p>
  </w:endnote>
  <w:endnote w:type="continuationSeparator" w:id="0">
    <w:p w14:paraId="292BDF6D" w14:textId="77777777" w:rsidR="004D5E3B" w:rsidRDefault="004D5E3B">
      <w:r>
        <w:continuationSeparator/>
      </w:r>
    </w:p>
  </w:endnote>
  <w:endnote w:type="continuationNotice" w:id="1">
    <w:p w14:paraId="5C6BA20C" w14:textId="77777777" w:rsidR="004D5E3B" w:rsidRDefault="004D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44246" w14:textId="77777777" w:rsidR="004D5E3B" w:rsidRDefault="004D5E3B">
      <w:r>
        <w:separator/>
      </w:r>
    </w:p>
  </w:footnote>
  <w:footnote w:type="continuationSeparator" w:id="0">
    <w:p w14:paraId="58CCC257" w14:textId="77777777" w:rsidR="004D5E3B" w:rsidRDefault="004D5E3B">
      <w:r>
        <w:continuationSeparator/>
      </w:r>
    </w:p>
  </w:footnote>
  <w:footnote w:type="continuationNotice" w:id="1">
    <w:p w14:paraId="6C7DB85C" w14:textId="77777777" w:rsidR="004D5E3B" w:rsidRDefault="004D5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A8B3002" w:rsidR="00A4142B" w:rsidRPr="0088616E" w:rsidRDefault="0024408A" w:rsidP="003D7D3D">
    <w:pPr>
      <w:pStyle w:val="Header"/>
      <w:pBdr>
        <w:bottom w:val="single" w:sz="4" w:space="0" w:color="auto"/>
      </w:pBdr>
      <w:rPr>
        <w:rFonts w:ascii="Calibri" w:hAnsi="Calibri"/>
      </w:rPr>
    </w:pPr>
    <w:r w:rsidRPr="0024408A">
      <w:rPr>
        <w:rFonts w:ascii="Calibri" w:hAnsi="Calibri" w:cs="Arial"/>
        <w:noProof/>
        <w:sz w:val="16"/>
        <w:szCs w:val="16"/>
      </w:rPr>
      <w:t>Higher Education Leadership Institute Pty Ltd</w:t>
    </w:r>
    <w:r w:rsidRPr="00CF5877" w:rsidDel="0024408A">
      <w:rPr>
        <w:rFonts w:ascii="Calibri" w:hAnsi="Calibri" w:cs="Arial"/>
        <w:noProof/>
        <w:sz w:val="16"/>
        <w:szCs w:val="16"/>
      </w:rPr>
      <w:t xml:space="preserve"> </w:t>
    </w:r>
    <w:r w:rsidR="00BA4B4D">
      <w:rPr>
        <w:rFonts w:ascii="Calibri" w:hAnsi="Calibri" w:cs="Arial"/>
        <w:noProof/>
        <w:sz w:val="16"/>
        <w:szCs w:val="16"/>
      </w:rPr>
      <w:t xml:space="preserve">2021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37A50ADC" w:rsidR="00A4142B" w:rsidRPr="0088616E" w:rsidRDefault="0024408A" w:rsidP="00736EFC">
    <w:pPr>
      <w:pStyle w:val="Header"/>
      <w:pBdr>
        <w:bottom w:val="single" w:sz="4" w:space="0" w:color="auto"/>
      </w:pBdr>
      <w:rPr>
        <w:rFonts w:ascii="Calibri" w:hAnsi="Calibri"/>
      </w:rPr>
    </w:pPr>
    <w:bookmarkStart w:id="3" w:name="_Hlk61963578"/>
    <w:r w:rsidRPr="0024408A">
      <w:rPr>
        <w:rFonts w:ascii="Calibri" w:hAnsi="Calibri" w:cs="Arial"/>
        <w:noProof/>
        <w:sz w:val="16"/>
        <w:szCs w:val="16"/>
      </w:rPr>
      <w:t xml:space="preserve">Higher Education Leadership Institute </w:t>
    </w:r>
    <w:r w:rsidRPr="00023FAF">
      <w:rPr>
        <w:rFonts w:ascii="Calibri" w:hAnsi="Calibri" w:cs="Arial"/>
        <w:noProof/>
        <w:sz w:val="16"/>
        <w:szCs w:val="16"/>
      </w:rPr>
      <w:t>Pty Ltd</w:t>
    </w:r>
    <w:r w:rsidRPr="00CF5877" w:rsidDel="0024408A">
      <w:rPr>
        <w:rFonts w:ascii="Calibri" w:hAnsi="Calibri" w:cs="Arial"/>
        <w:noProof/>
        <w:sz w:val="16"/>
        <w:szCs w:val="16"/>
      </w:rPr>
      <w:t xml:space="preserve"> </w:t>
    </w:r>
    <w:r w:rsidR="00BA4B4D">
      <w:rPr>
        <w:rFonts w:ascii="Calibri" w:hAnsi="Calibri" w:cs="Arial"/>
        <w:noProof/>
        <w:sz w:val="16"/>
        <w:szCs w:val="16"/>
      </w:rPr>
      <w:t xml:space="preserve">2021 CGS </w:t>
    </w:r>
    <w:r w:rsidR="00A4142B" w:rsidRPr="00023FAF">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Agreement</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41CEBF1A" w:rsidR="00B0498C" w:rsidRPr="0088616E" w:rsidRDefault="0024408A" w:rsidP="00B0498C">
    <w:pPr>
      <w:pStyle w:val="Header"/>
      <w:pBdr>
        <w:bottom w:val="single" w:sz="4" w:space="0" w:color="auto"/>
      </w:pBdr>
      <w:rPr>
        <w:rFonts w:ascii="Calibri" w:hAnsi="Calibri"/>
      </w:rPr>
    </w:pPr>
    <w:r w:rsidRPr="0024408A">
      <w:rPr>
        <w:rFonts w:ascii="Calibri" w:hAnsi="Calibri" w:cs="Arial"/>
        <w:noProof/>
        <w:sz w:val="16"/>
        <w:szCs w:val="16"/>
      </w:rPr>
      <w:t xml:space="preserve">Higher Education Leadership Institute </w:t>
    </w:r>
    <w:r w:rsidRPr="00023FAF">
      <w:rPr>
        <w:rFonts w:ascii="Calibri" w:hAnsi="Calibri" w:cs="Arial"/>
        <w:noProof/>
        <w:sz w:val="16"/>
        <w:szCs w:val="16"/>
      </w:rPr>
      <w:t>Pty Ltd</w:t>
    </w:r>
    <w:r w:rsidRPr="00CF5877" w:rsidDel="0024408A">
      <w:rPr>
        <w:rFonts w:ascii="Calibri" w:hAnsi="Calibri" w:cs="Arial"/>
        <w:noProof/>
        <w:sz w:val="16"/>
        <w:szCs w:val="16"/>
      </w:rPr>
      <w:t xml:space="preserve"> </w:t>
    </w:r>
    <w:r w:rsidR="00BA4B4D">
      <w:rPr>
        <w:rFonts w:ascii="Calibri" w:hAnsi="Calibri" w:cs="Arial"/>
        <w:noProof/>
        <w:sz w:val="16"/>
        <w:szCs w:val="16"/>
      </w:rPr>
      <w:t xml:space="preserve">2021 CGS </w:t>
    </w:r>
    <w:r w:rsidR="00B0498C" w:rsidRPr="00023FAF">
      <w:rPr>
        <w:rFonts w:ascii="Calibri" w:hAnsi="Calibri" w:cs="Arial"/>
        <w:sz w:val="16"/>
        <w:szCs w:val="16"/>
      </w:rPr>
      <w:t>Funding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4D5E3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3FAF"/>
    <w:rsid w:val="0002402C"/>
    <w:rsid w:val="000265E8"/>
    <w:rsid w:val="0002718E"/>
    <w:rsid w:val="0002758A"/>
    <w:rsid w:val="0003148C"/>
    <w:rsid w:val="00033632"/>
    <w:rsid w:val="00035D45"/>
    <w:rsid w:val="00036EE0"/>
    <w:rsid w:val="000400C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67B59"/>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408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2C06"/>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5E3B"/>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06858"/>
    <w:rsid w:val="00513071"/>
    <w:rsid w:val="0051438D"/>
    <w:rsid w:val="00516AAB"/>
    <w:rsid w:val="00517FAF"/>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C7865"/>
    <w:rsid w:val="006D0638"/>
    <w:rsid w:val="006D13EC"/>
    <w:rsid w:val="006D44BD"/>
    <w:rsid w:val="006D53DF"/>
    <w:rsid w:val="006D5A5C"/>
    <w:rsid w:val="006D5C17"/>
    <w:rsid w:val="006D635C"/>
    <w:rsid w:val="006D7B0F"/>
    <w:rsid w:val="006E0CBE"/>
    <w:rsid w:val="006E127A"/>
    <w:rsid w:val="006E45D0"/>
    <w:rsid w:val="006E482C"/>
    <w:rsid w:val="006E49D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1F1"/>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2D05"/>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7BD"/>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4B4D"/>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17F"/>
    <w:rsid w:val="00CF4762"/>
    <w:rsid w:val="00CF5877"/>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7DB"/>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4EE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497"/>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64F3"/>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305211488">
      <w:bodyDiv w:val="1"/>
      <w:marLeft w:val="0"/>
      <w:marRight w:val="0"/>
      <w:marTop w:val="0"/>
      <w:marBottom w:val="0"/>
      <w:divBdr>
        <w:top w:val="none" w:sz="0" w:space="0" w:color="auto"/>
        <w:left w:val="none" w:sz="0" w:space="0" w:color="auto"/>
        <w:bottom w:val="none" w:sz="0" w:space="0" w:color="auto"/>
        <w:right w:val="none" w:sz="0" w:space="0" w:color="auto"/>
      </w:divBdr>
    </w:div>
    <w:div w:id="305552854">
      <w:bodyDiv w:val="1"/>
      <w:marLeft w:val="0"/>
      <w:marRight w:val="0"/>
      <w:marTop w:val="0"/>
      <w:marBottom w:val="0"/>
      <w:divBdr>
        <w:top w:val="none" w:sz="0" w:space="0" w:color="auto"/>
        <w:left w:val="none" w:sz="0" w:space="0" w:color="auto"/>
        <w:bottom w:val="none" w:sz="0" w:space="0" w:color="auto"/>
        <w:right w:val="none" w:sz="0" w:space="0" w:color="auto"/>
      </w:divBdr>
    </w:div>
    <w:div w:id="431896029">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8482868">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92205611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938D4-6083-4777-99CD-25D992B8E4B8}">
  <ds:schemaRefs>
    <ds:schemaRef ds:uri="http://schemas.openxmlformats.org/officeDocument/2006/bibliography"/>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6</cp:revision>
  <cp:lastPrinted>2021-07-01T01:45:00Z</cp:lastPrinted>
  <dcterms:created xsi:type="dcterms:W3CDTF">2021-07-01T01:45:00Z</dcterms:created>
  <dcterms:modified xsi:type="dcterms:W3CDTF">2021-08-23T04:07:00Z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