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8F1F6" w14:textId="77777777" w:rsidR="00A668BF" w:rsidRDefault="00C60222" w:rsidP="006D440B">
      <w:pPr>
        <w:ind w:left="709"/>
        <w:sectPr w:rsidR="00A668BF" w:rsidSect="002A7840">
          <w:type w:val="continuous"/>
          <w:pgSz w:w="11906" w:h="16838"/>
          <w:pgMar w:top="567" w:right="720" w:bottom="720" w:left="720" w:header="708" w:footer="708" w:gutter="0"/>
          <w:cols w:space="708"/>
          <w:docGrid w:linePitch="360"/>
        </w:sectPr>
      </w:pPr>
      <w:r w:rsidRPr="00A668BF">
        <w:rPr>
          <w:noProof/>
        </w:rPr>
        <w:drawing>
          <wp:anchor distT="0" distB="0" distL="114300" distR="114300" simplePos="0" relativeHeight="251658240" behindDoc="1" locked="1" layoutInCell="1" allowOverlap="1" wp14:anchorId="5D672496" wp14:editId="4D3FF16D">
            <wp:simplePos x="0" y="0"/>
            <wp:positionH relativeFrom="column">
              <wp:posOffset>-476250</wp:posOffset>
            </wp:positionH>
            <wp:positionV relativeFrom="page">
              <wp:posOffset>-25400</wp:posOffset>
            </wp:positionV>
            <wp:extent cx="7592400" cy="2167200"/>
            <wp:effectExtent l="0" t="0" r="0" b="1905"/>
            <wp:wrapNone/>
            <wp:docPr id="7" name="Picture 7" descr="Decorativ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400" cy="21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8BF">
        <w:rPr>
          <w:noProof/>
        </w:rPr>
        <w:drawing>
          <wp:inline distT="0" distB="0" distL="0" distR="0" wp14:anchorId="0FED3469" wp14:editId="1A006BC0">
            <wp:extent cx="2331725" cy="716281"/>
            <wp:effectExtent l="0" t="0" r="0" b="7620"/>
            <wp:docPr id="1" name="Picture 1" descr="Australian Government Department of Education, Skills and Employ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t Education, Skills and Employment_Inline_Rev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31725" cy="71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766FA" w14:textId="49A6AC41" w:rsidR="002B1CE5" w:rsidRPr="009A099C" w:rsidRDefault="00162FA4" w:rsidP="006D440B">
      <w:pPr>
        <w:pStyle w:val="Title"/>
        <w:jc w:val="center"/>
        <w:rPr>
          <w:sz w:val="56"/>
          <w:szCs w:val="52"/>
        </w:rPr>
      </w:pPr>
      <w:r w:rsidRPr="009A099C">
        <w:rPr>
          <w:sz w:val="56"/>
          <w:szCs w:val="52"/>
        </w:rPr>
        <w:t>Direct Measure of Income (DMI) Refinement Working Group</w:t>
      </w:r>
    </w:p>
    <w:p w14:paraId="15B6B3B1" w14:textId="025A4F73" w:rsidR="006D440B" w:rsidRPr="00C6788D" w:rsidRDefault="006D440B" w:rsidP="006D440B">
      <w:pPr>
        <w:jc w:val="both"/>
        <w:rPr>
          <w:rFonts w:ascii="Calibri" w:eastAsia="Times New Roman" w:hAnsi="Calibri" w:cs="Times New Roman"/>
        </w:rPr>
      </w:pPr>
      <w:r w:rsidRPr="00C6788D">
        <w:rPr>
          <w:rFonts w:ascii="Calibri" w:eastAsia="Times New Roman" w:hAnsi="Calibri" w:cs="Times New Roman"/>
        </w:rPr>
        <w:t>The Department of Education, Skills and Employment (the department)</w:t>
      </w:r>
      <w:r>
        <w:rPr>
          <w:rFonts w:ascii="Calibri" w:eastAsia="Times New Roman" w:hAnsi="Calibri" w:cs="Times New Roman"/>
        </w:rPr>
        <w:t xml:space="preserve"> </w:t>
      </w:r>
      <w:r w:rsidRPr="00C6788D">
        <w:rPr>
          <w:rFonts w:ascii="Calibri" w:eastAsia="Times New Roman" w:hAnsi="Calibri" w:cs="Times New Roman"/>
        </w:rPr>
        <w:t xml:space="preserve">established the DMI Refinement Working Group (Working Group) to undertake further work on the DMI methodology. As whole of government data is expected to become increasingly available, further work </w:t>
      </w:r>
      <w:r>
        <w:rPr>
          <w:rFonts w:ascii="Calibri" w:eastAsia="Times New Roman" w:hAnsi="Calibri" w:cs="Times New Roman"/>
        </w:rPr>
        <w:t>is being</w:t>
      </w:r>
      <w:r w:rsidRPr="00C6788D">
        <w:rPr>
          <w:rFonts w:ascii="Calibri" w:eastAsia="Times New Roman" w:hAnsi="Calibri" w:cs="Times New Roman"/>
        </w:rPr>
        <w:t xml:space="preserve"> undertaken to explore how innovations in the use of additional Multi-Agency Data Integration Project (MADIP) data could </w:t>
      </w:r>
      <w:r>
        <w:rPr>
          <w:rFonts w:ascii="Calibri" w:eastAsia="Times New Roman" w:hAnsi="Calibri" w:cs="Times New Roman"/>
        </w:rPr>
        <w:t xml:space="preserve">be used to </w:t>
      </w:r>
      <w:r w:rsidRPr="00C6788D">
        <w:rPr>
          <w:rFonts w:ascii="Calibri" w:eastAsia="Times New Roman" w:hAnsi="Calibri" w:cs="Times New Roman"/>
        </w:rPr>
        <w:t xml:space="preserve">further refine the DMI. This will ensure that the DMI continues to be </w:t>
      </w:r>
      <w:r>
        <w:rPr>
          <w:rFonts w:ascii="Calibri" w:eastAsia="Times New Roman" w:hAnsi="Calibri" w:cs="Times New Roman"/>
        </w:rPr>
        <w:t>the most</w:t>
      </w:r>
      <w:r w:rsidRPr="00C6788D">
        <w:rPr>
          <w:rFonts w:ascii="Calibri" w:eastAsia="Times New Roman" w:hAnsi="Calibri" w:cs="Times New Roman"/>
        </w:rPr>
        <w:t xml:space="preserve"> reliable and robust measure available to determine </w:t>
      </w:r>
      <w:r>
        <w:rPr>
          <w:rFonts w:ascii="Calibri" w:eastAsia="Times New Roman" w:hAnsi="Calibri" w:cs="Times New Roman"/>
        </w:rPr>
        <w:t xml:space="preserve">the Commonwealth’s contribution to </w:t>
      </w:r>
      <w:r w:rsidRPr="00C6788D">
        <w:rPr>
          <w:rFonts w:ascii="Calibri" w:eastAsia="Times New Roman" w:hAnsi="Calibri" w:cs="Times New Roman"/>
        </w:rPr>
        <w:t xml:space="preserve">non-government school funding. </w:t>
      </w:r>
    </w:p>
    <w:p w14:paraId="1A2B073E" w14:textId="320856DC" w:rsidR="00162FA4" w:rsidRPr="006D440B" w:rsidRDefault="00162FA4" w:rsidP="006D440B">
      <w:pPr>
        <w:pStyle w:val="Heading1"/>
        <w:rPr>
          <w:color w:val="007CAF" w:themeColor="accent1" w:themeTint="BF"/>
          <w:sz w:val="36"/>
          <w:szCs w:val="36"/>
        </w:rPr>
      </w:pPr>
      <w:r w:rsidRPr="006D440B">
        <w:rPr>
          <w:color w:val="007CAF" w:themeColor="accent1" w:themeTint="BF"/>
          <w:sz w:val="36"/>
          <w:szCs w:val="36"/>
        </w:rPr>
        <w:t xml:space="preserve">Meeting 3 – </w:t>
      </w:r>
      <w:r w:rsidR="009A099C" w:rsidRPr="006D440B">
        <w:rPr>
          <w:color w:val="007CAF" w:themeColor="accent1" w:themeTint="BF"/>
          <w:sz w:val="36"/>
          <w:szCs w:val="36"/>
        </w:rPr>
        <w:t>13 January 2021 - Communique</w:t>
      </w:r>
    </w:p>
    <w:p w14:paraId="627DCEC7" w14:textId="0C1092E9" w:rsidR="00162FA4" w:rsidRDefault="009A099C" w:rsidP="006D440B">
      <w:r>
        <w:t xml:space="preserve">The third meeting of the DMI Refinement Working Group was held via video conference. </w:t>
      </w:r>
    </w:p>
    <w:p w14:paraId="6A708FE0" w14:textId="2ED58A5E" w:rsidR="003C0124" w:rsidRPr="006D440B" w:rsidRDefault="00164385" w:rsidP="006D440B">
      <w:pPr>
        <w:pStyle w:val="Heading2"/>
        <w:rPr>
          <w:sz w:val="28"/>
          <w:szCs w:val="24"/>
        </w:rPr>
      </w:pPr>
      <w:r>
        <w:rPr>
          <w:sz w:val="28"/>
          <w:szCs w:val="24"/>
        </w:rPr>
        <w:t xml:space="preserve">Analysis of change in the rolling </w:t>
      </w:r>
      <w:r w:rsidR="003C0124" w:rsidRPr="006D440B">
        <w:rPr>
          <w:sz w:val="28"/>
          <w:szCs w:val="24"/>
        </w:rPr>
        <w:t>average DMI score</w:t>
      </w:r>
      <w:r>
        <w:rPr>
          <w:sz w:val="28"/>
          <w:szCs w:val="24"/>
        </w:rPr>
        <w:t xml:space="preserve"> from 2020 to 2021</w:t>
      </w:r>
    </w:p>
    <w:p w14:paraId="0D94B447" w14:textId="6BC8325E" w:rsidR="003C0124" w:rsidRDefault="003C0124" w:rsidP="006D440B">
      <w:r>
        <w:t xml:space="preserve">The department presented </w:t>
      </w:r>
      <w:r w:rsidR="00A7753A">
        <w:t xml:space="preserve">an </w:t>
      </w:r>
      <w:r>
        <w:t xml:space="preserve">analysis </w:t>
      </w:r>
      <w:r w:rsidR="00164385">
        <w:t xml:space="preserve">of the change in the rolling average DMI score from </w:t>
      </w:r>
      <w:r w:rsidR="00A70E46">
        <w:t xml:space="preserve">2020 </w:t>
      </w:r>
      <w:r w:rsidR="00164385">
        <w:t xml:space="preserve">to </w:t>
      </w:r>
      <w:r w:rsidR="00A70E46">
        <w:t>2021</w:t>
      </w:r>
      <w:r>
        <w:t xml:space="preserve">. </w:t>
      </w:r>
      <w:r w:rsidR="00A7753A">
        <w:t>This a</w:t>
      </w:r>
      <w:r>
        <w:t xml:space="preserve">nalysis </w:t>
      </w:r>
      <w:r w:rsidR="00E00282">
        <w:t>show</w:t>
      </w:r>
      <w:r w:rsidR="00A7753A">
        <w:t>s</w:t>
      </w:r>
      <w:r>
        <w:t xml:space="preserve"> that most schools </w:t>
      </w:r>
      <w:r w:rsidR="00A70E46">
        <w:t xml:space="preserve">experience </w:t>
      </w:r>
      <w:r>
        <w:t xml:space="preserve">no change in average DMI score from 2020 to 2021. </w:t>
      </w:r>
      <w:r w:rsidR="00A70E46">
        <w:t>For s</w:t>
      </w:r>
      <w:r>
        <w:t xml:space="preserve">chools that </w:t>
      </w:r>
      <w:r w:rsidR="00A70E46">
        <w:t xml:space="preserve">experience </w:t>
      </w:r>
      <w:r>
        <w:t>a change</w:t>
      </w:r>
      <w:r w:rsidR="00A70E46">
        <w:t xml:space="preserve"> in average DMI score</w:t>
      </w:r>
      <w:r>
        <w:t xml:space="preserve">, most are within one </w:t>
      </w:r>
      <w:r w:rsidR="00164385">
        <w:t xml:space="preserve">funded </w:t>
      </w:r>
      <w:r>
        <w:t>point</w:t>
      </w:r>
      <w:r w:rsidR="00E00282">
        <w:t xml:space="preserve"> of the</w:t>
      </w:r>
      <w:r w:rsidR="00164385">
        <w:t xml:space="preserve"> </w:t>
      </w:r>
      <w:r w:rsidR="00E00282">
        <w:t>previous year</w:t>
      </w:r>
      <w:r w:rsidR="00A70E46">
        <w:t>’s average</w:t>
      </w:r>
      <w:r w:rsidR="00E00282">
        <w:t xml:space="preserve"> DMI score</w:t>
      </w:r>
      <w:r>
        <w:t xml:space="preserve">. This trend was </w:t>
      </w:r>
      <w:r w:rsidR="00A70E46">
        <w:t xml:space="preserve">observed </w:t>
      </w:r>
      <w:r>
        <w:t xml:space="preserve">across different regions and sectors. The Working Group discussed the funding implications of the change in the average DMI score </w:t>
      </w:r>
      <w:r w:rsidR="00E00282">
        <w:t>year to year</w:t>
      </w:r>
      <w:r>
        <w:t xml:space="preserve">. </w:t>
      </w:r>
    </w:p>
    <w:p w14:paraId="1D73F1EB" w14:textId="182C1BF1" w:rsidR="003C0124" w:rsidRPr="006D440B" w:rsidRDefault="003C0124" w:rsidP="006D440B">
      <w:pPr>
        <w:pStyle w:val="Heading2"/>
        <w:rPr>
          <w:sz w:val="28"/>
          <w:szCs w:val="24"/>
        </w:rPr>
      </w:pPr>
      <w:r w:rsidRPr="006D440B">
        <w:rPr>
          <w:sz w:val="28"/>
          <w:szCs w:val="24"/>
        </w:rPr>
        <w:t xml:space="preserve">Regional income analysis on </w:t>
      </w:r>
      <w:r w:rsidR="00A70E46">
        <w:rPr>
          <w:sz w:val="28"/>
          <w:szCs w:val="24"/>
        </w:rPr>
        <w:t xml:space="preserve">the </w:t>
      </w:r>
      <w:r w:rsidRPr="006D440B">
        <w:rPr>
          <w:sz w:val="28"/>
          <w:szCs w:val="24"/>
        </w:rPr>
        <w:t>Capricornia region, Queensland</w:t>
      </w:r>
    </w:p>
    <w:p w14:paraId="5A259874" w14:textId="07279347" w:rsidR="003C0124" w:rsidRDefault="003C0124" w:rsidP="006D440B">
      <w:r>
        <w:t xml:space="preserve">The department presented </w:t>
      </w:r>
      <w:r w:rsidR="00164385">
        <w:t xml:space="preserve">an </w:t>
      </w:r>
      <w:r w:rsidR="00A70E46">
        <w:t>analysis on</w:t>
      </w:r>
      <w:r>
        <w:t xml:space="preserve"> income quartile</w:t>
      </w:r>
      <w:r w:rsidR="00164385">
        <w:t xml:space="preserve"> data</w:t>
      </w:r>
      <w:r w:rsidR="00A70E46">
        <w:t xml:space="preserve"> </w:t>
      </w:r>
      <w:r>
        <w:t>for the Capricornia region, Queensland</w:t>
      </w:r>
      <w:r w:rsidR="00EE2BDE">
        <w:t>,</w:t>
      </w:r>
      <w:r>
        <w:t xml:space="preserve"> as requested by Independent Schools Queensland (ISQ) and </w:t>
      </w:r>
      <w:r w:rsidR="001F20A0">
        <w:t xml:space="preserve">the </w:t>
      </w:r>
      <w:bookmarkStart w:id="0" w:name="_GoBack"/>
      <w:bookmarkEnd w:id="0"/>
      <w:r>
        <w:t xml:space="preserve">Queensland Catholic Education Commission (QCEC). </w:t>
      </w:r>
      <w:r w:rsidR="00A7753A" w:rsidRPr="00A7753A">
        <w:rPr>
          <w:rFonts w:ascii="Calibri" w:eastAsia="Calibri" w:hAnsi="Calibri" w:cs="Times New Roman"/>
        </w:rPr>
        <w:t xml:space="preserve">The department’s analysis showed Capricornia </w:t>
      </w:r>
      <w:r w:rsidR="00A7753A">
        <w:rPr>
          <w:rFonts w:ascii="Calibri" w:eastAsia="Calibri" w:hAnsi="Calibri" w:cs="Times New Roman"/>
        </w:rPr>
        <w:t xml:space="preserve">has </w:t>
      </w:r>
      <w:r w:rsidR="00A7753A" w:rsidRPr="00A7753A">
        <w:rPr>
          <w:rFonts w:ascii="Calibri" w:eastAsia="Calibri" w:hAnsi="Calibri" w:cs="Times New Roman"/>
        </w:rPr>
        <w:t>smaller interquartile ranges when compared to Queensland and National data, indicating less spread of incomes.</w:t>
      </w:r>
    </w:p>
    <w:p w14:paraId="6C7FDE67" w14:textId="690D8D78" w:rsidR="003C0124" w:rsidRPr="006D440B" w:rsidRDefault="003C0124" w:rsidP="006D440B">
      <w:pPr>
        <w:pStyle w:val="Heading2"/>
        <w:rPr>
          <w:sz w:val="28"/>
          <w:szCs w:val="24"/>
        </w:rPr>
      </w:pPr>
      <w:r w:rsidRPr="006D440B">
        <w:rPr>
          <w:sz w:val="28"/>
          <w:szCs w:val="24"/>
        </w:rPr>
        <w:t xml:space="preserve">Income imputation </w:t>
      </w:r>
    </w:p>
    <w:p w14:paraId="1D8853C9" w14:textId="7841FF5E" w:rsidR="00703CC5" w:rsidRDefault="00703CC5" w:rsidP="006D440B">
      <w:r>
        <w:t xml:space="preserve">The ABS presented preliminary findings on the imputation strategy </w:t>
      </w:r>
      <w:r w:rsidR="00A7753A">
        <w:t xml:space="preserve">that could be </w:t>
      </w:r>
      <w:r>
        <w:t xml:space="preserve">used </w:t>
      </w:r>
      <w:r w:rsidR="00A7753A">
        <w:t>to estimate</w:t>
      </w:r>
      <w:r>
        <w:t xml:space="preserve"> income</w:t>
      </w:r>
      <w:r w:rsidR="00A70E46">
        <w:t>s</w:t>
      </w:r>
      <w:r>
        <w:t xml:space="preserve"> </w:t>
      </w:r>
      <w:r w:rsidR="00A70E46">
        <w:t xml:space="preserve">of parents and/or guardians </w:t>
      </w:r>
      <w:r>
        <w:t xml:space="preserve">where </w:t>
      </w:r>
      <w:r w:rsidR="00A70E46">
        <w:t xml:space="preserve">personal income taxation information </w:t>
      </w:r>
      <w:r>
        <w:t xml:space="preserve">is not known. </w:t>
      </w:r>
      <w:r w:rsidR="001C4D1B" w:rsidRPr="001C4D1B">
        <w:t xml:space="preserve">The ABS recommended that Government payments be </w:t>
      </w:r>
      <w:r w:rsidR="00A7753A">
        <w:t>used</w:t>
      </w:r>
      <w:r w:rsidR="001C4D1B" w:rsidRPr="001C4D1B">
        <w:t xml:space="preserve"> and suggested a </w:t>
      </w:r>
      <w:r w:rsidR="00A70E46">
        <w:t xml:space="preserve">multi-stage </w:t>
      </w:r>
      <w:r w:rsidR="001C4D1B" w:rsidRPr="001C4D1B">
        <w:t xml:space="preserve">strategy. The </w:t>
      </w:r>
      <w:r w:rsidR="003451A0">
        <w:t xml:space="preserve">ABS also recommended </w:t>
      </w:r>
      <w:r w:rsidR="00164385">
        <w:t xml:space="preserve">that </w:t>
      </w:r>
      <w:r w:rsidR="003451A0">
        <w:t xml:space="preserve">the </w:t>
      </w:r>
      <w:r w:rsidR="001C4D1B" w:rsidRPr="001C4D1B">
        <w:t xml:space="preserve">ABS Survey of Income and Housing (SIH) </w:t>
      </w:r>
      <w:r w:rsidR="003451A0">
        <w:t>be</w:t>
      </w:r>
      <w:r w:rsidR="001C4D1B" w:rsidRPr="001C4D1B">
        <w:t xml:space="preserve"> </w:t>
      </w:r>
      <w:r w:rsidR="00164385">
        <w:t xml:space="preserve">further </w:t>
      </w:r>
      <w:r w:rsidR="006E3D3F">
        <w:t xml:space="preserve">explored </w:t>
      </w:r>
      <w:r w:rsidR="00A7753A">
        <w:t xml:space="preserve">for </w:t>
      </w:r>
      <w:r w:rsidR="006E3D3F">
        <w:t xml:space="preserve">potential </w:t>
      </w:r>
      <w:r w:rsidR="00A7753A">
        <w:t>use as part of the</w:t>
      </w:r>
      <w:r w:rsidR="001C4D1B" w:rsidRPr="001C4D1B">
        <w:t xml:space="preserve"> imputation </w:t>
      </w:r>
      <w:r w:rsidR="00A7753A">
        <w:t xml:space="preserve">strategy. </w:t>
      </w:r>
      <w:r>
        <w:t xml:space="preserve">The Working </w:t>
      </w:r>
      <w:r w:rsidR="00EE2BDE">
        <w:t>G</w:t>
      </w:r>
      <w:r>
        <w:t>roup discussed different sources of data</w:t>
      </w:r>
      <w:r w:rsidR="00F15336">
        <w:t xml:space="preserve"> </w:t>
      </w:r>
      <w:r>
        <w:t xml:space="preserve">and </w:t>
      </w:r>
      <w:r w:rsidR="003451A0">
        <w:t>explored the</w:t>
      </w:r>
      <w:r>
        <w:t xml:space="preserve"> correlat</w:t>
      </w:r>
      <w:r w:rsidR="003451A0">
        <w:t>ion</w:t>
      </w:r>
      <w:r>
        <w:t xml:space="preserve"> to the Australian Taxation Office Adjusted Taxable Income (ATI). </w:t>
      </w:r>
    </w:p>
    <w:p w14:paraId="3C0BC0A8" w14:textId="13214C1C" w:rsidR="009A099C" w:rsidRPr="006D440B" w:rsidRDefault="009A099C" w:rsidP="006D440B">
      <w:pPr>
        <w:pStyle w:val="Heading2"/>
        <w:rPr>
          <w:sz w:val="28"/>
          <w:szCs w:val="24"/>
        </w:rPr>
      </w:pPr>
      <w:r w:rsidRPr="006D440B">
        <w:rPr>
          <w:sz w:val="28"/>
          <w:szCs w:val="24"/>
        </w:rPr>
        <w:t xml:space="preserve">Statistical </w:t>
      </w:r>
      <w:r w:rsidR="008F5786">
        <w:rPr>
          <w:sz w:val="28"/>
          <w:szCs w:val="24"/>
        </w:rPr>
        <w:t>measures</w:t>
      </w:r>
    </w:p>
    <w:p w14:paraId="07F9EE76" w14:textId="0E26B042" w:rsidR="00FE2798" w:rsidRPr="00703CC5" w:rsidRDefault="00703CC5" w:rsidP="006D440B">
      <w:pPr>
        <w:rPr>
          <w:b/>
          <w:bCs/>
        </w:rPr>
      </w:pPr>
      <w:r w:rsidRPr="00FE2798">
        <w:t>The ABS presented different statistical measures that could be used</w:t>
      </w:r>
      <w:r>
        <w:t xml:space="preserve"> to derive a DMI score</w:t>
      </w:r>
      <w:r w:rsidR="006E3D3F">
        <w:t xml:space="preserve"> </w:t>
      </w:r>
      <w:r w:rsidR="00A859B5" w:rsidRPr="00A859B5">
        <w:t>–</w:t>
      </w:r>
      <w:r w:rsidR="006E3D3F">
        <w:t xml:space="preserve"> median,</w:t>
      </w:r>
      <w:r w:rsidR="00A859B5" w:rsidRPr="00A859B5">
        <w:t xml:space="preserve"> first quartile, mid-hinge, tri-mean, mean, trimmed mean and </w:t>
      </w:r>
      <w:proofErr w:type="spellStart"/>
      <w:r w:rsidR="00A859B5" w:rsidRPr="00A859B5">
        <w:t>winsorised</w:t>
      </w:r>
      <w:proofErr w:type="spellEnd"/>
      <w:r w:rsidR="00A859B5" w:rsidRPr="00A859B5">
        <w:t xml:space="preserve"> mean. </w:t>
      </w:r>
      <w:r w:rsidR="00FE2798" w:rsidRPr="00A859B5">
        <w:t xml:space="preserve">The Working Group discussed </w:t>
      </w:r>
      <w:r w:rsidR="006E3D3F">
        <w:t>de</w:t>
      </w:r>
      <w:r w:rsidR="00164385">
        <w:t>veloping</w:t>
      </w:r>
      <w:r w:rsidR="006E3D3F">
        <w:t xml:space="preserve"> </w:t>
      </w:r>
      <w:r w:rsidR="006E3D3F" w:rsidRPr="00A859B5">
        <w:t>princip</w:t>
      </w:r>
      <w:r w:rsidR="006E3D3F">
        <w:t>le</w:t>
      </w:r>
      <w:r w:rsidR="006E3D3F" w:rsidRPr="00A859B5">
        <w:t>s</w:t>
      </w:r>
      <w:r w:rsidR="00FE2798" w:rsidRPr="00A859B5">
        <w:t xml:space="preserve"> </w:t>
      </w:r>
      <w:r w:rsidR="006E3D3F">
        <w:t xml:space="preserve">that could be </w:t>
      </w:r>
      <w:r w:rsidR="005744C6">
        <w:t xml:space="preserve">used </w:t>
      </w:r>
      <w:r w:rsidR="00FE2798" w:rsidRPr="00A859B5">
        <w:t xml:space="preserve">to assess the fitness-for-purpose of the </w:t>
      </w:r>
      <w:r w:rsidR="00164385">
        <w:t xml:space="preserve">different </w:t>
      </w:r>
      <w:r w:rsidR="00FE2798" w:rsidRPr="00A859B5">
        <w:t>measures</w:t>
      </w:r>
      <w:r w:rsidR="00FE2798">
        <w:t xml:space="preserve">. </w:t>
      </w:r>
    </w:p>
    <w:sectPr w:rsidR="00FE2798" w:rsidRPr="00703CC5" w:rsidSect="006D440B">
      <w:type w:val="continuous"/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44B13" w14:textId="77777777" w:rsidR="00162FA4" w:rsidRDefault="00162FA4" w:rsidP="0051352E">
      <w:pPr>
        <w:spacing w:after="0" w:line="240" w:lineRule="auto"/>
      </w:pPr>
      <w:r>
        <w:separator/>
      </w:r>
    </w:p>
  </w:endnote>
  <w:endnote w:type="continuationSeparator" w:id="0">
    <w:p w14:paraId="45FC9BC3" w14:textId="77777777" w:rsidR="00162FA4" w:rsidRDefault="00162FA4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262CB" w14:textId="77777777" w:rsidR="00162FA4" w:rsidRDefault="00162FA4" w:rsidP="0051352E">
      <w:pPr>
        <w:spacing w:after="0" w:line="240" w:lineRule="auto"/>
      </w:pPr>
      <w:r>
        <w:separator/>
      </w:r>
    </w:p>
  </w:footnote>
  <w:footnote w:type="continuationSeparator" w:id="0">
    <w:p w14:paraId="1F8CF700" w14:textId="77777777" w:rsidR="00162FA4" w:rsidRDefault="00162FA4" w:rsidP="00513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0805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3224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DCAB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3066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BC30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8AB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8F8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523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A4"/>
    <w:rsid w:val="00052BBC"/>
    <w:rsid w:val="000A453D"/>
    <w:rsid w:val="00157F35"/>
    <w:rsid w:val="00162FA4"/>
    <w:rsid w:val="00164385"/>
    <w:rsid w:val="001C4D1B"/>
    <w:rsid w:val="001F20A0"/>
    <w:rsid w:val="00217EAB"/>
    <w:rsid w:val="0022498C"/>
    <w:rsid w:val="002724D0"/>
    <w:rsid w:val="002A7840"/>
    <w:rsid w:val="002B1CE5"/>
    <w:rsid w:val="002F4DB3"/>
    <w:rsid w:val="003451A0"/>
    <w:rsid w:val="00350FFA"/>
    <w:rsid w:val="00382F07"/>
    <w:rsid w:val="003C0124"/>
    <w:rsid w:val="00414677"/>
    <w:rsid w:val="00453C04"/>
    <w:rsid w:val="00497764"/>
    <w:rsid w:val="0051352E"/>
    <w:rsid w:val="00517DA7"/>
    <w:rsid w:val="00520A33"/>
    <w:rsid w:val="00527AE4"/>
    <w:rsid w:val="0055569D"/>
    <w:rsid w:val="005744C6"/>
    <w:rsid w:val="005D7CE7"/>
    <w:rsid w:val="00610A38"/>
    <w:rsid w:val="00630DDF"/>
    <w:rsid w:val="006941B8"/>
    <w:rsid w:val="006D440B"/>
    <w:rsid w:val="006E3D3F"/>
    <w:rsid w:val="006E5D6E"/>
    <w:rsid w:val="00703CC5"/>
    <w:rsid w:val="00721B03"/>
    <w:rsid w:val="007570DC"/>
    <w:rsid w:val="007A672D"/>
    <w:rsid w:val="007B1ABA"/>
    <w:rsid w:val="007B74C5"/>
    <w:rsid w:val="008507C1"/>
    <w:rsid w:val="00852664"/>
    <w:rsid w:val="00861934"/>
    <w:rsid w:val="008B3A5E"/>
    <w:rsid w:val="008F0AC9"/>
    <w:rsid w:val="008F5786"/>
    <w:rsid w:val="00920B5D"/>
    <w:rsid w:val="0093473D"/>
    <w:rsid w:val="00944ECC"/>
    <w:rsid w:val="00972F57"/>
    <w:rsid w:val="00995280"/>
    <w:rsid w:val="009A099C"/>
    <w:rsid w:val="00A13395"/>
    <w:rsid w:val="00A24E6E"/>
    <w:rsid w:val="00A43694"/>
    <w:rsid w:val="00A56FC7"/>
    <w:rsid w:val="00A668BF"/>
    <w:rsid w:val="00A70E46"/>
    <w:rsid w:val="00A72575"/>
    <w:rsid w:val="00A74071"/>
    <w:rsid w:val="00A754E4"/>
    <w:rsid w:val="00A7753A"/>
    <w:rsid w:val="00A859B5"/>
    <w:rsid w:val="00AA124A"/>
    <w:rsid w:val="00AA2A96"/>
    <w:rsid w:val="00B100CC"/>
    <w:rsid w:val="00B6689D"/>
    <w:rsid w:val="00B72368"/>
    <w:rsid w:val="00C51CF1"/>
    <w:rsid w:val="00C54D58"/>
    <w:rsid w:val="00C573E1"/>
    <w:rsid w:val="00C60222"/>
    <w:rsid w:val="00C736D3"/>
    <w:rsid w:val="00C95DF6"/>
    <w:rsid w:val="00CC7867"/>
    <w:rsid w:val="00CF753D"/>
    <w:rsid w:val="00DA1B7B"/>
    <w:rsid w:val="00DB79DF"/>
    <w:rsid w:val="00E00282"/>
    <w:rsid w:val="00EA32F7"/>
    <w:rsid w:val="00EE2BDE"/>
    <w:rsid w:val="00F15336"/>
    <w:rsid w:val="00F230CD"/>
    <w:rsid w:val="00F51C18"/>
    <w:rsid w:val="00FA31E2"/>
    <w:rsid w:val="00FE2798"/>
    <w:rsid w:val="00FF5B70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9ADB611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F4DB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51C18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34374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569D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287DB2" w:themeColor="accent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1C18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8276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610A38"/>
    <w:pPr>
      <w:spacing w:before="1800" w:after="0"/>
    </w:pPr>
    <w:rPr>
      <w:rFonts w:ascii="Calibri" w:eastAsiaTheme="majorEastAsia" w:hAnsi="Calibri" w:cstheme="majorBidi"/>
      <w:b/>
      <w:color w:val="343741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610A38"/>
    <w:rPr>
      <w:rFonts w:ascii="Calibri" w:eastAsiaTheme="majorEastAsia" w:hAnsi="Calibri" w:cstheme="majorBidi"/>
      <w:b/>
      <w:color w:val="343741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2B1CE5"/>
    <w:pPr>
      <w:numPr>
        <w:ilvl w:val="1"/>
      </w:numPr>
      <w:spacing w:after="0"/>
    </w:pPr>
    <w:rPr>
      <w:rFonts w:ascii="Calibri" w:eastAsiaTheme="minorEastAsia" w:hAnsi="Calibri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B100CC"/>
    <w:rPr>
      <w:rFonts w:ascii="Calibri" w:eastAsiaTheme="minorEastAsia" w:hAnsi="Calibri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F51C18"/>
    <w:rPr>
      <w:rFonts w:ascii="Calibri" w:eastAsiaTheme="majorEastAsia" w:hAnsi="Calibri" w:cstheme="majorBidi"/>
      <w:b/>
      <w:color w:val="34374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569D"/>
    <w:rPr>
      <w:rFonts w:ascii="Calibri" w:eastAsiaTheme="majorEastAsia" w:hAnsi="Calibri" w:cstheme="majorBidi"/>
      <w:b/>
      <w:color w:val="287DB2" w:themeColor="accent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1C18"/>
    <w:rPr>
      <w:rFonts w:ascii="Calibri" w:eastAsiaTheme="majorEastAsia" w:hAnsi="Calibri" w:cstheme="majorBidi"/>
      <w:color w:val="008276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B100CC"/>
    <w:rPr>
      <w:color w:val="287BB3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22498C"/>
    <w:rPr>
      <w:sz w:val="18"/>
    </w:rPr>
  </w:style>
  <w:style w:type="table" w:customStyle="1" w:styleId="DESE">
    <w:name w:val="DESE"/>
    <w:basedOn w:val="TableNormal"/>
    <w:uiPriority w:val="99"/>
    <w:rsid w:val="0055569D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Calibri" w:hAnsi="Calibri"/>
        <w:color w:val="FFFFFF" w:themeColor="background1"/>
      </w:rPr>
      <w:tblPr/>
      <w:tcPr>
        <w:shd w:val="clear" w:color="auto" w:fill="002D3F" w:themeFill="text2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A56FC7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A56FC7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7A6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app.application.enet\OfficeTemplates\DESE\Fact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1FA163F83FC4DA7B02D4604972D30" ma:contentTypeVersion="9" ma:contentTypeDescription="Create a new document." ma:contentTypeScope="" ma:versionID="3180f40cf209bc4f4948dd64e6f1d0a9">
  <xsd:schema xmlns:xsd="http://www.w3.org/2001/XMLSchema" xmlns:xs="http://www.w3.org/2001/XMLSchema" xmlns:p="http://schemas.microsoft.com/office/2006/metadata/properties" xmlns:ns2="e72c3662-d489-4d5c-a678-b18c0e8aeb72" targetNamespace="http://schemas.microsoft.com/office/2006/metadata/properties" ma:root="true" ma:fieldsID="3f7ad6cf21444496d772c8ce1802ec33" ns2:_="">
    <xsd:import namespace="e72c3662-d489-4d5c-a678-b18c0e8aeb72"/>
    <xsd:element name="properties">
      <xsd:complexType>
        <xsd:sequence>
          <xsd:element name="documentManagement">
            <xsd:complexType>
              <xsd:all>
                <xsd:element ref="ns2:la020d86e283469abb02d1589f8af8a1" minOccurs="0"/>
                <xsd:element ref="ns2:TaxCatchAll" minOccurs="0"/>
                <xsd:element ref="ns2:pfc532bc3d924724be3e431fa8a34286" minOccurs="0"/>
                <xsd:element ref="ns2:ItemPublishedDate" minOccurs="0"/>
                <xsd:element ref="ns2:idf49b01858c4ab7b49fec8a6554c79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c3662-d489-4d5c-a678-b18c0e8aeb72" elementFormDefault="qualified">
    <xsd:import namespace="http://schemas.microsoft.com/office/2006/documentManagement/types"/>
    <xsd:import namespace="http://schemas.microsoft.com/office/infopath/2007/PartnerControls"/>
    <xsd:element name="la020d86e283469abb02d1589f8af8a1" ma:index="9" nillable="true" ma:taxonomy="true" ma:internalName="la020d86e283469abb02d1589f8af8a1" ma:taxonomyFieldName="ItemFunction" ma:displayName="ItemFunction" ma:default="" ma:fieldId="{5a020d86-e283-469a-bb02-d1589f8af8a1}" ma:taxonomyMulti="true" ma:sspId="e520a5ab-959b-4497-846e-ecf021209760" ma:termSetId="500dca29-876a-49bd-b8dc-c6f2804565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6138047-387a-4e95-b03f-01c654819da7}" ma:internalName="TaxCatchAll" ma:showField="CatchAllData" ma:web="e72c3662-d489-4d5c-a678-b18c0e8ae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c532bc3d924724be3e431fa8a34286" ma:index="12" nillable="true" ma:taxonomy="true" ma:internalName="pfc532bc3d924724be3e431fa8a34286" ma:taxonomyFieldName="ItemKeywords" ma:displayName="ItemKeywords" ma:default="" ma:fieldId="{9fc532bc-3d92-4724-be3e-431fa8a34286}" ma:taxonomyMulti="true" ma:sspId="e520a5ab-959b-4497-846e-ecf021209760" ma:termSetId="52ec04fe-4771-452d-bd1c-6f9c996c5b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temPublishedDate" ma:index="13" nillable="true" ma:displayName="ItemPublishedDate" ma:format="DateOnly" ma:internalName="ItemPublishedDate">
      <xsd:simpleType>
        <xsd:restriction base="dms:DateTime"/>
      </xsd:simpleType>
    </xsd:element>
    <xsd:element name="idf49b01858c4ab7b49fec8a6554c79a" ma:index="15" nillable="true" ma:taxonomy="true" ma:internalName="idf49b01858c4ab7b49fec8a6554c79a" ma:taxonomyFieldName="ItemType" ma:displayName="ItemType" ma:default="" ma:fieldId="{2df49b01-858c-4ab7-b49f-ec8a6554c79a}" ma:sspId="e520a5ab-959b-4497-846e-ecf021209760" ma:termSetId="e61d93ee-2930-434d-a8ce-0180227df0f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c3662-d489-4d5c-a678-b18c0e8aeb72">
      <Value>1980</Value>
      <Value>1999</Value>
      <Value>1976</Value>
      <Value>1996</Value>
    </TaxCatchAll>
    <idf49b01858c4ab7b49fec8a6554c79a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60f4875c-5740-43a9-8840-cfcba2da81bd</TermId>
        </TermInfo>
      </Terms>
    </idf49b01858c4ab7b49fec8a6554c79a>
    <pfc532bc3d924724be3e431fa8a34286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9706ad1b-dfa6-4d44-b515-12d7e5bc9d3f</TermId>
        </TermInfo>
        <TermInfo xmlns="http://schemas.microsoft.com/office/infopath/2007/PartnerControls">
          <TermName xmlns="http://schemas.microsoft.com/office/infopath/2007/PartnerControls">Branding</TermName>
          <TermId xmlns="http://schemas.microsoft.com/office/infopath/2007/PartnerControls">0a1f5508-ce36-4b6e-9019-600efbc3632a</TermId>
        </TermInfo>
      </Terms>
    </pfc532bc3d924724be3e431fa8a34286>
    <la020d86e283469abb02d1589f8af8a1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9d5354d3-d1c2-4163-a4db-c06e4aa61e3a</TermId>
        </TermInfo>
      </Terms>
    </la020d86e283469abb02d1589f8af8a1>
    <ItemPublishedDate xmlns="e72c3662-d489-4d5c-a678-b18c0e8aeb72">2020-02-03T13:00:00+00:00</ItemPublished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3BD14-F52E-4479-8807-B806156B0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c3662-d489-4d5c-a678-b18c0e8ae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D6226-3EAF-46C5-B0F2-A2410F074527}">
  <ds:schemaRefs>
    <ds:schemaRef ds:uri="http://schemas.microsoft.com/office/2006/metadata/properties"/>
    <ds:schemaRef ds:uri="e72c3662-d489-4d5c-a678-b18c0e8aeb72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366C830-4D72-4858-8955-1E06AC2EF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Template.dotx</Template>
  <TotalTime>0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 Template</vt:lpstr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 Template</dc:title>
  <dc:subject/>
  <dc:creator/>
  <cp:keywords/>
  <dc:description/>
  <cp:lastModifiedBy/>
  <cp:revision>1</cp:revision>
  <dcterms:created xsi:type="dcterms:W3CDTF">2021-01-20T00:43:00Z</dcterms:created>
  <dcterms:modified xsi:type="dcterms:W3CDTF">2021-02-19T02:39:00Z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0x01010079A1FA163F83FC4DA7B02D4604972D30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</Properties>
</file>