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1E0" w:firstRow="1" w:lastRow="1" w:firstColumn="1" w:lastColumn="1" w:noHBand="0" w:noVBand="0"/>
      </w:tblPr>
      <w:tblGrid>
        <w:gridCol w:w="9350"/>
      </w:tblGrid>
      <w:tr w:rsidR="006C77D9" w14:paraId="67EB4462" w14:textId="77777777" w:rsidTr="0079679B">
        <w:tc>
          <w:tcPr>
            <w:tcW w:w="5000" w:type="pct"/>
            <w:tcBorders>
              <w:bottom w:val="single" w:sz="4" w:space="0" w:color="auto"/>
            </w:tcBorders>
          </w:tcPr>
          <w:p w14:paraId="4FF43D94" w14:textId="331A2E1F" w:rsidR="006C77D9" w:rsidRPr="00F33943" w:rsidRDefault="00334D26" w:rsidP="000B1075">
            <w:pPr>
              <w:pStyle w:val="Heading1"/>
              <w:rPr>
                <w:highlight w:val="lightGray"/>
              </w:rPr>
            </w:pPr>
            <w:bookmarkStart w:id="0" w:name="_GoBack"/>
            <w:bookmarkEnd w:id="0"/>
            <w:r w:rsidRPr="005C5C36">
              <w:rPr>
                <w:rFonts w:ascii="Times New Roman"/>
                <w:noProof/>
                <w:sz w:val="20"/>
              </w:rPr>
              <w:drawing>
                <wp:inline distT="0" distB="0" distL="0" distR="0" wp14:anchorId="0E683315" wp14:editId="4E7C5B9C">
                  <wp:extent cx="2185404" cy="67055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185404" cy="670559"/>
                          </a:xfrm>
                          <a:prstGeom prst="rect">
                            <a:avLst/>
                          </a:prstGeom>
                        </pic:spPr>
                      </pic:pic>
                    </a:graphicData>
                  </a:graphic>
                </wp:inline>
              </w:drawing>
            </w:r>
          </w:p>
        </w:tc>
      </w:tr>
      <w:tr w:rsidR="00684881" w14:paraId="13A258B6" w14:textId="77777777" w:rsidTr="0079679B">
        <w:tc>
          <w:tcPr>
            <w:tcW w:w="5000" w:type="pct"/>
            <w:tcBorders>
              <w:bottom w:val="single" w:sz="4" w:space="0" w:color="auto"/>
            </w:tcBorders>
          </w:tcPr>
          <w:p w14:paraId="47AB59D7" w14:textId="49B58CEF" w:rsidR="00353E74" w:rsidRPr="00046AF7" w:rsidRDefault="0031335B" w:rsidP="00B04A68">
            <w:pPr>
              <w:pStyle w:val="Heading5"/>
            </w:pPr>
            <w:bookmarkStart w:id="1" w:name="Text2"/>
            <w:r>
              <w:t>20</w:t>
            </w:r>
            <w:r w:rsidR="00334D26">
              <w:t>20</w:t>
            </w:r>
            <w:r w:rsidR="00411B87">
              <w:t xml:space="preserve"> </w:t>
            </w:r>
            <w:r w:rsidR="004F2EC1">
              <w:t>M</w:t>
            </w:r>
            <w:r w:rsidR="00411B87">
              <w:t>ission</w:t>
            </w:r>
            <w:r w:rsidR="004F2EC1">
              <w:t xml:space="preserve"> B</w:t>
            </w:r>
            <w:r w:rsidR="00411B87">
              <w:t xml:space="preserve">ased </w:t>
            </w:r>
            <w:r w:rsidR="004F2EC1">
              <w:t>C</w:t>
            </w:r>
            <w:r w:rsidR="00411B87">
              <w:t>ompact</w:t>
            </w:r>
            <w:r w:rsidR="00046AF7">
              <w:br/>
            </w:r>
            <w:bookmarkStart w:id="2" w:name="Text3"/>
            <w:bookmarkEnd w:id="1"/>
            <w:r w:rsidR="00411B87">
              <w:t>Between the Commonwealth of Australia</w:t>
            </w:r>
            <w:r w:rsidR="00F85FD6">
              <w:t xml:space="preserve"> </w:t>
            </w:r>
            <w:r w:rsidR="00411B87">
              <w:t xml:space="preserve">and </w:t>
            </w:r>
            <w:bookmarkEnd w:id="2"/>
            <w:r w:rsidR="00B04A68">
              <w:t>The Australian National University</w:t>
            </w:r>
          </w:p>
        </w:tc>
      </w:tr>
      <w:tr w:rsidR="00684881" w14:paraId="56A373A8" w14:textId="77777777" w:rsidTr="009408BE">
        <w:trPr>
          <w:cantSplit/>
        </w:trPr>
        <w:tc>
          <w:tcPr>
            <w:tcW w:w="5000" w:type="pct"/>
            <w:shd w:val="clear" w:color="auto" w:fill="DBE5F1" w:themeFill="accent1" w:themeFillTint="33"/>
            <w:vAlign w:val="center"/>
          </w:tcPr>
          <w:p w14:paraId="5631FC28" w14:textId="77777777" w:rsidR="00684881" w:rsidRDefault="00411B87" w:rsidP="009408BE">
            <w:pPr>
              <w:pStyle w:val="Heading4"/>
              <w:spacing w:before="120" w:after="120"/>
            </w:pPr>
            <w:r>
              <w:t>Purpose</w:t>
            </w:r>
          </w:p>
        </w:tc>
      </w:tr>
      <w:tr w:rsidR="00684881" w14:paraId="1964F5F2" w14:textId="77777777" w:rsidTr="008050F3">
        <w:trPr>
          <w:cantSplit/>
          <w:trHeight w:val="1682"/>
        </w:trPr>
        <w:tc>
          <w:tcPr>
            <w:tcW w:w="5000" w:type="pct"/>
            <w:tcBorders>
              <w:bottom w:val="single" w:sz="4" w:space="0" w:color="auto"/>
            </w:tcBorders>
          </w:tcPr>
          <w:p w14:paraId="5798C7CD" w14:textId="77777777" w:rsidR="00676D92" w:rsidRDefault="00795268" w:rsidP="00212410">
            <w:pPr>
              <w:pStyle w:val="NormalIndent"/>
              <w:ind w:left="0"/>
            </w:pPr>
            <w:r w:rsidRPr="00623DBC">
              <w:t xml:space="preserve">This compact is an agreement between the Commonwealth and the University. Entering into a compact is one of the </w:t>
            </w:r>
            <w:proofErr w:type="gramStart"/>
            <w:r w:rsidRPr="00623DBC">
              <w:t>quality</w:t>
            </w:r>
            <w:proofErr w:type="gramEnd"/>
            <w:r w:rsidRPr="00623DBC">
              <w:t xml:space="preserve"> and accountability </w:t>
            </w:r>
            <w:r w:rsidR="00A66663" w:rsidRPr="00623DBC">
              <w:t>requirements, which</w:t>
            </w:r>
            <w:r w:rsidRPr="00623DBC">
              <w:t xml:space="preserve"> a higher education provider must meet under the </w:t>
            </w:r>
            <w:r w:rsidRPr="00623DBC">
              <w:rPr>
                <w:rStyle w:val="Emphasis"/>
                <w:szCs w:val="22"/>
              </w:rPr>
              <w:t>Higher Education Support Act</w:t>
            </w:r>
            <w:r w:rsidRPr="00623DBC">
              <w:t xml:space="preserve"> 2003 (HESA) as a condition of receiving a grant.  Specifically, subsection 19-110(1) of HESA requires </w:t>
            </w:r>
            <w:r w:rsidR="00A47213">
              <w:t xml:space="preserve">that </w:t>
            </w:r>
            <w:r w:rsidRPr="00623DBC">
              <w:t>Table A and Table</w:t>
            </w:r>
            <w:r w:rsidR="00B64D21">
              <w:t> </w:t>
            </w:r>
            <w:r w:rsidRPr="00623DBC">
              <w:t>B providers must, in respect of each year for which a grant is paid to the provider under HESA, enter into a mission</w:t>
            </w:r>
            <w:r w:rsidR="00B97E0F">
              <w:t>-</w:t>
            </w:r>
            <w:r w:rsidRPr="00623DBC">
              <w:t xml:space="preserve">based compact with the Commonwealth for a </w:t>
            </w:r>
            <w:r w:rsidR="00284602" w:rsidRPr="00623DBC">
              <w:t>period that</w:t>
            </w:r>
            <w:r w:rsidRPr="00623DBC">
              <w:t xml:space="preserve"> includes that year.</w:t>
            </w:r>
          </w:p>
          <w:p w14:paraId="1B35E029" w14:textId="77777777" w:rsidR="00DC76E6" w:rsidRPr="00684881" w:rsidRDefault="00DC76E6" w:rsidP="00172F9C">
            <w:pPr>
              <w:pStyle w:val="NormalIndent"/>
              <w:spacing w:before="0" w:line="240" w:lineRule="auto"/>
              <w:ind w:left="0"/>
            </w:pPr>
            <w:r w:rsidRPr="00172F9C">
              <w:t>All strategies should provide qualitative and/or quantitative measures of assessment.</w:t>
            </w:r>
          </w:p>
        </w:tc>
      </w:tr>
      <w:tr w:rsidR="00684881" w14:paraId="0694F068" w14:textId="77777777" w:rsidTr="008050F3">
        <w:trPr>
          <w:cantSplit/>
        </w:trPr>
        <w:tc>
          <w:tcPr>
            <w:tcW w:w="5000" w:type="pct"/>
            <w:shd w:val="clear" w:color="auto" w:fill="DBE5F1" w:themeFill="accent1" w:themeFillTint="33"/>
          </w:tcPr>
          <w:p w14:paraId="513C04E7" w14:textId="77777777" w:rsidR="00684881" w:rsidRDefault="00795268" w:rsidP="009408BE">
            <w:pPr>
              <w:pStyle w:val="Heading4"/>
              <w:spacing w:before="120" w:after="120"/>
            </w:pPr>
            <w:r>
              <w:t>mission</w:t>
            </w:r>
          </w:p>
        </w:tc>
      </w:tr>
      <w:tr w:rsidR="00684881" w14:paraId="0EF7FEF6" w14:textId="77777777" w:rsidTr="0079679B">
        <w:trPr>
          <w:trHeight w:val="1281"/>
        </w:trPr>
        <w:tc>
          <w:tcPr>
            <w:tcW w:w="5000" w:type="pct"/>
            <w:tcBorders>
              <w:bottom w:val="single" w:sz="4" w:space="0" w:color="auto"/>
            </w:tcBorders>
          </w:tcPr>
          <w:p w14:paraId="7820CC66" w14:textId="77777777" w:rsidR="00F40990" w:rsidRPr="009408BE" w:rsidRDefault="00F40990" w:rsidP="009408BE">
            <w:pPr>
              <w:pStyle w:val="NormalIndent"/>
              <w:spacing w:before="0" w:after="0"/>
              <w:ind w:left="0"/>
              <w:rPr>
                <w:rFonts w:asciiTheme="minorHAnsi" w:hAnsiTheme="minorHAnsi" w:cstheme="minorHAnsi"/>
                <w:i/>
                <w:szCs w:val="22"/>
              </w:rPr>
            </w:pPr>
          </w:p>
          <w:p w14:paraId="06AA294B" w14:textId="2DA61DB3" w:rsidR="00B04A68" w:rsidRPr="009408BE" w:rsidRDefault="00F40990" w:rsidP="00C476F5">
            <w:pPr>
              <w:pStyle w:val="NormalIndent"/>
              <w:spacing w:before="0" w:after="0"/>
              <w:ind w:left="0"/>
              <w:rPr>
                <w:rFonts w:asciiTheme="minorHAnsi" w:hAnsiTheme="minorHAnsi" w:cstheme="minorHAnsi"/>
                <w:b/>
                <w:szCs w:val="22"/>
              </w:rPr>
            </w:pPr>
            <w:r w:rsidRPr="009408BE">
              <w:rPr>
                <w:rFonts w:asciiTheme="minorHAnsi" w:hAnsiTheme="minorHAnsi" w:cstheme="minorHAnsi"/>
                <w:b/>
                <w:szCs w:val="22"/>
              </w:rPr>
              <w:t>Primary Focus, Values and Aspirations</w:t>
            </w:r>
          </w:p>
          <w:p w14:paraId="7096CBB1" w14:textId="46B630AD" w:rsidR="00B04A68" w:rsidRPr="009408BE" w:rsidRDefault="006E458F" w:rsidP="00C476F5">
            <w:pPr>
              <w:pStyle w:val="NormalIndent"/>
              <w:spacing w:before="0" w:after="0"/>
              <w:ind w:left="0"/>
              <w:rPr>
                <w:rFonts w:asciiTheme="minorHAnsi" w:hAnsiTheme="minorHAnsi" w:cstheme="minorHAnsi"/>
                <w:szCs w:val="22"/>
              </w:rPr>
            </w:pPr>
            <w:r w:rsidRPr="009408BE">
              <w:rPr>
                <w:rFonts w:asciiTheme="minorHAnsi" w:hAnsiTheme="minorHAnsi" w:cstheme="minorHAnsi"/>
                <w:szCs w:val="22"/>
              </w:rPr>
              <w:t xml:space="preserve">Serving as </w:t>
            </w:r>
            <w:r w:rsidR="00FC0ACD">
              <w:rPr>
                <w:rFonts w:asciiTheme="minorHAnsi" w:hAnsiTheme="minorHAnsi" w:cstheme="minorHAnsi"/>
                <w:szCs w:val="22"/>
              </w:rPr>
              <w:t>Australia’s primary scholarly institution for over</w:t>
            </w:r>
            <w:r w:rsidRPr="009408BE">
              <w:rPr>
                <w:rFonts w:asciiTheme="minorHAnsi" w:hAnsiTheme="minorHAnsi" w:cstheme="minorHAnsi"/>
                <w:szCs w:val="22"/>
              </w:rPr>
              <w:t xml:space="preserve"> </w:t>
            </w:r>
            <w:r w:rsidR="003104BE" w:rsidRPr="009408BE">
              <w:rPr>
                <w:rFonts w:asciiTheme="minorHAnsi" w:hAnsiTheme="minorHAnsi" w:cstheme="minorHAnsi"/>
                <w:szCs w:val="22"/>
              </w:rPr>
              <w:t>73</w:t>
            </w:r>
            <w:r w:rsidRPr="009408BE">
              <w:rPr>
                <w:rFonts w:asciiTheme="minorHAnsi" w:hAnsiTheme="minorHAnsi" w:cstheme="minorHAnsi"/>
                <w:szCs w:val="22"/>
              </w:rPr>
              <w:t xml:space="preserve"> years, The Australian National University (ANU) continues to focus on providing the nation </w:t>
            </w:r>
            <w:r w:rsidR="003104BE" w:rsidRPr="009408BE">
              <w:rPr>
                <w:rFonts w:asciiTheme="minorHAnsi" w:hAnsiTheme="minorHAnsi" w:cstheme="minorHAnsi"/>
                <w:szCs w:val="22"/>
              </w:rPr>
              <w:t>with</w:t>
            </w:r>
            <w:r w:rsidRPr="009408BE">
              <w:rPr>
                <w:rFonts w:asciiTheme="minorHAnsi" w:hAnsiTheme="minorHAnsi" w:cstheme="minorHAnsi"/>
                <w:szCs w:val="22"/>
              </w:rPr>
              <w:t xml:space="preserve"> world-class research and </w:t>
            </w:r>
            <w:r w:rsidR="00FC0ACD">
              <w:rPr>
                <w:rFonts w:asciiTheme="minorHAnsi" w:hAnsiTheme="minorHAnsi" w:cstheme="minorHAnsi"/>
                <w:szCs w:val="22"/>
              </w:rPr>
              <w:t>education capacity</w:t>
            </w:r>
            <w:r w:rsidR="00FC0ACD" w:rsidRPr="009408BE">
              <w:rPr>
                <w:rFonts w:asciiTheme="minorHAnsi" w:hAnsiTheme="minorHAnsi" w:cstheme="minorHAnsi"/>
                <w:szCs w:val="22"/>
              </w:rPr>
              <w:t xml:space="preserve"> </w:t>
            </w:r>
            <w:r w:rsidR="00FC0ACD">
              <w:rPr>
                <w:rFonts w:asciiTheme="minorHAnsi" w:hAnsiTheme="minorHAnsi" w:cstheme="minorHAnsi"/>
                <w:szCs w:val="22"/>
              </w:rPr>
              <w:t>that will contribute to Australia’s economy, society and engagement with our world</w:t>
            </w:r>
            <w:r w:rsidRPr="009408BE">
              <w:rPr>
                <w:rFonts w:asciiTheme="minorHAnsi" w:hAnsiTheme="minorHAnsi" w:cstheme="minorHAnsi"/>
                <w:szCs w:val="22"/>
              </w:rPr>
              <w:t>.</w:t>
            </w:r>
          </w:p>
          <w:p w14:paraId="6C7F10E6" w14:textId="5374F4BB" w:rsidR="006E458F" w:rsidRPr="009408BE" w:rsidRDefault="006E458F" w:rsidP="00C476F5">
            <w:pPr>
              <w:pStyle w:val="NormalIndent"/>
              <w:spacing w:before="0" w:after="0"/>
              <w:ind w:left="0"/>
              <w:rPr>
                <w:rFonts w:asciiTheme="minorHAnsi" w:hAnsiTheme="minorHAnsi" w:cstheme="minorHAnsi"/>
                <w:szCs w:val="22"/>
              </w:rPr>
            </w:pPr>
          </w:p>
          <w:p w14:paraId="34D49932" w14:textId="67F068AF" w:rsidR="006E458F" w:rsidRPr="009408BE" w:rsidRDefault="006E458F" w:rsidP="00C476F5">
            <w:pPr>
              <w:pStyle w:val="NormalIndent"/>
              <w:spacing w:before="0" w:after="0"/>
              <w:ind w:left="0"/>
              <w:rPr>
                <w:rFonts w:asciiTheme="minorHAnsi" w:hAnsiTheme="minorHAnsi" w:cstheme="minorHAnsi"/>
                <w:szCs w:val="22"/>
              </w:rPr>
            </w:pPr>
            <w:r w:rsidRPr="009408BE">
              <w:rPr>
                <w:rFonts w:asciiTheme="minorHAnsi" w:hAnsiTheme="minorHAnsi" w:cstheme="minorHAnsi"/>
                <w:szCs w:val="22"/>
              </w:rPr>
              <w:t xml:space="preserve">Our ambitions, outlined in our strategic plan, call </w:t>
            </w:r>
            <w:r w:rsidR="003104BE" w:rsidRPr="009408BE">
              <w:rPr>
                <w:rFonts w:asciiTheme="minorHAnsi" w:hAnsiTheme="minorHAnsi" w:cstheme="minorHAnsi"/>
                <w:szCs w:val="22"/>
              </w:rPr>
              <w:t xml:space="preserve">for </w:t>
            </w:r>
            <w:r w:rsidRPr="009408BE">
              <w:rPr>
                <w:rFonts w:asciiTheme="minorHAnsi" w:hAnsiTheme="minorHAnsi" w:cstheme="minorHAnsi"/>
                <w:szCs w:val="22"/>
              </w:rPr>
              <w:t>us to be bold and transformative</w:t>
            </w:r>
            <w:r w:rsidR="00FC0ACD">
              <w:rPr>
                <w:rFonts w:asciiTheme="minorHAnsi" w:hAnsiTheme="minorHAnsi" w:cstheme="minorHAnsi"/>
                <w:szCs w:val="22"/>
              </w:rPr>
              <w:t>, taking our place among the world’s greatest universities</w:t>
            </w:r>
            <w:r w:rsidR="00164B5F" w:rsidRPr="009408BE">
              <w:rPr>
                <w:rFonts w:asciiTheme="minorHAnsi" w:hAnsiTheme="minorHAnsi" w:cstheme="minorHAnsi"/>
                <w:szCs w:val="22"/>
              </w:rPr>
              <w:t>. As</w:t>
            </w:r>
            <w:r w:rsidRPr="009408BE">
              <w:rPr>
                <w:rFonts w:asciiTheme="minorHAnsi" w:hAnsiTheme="minorHAnsi" w:cstheme="minorHAnsi"/>
                <w:szCs w:val="22"/>
              </w:rPr>
              <w:t xml:space="preserve"> we approach the mid-point of our </w:t>
            </w:r>
            <w:r w:rsidR="003104BE" w:rsidRPr="009408BE">
              <w:rPr>
                <w:rFonts w:asciiTheme="minorHAnsi" w:hAnsiTheme="minorHAnsi" w:cstheme="minorHAnsi"/>
                <w:szCs w:val="22"/>
              </w:rPr>
              <w:t xml:space="preserve">strategic </w:t>
            </w:r>
            <w:r w:rsidRPr="009408BE">
              <w:rPr>
                <w:rFonts w:asciiTheme="minorHAnsi" w:hAnsiTheme="minorHAnsi" w:cstheme="minorHAnsi"/>
                <w:szCs w:val="22"/>
              </w:rPr>
              <w:t>plan and</w:t>
            </w:r>
            <w:r w:rsidR="00C9667D">
              <w:rPr>
                <w:rFonts w:asciiTheme="minorHAnsi" w:hAnsiTheme="minorHAnsi" w:cstheme="minorHAnsi"/>
                <w:szCs w:val="22"/>
              </w:rPr>
              <w:t xml:space="preserve"> the successful</w:t>
            </w:r>
            <w:r w:rsidRPr="009408BE">
              <w:rPr>
                <w:rFonts w:asciiTheme="minorHAnsi" w:hAnsiTheme="minorHAnsi" w:cstheme="minorHAnsi"/>
                <w:szCs w:val="22"/>
              </w:rPr>
              <w:t xml:space="preserve"> </w:t>
            </w:r>
            <w:r w:rsidR="00164B5F" w:rsidRPr="009408BE">
              <w:rPr>
                <w:rFonts w:asciiTheme="minorHAnsi" w:hAnsiTheme="minorHAnsi" w:cstheme="minorHAnsi"/>
                <w:szCs w:val="22"/>
              </w:rPr>
              <w:t xml:space="preserve">completion of several major projects, we </w:t>
            </w:r>
            <w:r w:rsidR="00C9667D">
              <w:rPr>
                <w:rFonts w:asciiTheme="minorHAnsi" w:hAnsiTheme="minorHAnsi" w:cstheme="minorHAnsi"/>
                <w:szCs w:val="22"/>
              </w:rPr>
              <w:t>have</w:t>
            </w:r>
            <w:r w:rsidR="00C9667D" w:rsidRPr="009408BE">
              <w:rPr>
                <w:rFonts w:asciiTheme="minorHAnsi" w:hAnsiTheme="minorHAnsi" w:cstheme="minorHAnsi"/>
                <w:szCs w:val="22"/>
              </w:rPr>
              <w:t xml:space="preserve"> </w:t>
            </w:r>
            <w:r w:rsidR="00164B5F" w:rsidRPr="009408BE">
              <w:rPr>
                <w:rFonts w:asciiTheme="minorHAnsi" w:hAnsiTheme="minorHAnsi" w:cstheme="minorHAnsi"/>
                <w:szCs w:val="22"/>
              </w:rPr>
              <w:t xml:space="preserve">set </w:t>
            </w:r>
            <w:r w:rsidR="00FC0ACD">
              <w:rPr>
                <w:rFonts w:asciiTheme="minorHAnsi" w:hAnsiTheme="minorHAnsi" w:cstheme="minorHAnsi"/>
                <w:szCs w:val="22"/>
              </w:rPr>
              <w:t>a key</w:t>
            </w:r>
            <w:r w:rsidR="00164B5F" w:rsidRPr="009408BE">
              <w:rPr>
                <w:rFonts w:asciiTheme="minorHAnsi" w:hAnsiTheme="minorHAnsi" w:cstheme="minorHAnsi"/>
                <w:szCs w:val="22"/>
              </w:rPr>
              <w:t xml:space="preserve"> focus </w:t>
            </w:r>
            <w:r w:rsidR="00C9667D">
              <w:rPr>
                <w:rFonts w:asciiTheme="minorHAnsi" w:hAnsiTheme="minorHAnsi" w:cstheme="minorHAnsi"/>
                <w:szCs w:val="22"/>
              </w:rPr>
              <w:t>for the immediate future</w:t>
            </w:r>
            <w:r w:rsidR="0079679B" w:rsidRPr="009408BE">
              <w:rPr>
                <w:rFonts w:asciiTheme="minorHAnsi" w:hAnsiTheme="minorHAnsi" w:cstheme="minorHAnsi"/>
                <w:szCs w:val="22"/>
              </w:rPr>
              <w:t xml:space="preserve"> </w:t>
            </w:r>
            <w:r w:rsidR="00164B5F" w:rsidRPr="009408BE">
              <w:rPr>
                <w:rFonts w:asciiTheme="minorHAnsi" w:hAnsiTheme="minorHAnsi" w:cstheme="minorHAnsi"/>
                <w:szCs w:val="22"/>
              </w:rPr>
              <w:t xml:space="preserve">on </w:t>
            </w:r>
            <w:r w:rsidR="00C9667D">
              <w:rPr>
                <w:rFonts w:asciiTheme="minorHAnsi" w:hAnsiTheme="minorHAnsi" w:cstheme="minorHAnsi"/>
                <w:szCs w:val="22"/>
              </w:rPr>
              <w:t xml:space="preserve">enhancing </w:t>
            </w:r>
            <w:r w:rsidR="00164B5F" w:rsidRPr="009408BE">
              <w:rPr>
                <w:rFonts w:asciiTheme="minorHAnsi" w:hAnsiTheme="minorHAnsi" w:cstheme="minorHAnsi"/>
                <w:szCs w:val="22"/>
              </w:rPr>
              <w:t xml:space="preserve">the ANU Student Experience. Our </w:t>
            </w:r>
            <w:r w:rsidR="00FC0ACD">
              <w:rPr>
                <w:rFonts w:asciiTheme="minorHAnsi" w:hAnsiTheme="minorHAnsi" w:cstheme="minorHAnsi"/>
                <w:szCs w:val="22"/>
              </w:rPr>
              <w:t>intention</w:t>
            </w:r>
            <w:r w:rsidR="00FC0ACD" w:rsidRPr="009408BE">
              <w:rPr>
                <w:rFonts w:asciiTheme="minorHAnsi" w:hAnsiTheme="minorHAnsi" w:cstheme="minorHAnsi"/>
                <w:szCs w:val="22"/>
              </w:rPr>
              <w:t xml:space="preserve"> </w:t>
            </w:r>
            <w:r w:rsidR="00164B5F" w:rsidRPr="009408BE">
              <w:rPr>
                <w:rFonts w:asciiTheme="minorHAnsi" w:hAnsiTheme="minorHAnsi" w:cstheme="minorHAnsi"/>
                <w:szCs w:val="22"/>
              </w:rPr>
              <w:t xml:space="preserve">is to provide a student experience </w:t>
            </w:r>
            <w:r w:rsidR="00FC0ACD">
              <w:rPr>
                <w:rFonts w:asciiTheme="minorHAnsi" w:hAnsiTheme="minorHAnsi" w:cstheme="minorHAnsi"/>
                <w:szCs w:val="22"/>
              </w:rPr>
              <w:t xml:space="preserve">that is comparable with the world’s best, in an environment of </w:t>
            </w:r>
            <w:r w:rsidR="00482A7B">
              <w:rPr>
                <w:rFonts w:asciiTheme="minorHAnsi" w:hAnsiTheme="minorHAnsi" w:cstheme="minorHAnsi"/>
                <w:szCs w:val="22"/>
              </w:rPr>
              <w:t>free academic enquiry</w:t>
            </w:r>
            <w:r w:rsidR="00FC0ACD">
              <w:rPr>
                <w:rFonts w:asciiTheme="minorHAnsi" w:hAnsiTheme="minorHAnsi" w:cstheme="minorHAnsi"/>
                <w:szCs w:val="22"/>
              </w:rPr>
              <w:t>, supported by the highest quality research and teaching, outstanding facilities</w:t>
            </w:r>
            <w:r w:rsidR="00482A7B">
              <w:rPr>
                <w:rFonts w:asciiTheme="minorHAnsi" w:hAnsiTheme="minorHAnsi" w:cstheme="minorHAnsi"/>
                <w:szCs w:val="22"/>
              </w:rPr>
              <w:t>,</w:t>
            </w:r>
            <w:r w:rsidR="00FC0ACD">
              <w:rPr>
                <w:rFonts w:asciiTheme="minorHAnsi" w:hAnsiTheme="minorHAnsi" w:cstheme="minorHAnsi"/>
                <w:szCs w:val="22"/>
              </w:rPr>
              <w:t xml:space="preserve"> and </w:t>
            </w:r>
            <w:r w:rsidR="00482A7B">
              <w:rPr>
                <w:rFonts w:asciiTheme="minorHAnsi" w:hAnsiTheme="minorHAnsi" w:cstheme="minorHAnsi"/>
                <w:szCs w:val="22"/>
              </w:rPr>
              <w:t>a community that is inclusive, collaborative and safe</w:t>
            </w:r>
            <w:r w:rsidR="00164B5F" w:rsidRPr="009408BE">
              <w:rPr>
                <w:rFonts w:asciiTheme="minorHAnsi" w:hAnsiTheme="minorHAnsi" w:cstheme="minorHAnsi"/>
                <w:szCs w:val="22"/>
              </w:rPr>
              <w:t>.</w:t>
            </w:r>
            <w:r w:rsidR="00482A7B">
              <w:rPr>
                <w:rFonts w:asciiTheme="minorHAnsi" w:hAnsiTheme="minorHAnsi" w:cstheme="minorHAnsi"/>
                <w:szCs w:val="22"/>
              </w:rPr>
              <w:t xml:space="preserve"> We also intend that our admissions reforms will ensure this experience is open to talented students from all walks of life. </w:t>
            </w:r>
          </w:p>
          <w:p w14:paraId="1C31FC06" w14:textId="449E42CE" w:rsidR="00164B5F" w:rsidRPr="009408BE" w:rsidRDefault="00164B5F" w:rsidP="00C476F5">
            <w:pPr>
              <w:pStyle w:val="NormalIndent"/>
              <w:spacing w:before="0" w:after="0"/>
              <w:ind w:left="0"/>
              <w:rPr>
                <w:rFonts w:asciiTheme="minorHAnsi" w:hAnsiTheme="minorHAnsi" w:cstheme="minorHAnsi"/>
                <w:szCs w:val="22"/>
              </w:rPr>
            </w:pPr>
          </w:p>
          <w:p w14:paraId="1340FD36" w14:textId="75F21FF2" w:rsidR="00681E96" w:rsidRDefault="00482A7B" w:rsidP="00C476F5">
            <w:pPr>
              <w:pStyle w:val="NormalIndent"/>
              <w:spacing w:before="0" w:after="0"/>
              <w:ind w:left="0"/>
              <w:rPr>
                <w:rFonts w:asciiTheme="minorHAnsi" w:hAnsiTheme="minorHAnsi" w:cstheme="minorHAnsi"/>
                <w:szCs w:val="22"/>
              </w:rPr>
            </w:pPr>
            <w:r>
              <w:rPr>
                <w:rFonts w:asciiTheme="minorHAnsi" w:hAnsiTheme="minorHAnsi" w:cstheme="minorHAnsi"/>
                <w:szCs w:val="22"/>
              </w:rPr>
              <w:t>Our focus on student experience will be supplemented by our continued focus on excellence everywhere at ANU. We will build on our renowned engagement with Asia and the Pacific</w:t>
            </w:r>
            <w:r w:rsidR="00681E96">
              <w:rPr>
                <w:rFonts w:asciiTheme="minorHAnsi" w:hAnsiTheme="minorHAnsi" w:cstheme="minorHAnsi"/>
                <w:szCs w:val="22"/>
              </w:rPr>
              <w:t xml:space="preserve"> and continue to renew our partnership with Indigenous Australia. We will</w:t>
            </w:r>
            <w:r>
              <w:rPr>
                <w:rFonts w:asciiTheme="minorHAnsi" w:hAnsiTheme="minorHAnsi" w:cstheme="minorHAnsi"/>
                <w:szCs w:val="22"/>
              </w:rPr>
              <w:t xml:space="preserve"> ensure our work has impact</w:t>
            </w:r>
            <w:r w:rsidR="00681E96">
              <w:rPr>
                <w:rFonts w:asciiTheme="minorHAnsi" w:hAnsiTheme="minorHAnsi" w:cstheme="minorHAnsi"/>
                <w:szCs w:val="22"/>
              </w:rPr>
              <w:t>, including through our co</w:t>
            </w:r>
            <w:r>
              <w:rPr>
                <w:rFonts w:asciiTheme="minorHAnsi" w:hAnsiTheme="minorHAnsi" w:cstheme="minorHAnsi"/>
                <w:szCs w:val="22"/>
              </w:rPr>
              <w:t>mmitment to co-creating public policy solutions to pressing societal challenges</w:t>
            </w:r>
            <w:r w:rsidR="00681E96">
              <w:rPr>
                <w:rFonts w:asciiTheme="minorHAnsi" w:hAnsiTheme="minorHAnsi" w:cstheme="minorHAnsi"/>
                <w:szCs w:val="22"/>
              </w:rPr>
              <w:t xml:space="preserve">. </w:t>
            </w:r>
          </w:p>
          <w:p w14:paraId="07412F35" w14:textId="77777777" w:rsidR="00681E96" w:rsidRDefault="00681E96" w:rsidP="00C476F5">
            <w:pPr>
              <w:pStyle w:val="NormalIndent"/>
              <w:spacing w:before="0" w:after="0"/>
              <w:ind w:left="0"/>
              <w:rPr>
                <w:rFonts w:asciiTheme="minorHAnsi" w:hAnsiTheme="minorHAnsi" w:cstheme="minorHAnsi"/>
                <w:szCs w:val="22"/>
              </w:rPr>
            </w:pPr>
          </w:p>
          <w:p w14:paraId="37D7C80A" w14:textId="3DAC3A2F" w:rsidR="006E458F" w:rsidRPr="009408BE" w:rsidRDefault="00681E96" w:rsidP="00C476F5">
            <w:pPr>
              <w:pStyle w:val="NormalIndent"/>
              <w:spacing w:before="0" w:after="0"/>
              <w:ind w:left="0"/>
              <w:rPr>
                <w:rFonts w:asciiTheme="minorHAnsi" w:hAnsiTheme="minorHAnsi" w:cstheme="minorHAnsi"/>
                <w:szCs w:val="22"/>
              </w:rPr>
            </w:pPr>
            <w:r>
              <w:rPr>
                <w:rFonts w:asciiTheme="minorHAnsi" w:hAnsiTheme="minorHAnsi" w:cstheme="minorHAnsi"/>
                <w:szCs w:val="22"/>
              </w:rPr>
              <w:t xml:space="preserve">Above all, we will continue to serve Australia proudly as its national university. </w:t>
            </w:r>
            <w:r w:rsidR="00482A7B">
              <w:rPr>
                <w:rFonts w:asciiTheme="minorHAnsi" w:hAnsiTheme="minorHAnsi" w:cstheme="minorHAnsi"/>
                <w:szCs w:val="22"/>
              </w:rPr>
              <w:t xml:space="preserve"> </w:t>
            </w:r>
          </w:p>
          <w:p w14:paraId="0EF26E8F" w14:textId="05880D8A" w:rsidR="00164B5F" w:rsidRPr="00F40990" w:rsidRDefault="00164B5F" w:rsidP="00C476F5">
            <w:pPr>
              <w:pStyle w:val="NormalIndent"/>
              <w:spacing w:before="0" w:after="0"/>
              <w:ind w:left="0"/>
              <w:rPr>
                <w:rFonts w:asciiTheme="minorHAnsi" w:hAnsiTheme="minorHAnsi" w:cstheme="minorHAnsi"/>
                <w:szCs w:val="22"/>
              </w:rPr>
            </w:pPr>
          </w:p>
          <w:p w14:paraId="25DC0273" w14:textId="77777777" w:rsidR="00F40990" w:rsidRPr="00F40990" w:rsidRDefault="00F40990" w:rsidP="009408BE">
            <w:pPr>
              <w:spacing w:line="220" w:lineRule="atLeast"/>
              <w:rPr>
                <w:rFonts w:asciiTheme="minorHAnsi" w:hAnsiTheme="minorHAnsi" w:cstheme="minorHAnsi"/>
                <w:b/>
                <w:bCs/>
                <w:sz w:val="22"/>
                <w:szCs w:val="22"/>
                <w:lang w:val="en-AU"/>
              </w:rPr>
            </w:pPr>
            <w:r w:rsidRPr="00F40990">
              <w:rPr>
                <w:rFonts w:asciiTheme="minorHAnsi" w:hAnsiTheme="minorHAnsi" w:cstheme="minorHAnsi"/>
                <w:b/>
                <w:bCs/>
                <w:sz w:val="22"/>
                <w:szCs w:val="22"/>
              </w:rPr>
              <w:t xml:space="preserve">Model Code – Freedom of Speech and Academic Freedom </w:t>
            </w:r>
          </w:p>
          <w:p w14:paraId="0456C5E1" w14:textId="2DBADFA1" w:rsidR="00F40990" w:rsidRPr="00F40990" w:rsidRDefault="00F40990" w:rsidP="009408BE">
            <w:pPr>
              <w:spacing w:line="220" w:lineRule="atLeast"/>
              <w:rPr>
                <w:rFonts w:asciiTheme="minorHAnsi" w:hAnsiTheme="minorHAnsi" w:cstheme="minorHAnsi"/>
                <w:sz w:val="22"/>
                <w:szCs w:val="22"/>
              </w:rPr>
            </w:pPr>
            <w:r>
              <w:rPr>
                <w:rFonts w:asciiTheme="minorHAnsi" w:hAnsiTheme="minorHAnsi" w:cstheme="minorHAnsi"/>
                <w:sz w:val="22"/>
                <w:szCs w:val="22"/>
              </w:rPr>
              <w:t>On</w:t>
            </w:r>
            <w:r w:rsidRPr="00F40990">
              <w:rPr>
                <w:rFonts w:asciiTheme="minorHAnsi" w:hAnsiTheme="minorHAnsi" w:cstheme="minorHAnsi"/>
                <w:sz w:val="22"/>
                <w:szCs w:val="22"/>
              </w:rPr>
              <w:t xml:space="preserve"> 24 May 2019, the ANU Council noted the Report of the Independent Review of Freedom of Speech in Australian Higher Education Providers by the Hon </w:t>
            </w:r>
            <w:proofErr w:type="spellStart"/>
            <w:r w:rsidRPr="00F40990">
              <w:rPr>
                <w:rFonts w:asciiTheme="minorHAnsi" w:hAnsiTheme="minorHAnsi" w:cstheme="minorHAnsi"/>
                <w:sz w:val="22"/>
                <w:szCs w:val="22"/>
              </w:rPr>
              <w:t>Mr</w:t>
            </w:r>
            <w:proofErr w:type="spellEnd"/>
            <w:r w:rsidRPr="00F40990">
              <w:rPr>
                <w:rFonts w:asciiTheme="minorHAnsi" w:hAnsiTheme="minorHAnsi" w:cstheme="minorHAnsi"/>
                <w:sz w:val="22"/>
                <w:szCs w:val="22"/>
              </w:rPr>
              <w:t xml:space="preserve"> Robert French. As part of the discussion, Council also considered the accompanying draft Model Code for the protection of freedom of speech and academic freedom, a proposal arising from the Report.   </w:t>
            </w:r>
          </w:p>
          <w:p w14:paraId="0FF202E3" w14:textId="77777777" w:rsidR="00F40990" w:rsidRPr="00F40990" w:rsidRDefault="00F40990" w:rsidP="009408BE">
            <w:pPr>
              <w:spacing w:line="220" w:lineRule="atLeast"/>
              <w:rPr>
                <w:rFonts w:asciiTheme="minorHAnsi" w:hAnsiTheme="minorHAnsi" w:cstheme="minorHAnsi"/>
                <w:sz w:val="22"/>
                <w:szCs w:val="22"/>
              </w:rPr>
            </w:pPr>
          </w:p>
          <w:p w14:paraId="40E99B5B" w14:textId="7521F263" w:rsidR="00F40990" w:rsidRDefault="00F40990" w:rsidP="00C476F5">
            <w:pPr>
              <w:pStyle w:val="NormalIndent"/>
              <w:spacing w:before="0" w:after="0"/>
              <w:ind w:left="0"/>
              <w:rPr>
                <w:rFonts w:asciiTheme="minorHAnsi" w:hAnsiTheme="minorHAnsi" w:cstheme="minorHAnsi"/>
                <w:szCs w:val="22"/>
              </w:rPr>
            </w:pPr>
            <w:r w:rsidRPr="00F40990">
              <w:rPr>
                <w:rFonts w:asciiTheme="minorHAnsi" w:hAnsiTheme="minorHAnsi" w:cstheme="minorHAnsi"/>
                <w:szCs w:val="22"/>
              </w:rPr>
              <w:t xml:space="preserve">The ANU Chancellor, Professor </w:t>
            </w:r>
            <w:r>
              <w:rPr>
                <w:rFonts w:asciiTheme="minorHAnsi" w:hAnsiTheme="minorHAnsi" w:cstheme="minorHAnsi"/>
                <w:szCs w:val="22"/>
              </w:rPr>
              <w:t xml:space="preserve">Gareth </w:t>
            </w:r>
            <w:r w:rsidRPr="00F40990">
              <w:rPr>
                <w:rFonts w:asciiTheme="minorHAnsi" w:hAnsiTheme="minorHAnsi" w:cstheme="minorHAnsi"/>
                <w:szCs w:val="22"/>
              </w:rPr>
              <w:t>Evans</w:t>
            </w:r>
            <w:r>
              <w:rPr>
                <w:rFonts w:asciiTheme="minorHAnsi" w:hAnsiTheme="minorHAnsi" w:cstheme="minorHAnsi"/>
                <w:szCs w:val="22"/>
              </w:rPr>
              <w:t xml:space="preserve"> AC QC</w:t>
            </w:r>
            <w:r w:rsidRPr="00F40990">
              <w:rPr>
                <w:rFonts w:asciiTheme="minorHAnsi" w:hAnsiTheme="minorHAnsi" w:cstheme="minorHAnsi"/>
                <w:szCs w:val="22"/>
              </w:rPr>
              <w:t xml:space="preserve">, has been a member - with </w:t>
            </w:r>
            <w:r w:rsidR="00D443A3">
              <w:rPr>
                <w:rFonts w:asciiTheme="minorHAnsi" w:hAnsiTheme="minorHAnsi" w:cstheme="minorHAnsi"/>
                <w:szCs w:val="22"/>
              </w:rPr>
              <w:t>counterparts at the University of Queensland and the University of Western Australia</w:t>
            </w:r>
            <w:r w:rsidRPr="00F40990">
              <w:rPr>
                <w:rFonts w:asciiTheme="minorHAnsi" w:hAnsiTheme="minorHAnsi" w:cstheme="minorHAnsi"/>
                <w:szCs w:val="22"/>
              </w:rPr>
              <w:t xml:space="preserve"> - of a University Chancellors Council (UCC) Working Group established to review the Code’s text. </w:t>
            </w:r>
          </w:p>
          <w:p w14:paraId="72F6ABEB" w14:textId="77777777" w:rsidR="00F40990" w:rsidRDefault="00F40990" w:rsidP="00C476F5">
            <w:pPr>
              <w:pStyle w:val="NormalIndent"/>
              <w:spacing w:before="0" w:after="0"/>
              <w:ind w:left="0"/>
              <w:rPr>
                <w:rFonts w:asciiTheme="minorHAnsi" w:hAnsiTheme="minorHAnsi" w:cstheme="minorHAnsi"/>
                <w:szCs w:val="22"/>
              </w:rPr>
            </w:pPr>
          </w:p>
          <w:p w14:paraId="79BA2E82" w14:textId="270F13CB" w:rsidR="00F40990" w:rsidRDefault="00F40990" w:rsidP="00C476F5">
            <w:pPr>
              <w:pStyle w:val="NormalIndent"/>
              <w:spacing w:before="0" w:after="0"/>
              <w:ind w:left="0"/>
              <w:rPr>
                <w:rFonts w:asciiTheme="minorHAnsi" w:hAnsiTheme="minorHAnsi" w:cstheme="minorHAnsi"/>
                <w:szCs w:val="22"/>
              </w:rPr>
            </w:pPr>
            <w:r w:rsidRPr="00F40990">
              <w:rPr>
                <w:rFonts w:asciiTheme="minorHAnsi" w:hAnsiTheme="minorHAnsi" w:cstheme="minorHAnsi"/>
                <w:szCs w:val="22"/>
              </w:rPr>
              <w:lastRenderedPageBreak/>
              <w:t xml:space="preserve">Its slightly revised text recommended changes (formally endorsed by the UCC on 9 October) that were noted by </w:t>
            </w:r>
            <w:r>
              <w:rPr>
                <w:rFonts w:asciiTheme="minorHAnsi" w:hAnsiTheme="minorHAnsi" w:cstheme="minorHAnsi"/>
                <w:szCs w:val="22"/>
              </w:rPr>
              <w:t xml:space="preserve">ANU </w:t>
            </w:r>
            <w:r w:rsidRPr="00F40990">
              <w:rPr>
                <w:rFonts w:asciiTheme="minorHAnsi" w:hAnsiTheme="minorHAnsi" w:cstheme="minorHAnsi"/>
                <w:szCs w:val="22"/>
              </w:rPr>
              <w:t xml:space="preserve">Council at the 26 July meeting and its broad objects endorsed by </w:t>
            </w:r>
            <w:r>
              <w:rPr>
                <w:rFonts w:asciiTheme="minorHAnsi" w:hAnsiTheme="minorHAnsi" w:cstheme="minorHAnsi"/>
                <w:szCs w:val="22"/>
              </w:rPr>
              <w:t xml:space="preserve">ANU </w:t>
            </w:r>
            <w:r w:rsidRPr="00F40990">
              <w:rPr>
                <w:rFonts w:asciiTheme="minorHAnsi" w:hAnsiTheme="minorHAnsi" w:cstheme="minorHAnsi"/>
                <w:szCs w:val="22"/>
              </w:rPr>
              <w:t>Academic Board on 27 August.  </w:t>
            </w:r>
          </w:p>
          <w:p w14:paraId="1D67C7B7" w14:textId="77777777" w:rsidR="00F40990" w:rsidRDefault="00F40990" w:rsidP="00C476F5">
            <w:pPr>
              <w:pStyle w:val="NormalIndent"/>
              <w:spacing w:before="0" w:after="0"/>
              <w:ind w:left="0"/>
              <w:rPr>
                <w:rFonts w:asciiTheme="minorHAnsi" w:hAnsiTheme="minorHAnsi" w:cstheme="minorHAnsi"/>
                <w:szCs w:val="22"/>
              </w:rPr>
            </w:pPr>
          </w:p>
          <w:p w14:paraId="4BC41F40" w14:textId="38469FCD" w:rsidR="00B04A68" w:rsidRDefault="00F40990" w:rsidP="00C476F5">
            <w:pPr>
              <w:pStyle w:val="NormalIndent"/>
              <w:spacing w:before="0" w:after="0"/>
              <w:ind w:left="0"/>
              <w:rPr>
                <w:rFonts w:asciiTheme="minorHAnsi" w:hAnsiTheme="minorHAnsi" w:cstheme="minorHAnsi"/>
                <w:szCs w:val="22"/>
              </w:rPr>
            </w:pPr>
            <w:r w:rsidRPr="00F40990">
              <w:rPr>
                <w:rFonts w:asciiTheme="minorHAnsi" w:hAnsiTheme="minorHAnsi" w:cstheme="minorHAnsi"/>
                <w:szCs w:val="22"/>
              </w:rPr>
              <w:t xml:space="preserve">At the meeting of 3 October, </w:t>
            </w:r>
            <w:r>
              <w:rPr>
                <w:rFonts w:asciiTheme="minorHAnsi" w:hAnsiTheme="minorHAnsi" w:cstheme="minorHAnsi"/>
                <w:szCs w:val="22"/>
              </w:rPr>
              <w:t xml:space="preserve">ANU </w:t>
            </w:r>
            <w:r w:rsidRPr="00F40990">
              <w:rPr>
                <w:rFonts w:asciiTheme="minorHAnsi" w:hAnsiTheme="minorHAnsi" w:cstheme="minorHAnsi"/>
                <w:szCs w:val="22"/>
              </w:rPr>
              <w:t xml:space="preserve">Council approved in-principle the Model Code, noting at this time that the University will be developing a specific </w:t>
            </w:r>
            <w:r w:rsidR="00E12C6F">
              <w:rPr>
                <w:rFonts w:asciiTheme="minorHAnsi" w:hAnsiTheme="minorHAnsi" w:cstheme="minorHAnsi"/>
                <w:szCs w:val="22"/>
              </w:rPr>
              <w:t>Academic Board</w:t>
            </w:r>
            <w:r w:rsidRPr="00F40990">
              <w:rPr>
                <w:rFonts w:asciiTheme="minorHAnsi" w:hAnsiTheme="minorHAnsi" w:cstheme="minorHAnsi"/>
                <w:szCs w:val="22"/>
              </w:rPr>
              <w:t xml:space="preserve"> Statement on Freedom of </w:t>
            </w:r>
            <w:r w:rsidR="00E12C6F">
              <w:rPr>
                <w:rFonts w:asciiTheme="minorHAnsi" w:hAnsiTheme="minorHAnsi" w:cstheme="minorHAnsi"/>
                <w:szCs w:val="22"/>
              </w:rPr>
              <w:t>Expression</w:t>
            </w:r>
            <w:r w:rsidRPr="00F40990">
              <w:rPr>
                <w:rFonts w:asciiTheme="minorHAnsi" w:hAnsiTheme="minorHAnsi" w:cstheme="minorHAnsi"/>
                <w:szCs w:val="22"/>
              </w:rPr>
              <w:t xml:space="preserve"> in consultation with the wider university community, and </w:t>
            </w:r>
            <w:r w:rsidR="00E12C6F">
              <w:rPr>
                <w:rFonts w:asciiTheme="minorHAnsi" w:hAnsiTheme="minorHAnsi" w:cstheme="minorHAnsi"/>
                <w:szCs w:val="22"/>
              </w:rPr>
              <w:t xml:space="preserve">revising the staff Code of Conduct to reference the new statement and to align with the Model Code. </w:t>
            </w:r>
          </w:p>
          <w:p w14:paraId="4E9F3A00" w14:textId="77777777" w:rsidR="00F40990" w:rsidRDefault="00F40990" w:rsidP="00C476F5">
            <w:pPr>
              <w:pStyle w:val="NormalIndent"/>
              <w:spacing w:before="0" w:after="0"/>
              <w:ind w:left="0"/>
              <w:rPr>
                <w:rFonts w:asciiTheme="minorHAnsi" w:hAnsiTheme="minorHAnsi" w:cstheme="minorHAnsi"/>
                <w:szCs w:val="22"/>
              </w:rPr>
            </w:pPr>
          </w:p>
          <w:p w14:paraId="69142DDE" w14:textId="77777777" w:rsidR="00FD1A40" w:rsidRPr="00AA6B97" w:rsidRDefault="00FD1A40" w:rsidP="00FD1A40">
            <w:pPr>
              <w:pStyle w:val="NormalIndent"/>
              <w:spacing w:before="0" w:after="0"/>
              <w:ind w:left="0"/>
              <w:rPr>
                <w:rFonts w:asciiTheme="minorHAnsi" w:hAnsiTheme="minorHAnsi" w:cstheme="minorHAnsi"/>
                <w:i/>
                <w:szCs w:val="22"/>
              </w:rPr>
            </w:pPr>
            <w:r w:rsidRPr="00AA6B97">
              <w:rPr>
                <w:rFonts w:asciiTheme="minorHAnsi" w:hAnsiTheme="minorHAnsi" w:cstheme="minorHAnsi"/>
                <w:i/>
                <w:szCs w:val="22"/>
              </w:rPr>
              <w:t>Supporting Documents:</w:t>
            </w:r>
          </w:p>
          <w:p w14:paraId="65AAEB5D" w14:textId="2F0906C5" w:rsidR="00FD1A40" w:rsidRPr="00C476F5" w:rsidRDefault="00FD1A40" w:rsidP="009408BE">
            <w:pPr>
              <w:pStyle w:val="NormalIndent"/>
              <w:numPr>
                <w:ilvl w:val="0"/>
                <w:numId w:val="33"/>
              </w:numPr>
              <w:spacing w:before="0" w:after="0"/>
              <w:rPr>
                <w:rFonts w:asciiTheme="minorHAnsi" w:hAnsiTheme="minorHAnsi" w:cstheme="minorHAnsi"/>
                <w:szCs w:val="22"/>
              </w:rPr>
            </w:pPr>
            <w:r w:rsidRPr="00AA6B97">
              <w:rPr>
                <w:rFonts w:asciiTheme="minorHAnsi" w:hAnsiTheme="minorHAnsi" w:cstheme="minorHAnsi"/>
                <w:szCs w:val="22"/>
              </w:rPr>
              <w:t>ANU Strategic Plan 2019-2022</w:t>
            </w:r>
            <w:r>
              <w:rPr>
                <w:rFonts w:asciiTheme="minorHAnsi" w:hAnsiTheme="minorHAnsi" w:cstheme="minorHAnsi"/>
                <w:szCs w:val="22"/>
              </w:rPr>
              <w:t xml:space="preserve"> -</w:t>
            </w:r>
            <w:r w:rsidRPr="00AA6B97">
              <w:rPr>
                <w:rFonts w:asciiTheme="minorHAnsi" w:hAnsiTheme="minorHAnsi" w:cstheme="minorHAnsi"/>
                <w:szCs w:val="22"/>
              </w:rPr>
              <w:t xml:space="preserve"> </w:t>
            </w:r>
            <w:hyperlink r:id="rId12" w:history="1">
              <w:r w:rsidRPr="00AA6B97">
                <w:rPr>
                  <w:rStyle w:val="Hyperlink"/>
                  <w:rFonts w:asciiTheme="minorHAnsi" w:hAnsiTheme="minorHAnsi" w:cstheme="minorHAnsi"/>
                  <w:szCs w:val="22"/>
                </w:rPr>
                <w:t>https://www.anu.edu.au/about/strategic-planning/anu-strategic-plan-2019-2022</w:t>
              </w:r>
            </w:hyperlink>
            <w:r>
              <w:rPr>
                <w:rFonts w:asciiTheme="minorHAnsi" w:hAnsiTheme="minorHAnsi" w:cstheme="minorHAnsi"/>
                <w:szCs w:val="22"/>
              </w:rPr>
              <w:t xml:space="preserve"> </w:t>
            </w:r>
            <w:r w:rsidRPr="00F40990">
              <w:rPr>
                <w:rFonts w:asciiTheme="minorHAnsi" w:hAnsiTheme="minorHAnsi" w:cstheme="minorHAnsi"/>
                <w:szCs w:val="22"/>
              </w:rPr>
              <w:t xml:space="preserve"> </w:t>
            </w:r>
          </w:p>
          <w:p w14:paraId="04A6D2F7" w14:textId="4D80EA57" w:rsidR="00FD1A40" w:rsidRPr="00F40990" w:rsidRDefault="00FD1A40" w:rsidP="00C476F5">
            <w:pPr>
              <w:pStyle w:val="NormalIndent"/>
              <w:spacing w:before="0" w:after="0"/>
              <w:ind w:left="0"/>
              <w:rPr>
                <w:rFonts w:asciiTheme="minorHAnsi" w:hAnsiTheme="minorHAnsi" w:cstheme="minorHAnsi"/>
                <w:szCs w:val="22"/>
              </w:rPr>
            </w:pPr>
          </w:p>
        </w:tc>
      </w:tr>
      <w:tr w:rsidR="00B722D2" w14:paraId="32BC37C5" w14:textId="77777777" w:rsidTr="0079679B">
        <w:tc>
          <w:tcPr>
            <w:tcW w:w="5000" w:type="pct"/>
            <w:shd w:val="clear" w:color="auto" w:fill="DBE5F1" w:themeFill="accent1" w:themeFillTint="33"/>
          </w:tcPr>
          <w:p w14:paraId="5AFCE3CE" w14:textId="77777777" w:rsidR="00B722D2" w:rsidRPr="00B64D21" w:rsidRDefault="00276BFB" w:rsidP="009408BE">
            <w:pPr>
              <w:pStyle w:val="Heading4"/>
              <w:spacing w:before="120" w:after="120"/>
            </w:pPr>
            <w:r w:rsidRPr="00B64D21">
              <w:lastRenderedPageBreak/>
              <w:t>teaching and learning</w:t>
            </w:r>
          </w:p>
        </w:tc>
      </w:tr>
      <w:tr w:rsidR="00B722D2" w14:paraId="635CF26A" w14:textId="77777777" w:rsidTr="0079679B">
        <w:tc>
          <w:tcPr>
            <w:tcW w:w="5000" w:type="pct"/>
            <w:shd w:val="clear" w:color="auto" w:fill="auto"/>
          </w:tcPr>
          <w:p w14:paraId="35FC19BC" w14:textId="77777777" w:rsidR="00754F53" w:rsidRDefault="00754F53" w:rsidP="00754F53">
            <w:pPr>
              <w:pStyle w:val="NormalWeb"/>
              <w:rPr>
                <w:rFonts w:ascii="SymbolMT" w:hAnsi="SymbolMT"/>
                <w:sz w:val="22"/>
                <w:szCs w:val="22"/>
              </w:rPr>
            </w:pPr>
            <w:r>
              <w:rPr>
                <w:rFonts w:ascii="Calibri" w:hAnsi="Calibri" w:cs="Calibri"/>
                <w:b/>
                <w:bCs/>
                <w:sz w:val="22"/>
                <w:szCs w:val="22"/>
              </w:rPr>
              <w:t>Objectives and priorities</w:t>
            </w:r>
          </w:p>
          <w:p w14:paraId="237401D0" w14:textId="77777777" w:rsidR="00754F53" w:rsidRDefault="00754F53" w:rsidP="00754F53">
            <w:pPr>
              <w:pStyle w:val="NormalWeb"/>
              <w:rPr>
                <w:rFonts w:ascii="SymbolMT" w:hAnsi="SymbolMT"/>
                <w:sz w:val="22"/>
                <w:szCs w:val="22"/>
              </w:rPr>
            </w:pPr>
            <w:r>
              <w:rPr>
                <w:rFonts w:ascii="Calibri" w:hAnsi="Calibri" w:cs="Calibri"/>
                <w:sz w:val="22"/>
                <w:szCs w:val="22"/>
              </w:rPr>
              <w:t xml:space="preserve">At ANU, our vision is that our graduates will have a positive influence on the future; they are passionate, creative and capable of solving critical problems not yet imagined; and they create and apply knowledge to improve the lives of people, the nation and the world.  </w:t>
            </w:r>
          </w:p>
          <w:p w14:paraId="34764B1A" w14:textId="77777777" w:rsidR="00754F53" w:rsidRDefault="00754F53" w:rsidP="00754F53">
            <w:pPr>
              <w:pStyle w:val="NormalWeb"/>
            </w:pPr>
            <w:r>
              <w:rPr>
                <w:rFonts w:ascii="Calibri" w:hAnsi="Calibri" w:cs="Calibri"/>
                <w:sz w:val="22"/>
                <w:szCs w:val="22"/>
              </w:rPr>
              <w:t xml:space="preserve">The University’s Vision for Excellence in Teaching and Learning sets out four pillars for teaching and learning: </w:t>
            </w:r>
          </w:p>
          <w:p w14:paraId="392BE350" w14:textId="77777777" w:rsidR="00754F53" w:rsidRDefault="00754F53" w:rsidP="00754F53">
            <w:pPr>
              <w:pStyle w:val="NormalWeb"/>
              <w:numPr>
                <w:ilvl w:val="0"/>
                <w:numId w:val="41"/>
              </w:numPr>
              <w:spacing w:before="100" w:beforeAutospacing="1" w:after="100" w:afterAutospacing="1"/>
              <w:rPr>
                <w:rFonts w:ascii="SymbolMT" w:hAnsi="SymbolMT"/>
                <w:sz w:val="22"/>
                <w:szCs w:val="22"/>
              </w:rPr>
            </w:pPr>
            <w:r>
              <w:rPr>
                <w:rFonts w:ascii="Calibri" w:hAnsi="Calibri" w:cs="Calibri"/>
                <w:sz w:val="22"/>
                <w:szCs w:val="22"/>
              </w:rPr>
              <w:t xml:space="preserve">Engaged students; </w:t>
            </w:r>
          </w:p>
          <w:p w14:paraId="63BC36BF" w14:textId="77777777" w:rsidR="00754F53" w:rsidRDefault="00754F53" w:rsidP="00754F53">
            <w:pPr>
              <w:pStyle w:val="NormalWeb"/>
              <w:numPr>
                <w:ilvl w:val="0"/>
                <w:numId w:val="41"/>
              </w:numPr>
              <w:spacing w:before="100" w:beforeAutospacing="1" w:after="100" w:afterAutospacing="1"/>
              <w:rPr>
                <w:rFonts w:ascii="SymbolMT" w:hAnsi="SymbolMT"/>
                <w:sz w:val="22"/>
                <w:szCs w:val="22"/>
              </w:rPr>
            </w:pPr>
            <w:r>
              <w:rPr>
                <w:rFonts w:ascii="Calibri" w:hAnsi="Calibri" w:cs="Calibri"/>
                <w:sz w:val="22"/>
                <w:szCs w:val="22"/>
              </w:rPr>
              <w:t xml:space="preserve">Inspirational Academics; </w:t>
            </w:r>
          </w:p>
          <w:p w14:paraId="468D308D" w14:textId="77777777" w:rsidR="00754F53" w:rsidRDefault="00754F53" w:rsidP="00754F53">
            <w:pPr>
              <w:pStyle w:val="NormalWeb"/>
              <w:numPr>
                <w:ilvl w:val="0"/>
                <w:numId w:val="41"/>
              </w:numPr>
              <w:spacing w:before="100" w:beforeAutospacing="1" w:after="100" w:afterAutospacing="1"/>
              <w:rPr>
                <w:rFonts w:ascii="SymbolMT" w:hAnsi="SymbolMT"/>
                <w:sz w:val="22"/>
                <w:szCs w:val="22"/>
              </w:rPr>
            </w:pPr>
            <w:r>
              <w:rPr>
                <w:rFonts w:ascii="Calibri" w:hAnsi="Calibri" w:cs="Calibri"/>
                <w:sz w:val="22"/>
                <w:szCs w:val="22"/>
              </w:rPr>
              <w:t xml:space="preserve">an Enriching Environment, and </w:t>
            </w:r>
          </w:p>
          <w:p w14:paraId="318C7208" w14:textId="77777777" w:rsidR="00754F53" w:rsidRDefault="00754F53" w:rsidP="00754F53">
            <w:pPr>
              <w:pStyle w:val="NormalWeb"/>
              <w:numPr>
                <w:ilvl w:val="0"/>
                <w:numId w:val="41"/>
              </w:numPr>
              <w:spacing w:before="100" w:beforeAutospacing="1" w:after="100" w:afterAutospacing="1"/>
              <w:rPr>
                <w:rFonts w:ascii="SymbolMT" w:hAnsi="SymbolMT"/>
                <w:sz w:val="22"/>
                <w:szCs w:val="22"/>
              </w:rPr>
            </w:pPr>
            <w:r>
              <w:rPr>
                <w:rFonts w:ascii="Calibri" w:hAnsi="Calibri" w:cs="Calibri"/>
                <w:sz w:val="22"/>
                <w:szCs w:val="22"/>
              </w:rPr>
              <w:t xml:space="preserve">a Connected Community. </w:t>
            </w:r>
          </w:p>
          <w:p w14:paraId="73FF6A74" w14:textId="77777777" w:rsidR="00754F53" w:rsidRDefault="00754F53" w:rsidP="00754F53">
            <w:pPr>
              <w:pStyle w:val="NormalWeb"/>
              <w:rPr>
                <w:rFonts w:ascii="Calibri" w:hAnsi="Calibri" w:cs="Calibri"/>
                <w:sz w:val="22"/>
                <w:szCs w:val="22"/>
              </w:rPr>
            </w:pPr>
            <w:r>
              <w:rPr>
                <w:rFonts w:ascii="Calibri" w:hAnsi="Calibri" w:cs="Calibri"/>
                <w:sz w:val="22"/>
                <w:szCs w:val="22"/>
              </w:rPr>
              <w:t xml:space="preserve">The four interdependent pillars provide a frame of reference for aligning focus and effort to continuously improve the outcomes of learning and teaching at ANU.  The vision acknowledges that students are the centre of learning and teaching at ANU. A partnership between students, academics, professional staff and the University forms the foundation of excellence in learning and teaching. </w:t>
            </w:r>
          </w:p>
          <w:p w14:paraId="1260BBF5" w14:textId="77777777" w:rsidR="00754F53" w:rsidRDefault="00754F53" w:rsidP="00754F53">
            <w:pPr>
              <w:pStyle w:val="NormalWeb"/>
              <w:rPr>
                <w:rFonts w:ascii="Calibri" w:hAnsi="Calibri" w:cs="Calibri"/>
                <w:b/>
                <w:bCs/>
                <w:sz w:val="22"/>
                <w:szCs w:val="22"/>
              </w:rPr>
            </w:pPr>
          </w:p>
          <w:p w14:paraId="28A3E445" w14:textId="14656F04" w:rsidR="00754F53" w:rsidRDefault="00754F53" w:rsidP="00754F53">
            <w:pPr>
              <w:pStyle w:val="NormalWeb"/>
              <w:rPr>
                <w:rFonts w:ascii="SymbolMT" w:hAnsi="SymbolMT"/>
                <w:sz w:val="22"/>
                <w:szCs w:val="22"/>
              </w:rPr>
            </w:pPr>
            <w:r>
              <w:rPr>
                <w:rFonts w:ascii="Calibri" w:hAnsi="Calibri" w:cs="Calibri"/>
                <w:b/>
                <w:bCs/>
                <w:sz w:val="22"/>
                <w:szCs w:val="22"/>
              </w:rPr>
              <w:t>Response to 2020 challenges</w:t>
            </w:r>
          </w:p>
          <w:p w14:paraId="3278F5EC" w14:textId="77777777" w:rsidR="00754F53" w:rsidRDefault="00754F53" w:rsidP="00754F53">
            <w:pPr>
              <w:pStyle w:val="NormalWeb"/>
              <w:rPr>
                <w:rFonts w:ascii="Calibri" w:hAnsi="Calibri" w:cs="Calibri"/>
                <w:sz w:val="22"/>
                <w:szCs w:val="22"/>
              </w:rPr>
            </w:pPr>
            <w:r>
              <w:rPr>
                <w:rFonts w:ascii="Calibri" w:hAnsi="Calibri" w:cs="Calibri"/>
                <w:sz w:val="22"/>
                <w:szCs w:val="22"/>
              </w:rPr>
              <w:t xml:space="preserve">The University faced a complex array of challenges during 2020 that impacted learning and teaching including bushfires and smoke and a severe hail storm in the Australian Capital Territory during January.  Both these events resulted in closure of the campus and significant impact on infrastructure.  </w:t>
            </w:r>
          </w:p>
          <w:p w14:paraId="2ACE5D69" w14:textId="77777777" w:rsidR="0037749E" w:rsidRDefault="0037749E" w:rsidP="00754F53">
            <w:pPr>
              <w:pStyle w:val="NormalWeb"/>
              <w:rPr>
                <w:rFonts w:ascii="Calibri" w:hAnsi="Calibri" w:cs="Calibri"/>
                <w:sz w:val="22"/>
                <w:szCs w:val="22"/>
              </w:rPr>
            </w:pPr>
          </w:p>
          <w:p w14:paraId="657F23D1" w14:textId="33F72189" w:rsidR="00754F53" w:rsidRDefault="00754F53" w:rsidP="00754F53">
            <w:pPr>
              <w:pStyle w:val="NormalWeb"/>
              <w:rPr>
                <w:rFonts w:ascii="Calibri" w:hAnsi="Calibri" w:cs="Calibri"/>
                <w:sz w:val="22"/>
                <w:szCs w:val="22"/>
              </w:rPr>
            </w:pPr>
            <w:r>
              <w:rPr>
                <w:rFonts w:ascii="Calibri" w:hAnsi="Calibri" w:cs="Calibri"/>
                <w:sz w:val="22"/>
                <w:szCs w:val="22"/>
              </w:rPr>
              <w:t xml:space="preserve">In response to the global COVID-19 pandemic, ANU paused teaching for one week at the start of Week 4 of Semester 1, closed the Acton campus and moved all teaching and learning to remote mode for the remainder of the semester.  In Semester 2 the University implemented a hybrid model of teaching with both face to face and remote delivery catering for students who were physically present on campus and those who were prevented from attending campus due to international and domestic travel restrictions.  </w:t>
            </w:r>
          </w:p>
          <w:p w14:paraId="0BB3631C" w14:textId="77777777" w:rsidR="0037749E" w:rsidRDefault="0037749E" w:rsidP="00754F53">
            <w:pPr>
              <w:pStyle w:val="NormalWeb"/>
              <w:rPr>
                <w:rFonts w:ascii="Calibri" w:hAnsi="Calibri" w:cs="Calibri"/>
                <w:sz w:val="22"/>
                <w:szCs w:val="22"/>
              </w:rPr>
            </w:pPr>
          </w:p>
          <w:p w14:paraId="598DF4E5" w14:textId="49E25A6A" w:rsidR="00754F53" w:rsidRDefault="00754F53" w:rsidP="00754F53">
            <w:pPr>
              <w:pStyle w:val="NormalWeb"/>
              <w:rPr>
                <w:rFonts w:ascii="Calibri" w:hAnsi="Calibri" w:cs="Calibri"/>
                <w:sz w:val="22"/>
                <w:szCs w:val="22"/>
              </w:rPr>
            </w:pPr>
            <w:r>
              <w:rPr>
                <w:rFonts w:ascii="Calibri" w:hAnsi="Calibri" w:cs="Calibri"/>
                <w:sz w:val="22"/>
                <w:szCs w:val="22"/>
              </w:rPr>
              <w:t xml:space="preserve">The University implemented a range of strategies to support the continuity of teaching and learning and to enable and support students to progress in their studies during 2020.  The University Critical Incident Management Team established a Teaching Continuity Working Group responsible for overseeing the University response to the pandemic.  Strategies included the rapid uptake of digital technologies for remote learning and teaching; the provision of digital repositories of resources, information and self-help tools for staff and students; webinars and individual support for staff and students to upskill; and adjustments to assessment including the implementation of online proctored exams. </w:t>
            </w:r>
          </w:p>
          <w:p w14:paraId="7252DA27" w14:textId="77777777" w:rsidR="0037749E" w:rsidRDefault="0037749E" w:rsidP="00754F53">
            <w:pPr>
              <w:pStyle w:val="NormalWeb"/>
              <w:rPr>
                <w:rFonts w:ascii="Calibri" w:hAnsi="Calibri" w:cs="Calibri"/>
                <w:sz w:val="22"/>
                <w:szCs w:val="22"/>
              </w:rPr>
            </w:pPr>
          </w:p>
          <w:p w14:paraId="35F8EB94" w14:textId="7BEDF166" w:rsidR="00754F53" w:rsidRDefault="00754F53" w:rsidP="00754F53">
            <w:pPr>
              <w:pStyle w:val="NormalWeb"/>
              <w:rPr>
                <w:rFonts w:ascii="Calibri" w:hAnsi="Calibri" w:cs="Calibri"/>
                <w:sz w:val="22"/>
                <w:szCs w:val="22"/>
              </w:rPr>
            </w:pPr>
            <w:r>
              <w:rPr>
                <w:rFonts w:ascii="Calibri" w:hAnsi="Calibri" w:cs="Calibri"/>
                <w:sz w:val="22"/>
                <w:szCs w:val="22"/>
              </w:rPr>
              <w:lastRenderedPageBreak/>
              <w:t xml:space="preserve">The educational response to the COVID-19 pandemic was evaluated through three wellbeing and remote education surveys deployed to coursework students, higher degree by research students and staff.  The feedback and information gathered has been analysed and widely disseminated. The ANU Centre for Learning and Teaching has developed a comprehensive suite of activities in response to student feedback to further support teaching staff to adapt and improve the hybrid model of teaching through Semester 1 2021. Major goals during 2021 are to re-establish a vibrant campus life including face to face teaching and learning; embed and promote the use of high-quality technology enhanced learning; and to establish a seamless and productive equilibrium between in-person and online educational activities that is consistent with the ANU Vision for Excellence in Teaching and Learning. </w:t>
            </w:r>
          </w:p>
          <w:p w14:paraId="2D3587DA" w14:textId="77777777" w:rsidR="00754F53" w:rsidRDefault="00754F53" w:rsidP="00754F53">
            <w:pPr>
              <w:pStyle w:val="NormalWeb"/>
              <w:rPr>
                <w:rFonts w:ascii="Calibri" w:hAnsi="Calibri" w:cs="Calibri"/>
                <w:b/>
                <w:bCs/>
                <w:sz w:val="22"/>
                <w:szCs w:val="22"/>
              </w:rPr>
            </w:pPr>
          </w:p>
          <w:p w14:paraId="2972664E" w14:textId="24174EC4" w:rsidR="00754F53" w:rsidRDefault="00754F53" w:rsidP="00754F53">
            <w:pPr>
              <w:pStyle w:val="NormalWeb"/>
              <w:rPr>
                <w:rFonts w:ascii="SymbolMT" w:hAnsi="SymbolMT"/>
                <w:sz w:val="22"/>
                <w:szCs w:val="22"/>
              </w:rPr>
            </w:pPr>
            <w:r>
              <w:rPr>
                <w:rFonts w:ascii="Calibri" w:hAnsi="Calibri" w:cs="Calibri"/>
                <w:b/>
                <w:bCs/>
                <w:sz w:val="22"/>
                <w:szCs w:val="22"/>
              </w:rPr>
              <w:t>Strategies to ensure quality</w:t>
            </w:r>
          </w:p>
          <w:p w14:paraId="24CB9A80" w14:textId="77777777" w:rsidR="00754F53" w:rsidRDefault="00754F53" w:rsidP="00754F53">
            <w:pPr>
              <w:pStyle w:val="NormalWeb"/>
              <w:rPr>
                <w:rFonts w:ascii="Calibri" w:hAnsi="Calibri" w:cs="Calibri"/>
                <w:sz w:val="22"/>
                <w:szCs w:val="22"/>
              </w:rPr>
            </w:pPr>
            <w:r>
              <w:rPr>
                <w:rFonts w:ascii="Calibri" w:hAnsi="Calibri" w:cs="Calibri"/>
                <w:sz w:val="22"/>
                <w:szCs w:val="22"/>
              </w:rPr>
              <w:t xml:space="preserve">ANU ensures the quality of its teaching and learning through a governance structure with two committees reporting to Academic Board as outlined below. </w:t>
            </w:r>
          </w:p>
          <w:p w14:paraId="31F2E403" w14:textId="77777777" w:rsidR="00754F53" w:rsidRDefault="00754F53" w:rsidP="00754F53">
            <w:pPr>
              <w:pStyle w:val="NormalWeb"/>
              <w:numPr>
                <w:ilvl w:val="0"/>
                <w:numId w:val="42"/>
              </w:numPr>
              <w:spacing w:before="100" w:beforeAutospacing="1" w:after="100" w:afterAutospacing="1"/>
              <w:rPr>
                <w:rFonts w:ascii="SymbolMT" w:hAnsi="SymbolMT"/>
                <w:sz w:val="22"/>
                <w:szCs w:val="22"/>
              </w:rPr>
            </w:pPr>
            <w:r>
              <w:rPr>
                <w:rFonts w:ascii="Calibri" w:hAnsi="Calibri" w:cs="Calibri"/>
                <w:sz w:val="22"/>
                <w:szCs w:val="22"/>
              </w:rPr>
              <w:t xml:space="preserve">Teaching and Learning Development Committee (TLDC) oversees University wide teaching and learning initiatives, to ensure quality and achievement of set goals and outcomes. </w:t>
            </w:r>
          </w:p>
          <w:p w14:paraId="4E2213D1" w14:textId="77777777" w:rsidR="00754F53" w:rsidRPr="000D76BC" w:rsidRDefault="00754F53" w:rsidP="00754F53">
            <w:pPr>
              <w:pStyle w:val="NormalWeb"/>
              <w:numPr>
                <w:ilvl w:val="0"/>
                <w:numId w:val="42"/>
              </w:numPr>
              <w:spacing w:before="100" w:beforeAutospacing="1" w:after="100" w:afterAutospacing="1"/>
              <w:rPr>
                <w:rFonts w:ascii="SymbolMT" w:hAnsi="SymbolMT"/>
                <w:sz w:val="22"/>
                <w:szCs w:val="22"/>
              </w:rPr>
            </w:pPr>
            <w:r>
              <w:rPr>
                <w:rFonts w:ascii="Calibri" w:hAnsi="Calibri" w:cs="Calibri"/>
                <w:sz w:val="22"/>
                <w:szCs w:val="22"/>
              </w:rPr>
              <w:t xml:space="preserve">Academic Quality and Standards Committee (AQAC) monitors the quality of education programs including policy and compliance issues. AQAC reviews and endorses program proposals from College Education Committees. </w:t>
            </w:r>
          </w:p>
          <w:p w14:paraId="0C5F12C5" w14:textId="77777777" w:rsidR="00754F53" w:rsidRPr="000D76BC" w:rsidRDefault="00754F53" w:rsidP="00754F53">
            <w:pPr>
              <w:pStyle w:val="NormalWeb"/>
              <w:rPr>
                <w:rFonts w:ascii="Calibri" w:hAnsi="Calibri" w:cs="Calibri"/>
                <w:sz w:val="22"/>
                <w:szCs w:val="22"/>
              </w:rPr>
            </w:pPr>
            <w:r>
              <w:rPr>
                <w:rFonts w:ascii="Calibri" w:hAnsi="Calibri" w:cs="Calibri"/>
                <w:sz w:val="22"/>
                <w:szCs w:val="22"/>
              </w:rPr>
              <w:t xml:space="preserve">The two committees oversee key processes, including: regular course reviews, external school reviews, student and staff surveys and grade distribution monitoring. The results of these processes are monitored and discussed by relevant senior officers who initiate further action as required. In 2021, the Academic Portfolio will establish two new positions, the Dean of Academic Quality and the Pro Vice Chancellor Education and Digital to reflect the governance structure.  </w:t>
            </w:r>
          </w:p>
          <w:p w14:paraId="365FBAE0" w14:textId="77777777" w:rsidR="00754F53" w:rsidRDefault="00754F53" w:rsidP="00754F53">
            <w:pPr>
              <w:pStyle w:val="NormalWeb"/>
              <w:rPr>
                <w:rFonts w:ascii="SymbolMT" w:hAnsi="SymbolMT"/>
                <w:sz w:val="22"/>
                <w:szCs w:val="22"/>
              </w:rPr>
            </w:pPr>
            <w:r>
              <w:rPr>
                <w:rFonts w:ascii="Calibri" w:hAnsi="Calibri" w:cs="Calibri"/>
                <w:sz w:val="22"/>
                <w:szCs w:val="22"/>
              </w:rPr>
              <w:t xml:space="preserve">Examples of the initiatives ANU will undertake in 2020 to ensure quality in teaching and learning include: </w:t>
            </w:r>
          </w:p>
          <w:p w14:paraId="1190FCC5" w14:textId="77777777" w:rsidR="00754F53" w:rsidRDefault="00754F53" w:rsidP="00754F53">
            <w:pPr>
              <w:pStyle w:val="NormalWeb"/>
              <w:numPr>
                <w:ilvl w:val="0"/>
                <w:numId w:val="45"/>
              </w:numPr>
              <w:spacing w:before="100" w:beforeAutospacing="1" w:after="100" w:afterAutospacing="1"/>
            </w:pPr>
            <w:r>
              <w:rPr>
                <w:rFonts w:ascii="Calibri" w:hAnsi="Calibri" w:cs="Calibri"/>
                <w:sz w:val="22"/>
                <w:szCs w:val="22"/>
              </w:rPr>
              <w:t xml:space="preserve">Review of admissions reform initiatives (see below) with a focus on planning strategies to improve equity and diversity in the student cohort. This will result in wide representation, from around the world and across Australia, of students with the skills and capacity to succeed regardless of their background. </w:t>
            </w:r>
          </w:p>
          <w:p w14:paraId="023DB96F" w14:textId="77777777" w:rsidR="00754F53" w:rsidRDefault="00754F53" w:rsidP="00754F53">
            <w:pPr>
              <w:pStyle w:val="NormalWeb"/>
              <w:numPr>
                <w:ilvl w:val="0"/>
                <w:numId w:val="45"/>
              </w:numPr>
              <w:spacing w:before="100" w:beforeAutospacing="1" w:after="100" w:afterAutospacing="1"/>
            </w:pPr>
            <w:r>
              <w:rPr>
                <w:rFonts w:ascii="Calibri" w:hAnsi="Calibri" w:cs="Calibri"/>
                <w:sz w:val="22"/>
                <w:szCs w:val="22"/>
              </w:rPr>
              <w:t xml:space="preserve">Reaccreditation with the Higher Education Academy and renewed focus on principal fellowships for enhanced leadership in teaching and learning within the University and across the sector.  </w:t>
            </w:r>
          </w:p>
          <w:p w14:paraId="14FF7CB7" w14:textId="77777777" w:rsidR="00754F53" w:rsidRPr="002545DD" w:rsidRDefault="00754F53" w:rsidP="00754F53">
            <w:pPr>
              <w:pStyle w:val="NormalWeb"/>
              <w:numPr>
                <w:ilvl w:val="0"/>
                <w:numId w:val="45"/>
              </w:numPr>
              <w:spacing w:before="100" w:beforeAutospacing="1" w:after="100" w:afterAutospacing="1"/>
              <w:rPr>
                <w:rFonts w:asciiTheme="minorHAnsi" w:hAnsiTheme="minorHAnsi" w:cstheme="minorHAnsi"/>
                <w:sz w:val="22"/>
                <w:szCs w:val="22"/>
              </w:rPr>
            </w:pPr>
            <w:r w:rsidRPr="00815068">
              <w:rPr>
                <w:rFonts w:ascii="Calibri" w:hAnsi="Calibri" w:cs="Calibri"/>
                <w:sz w:val="22"/>
                <w:szCs w:val="22"/>
              </w:rPr>
              <w:t>Re</w:t>
            </w:r>
            <w:r>
              <w:rPr>
                <w:rFonts w:ascii="Calibri" w:hAnsi="Calibri" w:cs="Calibri"/>
                <w:sz w:val="22"/>
                <w:szCs w:val="22"/>
              </w:rPr>
              <w:t>-establishing</w:t>
            </w:r>
            <w:r w:rsidRPr="00815068">
              <w:rPr>
                <w:rFonts w:ascii="Calibri" w:hAnsi="Calibri" w:cs="Calibri"/>
                <w:sz w:val="22"/>
                <w:szCs w:val="22"/>
              </w:rPr>
              <w:t xml:space="preserve"> the Interactive Learning Project (</w:t>
            </w:r>
            <w:proofErr w:type="spellStart"/>
            <w:r w:rsidRPr="00815068">
              <w:rPr>
                <w:rFonts w:ascii="Calibri" w:hAnsi="Calibri" w:cs="Calibri"/>
                <w:sz w:val="22"/>
                <w:szCs w:val="22"/>
              </w:rPr>
              <w:t>iLEAP</w:t>
            </w:r>
            <w:proofErr w:type="spellEnd"/>
            <w:r w:rsidRPr="00815068">
              <w:rPr>
                <w:rFonts w:ascii="Calibri" w:hAnsi="Calibri" w:cs="Calibri"/>
                <w:sz w:val="22"/>
                <w:szCs w:val="22"/>
              </w:rPr>
              <w:t>)</w:t>
            </w:r>
            <w:r>
              <w:rPr>
                <w:rFonts w:ascii="Calibri" w:hAnsi="Calibri" w:cs="Calibri"/>
                <w:sz w:val="22"/>
                <w:szCs w:val="22"/>
              </w:rPr>
              <w:t>,</w:t>
            </w:r>
            <w:r w:rsidRPr="00815068">
              <w:rPr>
                <w:rFonts w:ascii="Calibri" w:hAnsi="Calibri" w:cs="Calibri"/>
                <w:sz w:val="22"/>
                <w:szCs w:val="22"/>
              </w:rPr>
              <w:t xml:space="preserve"> </w:t>
            </w:r>
            <w:r>
              <w:rPr>
                <w:rFonts w:ascii="Calibri" w:hAnsi="Calibri" w:cs="Calibri"/>
                <w:sz w:val="22"/>
                <w:szCs w:val="22"/>
              </w:rPr>
              <w:t xml:space="preserve">which was paused during the COVID-19 pandemic, with a focus on addressing student feedback about poor engagement in their </w:t>
            </w:r>
            <w:r w:rsidRPr="002545DD">
              <w:rPr>
                <w:rFonts w:asciiTheme="minorHAnsi" w:hAnsiTheme="minorHAnsi" w:cstheme="minorHAnsi"/>
                <w:sz w:val="22"/>
                <w:szCs w:val="22"/>
              </w:rPr>
              <w:t xml:space="preserve">studies. </w:t>
            </w:r>
          </w:p>
          <w:p w14:paraId="28604476" w14:textId="77777777" w:rsidR="00754F53" w:rsidRPr="002545DD" w:rsidRDefault="00754F53" w:rsidP="00754F53">
            <w:pPr>
              <w:pStyle w:val="NormalWeb"/>
              <w:numPr>
                <w:ilvl w:val="0"/>
                <w:numId w:val="45"/>
              </w:numPr>
              <w:spacing w:before="100" w:beforeAutospacing="1" w:after="100" w:afterAutospacing="1"/>
              <w:rPr>
                <w:rFonts w:asciiTheme="minorHAnsi" w:hAnsiTheme="minorHAnsi" w:cstheme="minorHAnsi"/>
                <w:sz w:val="22"/>
                <w:szCs w:val="22"/>
              </w:rPr>
            </w:pPr>
            <w:r w:rsidRPr="002545DD">
              <w:rPr>
                <w:rFonts w:asciiTheme="minorHAnsi" w:hAnsiTheme="minorHAnsi" w:cstheme="minorHAnsi"/>
                <w:sz w:val="22"/>
                <w:szCs w:val="22"/>
              </w:rPr>
              <w:t>Develop</w:t>
            </w:r>
            <w:r>
              <w:rPr>
                <w:rFonts w:asciiTheme="minorHAnsi" w:hAnsiTheme="minorHAnsi" w:cstheme="minorHAnsi"/>
                <w:sz w:val="22"/>
                <w:szCs w:val="22"/>
              </w:rPr>
              <w:t>ing</w:t>
            </w:r>
            <w:r w:rsidRPr="002545DD">
              <w:rPr>
                <w:rFonts w:asciiTheme="minorHAnsi" w:hAnsiTheme="minorHAnsi" w:cstheme="minorHAnsi"/>
                <w:sz w:val="22"/>
                <w:szCs w:val="22"/>
              </w:rPr>
              <w:t xml:space="preserve"> distinctive graduate attributes </w:t>
            </w:r>
            <w:r>
              <w:rPr>
                <w:rFonts w:asciiTheme="minorHAnsi" w:hAnsiTheme="minorHAnsi" w:cstheme="minorHAnsi"/>
                <w:sz w:val="22"/>
                <w:szCs w:val="22"/>
              </w:rPr>
              <w:t xml:space="preserve">befitting of the national university </w:t>
            </w:r>
            <w:r w:rsidRPr="002545DD">
              <w:rPr>
                <w:rFonts w:asciiTheme="minorHAnsi" w:hAnsiTheme="minorHAnsi" w:cstheme="minorHAnsi"/>
                <w:sz w:val="22"/>
                <w:szCs w:val="22"/>
              </w:rPr>
              <w:t>and through which our degree programs can be focussed and enhanced.</w:t>
            </w:r>
          </w:p>
          <w:p w14:paraId="102F3464" w14:textId="77777777" w:rsidR="00754F53" w:rsidRPr="002545DD" w:rsidRDefault="00754F53" w:rsidP="00754F53">
            <w:pPr>
              <w:pStyle w:val="NormalWeb"/>
              <w:numPr>
                <w:ilvl w:val="0"/>
                <w:numId w:val="45"/>
              </w:numPr>
              <w:spacing w:before="100" w:beforeAutospacing="1" w:after="100" w:afterAutospacing="1"/>
              <w:rPr>
                <w:rFonts w:asciiTheme="minorHAnsi" w:hAnsiTheme="minorHAnsi" w:cstheme="minorHAnsi"/>
                <w:sz w:val="22"/>
                <w:szCs w:val="22"/>
              </w:rPr>
            </w:pPr>
            <w:r w:rsidRPr="002545DD">
              <w:rPr>
                <w:rFonts w:asciiTheme="minorHAnsi" w:hAnsiTheme="minorHAnsi" w:cstheme="minorHAnsi"/>
                <w:sz w:val="22"/>
                <w:szCs w:val="22"/>
              </w:rPr>
              <w:t>Develop</w:t>
            </w:r>
            <w:r>
              <w:rPr>
                <w:rFonts w:asciiTheme="minorHAnsi" w:hAnsiTheme="minorHAnsi" w:cstheme="minorHAnsi"/>
                <w:sz w:val="22"/>
                <w:szCs w:val="22"/>
              </w:rPr>
              <w:t>ing</w:t>
            </w:r>
            <w:r w:rsidRPr="002545DD">
              <w:rPr>
                <w:rFonts w:asciiTheme="minorHAnsi" w:hAnsiTheme="minorHAnsi" w:cstheme="minorHAnsi"/>
                <w:sz w:val="22"/>
                <w:szCs w:val="22"/>
              </w:rPr>
              <w:t xml:space="preserve"> and implement</w:t>
            </w:r>
            <w:r>
              <w:rPr>
                <w:rFonts w:asciiTheme="minorHAnsi" w:hAnsiTheme="minorHAnsi" w:cstheme="minorHAnsi"/>
                <w:sz w:val="22"/>
                <w:szCs w:val="22"/>
              </w:rPr>
              <w:t>ing</w:t>
            </w:r>
            <w:r w:rsidRPr="002545DD">
              <w:rPr>
                <w:rFonts w:asciiTheme="minorHAnsi" w:hAnsiTheme="minorHAnsi" w:cstheme="minorHAnsi"/>
                <w:sz w:val="22"/>
                <w:szCs w:val="22"/>
              </w:rPr>
              <w:t xml:space="preserve"> a curriculum framework and renew</w:t>
            </w:r>
            <w:r>
              <w:rPr>
                <w:rFonts w:asciiTheme="minorHAnsi" w:hAnsiTheme="minorHAnsi" w:cstheme="minorHAnsi"/>
                <w:sz w:val="22"/>
                <w:szCs w:val="22"/>
              </w:rPr>
              <w:t>ing</w:t>
            </w:r>
            <w:r w:rsidRPr="002545DD">
              <w:rPr>
                <w:rFonts w:asciiTheme="minorHAnsi" w:hAnsiTheme="minorHAnsi" w:cstheme="minorHAnsi"/>
                <w:sz w:val="22"/>
                <w:szCs w:val="22"/>
              </w:rPr>
              <w:t xml:space="preserve"> the curriculum offerings so they provide developmental pathways for students to achieve the graduate attributes.  </w:t>
            </w:r>
          </w:p>
          <w:p w14:paraId="5708B330" w14:textId="79A97714" w:rsidR="00754F53" w:rsidRDefault="00754F53" w:rsidP="00754F53">
            <w:pPr>
              <w:pStyle w:val="NormalWeb"/>
              <w:rPr>
                <w:rFonts w:ascii="SymbolMT" w:hAnsi="SymbolMT"/>
                <w:sz w:val="22"/>
                <w:szCs w:val="22"/>
              </w:rPr>
            </w:pPr>
            <w:r>
              <w:rPr>
                <w:rFonts w:ascii="Calibri" w:hAnsi="Calibri" w:cs="Calibri"/>
                <w:b/>
                <w:bCs/>
                <w:sz w:val="22"/>
                <w:szCs w:val="22"/>
              </w:rPr>
              <w:t xml:space="preserve">University admissions transparency </w:t>
            </w:r>
          </w:p>
          <w:p w14:paraId="03CF25C3" w14:textId="77777777" w:rsidR="00754F53" w:rsidRDefault="00754F53" w:rsidP="00754F53">
            <w:pPr>
              <w:pStyle w:val="NormalWeb"/>
              <w:numPr>
                <w:ilvl w:val="0"/>
                <w:numId w:val="46"/>
              </w:numPr>
              <w:spacing w:before="100" w:beforeAutospacing="1" w:after="100" w:afterAutospacing="1"/>
              <w:rPr>
                <w:rFonts w:ascii="SymbolMT" w:hAnsi="SymbolMT"/>
                <w:sz w:val="22"/>
                <w:szCs w:val="22"/>
              </w:rPr>
            </w:pPr>
            <w:r>
              <w:rPr>
                <w:rFonts w:ascii="Calibri" w:hAnsi="Calibri" w:cs="Calibri"/>
                <w:sz w:val="22"/>
                <w:szCs w:val="22"/>
              </w:rPr>
              <w:t xml:space="preserve">All domestic undergraduate students must have an ATAR or equivalent for entry to a program at ANU with the exception of Bachelor of Visual Arts and Bachelor of Design Arts programs which are assessed on a portfolio of relevant work. </w:t>
            </w:r>
          </w:p>
          <w:p w14:paraId="3CE85DD7" w14:textId="77777777" w:rsidR="00754F53" w:rsidRDefault="00754F53" w:rsidP="00754F53">
            <w:pPr>
              <w:pStyle w:val="NormalWeb"/>
              <w:numPr>
                <w:ilvl w:val="0"/>
                <w:numId w:val="46"/>
              </w:numPr>
              <w:spacing w:before="100" w:beforeAutospacing="1" w:after="100" w:afterAutospacing="1"/>
              <w:rPr>
                <w:rFonts w:ascii="SymbolMT" w:hAnsi="SymbolMT"/>
                <w:sz w:val="22"/>
                <w:szCs w:val="22"/>
              </w:rPr>
            </w:pPr>
            <w:r>
              <w:rPr>
                <w:rFonts w:ascii="Calibri" w:hAnsi="Calibri" w:cs="Calibri"/>
                <w:sz w:val="22"/>
                <w:szCs w:val="22"/>
              </w:rPr>
              <w:t xml:space="preserve">Acceptable equivalent qualifications include 1 year of full time study at tertiary level, international qualifications assessed as equivalent to an Australian Year 12 or an approved tertiary preparation course. Home schooled students must present a portfolio of work for assessment. </w:t>
            </w:r>
          </w:p>
          <w:p w14:paraId="55CF5EF0" w14:textId="77777777" w:rsidR="0037749E" w:rsidRDefault="0037749E" w:rsidP="0037749E">
            <w:pPr>
              <w:pStyle w:val="NormalWeb"/>
              <w:rPr>
                <w:rFonts w:ascii="SymbolMT" w:hAnsi="SymbolMT"/>
                <w:sz w:val="22"/>
                <w:szCs w:val="22"/>
              </w:rPr>
            </w:pPr>
            <w:r>
              <w:rPr>
                <w:rFonts w:ascii="Calibri" w:hAnsi="Calibri" w:cs="Calibri"/>
                <w:b/>
                <w:bCs/>
                <w:sz w:val="22"/>
                <w:szCs w:val="22"/>
              </w:rPr>
              <w:lastRenderedPageBreak/>
              <w:t xml:space="preserve">University retention strategies </w:t>
            </w:r>
          </w:p>
          <w:p w14:paraId="0F7A045E" w14:textId="77777777" w:rsidR="0037749E" w:rsidRDefault="0037749E" w:rsidP="0037749E">
            <w:pPr>
              <w:pStyle w:val="NormalWeb"/>
              <w:rPr>
                <w:rFonts w:ascii="SymbolMT" w:hAnsi="SymbolMT"/>
                <w:sz w:val="22"/>
                <w:szCs w:val="22"/>
              </w:rPr>
            </w:pPr>
            <w:r>
              <w:rPr>
                <w:rFonts w:ascii="Calibri" w:hAnsi="Calibri" w:cs="Calibri"/>
                <w:sz w:val="22"/>
                <w:szCs w:val="22"/>
              </w:rPr>
              <w:t xml:space="preserve">The University has a devolved structure with support offered across multiple engagement points with students. We also encourage cross discipline study, both in our Flexible Double Degrees and within individual awards. Periodic reviews of services ensure that high quality support is available to students across all disciplines. </w:t>
            </w:r>
          </w:p>
          <w:p w14:paraId="57064232" w14:textId="77777777" w:rsidR="0037749E" w:rsidRDefault="0037749E" w:rsidP="0037749E">
            <w:pPr>
              <w:pStyle w:val="NormalWeb"/>
              <w:rPr>
                <w:rFonts w:ascii="SymbolMT" w:hAnsi="SymbolMT"/>
                <w:sz w:val="22"/>
                <w:szCs w:val="22"/>
              </w:rPr>
            </w:pPr>
            <w:r>
              <w:rPr>
                <w:rFonts w:ascii="Calibri" w:hAnsi="Calibri" w:cs="Calibri"/>
                <w:sz w:val="22"/>
                <w:szCs w:val="22"/>
              </w:rPr>
              <w:t xml:space="preserve">The University has delivered significant projects in the areas of mental health, wellbeing and the Inclusion, Diversity, Equity and Access framework (IDEA), which contribute to building a supportive student environment and experience, and in turn, the scaffolding for student retention. </w:t>
            </w:r>
          </w:p>
          <w:p w14:paraId="26264CE9" w14:textId="77777777" w:rsidR="0037749E" w:rsidRDefault="0037749E" w:rsidP="0037749E">
            <w:pPr>
              <w:pStyle w:val="NormalWeb"/>
              <w:numPr>
                <w:ilvl w:val="0"/>
                <w:numId w:val="47"/>
              </w:numPr>
              <w:spacing w:before="100" w:beforeAutospacing="1" w:after="100" w:afterAutospacing="1"/>
              <w:rPr>
                <w:rFonts w:ascii="SymbolMT" w:hAnsi="SymbolMT"/>
                <w:sz w:val="22"/>
                <w:szCs w:val="22"/>
              </w:rPr>
            </w:pPr>
            <w:r>
              <w:rPr>
                <w:rFonts w:ascii="Calibri" w:hAnsi="Calibri" w:cs="Calibri"/>
                <w:sz w:val="22"/>
                <w:szCs w:val="22"/>
              </w:rPr>
              <w:t xml:space="preserve">The ANU Student Retention Strategy for 2020-2021 includes building on our current strengths and activities: </w:t>
            </w:r>
          </w:p>
          <w:p w14:paraId="26614AD5" w14:textId="77777777" w:rsidR="0037749E" w:rsidRDefault="0037749E" w:rsidP="0037749E">
            <w:pPr>
              <w:pStyle w:val="NormalWeb"/>
              <w:numPr>
                <w:ilvl w:val="0"/>
                <w:numId w:val="47"/>
              </w:numPr>
              <w:spacing w:before="100" w:beforeAutospacing="1" w:after="100" w:afterAutospacing="1"/>
              <w:rPr>
                <w:rFonts w:ascii="SymbolMT" w:hAnsi="SymbolMT"/>
                <w:sz w:val="22"/>
                <w:szCs w:val="22"/>
              </w:rPr>
            </w:pPr>
            <w:r>
              <w:rPr>
                <w:rFonts w:ascii="Calibri" w:hAnsi="Calibri" w:cs="Calibri"/>
                <w:sz w:val="22"/>
                <w:szCs w:val="22"/>
              </w:rPr>
              <w:t xml:space="preserve">Implement consistent communication so students can identify support and academic services more easily including across disciplines. </w:t>
            </w:r>
          </w:p>
          <w:p w14:paraId="7D808C17" w14:textId="77777777" w:rsidR="0037749E" w:rsidRDefault="0037749E" w:rsidP="0037749E">
            <w:pPr>
              <w:pStyle w:val="NormalWeb"/>
              <w:numPr>
                <w:ilvl w:val="0"/>
                <w:numId w:val="47"/>
              </w:numPr>
              <w:spacing w:before="100" w:beforeAutospacing="1" w:after="100" w:afterAutospacing="1"/>
              <w:rPr>
                <w:rFonts w:ascii="SymbolMT" w:hAnsi="SymbolMT"/>
                <w:sz w:val="22"/>
                <w:szCs w:val="22"/>
              </w:rPr>
            </w:pPr>
            <w:r>
              <w:rPr>
                <w:rFonts w:ascii="Calibri" w:hAnsi="Calibri" w:cs="Calibri"/>
                <w:sz w:val="22"/>
                <w:szCs w:val="22"/>
              </w:rPr>
              <w:t xml:space="preserve">Review current “early intervention” processes and communication, including between semester communications. </w:t>
            </w:r>
          </w:p>
          <w:p w14:paraId="478B4FD5" w14:textId="77777777" w:rsidR="0037749E" w:rsidRDefault="0037749E" w:rsidP="0037749E">
            <w:pPr>
              <w:pStyle w:val="NormalWeb"/>
              <w:numPr>
                <w:ilvl w:val="0"/>
                <w:numId w:val="47"/>
              </w:numPr>
              <w:spacing w:before="100" w:beforeAutospacing="1" w:after="100" w:afterAutospacing="1"/>
              <w:rPr>
                <w:rFonts w:ascii="SymbolMT" w:hAnsi="SymbolMT"/>
                <w:sz w:val="22"/>
                <w:szCs w:val="22"/>
              </w:rPr>
            </w:pPr>
            <w:r>
              <w:rPr>
                <w:rFonts w:ascii="Calibri" w:hAnsi="Calibri" w:cs="Calibri"/>
                <w:sz w:val="22"/>
                <w:szCs w:val="22"/>
              </w:rPr>
              <w:t xml:space="preserve">Establish an ongoing group, with leadership from the Deputy Vice- Chancellor (University Experience), to communicate best practice and monitor and progress deliverables. </w:t>
            </w:r>
          </w:p>
          <w:p w14:paraId="4682736C" w14:textId="77777777" w:rsidR="0037749E" w:rsidRDefault="0037749E" w:rsidP="0037749E">
            <w:pPr>
              <w:pStyle w:val="NormalWeb"/>
              <w:numPr>
                <w:ilvl w:val="0"/>
                <w:numId w:val="47"/>
              </w:numPr>
              <w:spacing w:before="100" w:beforeAutospacing="1" w:after="100" w:afterAutospacing="1"/>
              <w:rPr>
                <w:rFonts w:ascii="SymbolMT" w:hAnsi="SymbolMT"/>
                <w:sz w:val="22"/>
                <w:szCs w:val="22"/>
              </w:rPr>
            </w:pPr>
            <w:r>
              <w:rPr>
                <w:rFonts w:ascii="Calibri" w:hAnsi="Calibri" w:cs="Calibri"/>
                <w:sz w:val="22"/>
                <w:szCs w:val="22"/>
              </w:rPr>
              <w:t xml:space="preserve">Develop systems and processes (including integration of extant systems) to better utilise analytics to identify individuals or cohorts at risk including exit interview procedures. </w:t>
            </w:r>
          </w:p>
          <w:p w14:paraId="1592D64C" w14:textId="77777777" w:rsidR="0037749E" w:rsidRDefault="0037749E" w:rsidP="0037749E">
            <w:pPr>
              <w:pStyle w:val="NormalWeb"/>
              <w:numPr>
                <w:ilvl w:val="0"/>
                <w:numId w:val="47"/>
              </w:numPr>
              <w:spacing w:before="100" w:beforeAutospacing="1" w:after="100" w:afterAutospacing="1"/>
              <w:rPr>
                <w:rFonts w:ascii="SymbolMT" w:hAnsi="SymbolMT"/>
                <w:sz w:val="22"/>
                <w:szCs w:val="22"/>
              </w:rPr>
            </w:pPr>
            <w:r>
              <w:rPr>
                <w:rFonts w:ascii="Calibri" w:hAnsi="Calibri" w:cs="Calibri"/>
                <w:sz w:val="22"/>
                <w:szCs w:val="22"/>
              </w:rPr>
              <w:t xml:space="preserve">Review transition activities and communications for new students. </w:t>
            </w:r>
          </w:p>
          <w:p w14:paraId="3D33CFD7" w14:textId="77777777" w:rsidR="0037749E" w:rsidRDefault="0037749E" w:rsidP="0037749E">
            <w:pPr>
              <w:pStyle w:val="NormalWeb"/>
              <w:rPr>
                <w:rFonts w:ascii="SymbolMT" w:hAnsi="SymbolMT"/>
                <w:sz w:val="22"/>
                <w:szCs w:val="22"/>
              </w:rPr>
            </w:pPr>
            <w:r>
              <w:rPr>
                <w:rFonts w:ascii="Calibri" w:hAnsi="Calibri" w:cs="Calibri"/>
                <w:b/>
                <w:bCs/>
                <w:sz w:val="22"/>
                <w:szCs w:val="22"/>
              </w:rPr>
              <w:t xml:space="preserve">Admissions reform strategies </w:t>
            </w:r>
          </w:p>
          <w:p w14:paraId="07B947B8" w14:textId="77777777" w:rsidR="0037749E" w:rsidRDefault="0037749E" w:rsidP="0037749E">
            <w:pPr>
              <w:pStyle w:val="NormalWeb"/>
              <w:rPr>
                <w:rFonts w:ascii="SymbolMT" w:hAnsi="SymbolMT"/>
                <w:sz w:val="22"/>
                <w:szCs w:val="22"/>
              </w:rPr>
            </w:pPr>
            <w:r>
              <w:rPr>
                <w:rFonts w:ascii="Calibri" w:hAnsi="Calibri" w:cs="Calibri"/>
                <w:sz w:val="22"/>
                <w:szCs w:val="22"/>
              </w:rPr>
              <w:t xml:space="preserve">ANU embarked on a fundamental change to the recruitment of Australian undergraduate students for the 2020 academic year. Termed ASA (admissions, scholarship and accommodation), the process makes mid-year provisional offers in three categories to: </w:t>
            </w:r>
          </w:p>
          <w:p w14:paraId="6A0124CC" w14:textId="77777777" w:rsidR="0037749E" w:rsidRDefault="0037749E" w:rsidP="0037749E">
            <w:pPr>
              <w:pStyle w:val="NormalWeb"/>
              <w:numPr>
                <w:ilvl w:val="0"/>
                <w:numId w:val="43"/>
              </w:numPr>
              <w:spacing w:before="100" w:beforeAutospacing="1" w:after="100" w:afterAutospacing="1"/>
              <w:rPr>
                <w:rFonts w:ascii="Calibri" w:hAnsi="Calibri" w:cs="Calibri"/>
                <w:sz w:val="22"/>
                <w:szCs w:val="22"/>
              </w:rPr>
            </w:pPr>
            <w:r>
              <w:rPr>
                <w:rFonts w:ascii="Calibri" w:hAnsi="Calibri" w:cs="Calibri"/>
                <w:sz w:val="22"/>
                <w:szCs w:val="22"/>
              </w:rPr>
              <w:t xml:space="preserve">The top 2% of students in any high school within Australia </w:t>
            </w:r>
          </w:p>
          <w:p w14:paraId="48EDA6D6" w14:textId="77777777" w:rsidR="0037749E" w:rsidRDefault="0037749E" w:rsidP="0037749E">
            <w:pPr>
              <w:pStyle w:val="NormalWeb"/>
              <w:numPr>
                <w:ilvl w:val="0"/>
                <w:numId w:val="43"/>
              </w:numPr>
              <w:spacing w:before="100" w:beforeAutospacing="1" w:after="100" w:afterAutospacing="1"/>
              <w:rPr>
                <w:rFonts w:ascii="Calibri" w:hAnsi="Calibri" w:cs="Calibri"/>
                <w:sz w:val="22"/>
                <w:szCs w:val="22"/>
              </w:rPr>
            </w:pPr>
            <w:r>
              <w:rPr>
                <w:rFonts w:ascii="Calibri" w:hAnsi="Calibri" w:cs="Calibri"/>
                <w:sz w:val="22"/>
                <w:szCs w:val="22"/>
              </w:rPr>
              <w:t xml:space="preserve">Targeted low SES, Indigenous and scholarship students </w:t>
            </w:r>
          </w:p>
          <w:p w14:paraId="60263BD4" w14:textId="77777777" w:rsidR="0037749E" w:rsidRDefault="0037749E" w:rsidP="0037749E">
            <w:pPr>
              <w:pStyle w:val="NormalWeb"/>
              <w:numPr>
                <w:ilvl w:val="0"/>
                <w:numId w:val="43"/>
              </w:numPr>
              <w:spacing w:before="100" w:beforeAutospacing="1" w:after="100" w:afterAutospacing="1"/>
              <w:rPr>
                <w:rFonts w:ascii="Calibri" w:hAnsi="Calibri" w:cs="Calibri"/>
                <w:sz w:val="22"/>
                <w:szCs w:val="22"/>
              </w:rPr>
            </w:pPr>
            <w:r>
              <w:rPr>
                <w:rFonts w:ascii="Calibri" w:hAnsi="Calibri" w:cs="Calibri"/>
                <w:sz w:val="22"/>
                <w:szCs w:val="22"/>
              </w:rPr>
              <w:t xml:space="preserve">Merit-based on predicted ATAR. </w:t>
            </w:r>
          </w:p>
          <w:p w14:paraId="35D216EC" w14:textId="3CAD816A" w:rsidR="0037749E" w:rsidRDefault="0037749E" w:rsidP="0037749E">
            <w:pPr>
              <w:pStyle w:val="NormalWeb"/>
              <w:rPr>
                <w:rFonts w:ascii="Calibri" w:hAnsi="Calibri" w:cs="Calibri"/>
                <w:sz w:val="22"/>
                <w:szCs w:val="22"/>
              </w:rPr>
            </w:pPr>
            <w:r>
              <w:rPr>
                <w:rFonts w:ascii="Calibri" w:hAnsi="Calibri" w:cs="Calibri"/>
                <w:sz w:val="22"/>
                <w:szCs w:val="22"/>
              </w:rPr>
              <w:t xml:space="preserve">All applicants are also assessed on co-curricular and community activities. Whist the offers are made mid-year, applicants made offers must convert their studies with an ATAR result that allows entry to the program of choice. The ASA process combines program admissions, scholarship and accommodation into a single application process, which allows students to be considered for the full range of available scholarships and accommodation options or which they may be eligible. </w:t>
            </w:r>
          </w:p>
          <w:p w14:paraId="674A8723" w14:textId="77777777" w:rsidR="0037749E" w:rsidRDefault="0037749E" w:rsidP="0037749E">
            <w:pPr>
              <w:pStyle w:val="NormalWeb"/>
              <w:rPr>
                <w:rFonts w:ascii="Calibri" w:hAnsi="Calibri" w:cs="Calibri"/>
                <w:sz w:val="22"/>
                <w:szCs w:val="22"/>
              </w:rPr>
            </w:pPr>
          </w:p>
          <w:p w14:paraId="57C62C95" w14:textId="77777777" w:rsidR="0037749E" w:rsidRPr="00696951" w:rsidRDefault="0037749E" w:rsidP="0037749E">
            <w:pPr>
              <w:pStyle w:val="NormalWeb"/>
              <w:rPr>
                <w:rFonts w:ascii="Calibri" w:hAnsi="Calibri" w:cs="Calibri"/>
                <w:sz w:val="22"/>
                <w:szCs w:val="22"/>
              </w:rPr>
            </w:pPr>
            <w:r>
              <w:rPr>
                <w:rFonts w:ascii="Calibri" w:hAnsi="Calibri" w:cs="Calibri"/>
                <w:sz w:val="22"/>
                <w:szCs w:val="22"/>
              </w:rPr>
              <w:t xml:space="preserve">ASA is aimed at broadening and diversifying the undergraduate domestic student population. We have also changed our application process for international undergraduate and postgraduate students. Applicants are now pooled and offers are made in competitive rounds, rather than continuously as is the case at other Australian universities. This method also allows for better control of diversity and area-of-study amongst our international students. </w:t>
            </w:r>
          </w:p>
          <w:p w14:paraId="68A92997" w14:textId="77777777" w:rsidR="0037749E" w:rsidRDefault="0037749E" w:rsidP="0037749E">
            <w:pPr>
              <w:pStyle w:val="NormalWeb"/>
              <w:rPr>
                <w:rFonts w:ascii="Calibri" w:hAnsi="Calibri" w:cs="Calibri"/>
                <w:b/>
                <w:bCs/>
                <w:sz w:val="22"/>
                <w:szCs w:val="22"/>
              </w:rPr>
            </w:pPr>
          </w:p>
          <w:p w14:paraId="6D8683B4" w14:textId="77777777" w:rsidR="00754F53" w:rsidRDefault="00754F53" w:rsidP="00754F53">
            <w:pPr>
              <w:pStyle w:val="NormalWeb"/>
            </w:pPr>
            <w:r>
              <w:rPr>
                <w:rFonts w:ascii="Arial" w:hAnsi="Arial" w:cs="Arial"/>
                <w:i/>
                <w:iCs/>
                <w:sz w:val="20"/>
                <w:szCs w:val="20"/>
              </w:rPr>
              <w:t xml:space="preserve">Supporting Documents: </w:t>
            </w:r>
          </w:p>
          <w:p w14:paraId="5C77879A" w14:textId="77777777" w:rsidR="00754F53" w:rsidRDefault="00754F53" w:rsidP="00754F53">
            <w:pPr>
              <w:pStyle w:val="NormalWeb"/>
              <w:numPr>
                <w:ilvl w:val="0"/>
                <w:numId w:val="44"/>
              </w:numPr>
              <w:spacing w:before="100" w:beforeAutospacing="1" w:after="100" w:afterAutospacing="1"/>
              <w:rPr>
                <w:rFonts w:ascii="SymbolMT" w:hAnsi="SymbolMT"/>
                <w:sz w:val="22"/>
                <w:szCs w:val="22"/>
              </w:rPr>
            </w:pPr>
            <w:r>
              <w:rPr>
                <w:rFonts w:ascii="Calibri" w:hAnsi="Calibri" w:cs="Calibri"/>
                <w:sz w:val="22"/>
                <w:szCs w:val="22"/>
              </w:rPr>
              <w:t xml:space="preserve">A Vision for Excellence in Learning and Teaching at The Australian National University - </w:t>
            </w:r>
            <w:r>
              <w:rPr>
                <w:rFonts w:ascii="Calibri" w:hAnsi="Calibri" w:cs="Calibri"/>
                <w:color w:val="0000FF"/>
              </w:rPr>
              <w:t xml:space="preserve">http://www.anu.edu.au/files/resource/Vision%20for%20Excellence%20in%20Teaching%20 an d%20Learning%20at%20ANU_August2018.pdf </w:t>
            </w:r>
          </w:p>
          <w:p w14:paraId="7099F87B" w14:textId="77777777" w:rsidR="00754F53" w:rsidRDefault="00754F53" w:rsidP="00754F53">
            <w:pPr>
              <w:pStyle w:val="NormalWeb"/>
              <w:numPr>
                <w:ilvl w:val="0"/>
                <w:numId w:val="44"/>
              </w:numPr>
              <w:spacing w:before="100" w:beforeAutospacing="1" w:after="100" w:afterAutospacing="1"/>
              <w:rPr>
                <w:rFonts w:ascii="SymbolMT" w:hAnsi="SymbolMT"/>
                <w:sz w:val="22"/>
                <w:szCs w:val="22"/>
              </w:rPr>
            </w:pPr>
            <w:r>
              <w:rPr>
                <w:rFonts w:ascii="Calibri" w:hAnsi="Calibri" w:cs="Calibri"/>
                <w:sz w:val="22"/>
                <w:szCs w:val="22"/>
              </w:rPr>
              <w:t xml:space="preserve">Academic Board - </w:t>
            </w:r>
            <w:r>
              <w:rPr>
                <w:rFonts w:ascii="Calibri" w:hAnsi="Calibri" w:cs="Calibri"/>
                <w:color w:val="0000FF"/>
              </w:rPr>
              <w:t xml:space="preserve">https://www.anu.edu.au/about/governance/committees/academic- board </w:t>
            </w:r>
          </w:p>
          <w:p w14:paraId="5DDE8935" w14:textId="77777777" w:rsidR="00754F53" w:rsidRDefault="00754F53" w:rsidP="00754F53">
            <w:pPr>
              <w:pStyle w:val="NormalWeb"/>
              <w:numPr>
                <w:ilvl w:val="0"/>
                <w:numId w:val="44"/>
              </w:numPr>
              <w:spacing w:before="100" w:beforeAutospacing="1" w:after="100" w:afterAutospacing="1"/>
              <w:rPr>
                <w:rFonts w:ascii="SymbolMT" w:hAnsi="SymbolMT"/>
                <w:sz w:val="22"/>
                <w:szCs w:val="22"/>
              </w:rPr>
            </w:pPr>
            <w:r>
              <w:rPr>
                <w:rFonts w:ascii="Calibri" w:hAnsi="Calibri" w:cs="Calibri"/>
                <w:sz w:val="22"/>
                <w:szCs w:val="22"/>
              </w:rPr>
              <w:t xml:space="preserve">Teaching and Learning Development Committee - </w:t>
            </w:r>
            <w:r>
              <w:rPr>
                <w:rFonts w:ascii="Calibri" w:hAnsi="Calibri" w:cs="Calibri"/>
                <w:color w:val="0000FF"/>
              </w:rPr>
              <w:t xml:space="preserve">https://www.anu.edu.au/about/governance/committees/teaching-and- learning-development-committee </w:t>
            </w:r>
          </w:p>
          <w:p w14:paraId="3D42A047" w14:textId="77777777" w:rsidR="00754F53" w:rsidRDefault="00754F53" w:rsidP="00754F53">
            <w:pPr>
              <w:pStyle w:val="NormalWeb"/>
              <w:numPr>
                <w:ilvl w:val="0"/>
                <w:numId w:val="44"/>
              </w:numPr>
              <w:spacing w:before="100" w:beforeAutospacing="1" w:after="100" w:afterAutospacing="1"/>
              <w:rPr>
                <w:rFonts w:ascii="SymbolMT" w:hAnsi="SymbolMT"/>
                <w:sz w:val="22"/>
                <w:szCs w:val="22"/>
              </w:rPr>
            </w:pPr>
            <w:r>
              <w:rPr>
                <w:rFonts w:ascii="Calibri" w:hAnsi="Calibri" w:cs="Calibri"/>
                <w:sz w:val="22"/>
                <w:szCs w:val="22"/>
              </w:rPr>
              <w:lastRenderedPageBreak/>
              <w:t xml:space="preserve">Academic Standards and Quality Committee - </w:t>
            </w:r>
            <w:r>
              <w:rPr>
                <w:rFonts w:ascii="Calibri" w:hAnsi="Calibri" w:cs="Calibri"/>
                <w:color w:val="0000FF"/>
              </w:rPr>
              <w:t>https://www.anu.edu.au/about/governance/committees/academic-quality- assurance-committee-</w:t>
            </w:r>
            <w:proofErr w:type="spellStart"/>
            <w:r>
              <w:rPr>
                <w:rFonts w:ascii="Calibri" w:hAnsi="Calibri" w:cs="Calibri"/>
                <w:color w:val="0000FF"/>
              </w:rPr>
              <w:t>aqac</w:t>
            </w:r>
            <w:proofErr w:type="spellEnd"/>
            <w:r>
              <w:rPr>
                <w:rFonts w:ascii="Calibri" w:hAnsi="Calibri" w:cs="Calibri"/>
                <w:color w:val="0000FF"/>
              </w:rPr>
              <w:t xml:space="preserve"> </w:t>
            </w:r>
          </w:p>
          <w:p w14:paraId="400B9E75" w14:textId="77777777" w:rsidR="00754F53" w:rsidRDefault="00754F53" w:rsidP="00754F53">
            <w:pPr>
              <w:pStyle w:val="NormalWeb"/>
              <w:numPr>
                <w:ilvl w:val="0"/>
                <w:numId w:val="44"/>
              </w:numPr>
              <w:spacing w:before="100" w:beforeAutospacing="1" w:after="100" w:afterAutospacing="1"/>
              <w:rPr>
                <w:rFonts w:ascii="SymbolMT" w:hAnsi="SymbolMT"/>
                <w:sz w:val="22"/>
                <w:szCs w:val="22"/>
              </w:rPr>
            </w:pPr>
            <w:r>
              <w:rPr>
                <w:rFonts w:ascii="Calibri" w:hAnsi="Calibri" w:cs="Calibri"/>
                <w:sz w:val="22"/>
                <w:szCs w:val="22"/>
              </w:rPr>
              <w:t>Interactive Learning Project (</w:t>
            </w:r>
            <w:proofErr w:type="spellStart"/>
            <w:r>
              <w:rPr>
                <w:rFonts w:ascii="Calibri" w:hAnsi="Calibri" w:cs="Calibri"/>
                <w:sz w:val="22"/>
                <w:szCs w:val="22"/>
              </w:rPr>
              <w:t>iLEAP</w:t>
            </w:r>
            <w:proofErr w:type="spellEnd"/>
            <w:r>
              <w:rPr>
                <w:rFonts w:ascii="Calibri" w:hAnsi="Calibri" w:cs="Calibri"/>
                <w:sz w:val="22"/>
                <w:szCs w:val="22"/>
              </w:rPr>
              <w:t xml:space="preserve">) - </w:t>
            </w:r>
            <w:r>
              <w:rPr>
                <w:rFonts w:ascii="Calibri" w:hAnsi="Calibri" w:cs="Calibri"/>
                <w:color w:val="0000FF"/>
              </w:rPr>
              <w:t xml:space="preserve">https://services.anu.edu.au/education-support/interactive-learning </w:t>
            </w:r>
          </w:p>
          <w:p w14:paraId="18CAC01B" w14:textId="77777777" w:rsidR="00754F53" w:rsidRDefault="00754F53" w:rsidP="00754F53">
            <w:pPr>
              <w:pStyle w:val="NormalWeb"/>
              <w:numPr>
                <w:ilvl w:val="0"/>
                <w:numId w:val="44"/>
              </w:numPr>
              <w:spacing w:before="100" w:beforeAutospacing="1" w:after="100" w:afterAutospacing="1"/>
              <w:rPr>
                <w:rFonts w:ascii="SymbolMT" w:hAnsi="SymbolMT"/>
                <w:sz w:val="22"/>
                <w:szCs w:val="22"/>
              </w:rPr>
            </w:pPr>
            <w:r>
              <w:rPr>
                <w:rFonts w:ascii="Calibri" w:hAnsi="Calibri" w:cs="Calibri"/>
                <w:sz w:val="22"/>
                <w:szCs w:val="22"/>
              </w:rPr>
              <w:t xml:space="preserve">Admissions policy - </w:t>
            </w:r>
            <w:r>
              <w:rPr>
                <w:rFonts w:ascii="Calibri" w:hAnsi="Calibri" w:cs="Calibri"/>
                <w:color w:val="0000FF"/>
              </w:rPr>
              <w:t xml:space="preserve">https://policies.anu.edu.au/ppl/document/ANUP_008805 </w:t>
            </w:r>
          </w:p>
          <w:p w14:paraId="353877DE" w14:textId="77777777" w:rsidR="00754F53" w:rsidRPr="00696951" w:rsidRDefault="00754F53" w:rsidP="00754F53">
            <w:pPr>
              <w:pStyle w:val="NormalWeb"/>
              <w:numPr>
                <w:ilvl w:val="0"/>
                <w:numId w:val="44"/>
              </w:numPr>
              <w:spacing w:before="100" w:beforeAutospacing="1" w:after="100" w:afterAutospacing="1"/>
              <w:rPr>
                <w:rFonts w:ascii="SymbolMT" w:hAnsi="SymbolMT"/>
                <w:sz w:val="22"/>
                <w:szCs w:val="22"/>
              </w:rPr>
            </w:pPr>
            <w:r>
              <w:rPr>
                <w:rFonts w:ascii="Calibri" w:hAnsi="Calibri" w:cs="Calibri"/>
                <w:sz w:val="22"/>
                <w:szCs w:val="22"/>
              </w:rPr>
              <w:t xml:space="preserve">Admissions procedures - </w:t>
            </w:r>
            <w:r>
              <w:rPr>
                <w:rFonts w:ascii="Calibri" w:hAnsi="Calibri" w:cs="Calibri"/>
                <w:color w:val="0000FF"/>
              </w:rPr>
              <w:t xml:space="preserve">https://policies.anu.edu.au/ppl/document/ANUP_007810 </w:t>
            </w:r>
          </w:p>
          <w:p w14:paraId="525B51FE" w14:textId="77777777" w:rsidR="00754F53" w:rsidRPr="0098471D" w:rsidRDefault="00754F53" w:rsidP="00754F53">
            <w:pPr>
              <w:pStyle w:val="NormalWeb"/>
              <w:numPr>
                <w:ilvl w:val="0"/>
                <w:numId w:val="44"/>
              </w:numPr>
              <w:spacing w:before="100" w:beforeAutospacing="1" w:after="100" w:afterAutospacing="1"/>
              <w:rPr>
                <w:rFonts w:asciiTheme="minorHAnsi" w:hAnsiTheme="minorHAnsi" w:cstheme="minorHAnsi"/>
              </w:rPr>
            </w:pPr>
            <w:r w:rsidRPr="0098471D">
              <w:rPr>
                <w:rFonts w:asciiTheme="minorHAnsi" w:hAnsiTheme="minorHAnsi" w:cstheme="minorHAnsi"/>
                <w:sz w:val="22"/>
                <w:szCs w:val="22"/>
              </w:rPr>
              <w:t>Wellbeing and remote education surveys -</w:t>
            </w:r>
            <w:r w:rsidRPr="0098471D">
              <w:rPr>
                <w:rFonts w:asciiTheme="minorHAnsi" w:hAnsiTheme="minorHAnsi" w:cstheme="minorHAnsi"/>
              </w:rPr>
              <w:t xml:space="preserve"> </w:t>
            </w:r>
            <w:hyperlink r:id="rId13" w:history="1">
              <w:r w:rsidRPr="0098471D">
                <w:rPr>
                  <w:rStyle w:val="Hyperlink"/>
                  <w:rFonts w:asciiTheme="minorHAnsi" w:hAnsiTheme="minorHAnsi" w:cstheme="minorHAnsi"/>
                  <w:color w:val="0070C0"/>
                  <w:u w:val="none"/>
                </w:rPr>
                <w:t>https://services.anu.edu.au/education-support/education-data/wellbeing-and-remote-education-surveys</w:t>
              </w:r>
            </w:hyperlink>
            <w:r w:rsidRPr="0098471D">
              <w:rPr>
                <w:rFonts w:asciiTheme="minorHAnsi" w:hAnsiTheme="minorHAnsi" w:cstheme="minorHAnsi"/>
                <w:color w:val="0070C0"/>
              </w:rPr>
              <w:t xml:space="preserve"> </w:t>
            </w:r>
          </w:p>
          <w:p w14:paraId="1B854962" w14:textId="3062F1C3" w:rsidR="00351760" w:rsidRPr="00C476F5" w:rsidRDefault="00C407EC" w:rsidP="00754F53">
            <w:pPr>
              <w:pStyle w:val="NormalIndent"/>
              <w:spacing w:before="0"/>
              <w:ind w:left="0"/>
              <w:rPr>
                <w:color w:val="FF0000"/>
              </w:rPr>
            </w:pPr>
            <w:r>
              <w:t xml:space="preserve"> </w:t>
            </w:r>
          </w:p>
        </w:tc>
      </w:tr>
      <w:tr w:rsidR="00276BFB" w14:paraId="6DFE9D7C" w14:textId="77777777" w:rsidTr="0079679B">
        <w:tc>
          <w:tcPr>
            <w:tcW w:w="5000" w:type="pct"/>
            <w:shd w:val="clear" w:color="auto" w:fill="DBE5F1" w:themeFill="accent1" w:themeFillTint="33"/>
          </w:tcPr>
          <w:p w14:paraId="7FCCC716" w14:textId="77777777" w:rsidR="00276BFB" w:rsidRPr="00B64D21" w:rsidRDefault="00276BFB" w:rsidP="009408BE">
            <w:pPr>
              <w:pStyle w:val="Heading4"/>
              <w:spacing w:before="120" w:after="120"/>
            </w:pPr>
            <w:r>
              <w:lastRenderedPageBreak/>
              <w:t>ReSEARCH AND RESEARCH TRAINING AND INNOVATION</w:t>
            </w:r>
          </w:p>
        </w:tc>
      </w:tr>
      <w:tr w:rsidR="00276BFB" w14:paraId="4DBBDEF7" w14:textId="77777777" w:rsidTr="0079679B">
        <w:trPr>
          <w:trHeight w:val="1033"/>
        </w:trPr>
        <w:tc>
          <w:tcPr>
            <w:tcW w:w="5000" w:type="pct"/>
          </w:tcPr>
          <w:p w14:paraId="195144B0" w14:textId="77777777" w:rsidR="00754F53" w:rsidRDefault="00754F53" w:rsidP="00754F53">
            <w:pPr>
              <w:pStyle w:val="Default"/>
              <w:rPr>
                <w:sz w:val="22"/>
                <w:szCs w:val="22"/>
              </w:rPr>
            </w:pPr>
            <w:r>
              <w:rPr>
                <w:rFonts w:ascii="Calibri" w:hAnsi="Calibri" w:cs="Calibri"/>
                <w:sz w:val="22"/>
                <w:szCs w:val="22"/>
              </w:rPr>
              <w:t xml:space="preserve">ANU is committed to excellence in research, research training and innovation. During the period of the Compact, we are: </w:t>
            </w:r>
          </w:p>
          <w:p w14:paraId="5DC4D127" w14:textId="6779AEEA" w:rsidR="00754F53" w:rsidRDefault="00754F53" w:rsidP="00754F53">
            <w:pPr>
              <w:pStyle w:val="Default"/>
              <w:numPr>
                <w:ilvl w:val="0"/>
                <w:numId w:val="49"/>
              </w:numPr>
              <w:rPr>
                <w:sz w:val="22"/>
                <w:szCs w:val="22"/>
              </w:rPr>
            </w:pPr>
            <w:r>
              <w:rPr>
                <w:rFonts w:ascii="Calibri" w:hAnsi="Calibri" w:cs="Calibri"/>
                <w:sz w:val="22"/>
                <w:szCs w:val="22"/>
              </w:rPr>
              <w:t xml:space="preserve">Investing in large-scale, transformative and collaborative research through the ANU Grand Challenges program, partner engagements with CSIRO, and translational research and development with an industry outlook, including the newly established ANU-Optus Bushfire Research Partnership. </w:t>
            </w:r>
          </w:p>
          <w:p w14:paraId="6298AE5E" w14:textId="02F47407" w:rsidR="00754F53" w:rsidRDefault="00754F53" w:rsidP="00754F53">
            <w:pPr>
              <w:pStyle w:val="Default"/>
              <w:numPr>
                <w:ilvl w:val="0"/>
                <w:numId w:val="49"/>
              </w:numPr>
              <w:rPr>
                <w:sz w:val="22"/>
                <w:szCs w:val="22"/>
              </w:rPr>
            </w:pPr>
            <w:r>
              <w:rPr>
                <w:rFonts w:ascii="Calibri" w:hAnsi="Calibri" w:cs="Calibri"/>
                <w:sz w:val="22"/>
                <w:szCs w:val="22"/>
              </w:rPr>
              <w:t xml:space="preserve">Investing in our unique national obligations to Indigenous Australia (through support of the Indigenous Health and Wellbeing Grand Challenge), the Asia-Pacific region, and contributions to public policy; </w:t>
            </w:r>
          </w:p>
          <w:p w14:paraId="166626E4" w14:textId="7713D99A" w:rsidR="00754F53" w:rsidRDefault="00754F53" w:rsidP="00754F53">
            <w:pPr>
              <w:pStyle w:val="Default"/>
              <w:numPr>
                <w:ilvl w:val="0"/>
                <w:numId w:val="49"/>
              </w:numPr>
              <w:rPr>
                <w:sz w:val="22"/>
                <w:szCs w:val="22"/>
              </w:rPr>
            </w:pPr>
            <w:r>
              <w:rPr>
                <w:rFonts w:ascii="Calibri" w:hAnsi="Calibri" w:cs="Calibri"/>
                <w:sz w:val="22"/>
                <w:szCs w:val="22"/>
              </w:rPr>
              <w:t xml:space="preserve">Investing in world-class research infrastructure and facilities, including support for national facilities including the National Computational Infrastructure hosted at ANU, Microscopy Australia ANU node, Australian National Fabrication Facility ACT node and others; </w:t>
            </w:r>
          </w:p>
          <w:p w14:paraId="67EEAB07" w14:textId="4F8FEE76" w:rsidR="00754F53" w:rsidRDefault="00754F53" w:rsidP="00754F53">
            <w:pPr>
              <w:pStyle w:val="Default"/>
              <w:numPr>
                <w:ilvl w:val="0"/>
                <w:numId w:val="49"/>
              </w:numPr>
              <w:rPr>
                <w:sz w:val="22"/>
                <w:szCs w:val="22"/>
              </w:rPr>
            </w:pPr>
            <w:r>
              <w:rPr>
                <w:rFonts w:ascii="Calibri" w:hAnsi="Calibri" w:cs="Calibri"/>
                <w:sz w:val="22"/>
                <w:szCs w:val="22"/>
              </w:rPr>
              <w:t xml:space="preserve">Improving national phenomics capability with investment from Government and industry that will transform precision medicine in Australia; </w:t>
            </w:r>
          </w:p>
          <w:p w14:paraId="4A242035" w14:textId="5FBC1170" w:rsidR="00754F53" w:rsidRDefault="00754F53" w:rsidP="00754F53">
            <w:pPr>
              <w:pStyle w:val="Default"/>
              <w:numPr>
                <w:ilvl w:val="0"/>
                <w:numId w:val="49"/>
              </w:numPr>
              <w:rPr>
                <w:sz w:val="22"/>
                <w:szCs w:val="22"/>
              </w:rPr>
            </w:pPr>
            <w:r>
              <w:rPr>
                <w:rFonts w:ascii="Calibri" w:hAnsi="Calibri" w:cs="Calibri"/>
                <w:sz w:val="22"/>
                <w:szCs w:val="22"/>
              </w:rPr>
              <w:t xml:space="preserve">Implementing the strategy of the White Paper on the Future of the ANU PhD, which will deliver a distinctive ANU doctoral experience and deliver PhD graduates ready for careers in all industries and sectors; </w:t>
            </w:r>
          </w:p>
          <w:p w14:paraId="66F463F9" w14:textId="4CF5D718" w:rsidR="00754F53" w:rsidRDefault="00754F53" w:rsidP="00754F53">
            <w:pPr>
              <w:pStyle w:val="Default"/>
              <w:numPr>
                <w:ilvl w:val="0"/>
                <w:numId w:val="49"/>
              </w:numPr>
              <w:rPr>
                <w:sz w:val="22"/>
                <w:szCs w:val="22"/>
              </w:rPr>
            </w:pPr>
            <w:r>
              <w:rPr>
                <w:rFonts w:ascii="Calibri" w:hAnsi="Calibri" w:cs="Calibri"/>
                <w:sz w:val="22"/>
                <w:szCs w:val="22"/>
              </w:rPr>
              <w:t xml:space="preserve">Leading on open research through our policies and procedures, and with mechanisms including ANU Press (Australia’s first open access university press), and ANU Open Research and Archive and Library Collections (over 150,000 items available); and </w:t>
            </w:r>
          </w:p>
          <w:p w14:paraId="48AC35AD" w14:textId="312F3C6E" w:rsidR="00754F53" w:rsidRPr="0037749E" w:rsidRDefault="00754F53" w:rsidP="00754F53">
            <w:pPr>
              <w:pStyle w:val="Default"/>
              <w:numPr>
                <w:ilvl w:val="0"/>
                <w:numId w:val="49"/>
              </w:numPr>
              <w:rPr>
                <w:sz w:val="22"/>
                <w:szCs w:val="22"/>
              </w:rPr>
            </w:pPr>
            <w:r>
              <w:rPr>
                <w:rFonts w:ascii="Calibri" w:hAnsi="Calibri" w:cs="Calibri"/>
                <w:sz w:val="22"/>
                <w:szCs w:val="22"/>
              </w:rPr>
              <w:t xml:space="preserve">Hosting the Australian Data Archive, which holds over 6,000 datasets in the social sciences for managed access by the research sector. </w:t>
            </w:r>
          </w:p>
          <w:p w14:paraId="7C2E2551" w14:textId="115AA112" w:rsidR="0037749E" w:rsidRPr="0037749E" w:rsidRDefault="0037749E" w:rsidP="0037749E">
            <w:pPr>
              <w:pStyle w:val="NormalWeb"/>
              <w:rPr>
                <w:rFonts w:ascii="Arial" w:hAnsi="Arial" w:cs="Arial"/>
                <w:i/>
                <w:iCs/>
                <w:sz w:val="20"/>
                <w:szCs w:val="20"/>
              </w:rPr>
            </w:pPr>
          </w:p>
          <w:p w14:paraId="5CE1E0C4" w14:textId="2D2A6CB1" w:rsidR="0037749E" w:rsidRPr="0037749E" w:rsidRDefault="0037749E" w:rsidP="0037749E">
            <w:pPr>
              <w:pStyle w:val="NormalWeb"/>
              <w:rPr>
                <w:rFonts w:ascii="Arial" w:hAnsi="Arial" w:cs="Arial"/>
                <w:i/>
                <w:iCs/>
                <w:sz w:val="20"/>
                <w:szCs w:val="20"/>
              </w:rPr>
            </w:pPr>
            <w:r w:rsidRPr="0037749E">
              <w:rPr>
                <w:rFonts w:ascii="Arial" w:hAnsi="Arial" w:cs="Arial"/>
                <w:i/>
                <w:iCs/>
                <w:sz w:val="20"/>
                <w:szCs w:val="20"/>
              </w:rPr>
              <w:t>Supporting Documents:</w:t>
            </w:r>
          </w:p>
          <w:p w14:paraId="4F989F83" w14:textId="50A06AC4" w:rsidR="0037749E" w:rsidRPr="0037749E" w:rsidRDefault="0037749E" w:rsidP="0037749E">
            <w:pPr>
              <w:pStyle w:val="Default"/>
              <w:numPr>
                <w:ilvl w:val="0"/>
                <w:numId w:val="49"/>
              </w:numPr>
              <w:rPr>
                <w:i/>
                <w:iCs/>
                <w:sz w:val="20"/>
                <w:szCs w:val="20"/>
              </w:rPr>
            </w:pPr>
            <w:r w:rsidRPr="0037749E">
              <w:rPr>
                <w:rFonts w:ascii="Calibri" w:hAnsi="Calibri" w:cs="Calibri"/>
                <w:sz w:val="22"/>
                <w:szCs w:val="22"/>
              </w:rPr>
              <w:t>Strategic Initiatives – http://www.anu.edu.au/strategic-initiatives</w:t>
            </w:r>
          </w:p>
          <w:p w14:paraId="701AC31B" w14:textId="62CEFDDC" w:rsidR="008B034E" w:rsidRPr="009408BE" w:rsidRDefault="008B034E" w:rsidP="00754F53">
            <w:pPr>
              <w:pStyle w:val="NormalIndent"/>
              <w:spacing w:before="0" w:after="0" w:line="240" w:lineRule="auto"/>
              <w:ind w:left="714"/>
              <w:rPr>
                <w:color w:val="FF0000"/>
              </w:rPr>
            </w:pPr>
          </w:p>
        </w:tc>
      </w:tr>
      <w:tr w:rsidR="00276BFB" w14:paraId="40588B01" w14:textId="77777777" w:rsidTr="0079679B">
        <w:trPr>
          <w:trHeight w:val="552"/>
        </w:trPr>
        <w:tc>
          <w:tcPr>
            <w:tcW w:w="5000" w:type="pct"/>
            <w:shd w:val="clear" w:color="auto" w:fill="DBE5F1" w:themeFill="accent1" w:themeFillTint="33"/>
          </w:tcPr>
          <w:p w14:paraId="3B6582D2" w14:textId="77777777" w:rsidR="00276BFB" w:rsidRDefault="00276BFB" w:rsidP="009408BE">
            <w:pPr>
              <w:pStyle w:val="Heading4"/>
              <w:spacing w:before="120" w:after="120"/>
              <w:rPr>
                <w:i/>
                <w:color w:val="FF0000"/>
              </w:rPr>
            </w:pPr>
            <w:r w:rsidRPr="00911F13">
              <w:t>Equity</w:t>
            </w:r>
          </w:p>
        </w:tc>
      </w:tr>
      <w:tr w:rsidR="00276BFB" w14:paraId="523EA0A3" w14:textId="77777777" w:rsidTr="0079679B">
        <w:trPr>
          <w:trHeight w:val="416"/>
        </w:trPr>
        <w:tc>
          <w:tcPr>
            <w:tcW w:w="5000" w:type="pct"/>
          </w:tcPr>
          <w:p w14:paraId="21D64E88" w14:textId="35785162" w:rsidR="00810F3B" w:rsidRPr="009408BE" w:rsidRDefault="00810F3B" w:rsidP="00810F3B">
            <w:pPr>
              <w:rPr>
                <w:rFonts w:ascii="Calibri" w:hAnsi="Calibri" w:cs="Calibri"/>
                <w:color w:val="000000" w:themeColor="text1"/>
                <w:sz w:val="22"/>
                <w:szCs w:val="22"/>
                <w:lang w:val="en-AU"/>
              </w:rPr>
            </w:pPr>
            <w:r w:rsidRPr="009408BE">
              <w:rPr>
                <w:rFonts w:ascii="Calibri" w:hAnsi="Calibri" w:cs="Calibri"/>
                <w:color w:val="000000" w:themeColor="text1"/>
                <w:sz w:val="22"/>
                <w:szCs w:val="22"/>
                <w:lang w:val="en-AU"/>
              </w:rPr>
              <w:t xml:space="preserve">ANU is committed to achieving equity within </w:t>
            </w:r>
            <w:r w:rsidR="009408BE">
              <w:rPr>
                <w:rFonts w:ascii="Calibri" w:hAnsi="Calibri" w:cs="Calibri"/>
                <w:color w:val="000000" w:themeColor="text1"/>
                <w:sz w:val="22"/>
                <w:szCs w:val="22"/>
                <w:lang w:val="en-AU"/>
              </w:rPr>
              <w:t>the University</w:t>
            </w:r>
            <w:r w:rsidRPr="009408BE">
              <w:rPr>
                <w:rFonts w:ascii="Calibri" w:hAnsi="Calibri" w:cs="Calibri"/>
                <w:color w:val="000000" w:themeColor="text1"/>
                <w:sz w:val="22"/>
                <w:szCs w:val="22"/>
                <w:lang w:val="en-AU"/>
              </w:rPr>
              <w:t xml:space="preserve"> and working toward this objective for Australian Society. In 2020 our objectives for equity include:</w:t>
            </w:r>
          </w:p>
          <w:p w14:paraId="358F7453" w14:textId="77777777" w:rsidR="00810F3B" w:rsidRPr="009408BE" w:rsidRDefault="00810F3B" w:rsidP="00810F3B">
            <w:pPr>
              <w:pStyle w:val="ListParagraph"/>
              <w:numPr>
                <w:ilvl w:val="0"/>
                <w:numId w:val="30"/>
              </w:numPr>
              <w:rPr>
                <w:rFonts w:ascii="Calibri" w:hAnsi="Calibri" w:cs="Calibri"/>
                <w:color w:val="000000" w:themeColor="text1"/>
                <w:sz w:val="22"/>
                <w:szCs w:val="22"/>
                <w:lang w:val="en-AU"/>
              </w:rPr>
            </w:pPr>
            <w:r w:rsidRPr="009408BE">
              <w:rPr>
                <w:rFonts w:ascii="Calibri" w:hAnsi="Calibri" w:cs="Calibri"/>
                <w:color w:val="000000" w:themeColor="text1"/>
                <w:sz w:val="22"/>
                <w:szCs w:val="22"/>
                <w:lang w:val="en-AU"/>
              </w:rPr>
              <w:t>Consolidation of the ANU IDEA (Inclusion, Diversity, Equity and Access) Governance Framework to provide support and accountability across ANU IDEA initiatives, ensuring we are able to deliver on providing “a healthy and respectful working, learning and living environment for the whole-of-university community”;</w:t>
            </w:r>
            <w:r w:rsidRPr="009408BE">
              <w:rPr>
                <w:rFonts w:ascii="Calibri" w:hAnsi="Calibri" w:cs="Calibri"/>
                <w:sz w:val="22"/>
                <w:szCs w:val="22"/>
              </w:rPr>
              <w:t xml:space="preserve"> </w:t>
            </w:r>
          </w:p>
          <w:p w14:paraId="5B6E617A" w14:textId="32B86979" w:rsidR="00810F3B" w:rsidRPr="009408BE" w:rsidRDefault="00810F3B" w:rsidP="00810F3B">
            <w:pPr>
              <w:pStyle w:val="ListParagraph"/>
              <w:numPr>
                <w:ilvl w:val="0"/>
                <w:numId w:val="30"/>
              </w:numPr>
              <w:rPr>
                <w:rFonts w:ascii="Calibri" w:hAnsi="Calibri" w:cs="Calibri"/>
                <w:sz w:val="22"/>
                <w:szCs w:val="22"/>
              </w:rPr>
            </w:pPr>
            <w:r w:rsidRPr="009408BE">
              <w:rPr>
                <w:rFonts w:ascii="Calibri" w:hAnsi="Calibri" w:cs="Calibri"/>
                <w:sz w:val="22"/>
                <w:szCs w:val="22"/>
              </w:rPr>
              <w:t xml:space="preserve">Implementation of the ANU 2020 – 2021 Innovate Reconciliation Action Plan (RAP) as part of our commitment to Indigenous Australia delivering on </w:t>
            </w:r>
            <w:r w:rsidR="007F110B">
              <w:rPr>
                <w:rFonts w:ascii="Calibri" w:hAnsi="Calibri" w:cs="Calibri"/>
                <w:sz w:val="22"/>
                <w:szCs w:val="22"/>
              </w:rPr>
              <w:t>the University’s commitment to</w:t>
            </w:r>
            <w:r w:rsidRPr="009408BE">
              <w:rPr>
                <w:rFonts w:ascii="Calibri" w:hAnsi="Calibri" w:cs="Calibri"/>
                <w:sz w:val="22"/>
                <w:szCs w:val="22"/>
              </w:rPr>
              <w:t xml:space="preserve"> improving Indigenous outcomes across education, research and community engagement; </w:t>
            </w:r>
          </w:p>
          <w:p w14:paraId="02EA931D" w14:textId="77777777" w:rsidR="0037749E" w:rsidRDefault="0037749E" w:rsidP="0037749E">
            <w:pPr>
              <w:pStyle w:val="ListParagraph"/>
              <w:rPr>
                <w:rFonts w:ascii="Calibri" w:hAnsi="Calibri" w:cs="Calibri"/>
                <w:sz w:val="22"/>
                <w:szCs w:val="22"/>
              </w:rPr>
            </w:pPr>
          </w:p>
          <w:p w14:paraId="349E708B" w14:textId="01CBCFAB" w:rsidR="00810F3B" w:rsidRPr="009408BE" w:rsidRDefault="00810F3B" w:rsidP="00810F3B">
            <w:pPr>
              <w:pStyle w:val="ListParagraph"/>
              <w:numPr>
                <w:ilvl w:val="0"/>
                <w:numId w:val="30"/>
              </w:numPr>
              <w:rPr>
                <w:rFonts w:ascii="Calibri" w:hAnsi="Calibri" w:cs="Calibri"/>
                <w:sz w:val="22"/>
                <w:szCs w:val="22"/>
              </w:rPr>
            </w:pPr>
            <w:r w:rsidRPr="009408BE">
              <w:rPr>
                <w:rFonts w:ascii="Calibri" w:hAnsi="Calibri" w:cs="Calibri"/>
                <w:sz w:val="22"/>
                <w:szCs w:val="22"/>
              </w:rPr>
              <w:lastRenderedPageBreak/>
              <w:t>Building on the SAGE Athena SWAN Bronze Institutional award</w:t>
            </w:r>
            <w:r w:rsidR="00C476F5">
              <w:rPr>
                <w:rFonts w:ascii="Calibri" w:hAnsi="Calibri" w:cs="Calibri"/>
                <w:sz w:val="22"/>
                <w:szCs w:val="22"/>
              </w:rPr>
              <w:t>,</w:t>
            </w:r>
            <w:r w:rsidRPr="009408BE">
              <w:rPr>
                <w:rFonts w:ascii="Calibri" w:hAnsi="Calibri" w:cs="Calibri"/>
                <w:sz w:val="22"/>
                <w:szCs w:val="22"/>
              </w:rPr>
              <w:t xml:space="preserve"> ANU is committed to the implementation of whole-of-university gender equity initiatives</w:t>
            </w:r>
            <w:r w:rsidR="00C476F5">
              <w:rPr>
                <w:rFonts w:ascii="Calibri" w:hAnsi="Calibri" w:cs="Calibri"/>
                <w:sz w:val="22"/>
                <w:szCs w:val="22"/>
              </w:rPr>
              <w:t xml:space="preserve"> and further application for the Silver award</w:t>
            </w:r>
            <w:r w:rsidRPr="009408BE">
              <w:rPr>
                <w:rFonts w:ascii="Calibri" w:hAnsi="Calibri" w:cs="Calibri"/>
                <w:sz w:val="22"/>
                <w:szCs w:val="22"/>
              </w:rPr>
              <w:t>;</w:t>
            </w:r>
          </w:p>
          <w:p w14:paraId="3D505B90" w14:textId="77777777" w:rsidR="00810F3B" w:rsidRPr="009408BE" w:rsidRDefault="00810F3B" w:rsidP="00810F3B">
            <w:pPr>
              <w:pStyle w:val="ListParagraph"/>
              <w:numPr>
                <w:ilvl w:val="0"/>
                <w:numId w:val="30"/>
              </w:numPr>
              <w:rPr>
                <w:rFonts w:ascii="Calibri" w:hAnsi="Calibri" w:cs="Calibri"/>
                <w:sz w:val="22"/>
                <w:szCs w:val="22"/>
              </w:rPr>
            </w:pPr>
            <w:r w:rsidRPr="009408BE">
              <w:rPr>
                <w:rFonts w:ascii="Calibri" w:hAnsi="Calibri" w:cs="Calibri"/>
                <w:sz w:val="22"/>
                <w:szCs w:val="22"/>
              </w:rPr>
              <w:t>Enhancing the student experience as part of the Healthy University Strategy, promoting wellbeing and respectful relationships in providing inclusive and accessible student services and initiatives;</w:t>
            </w:r>
          </w:p>
          <w:p w14:paraId="4ED57FB3" w14:textId="77777777" w:rsidR="00810F3B" w:rsidRPr="009408BE" w:rsidRDefault="00810F3B" w:rsidP="00810F3B">
            <w:pPr>
              <w:pStyle w:val="ListParagraph"/>
              <w:numPr>
                <w:ilvl w:val="0"/>
                <w:numId w:val="30"/>
              </w:numPr>
              <w:rPr>
                <w:rFonts w:ascii="Calibri" w:hAnsi="Calibri" w:cs="Calibri"/>
                <w:sz w:val="22"/>
                <w:szCs w:val="22"/>
              </w:rPr>
            </w:pPr>
            <w:r w:rsidRPr="009408BE">
              <w:rPr>
                <w:rFonts w:ascii="Calibri" w:hAnsi="Calibri" w:cs="Calibri"/>
                <w:sz w:val="22"/>
                <w:szCs w:val="22"/>
              </w:rPr>
              <w:t>Implementation of the Disability Action Plan to ensure equity in access, participation and success for people living with disability in our student cohorts and our workforce as well as providing an accessible, welcoming environment for our many visitors;</w:t>
            </w:r>
          </w:p>
          <w:p w14:paraId="6F90CE71" w14:textId="77777777" w:rsidR="00810F3B" w:rsidRPr="009408BE" w:rsidRDefault="00810F3B" w:rsidP="00810F3B">
            <w:pPr>
              <w:pStyle w:val="ListParagraph"/>
              <w:numPr>
                <w:ilvl w:val="0"/>
                <w:numId w:val="30"/>
              </w:numPr>
              <w:rPr>
                <w:rFonts w:ascii="Calibri" w:hAnsi="Calibri" w:cs="Calibri"/>
                <w:sz w:val="22"/>
                <w:szCs w:val="22"/>
              </w:rPr>
            </w:pPr>
            <w:r w:rsidRPr="009408BE">
              <w:rPr>
                <w:rFonts w:ascii="Calibri" w:hAnsi="Calibri" w:cs="Calibri"/>
                <w:sz w:val="22"/>
                <w:szCs w:val="22"/>
                <w:lang w:val="en-AU"/>
              </w:rPr>
              <w:t xml:space="preserve">Creating a Family Friendly campus, providing easily accessible support and information to make it easy to balance work and life; </w:t>
            </w:r>
          </w:p>
          <w:p w14:paraId="26170247" w14:textId="11644CEA" w:rsidR="00C476F5" w:rsidRDefault="00C476F5" w:rsidP="00810F3B">
            <w:pPr>
              <w:pStyle w:val="ListParagraph"/>
              <w:numPr>
                <w:ilvl w:val="0"/>
                <w:numId w:val="30"/>
              </w:numPr>
              <w:rPr>
                <w:rFonts w:ascii="Calibri" w:hAnsi="Calibri" w:cs="Calibri"/>
                <w:sz w:val="22"/>
                <w:szCs w:val="22"/>
              </w:rPr>
            </w:pPr>
            <w:r>
              <w:rPr>
                <w:rFonts w:ascii="Calibri" w:hAnsi="Calibri" w:cs="Calibri"/>
                <w:sz w:val="22"/>
                <w:szCs w:val="22"/>
              </w:rPr>
              <w:t>The second</w:t>
            </w:r>
            <w:r w:rsidR="00C9667D">
              <w:rPr>
                <w:rFonts w:ascii="Calibri" w:hAnsi="Calibri" w:cs="Calibri"/>
                <w:sz w:val="22"/>
                <w:szCs w:val="22"/>
              </w:rPr>
              <w:t>-</w:t>
            </w:r>
            <w:r>
              <w:rPr>
                <w:rFonts w:ascii="Calibri" w:hAnsi="Calibri" w:cs="Calibri"/>
                <w:sz w:val="22"/>
                <w:szCs w:val="22"/>
              </w:rPr>
              <w:t>year rollout of the new</w:t>
            </w:r>
            <w:r w:rsidR="00810F3B" w:rsidRPr="009408BE">
              <w:rPr>
                <w:rFonts w:ascii="Calibri" w:hAnsi="Calibri" w:cs="Calibri"/>
                <w:sz w:val="22"/>
                <w:szCs w:val="22"/>
              </w:rPr>
              <w:t xml:space="preserve"> Admissions, Scholarship</w:t>
            </w:r>
            <w:r w:rsidR="00C9667D">
              <w:rPr>
                <w:rFonts w:ascii="Calibri" w:hAnsi="Calibri" w:cs="Calibri"/>
                <w:sz w:val="22"/>
                <w:szCs w:val="22"/>
              </w:rPr>
              <w:t>s</w:t>
            </w:r>
            <w:r w:rsidR="00810F3B" w:rsidRPr="009408BE">
              <w:rPr>
                <w:rFonts w:ascii="Calibri" w:hAnsi="Calibri" w:cs="Calibri"/>
                <w:sz w:val="22"/>
                <w:szCs w:val="22"/>
              </w:rPr>
              <w:t xml:space="preserve"> and Accommodation (ASA) project to support a more diverse range of prospective students</w:t>
            </w:r>
            <w:r w:rsidR="00C9667D">
              <w:rPr>
                <w:rFonts w:ascii="Calibri" w:hAnsi="Calibri" w:cs="Calibri"/>
                <w:sz w:val="22"/>
                <w:szCs w:val="22"/>
              </w:rPr>
              <w:t xml:space="preserve"> gaining admission</w:t>
            </w:r>
            <w:r w:rsidR="00810F3B" w:rsidRPr="009408BE">
              <w:rPr>
                <w:rFonts w:ascii="Calibri" w:hAnsi="Calibri" w:cs="Calibri"/>
                <w:sz w:val="22"/>
                <w:szCs w:val="22"/>
              </w:rPr>
              <w:t xml:space="preserve"> to ANU</w:t>
            </w:r>
            <w:r>
              <w:rPr>
                <w:rFonts w:ascii="Calibri" w:hAnsi="Calibri" w:cs="Calibri"/>
                <w:sz w:val="22"/>
                <w:szCs w:val="22"/>
              </w:rPr>
              <w:t>.</w:t>
            </w:r>
          </w:p>
          <w:p w14:paraId="085C3115" w14:textId="77777777" w:rsidR="00C476F5" w:rsidRDefault="00C476F5" w:rsidP="009408BE">
            <w:pPr>
              <w:rPr>
                <w:rFonts w:ascii="Calibri" w:hAnsi="Calibri" w:cs="Calibri"/>
                <w:sz w:val="22"/>
                <w:szCs w:val="22"/>
              </w:rPr>
            </w:pPr>
          </w:p>
          <w:p w14:paraId="214CABC8" w14:textId="4FE77A7C" w:rsidR="00810F3B" w:rsidRPr="00C476F5" w:rsidRDefault="00C476F5" w:rsidP="009408BE">
            <w:pPr>
              <w:rPr>
                <w:rFonts w:ascii="Calibri" w:hAnsi="Calibri" w:cs="Calibri"/>
                <w:i/>
                <w:sz w:val="22"/>
                <w:szCs w:val="22"/>
              </w:rPr>
            </w:pPr>
            <w:r w:rsidRPr="009408BE">
              <w:rPr>
                <w:rFonts w:ascii="Calibri" w:hAnsi="Calibri" w:cs="Calibri"/>
                <w:i/>
                <w:sz w:val="22"/>
                <w:szCs w:val="22"/>
              </w:rPr>
              <w:t>Supporting Documents:</w:t>
            </w:r>
          </w:p>
          <w:p w14:paraId="645CC4CD" w14:textId="77777777" w:rsidR="009D047E" w:rsidRPr="009D047E" w:rsidRDefault="00C476F5" w:rsidP="009D047E">
            <w:pPr>
              <w:pStyle w:val="ListParagraph"/>
              <w:numPr>
                <w:ilvl w:val="0"/>
                <w:numId w:val="38"/>
              </w:numPr>
              <w:spacing w:after="120" w:line="260" w:lineRule="atLeast"/>
              <w:ind w:left="714" w:hanging="357"/>
              <w:rPr>
                <w:rFonts w:asciiTheme="minorHAnsi" w:hAnsiTheme="minorHAnsi" w:cstheme="minorHAnsi"/>
                <w:color w:val="FF0000"/>
                <w:sz w:val="22"/>
                <w:szCs w:val="22"/>
              </w:rPr>
            </w:pPr>
            <w:r w:rsidRPr="00C476F5">
              <w:rPr>
                <w:rFonts w:asciiTheme="minorHAnsi" w:hAnsiTheme="minorHAnsi" w:cstheme="minorHAnsi"/>
                <w:sz w:val="22"/>
                <w:szCs w:val="22"/>
              </w:rPr>
              <w:t xml:space="preserve">ANU IDEA Oversight Committee </w:t>
            </w:r>
            <w:r>
              <w:rPr>
                <w:rFonts w:asciiTheme="minorHAnsi" w:hAnsiTheme="minorHAnsi" w:cstheme="minorHAnsi"/>
                <w:sz w:val="22"/>
                <w:szCs w:val="22"/>
              </w:rPr>
              <w:t xml:space="preserve">- </w:t>
            </w:r>
            <w:hyperlink r:id="rId14" w:history="1">
              <w:r w:rsidRPr="00944DF0">
                <w:rPr>
                  <w:rStyle w:val="Hyperlink"/>
                  <w:rFonts w:asciiTheme="minorHAnsi" w:hAnsiTheme="minorHAnsi" w:cstheme="minorHAnsi"/>
                  <w:sz w:val="22"/>
                  <w:szCs w:val="22"/>
                </w:rPr>
                <w:t>https://www.anu.edu.au/about/governance/committees/anu-idea-oversight-committee</w:t>
              </w:r>
            </w:hyperlink>
          </w:p>
          <w:p w14:paraId="14A1E015" w14:textId="088B5587" w:rsidR="009D047E" w:rsidRPr="009D047E" w:rsidRDefault="009D047E" w:rsidP="009D047E">
            <w:pPr>
              <w:pStyle w:val="ListParagraph"/>
              <w:numPr>
                <w:ilvl w:val="0"/>
                <w:numId w:val="38"/>
              </w:numPr>
              <w:spacing w:after="120" w:line="260" w:lineRule="atLeast"/>
              <w:ind w:left="714" w:hanging="357"/>
              <w:rPr>
                <w:rFonts w:asciiTheme="minorHAnsi" w:hAnsiTheme="minorHAnsi" w:cstheme="minorHAnsi"/>
                <w:color w:val="FF0000"/>
                <w:sz w:val="22"/>
                <w:szCs w:val="22"/>
              </w:rPr>
            </w:pPr>
            <w:r w:rsidRPr="009D047E">
              <w:rPr>
                <w:rFonts w:asciiTheme="minorHAnsi" w:hAnsiTheme="minorHAnsi" w:cstheme="minorHAnsi"/>
                <w:sz w:val="22"/>
                <w:szCs w:val="22"/>
              </w:rPr>
              <w:t xml:space="preserve">Domestic applications – undergraduate- </w:t>
            </w:r>
          </w:p>
          <w:p w14:paraId="6B9F1D94" w14:textId="15BF78F1" w:rsidR="00C476F5" w:rsidRPr="009408BE" w:rsidRDefault="009D047E" w:rsidP="009D047E">
            <w:pPr>
              <w:pStyle w:val="ListParagraph"/>
              <w:spacing w:after="120" w:line="260" w:lineRule="atLeast"/>
              <w:ind w:left="360"/>
              <w:rPr>
                <w:rFonts w:asciiTheme="minorHAnsi" w:hAnsiTheme="minorHAnsi" w:cstheme="minorHAnsi"/>
                <w:color w:val="FF0000"/>
                <w:sz w:val="22"/>
                <w:szCs w:val="22"/>
              </w:rPr>
            </w:pPr>
            <w:r>
              <w:rPr>
                <w:rFonts w:asciiTheme="minorHAnsi" w:hAnsiTheme="minorHAnsi" w:cstheme="minorHAnsi"/>
                <w:color w:val="FF0000"/>
                <w:sz w:val="22"/>
                <w:szCs w:val="22"/>
              </w:rPr>
              <w:t xml:space="preserve">        </w:t>
            </w:r>
            <w:hyperlink r:id="rId15" w:history="1">
              <w:r w:rsidRPr="009D047E">
                <w:rPr>
                  <w:rStyle w:val="Hyperlink"/>
                  <w:rFonts w:asciiTheme="minorHAnsi" w:hAnsiTheme="minorHAnsi" w:cstheme="minorHAnsi"/>
                  <w:sz w:val="22"/>
                  <w:szCs w:val="22"/>
                </w:rPr>
                <w:t>https://www.anu.edu.au/study/apply/domestic-applications-anu undergraduate</w:t>
              </w:r>
            </w:hyperlink>
          </w:p>
        </w:tc>
      </w:tr>
      <w:tr w:rsidR="00276BFB" w14:paraId="333AEA0C" w14:textId="77777777" w:rsidTr="0079679B">
        <w:trPr>
          <w:trHeight w:val="416"/>
        </w:trPr>
        <w:tc>
          <w:tcPr>
            <w:tcW w:w="5000" w:type="pct"/>
            <w:shd w:val="clear" w:color="auto" w:fill="DBE5F1" w:themeFill="accent1" w:themeFillTint="33"/>
          </w:tcPr>
          <w:p w14:paraId="47A58061" w14:textId="77777777" w:rsidR="00276BFB" w:rsidRDefault="00276BFB" w:rsidP="009408BE">
            <w:pPr>
              <w:pStyle w:val="Heading4"/>
              <w:spacing w:before="120" w:after="120"/>
              <w:rPr>
                <w:i/>
                <w:color w:val="FF0000"/>
              </w:rPr>
            </w:pPr>
            <w:r>
              <w:lastRenderedPageBreak/>
              <w:t>LABOUR MARKET OUTCOMES</w:t>
            </w:r>
          </w:p>
        </w:tc>
      </w:tr>
      <w:tr w:rsidR="00276BFB" w14:paraId="49CB7AA2" w14:textId="77777777" w:rsidTr="0079679B">
        <w:trPr>
          <w:trHeight w:val="416"/>
        </w:trPr>
        <w:tc>
          <w:tcPr>
            <w:tcW w:w="5000" w:type="pct"/>
          </w:tcPr>
          <w:p w14:paraId="0AF649DC" w14:textId="683A66B1" w:rsidR="00810F3B" w:rsidRDefault="00810F3B" w:rsidP="00810F3B">
            <w:pPr>
              <w:pStyle w:val="NormalIndent"/>
              <w:spacing w:before="0" w:after="0"/>
              <w:ind w:left="0"/>
              <w:rPr>
                <w:szCs w:val="20"/>
                <w:lang w:eastAsia="en-GB"/>
              </w:rPr>
            </w:pPr>
            <w:r>
              <w:t>The University uses the government’s Labour Market Information Portal to identify priorities and oppor</w:t>
            </w:r>
            <w:r w:rsidR="004D5A48">
              <w:t xml:space="preserve">tunities in the labour market. </w:t>
            </w:r>
            <w:r>
              <w:t xml:space="preserve">We work to address these through a number of key strategies summarised below.  </w:t>
            </w:r>
          </w:p>
          <w:p w14:paraId="257C308D" w14:textId="77777777" w:rsidR="00810F3B" w:rsidRDefault="00810F3B" w:rsidP="00810F3B">
            <w:pPr>
              <w:pStyle w:val="NormalIndent"/>
              <w:spacing w:before="0" w:after="0"/>
              <w:ind w:left="0"/>
            </w:pPr>
          </w:p>
          <w:p w14:paraId="285F4A78" w14:textId="053142EF" w:rsidR="00810F3B" w:rsidRDefault="00810F3B" w:rsidP="00810F3B">
            <w:pPr>
              <w:pStyle w:val="NormalIndent"/>
              <w:spacing w:before="0" w:after="0"/>
              <w:ind w:left="0"/>
            </w:pPr>
            <w:r>
              <w:t>We work to close the male/female labour force gap by establishing sector leading policies and practices to eliminate gender bias and develop an inclusive culture that values all staff, students and campus visitors. This was recently recognised by SAGE in awarding ANU with the Athena SWAN bronze award</w:t>
            </w:r>
            <w:r w:rsidR="00A4661F">
              <w:t>.</w:t>
            </w:r>
            <w:r>
              <w:t xml:space="preserve"> </w:t>
            </w:r>
          </w:p>
          <w:p w14:paraId="6AB8AEBD" w14:textId="77777777" w:rsidR="00810F3B" w:rsidRDefault="00810F3B" w:rsidP="00810F3B">
            <w:pPr>
              <w:pStyle w:val="NormalIndent"/>
              <w:spacing w:before="0" w:after="0"/>
              <w:ind w:left="0"/>
            </w:pPr>
          </w:p>
          <w:p w14:paraId="4A147DFF" w14:textId="7A55CEC2" w:rsidR="00810F3B" w:rsidRDefault="00810F3B" w:rsidP="00810F3B">
            <w:pPr>
              <w:pStyle w:val="NormalIndent"/>
              <w:spacing w:before="0" w:after="0"/>
              <w:ind w:left="0"/>
            </w:pPr>
            <w:r>
              <w:t xml:space="preserve">We are growing regional access to higher education through targeted recruitment activities in rural/remote areas across the country, including </w:t>
            </w:r>
            <w:r w:rsidR="00C9667D">
              <w:t xml:space="preserve">the </w:t>
            </w:r>
            <w:r>
              <w:t xml:space="preserve">Northern Territory, Tasmania and South Australia. The new admissions model introduced by ANU in 2019 focuses on equity and diversity in attraction and </w:t>
            </w:r>
            <w:r w:rsidRPr="00BD7BAC">
              <w:t>selection in order to ensure that ANU has wide representation from across Australia, of students with the skills and capacity to succeed regardless of their background. As part of this</w:t>
            </w:r>
            <w:r w:rsidR="00C476F5">
              <w:t>,</w:t>
            </w:r>
            <w:r w:rsidRPr="00BD7BAC">
              <w:t xml:space="preserve"> ANU is proud to have offered Access scholarships to 134 recipients in 2020, thr</w:t>
            </w:r>
            <w:r w:rsidR="00C300F9">
              <w:t xml:space="preserve">ough our new admissions model. </w:t>
            </w:r>
            <w:r w:rsidRPr="00BD7BAC">
              <w:t xml:space="preserve"> The new model makes applying for a scholarship easy, and since we are receiving more information about the student holistically, allows us to assess students for multiple scholarships they may not have been aware of. Improving access to rural and regional students benefits the whole community and ANU is committed to increasing the number of scholarships available. The scholarships awarded for students commencing in 2020 represents an increase of $400 000 compared to available funding in 2019 and work continues to increase philanthropic donations to support rural and regional and disadvantaged students among others.</w:t>
            </w:r>
          </w:p>
          <w:p w14:paraId="0F328AB6" w14:textId="77777777" w:rsidR="00810F3B" w:rsidRDefault="00810F3B" w:rsidP="00810F3B">
            <w:pPr>
              <w:pStyle w:val="NormalIndent"/>
              <w:spacing w:before="0" w:after="0"/>
              <w:ind w:left="0"/>
            </w:pPr>
          </w:p>
          <w:p w14:paraId="21003140" w14:textId="290D5BBB" w:rsidR="00810F3B" w:rsidRDefault="00810F3B" w:rsidP="00810F3B">
            <w:pPr>
              <w:pStyle w:val="NormalIndent"/>
              <w:spacing w:before="0" w:after="0"/>
              <w:ind w:left="0"/>
            </w:pPr>
            <w:r>
              <w:t xml:space="preserve">We prepare students for new markets and forms of work by ensuring we address employability and graduate attribute skill gaps. We take the labour market into account in developing course offerings through </w:t>
            </w:r>
            <w:r w:rsidR="007F110B">
              <w:t>our regular School and program</w:t>
            </w:r>
            <w:r>
              <w:t xml:space="preserve"> review processes. We consider the top growth areas in the job market and what our students will need to ensure they are well placed to engage with the future job market </w:t>
            </w:r>
            <w:r w:rsidR="007F110B">
              <w:t>when they finish their program</w:t>
            </w:r>
            <w:r>
              <w:t xml:space="preserve"> of study. For example, the anticipated employment growth in Health Care and Social Assistance, Construction and Professional/Scientific &amp; Technical Services, and the evolving graduate skills required to engage in those future industries, are a key feature of our current strategic reviews of the College of </w:t>
            </w:r>
            <w:r w:rsidR="00C9667D">
              <w:t>Health and Medicine</w:t>
            </w:r>
            <w:r>
              <w:t xml:space="preserve"> and the College of Engineering and Computer Sciences. We have also established new institutes in cyber security, climate change and </w:t>
            </w:r>
            <w:r>
              <w:lastRenderedPageBreak/>
              <w:t>space to engage staff with students, industry and government on these key themes</w:t>
            </w:r>
            <w:r w:rsidR="007B4347">
              <w:t xml:space="preserve"> and encourage translation of outcomes and impact</w:t>
            </w:r>
            <w:r>
              <w:t xml:space="preserve">. We are enhancing our curriculum to ensure that our students are best placed to meet the future needs of the labour market and expect student numbers to grow in these areas. While ANU is </w:t>
            </w:r>
            <w:r w:rsidR="007F110B">
              <w:t xml:space="preserve">maintaining the </w:t>
            </w:r>
            <w:r>
              <w:t xml:space="preserve">student numbers at the current levels overall, it will keep the balance of students under regular review to ensure that places are available where needed.  </w:t>
            </w:r>
          </w:p>
          <w:p w14:paraId="1F6E2285" w14:textId="77777777" w:rsidR="00810F3B" w:rsidRDefault="00810F3B" w:rsidP="00810F3B">
            <w:pPr>
              <w:pStyle w:val="NormalIndent"/>
              <w:spacing w:before="0" w:after="0"/>
              <w:ind w:left="0"/>
            </w:pPr>
          </w:p>
          <w:p w14:paraId="7CDE0C82" w14:textId="54F5D070" w:rsidR="00C476F5" w:rsidRDefault="00810F3B" w:rsidP="00810F3B">
            <w:pPr>
              <w:pStyle w:val="NormalIndent"/>
              <w:spacing w:before="0" w:after="0"/>
              <w:ind w:left="0"/>
            </w:pPr>
            <w:r>
              <w:t xml:space="preserve">We have just completed an external review of our Careers function and are working through the implementation plan following the recommendations from the report. Key features include: </w:t>
            </w:r>
          </w:p>
          <w:p w14:paraId="41A2E431" w14:textId="77777777" w:rsidR="00C476F5" w:rsidRDefault="00810F3B" w:rsidP="009408BE">
            <w:pPr>
              <w:pStyle w:val="NormalIndent"/>
              <w:numPr>
                <w:ilvl w:val="0"/>
                <w:numId w:val="39"/>
              </w:numPr>
              <w:spacing w:before="0" w:after="0"/>
            </w:pPr>
            <w:r>
              <w:t xml:space="preserve">clarity in communicating offerings of the Career services; </w:t>
            </w:r>
          </w:p>
          <w:p w14:paraId="107685D2" w14:textId="754A446E" w:rsidR="00C476F5" w:rsidRDefault="00810F3B" w:rsidP="009408BE">
            <w:pPr>
              <w:pStyle w:val="NormalIndent"/>
              <w:numPr>
                <w:ilvl w:val="0"/>
                <w:numId w:val="39"/>
              </w:numPr>
              <w:spacing w:before="0" w:after="0"/>
            </w:pPr>
            <w:r>
              <w:t>separating the Career services from other Student Experience functions to allow greater focus and more specialised personnel</w:t>
            </w:r>
            <w:r w:rsidR="00C476F5">
              <w:t xml:space="preserve">, </w:t>
            </w:r>
            <w:r>
              <w:t xml:space="preserve">and </w:t>
            </w:r>
          </w:p>
          <w:p w14:paraId="5F2EF99E" w14:textId="7DD9BFCF" w:rsidR="00810F3B" w:rsidRDefault="00810F3B" w:rsidP="009408BE">
            <w:pPr>
              <w:pStyle w:val="NormalIndent"/>
              <w:numPr>
                <w:ilvl w:val="0"/>
                <w:numId w:val="39"/>
              </w:numPr>
              <w:spacing w:before="0" w:after="0"/>
            </w:pPr>
            <w:r>
              <w:t xml:space="preserve">improve the visibility of industry engagement and placement programs. </w:t>
            </w:r>
          </w:p>
          <w:p w14:paraId="2B99E3F8" w14:textId="7BA52E83" w:rsidR="00810F3B" w:rsidRPr="00810F3B" w:rsidRDefault="00810F3B" w:rsidP="009408BE">
            <w:pPr>
              <w:pStyle w:val="NormalIndent"/>
              <w:spacing w:before="0" w:after="0"/>
              <w:ind w:left="0"/>
              <w:rPr>
                <w:color w:val="FF0000"/>
              </w:rPr>
            </w:pPr>
          </w:p>
        </w:tc>
      </w:tr>
      <w:tr w:rsidR="00276BFB" w14:paraId="2A91DDF7" w14:textId="77777777" w:rsidTr="0079679B">
        <w:trPr>
          <w:trHeight w:val="416"/>
        </w:trPr>
        <w:tc>
          <w:tcPr>
            <w:tcW w:w="5000" w:type="pct"/>
            <w:shd w:val="clear" w:color="auto" w:fill="DBE5F1" w:themeFill="accent1" w:themeFillTint="33"/>
          </w:tcPr>
          <w:p w14:paraId="1E2C7504" w14:textId="53C902B6" w:rsidR="00276BFB" w:rsidRPr="00634AE6" w:rsidRDefault="00276BFB" w:rsidP="009408BE">
            <w:pPr>
              <w:pStyle w:val="Heading4"/>
              <w:spacing w:before="120" w:after="120"/>
              <w:rPr>
                <w:color w:val="FF0000"/>
              </w:rPr>
            </w:pPr>
            <w:r w:rsidRPr="00634AE6">
              <w:lastRenderedPageBreak/>
              <w:t>security measures</w:t>
            </w:r>
          </w:p>
        </w:tc>
      </w:tr>
      <w:tr w:rsidR="00276BFB" w14:paraId="4D0C1FA0" w14:textId="77777777" w:rsidTr="0079679B">
        <w:trPr>
          <w:trHeight w:val="416"/>
        </w:trPr>
        <w:tc>
          <w:tcPr>
            <w:tcW w:w="5000" w:type="pct"/>
            <w:tcBorders>
              <w:bottom w:val="single" w:sz="4" w:space="0" w:color="auto"/>
            </w:tcBorders>
          </w:tcPr>
          <w:p w14:paraId="01D5E165" w14:textId="71B8DB5F" w:rsidR="0037147F" w:rsidRPr="0037147F" w:rsidRDefault="0037147F" w:rsidP="0037147F">
            <w:pPr>
              <w:pStyle w:val="NormalWeb"/>
              <w:shd w:val="clear" w:color="auto" w:fill="FFFFFF"/>
              <w:rPr>
                <w:rFonts w:asciiTheme="minorHAnsi" w:hAnsiTheme="minorHAnsi" w:cstheme="minorHAnsi"/>
                <w:color w:val="000000"/>
                <w:sz w:val="22"/>
                <w:szCs w:val="20"/>
              </w:rPr>
            </w:pPr>
            <w:r w:rsidRPr="0037147F">
              <w:rPr>
                <w:rFonts w:asciiTheme="minorHAnsi" w:hAnsiTheme="minorHAnsi" w:cstheme="minorHAnsi"/>
                <w:color w:val="000000"/>
                <w:sz w:val="22"/>
                <w:szCs w:val="20"/>
                <w:lang w:val="en-US"/>
              </w:rPr>
              <w:t xml:space="preserve">Since the May 2018 </w:t>
            </w:r>
            <w:r w:rsidR="00583643" w:rsidRPr="0037147F">
              <w:rPr>
                <w:rFonts w:asciiTheme="minorHAnsi" w:hAnsiTheme="minorHAnsi" w:cstheme="minorHAnsi"/>
                <w:color w:val="000000"/>
                <w:sz w:val="22"/>
                <w:szCs w:val="20"/>
                <w:lang w:val="en-US"/>
              </w:rPr>
              <w:t>cyber-attack</w:t>
            </w:r>
            <w:r w:rsidRPr="0037147F">
              <w:rPr>
                <w:rFonts w:asciiTheme="minorHAnsi" w:hAnsiTheme="minorHAnsi" w:cstheme="minorHAnsi"/>
                <w:color w:val="000000"/>
                <w:sz w:val="22"/>
                <w:szCs w:val="20"/>
                <w:lang w:val="en-US"/>
              </w:rPr>
              <w:t xml:space="preserve"> on </w:t>
            </w:r>
            <w:r w:rsidR="00583643">
              <w:rPr>
                <w:rFonts w:asciiTheme="minorHAnsi" w:hAnsiTheme="minorHAnsi" w:cstheme="minorHAnsi"/>
                <w:color w:val="000000"/>
                <w:sz w:val="22"/>
                <w:szCs w:val="20"/>
                <w:lang w:val="en-US"/>
              </w:rPr>
              <w:t>the ANU</w:t>
            </w:r>
            <w:r w:rsidRPr="0037147F">
              <w:rPr>
                <w:rFonts w:asciiTheme="minorHAnsi" w:hAnsiTheme="minorHAnsi" w:cstheme="minorHAnsi"/>
                <w:color w:val="000000"/>
                <w:sz w:val="22"/>
                <w:szCs w:val="20"/>
                <w:lang w:val="en-US"/>
              </w:rPr>
              <w:t xml:space="preserve"> network, the University has been investing in a range of technical safeguards in</w:t>
            </w:r>
            <w:r w:rsidR="00583643">
              <w:rPr>
                <w:rFonts w:asciiTheme="minorHAnsi" w:hAnsiTheme="minorHAnsi" w:cstheme="minorHAnsi"/>
                <w:color w:val="000000"/>
                <w:sz w:val="22"/>
                <w:szCs w:val="20"/>
                <w:lang w:val="en-US"/>
              </w:rPr>
              <w:t xml:space="preserve"> </w:t>
            </w:r>
            <w:r w:rsidRPr="0037147F">
              <w:rPr>
                <w:rFonts w:asciiTheme="minorHAnsi" w:hAnsiTheme="minorHAnsi" w:cstheme="minorHAnsi"/>
                <w:color w:val="000000"/>
                <w:sz w:val="22"/>
                <w:szCs w:val="20"/>
                <w:lang w:val="en-US"/>
              </w:rPr>
              <w:t xml:space="preserve">line with the recommendations of the Australian Cybersecurity Centre (ACSC); as well as the appointment of a Chief Information Security Officer in October 2018. This program will finish in December 2019 and will be succeeded by </w:t>
            </w:r>
            <w:r w:rsidR="00A4661F">
              <w:rPr>
                <w:rFonts w:asciiTheme="minorHAnsi" w:hAnsiTheme="minorHAnsi" w:cstheme="minorHAnsi"/>
                <w:color w:val="000000"/>
                <w:sz w:val="22"/>
                <w:szCs w:val="20"/>
                <w:lang w:val="en-US"/>
              </w:rPr>
              <w:t>the University’s</w:t>
            </w:r>
            <w:r w:rsidRPr="0037147F">
              <w:rPr>
                <w:rFonts w:asciiTheme="minorHAnsi" w:hAnsiTheme="minorHAnsi" w:cstheme="minorHAnsi"/>
                <w:color w:val="000000"/>
                <w:sz w:val="22"/>
                <w:szCs w:val="20"/>
                <w:lang w:val="en-US"/>
              </w:rPr>
              <w:t xml:space="preserve"> Strategic Information Security Program (SISP). </w:t>
            </w:r>
          </w:p>
          <w:p w14:paraId="0534A2AE" w14:textId="77777777" w:rsidR="0037147F" w:rsidRPr="0037147F" w:rsidRDefault="0037147F" w:rsidP="0037147F">
            <w:pPr>
              <w:pStyle w:val="NormalWeb"/>
              <w:shd w:val="clear" w:color="auto" w:fill="FFFFFF"/>
              <w:rPr>
                <w:rFonts w:asciiTheme="minorHAnsi" w:hAnsiTheme="minorHAnsi" w:cstheme="minorHAnsi"/>
                <w:color w:val="000000"/>
                <w:sz w:val="22"/>
                <w:szCs w:val="20"/>
              </w:rPr>
            </w:pPr>
            <w:r w:rsidRPr="0037147F">
              <w:rPr>
                <w:rFonts w:asciiTheme="minorHAnsi" w:hAnsiTheme="minorHAnsi" w:cstheme="minorHAnsi"/>
                <w:color w:val="000000"/>
                <w:sz w:val="22"/>
                <w:szCs w:val="20"/>
                <w:lang w:val="en-US"/>
              </w:rPr>
              <w:t> </w:t>
            </w:r>
          </w:p>
          <w:p w14:paraId="4F51AF86" w14:textId="1271062C" w:rsidR="0037147F" w:rsidRPr="0037147F" w:rsidRDefault="0037147F" w:rsidP="0037147F">
            <w:pPr>
              <w:pStyle w:val="NormalWeb"/>
              <w:shd w:val="clear" w:color="auto" w:fill="FFFFFF"/>
              <w:rPr>
                <w:rFonts w:asciiTheme="minorHAnsi" w:hAnsiTheme="minorHAnsi" w:cstheme="minorHAnsi"/>
                <w:color w:val="000000"/>
                <w:sz w:val="22"/>
                <w:szCs w:val="20"/>
              </w:rPr>
            </w:pPr>
            <w:r w:rsidRPr="0037147F">
              <w:rPr>
                <w:rFonts w:asciiTheme="minorHAnsi" w:hAnsiTheme="minorHAnsi" w:cstheme="minorHAnsi"/>
                <w:color w:val="000000"/>
                <w:sz w:val="22"/>
                <w:szCs w:val="20"/>
                <w:lang w:val="en-US"/>
              </w:rPr>
              <w:t>Under the SISP the University will invest in strengthening the security culture of staff, students and researchers as well as redevelop its core networking infrastructure in line with zero trust principles. The SISP strategy draws on A</w:t>
            </w:r>
            <w:r w:rsidR="007F110B">
              <w:rPr>
                <w:rFonts w:asciiTheme="minorHAnsi" w:hAnsiTheme="minorHAnsi" w:cstheme="minorHAnsi"/>
                <w:color w:val="000000"/>
                <w:sz w:val="22"/>
                <w:szCs w:val="20"/>
                <w:lang w:val="en-US"/>
              </w:rPr>
              <w:t xml:space="preserve">ustralian </w:t>
            </w:r>
            <w:r w:rsidRPr="0037147F">
              <w:rPr>
                <w:rFonts w:asciiTheme="minorHAnsi" w:hAnsiTheme="minorHAnsi" w:cstheme="minorHAnsi"/>
                <w:color w:val="000000"/>
                <w:sz w:val="22"/>
                <w:szCs w:val="20"/>
                <w:lang w:val="en-US"/>
              </w:rPr>
              <w:t>S</w:t>
            </w:r>
            <w:r w:rsidR="007F110B">
              <w:rPr>
                <w:rFonts w:asciiTheme="minorHAnsi" w:hAnsiTheme="minorHAnsi" w:cstheme="minorHAnsi"/>
                <w:color w:val="000000"/>
                <w:sz w:val="22"/>
                <w:szCs w:val="20"/>
                <w:lang w:val="en-US"/>
              </w:rPr>
              <w:t xml:space="preserve">ignals </w:t>
            </w:r>
            <w:r w:rsidRPr="0037147F">
              <w:rPr>
                <w:rFonts w:asciiTheme="minorHAnsi" w:hAnsiTheme="minorHAnsi" w:cstheme="minorHAnsi"/>
                <w:color w:val="000000"/>
                <w:sz w:val="22"/>
                <w:szCs w:val="20"/>
                <w:lang w:val="en-US"/>
              </w:rPr>
              <w:t>D</w:t>
            </w:r>
            <w:r w:rsidR="007F110B">
              <w:rPr>
                <w:rFonts w:asciiTheme="minorHAnsi" w:hAnsiTheme="minorHAnsi" w:cstheme="minorHAnsi"/>
                <w:color w:val="000000"/>
                <w:sz w:val="22"/>
                <w:szCs w:val="20"/>
                <w:lang w:val="en-US"/>
              </w:rPr>
              <w:t>irectorate</w:t>
            </w:r>
            <w:r w:rsidR="006B3796">
              <w:rPr>
                <w:rFonts w:asciiTheme="minorHAnsi" w:hAnsiTheme="minorHAnsi" w:cstheme="minorHAnsi"/>
                <w:color w:val="000000"/>
                <w:sz w:val="22"/>
                <w:szCs w:val="20"/>
                <w:lang w:val="en-US"/>
              </w:rPr>
              <w:t>’s (ASD)</w:t>
            </w:r>
            <w:r w:rsidRPr="0037147F">
              <w:rPr>
                <w:rFonts w:asciiTheme="minorHAnsi" w:hAnsiTheme="minorHAnsi" w:cstheme="minorHAnsi"/>
                <w:color w:val="000000"/>
                <w:sz w:val="22"/>
                <w:szCs w:val="20"/>
                <w:lang w:val="en-US"/>
              </w:rPr>
              <w:t xml:space="preserve"> </w:t>
            </w:r>
            <w:r w:rsidRPr="0037147F">
              <w:rPr>
                <w:rFonts w:asciiTheme="minorHAnsi" w:hAnsiTheme="minorHAnsi" w:cstheme="minorHAnsi"/>
                <w:i/>
                <w:iCs/>
                <w:color w:val="000000"/>
                <w:sz w:val="22"/>
                <w:szCs w:val="20"/>
                <w:lang w:val="en-US"/>
              </w:rPr>
              <w:t>Strategies to Mitigate Cybersecurity Incidents</w:t>
            </w:r>
            <w:r w:rsidRPr="0037147F">
              <w:rPr>
                <w:rFonts w:asciiTheme="minorHAnsi" w:hAnsiTheme="minorHAnsi" w:cstheme="minorHAnsi"/>
                <w:color w:val="000000"/>
                <w:sz w:val="22"/>
                <w:szCs w:val="20"/>
                <w:lang w:val="en-US"/>
              </w:rPr>
              <w:t xml:space="preserve">, the </w:t>
            </w:r>
            <w:r w:rsidRPr="0037147F">
              <w:rPr>
                <w:rFonts w:asciiTheme="minorHAnsi" w:hAnsiTheme="minorHAnsi" w:cstheme="minorHAnsi"/>
                <w:i/>
                <w:iCs/>
                <w:color w:val="000000"/>
                <w:sz w:val="22"/>
                <w:szCs w:val="20"/>
                <w:lang w:val="en-US"/>
              </w:rPr>
              <w:t>Information Security Manual</w:t>
            </w:r>
            <w:r w:rsidRPr="0037147F">
              <w:rPr>
                <w:rFonts w:asciiTheme="minorHAnsi" w:hAnsiTheme="minorHAnsi" w:cstheme="minorHAnsi"/>
                <w:color w:val="000000"/>
                <w:sz w:val="22"/>
                <w:szCs w:val="20"/>
                <w:lang w:val="en-US"/>
              </w:rPr>
              <w:t xml:space="preserve">’s (ISM) controls framework and the </w:t>
            </w:r>
            <w:r w:rsidRPr="0037147F">
              <w:rPr>
                <w:rFonts w:asciiTheme="minorHAnsi" w:hAnsiTheme="minorHAnsi" w:cstheme="minorHAnsi"/>
                <w:i/>
                <w:iCs/>
                <w:color w:val="000000"/>
                <w:sz w:val="22"/>
                <w:szCs w:val="20"/>
                <w:lang w:val="en-US"/>
              </w:rPr>
              <w:t>NIST Cybersecurity Framework</w:t>
            </w:r>
            <w:r w:rsidRPr="0037147F">
              <w:rPr>
                <w:rFonts w:asciiTheme="minorHAnsi" w:hAnsiTheme="minorHAnsi" w:cstheme="minorHAnsi"/>
                <w:color w:val="000000"/>
                <w:sz w:val="22"/>
                <w:szCs w:val="20"/>
                <w:lang w:val="en-US"/>
              </w:rPr>
              <w:t xml:space="preserve"> version 3; and aligns to the business strategy and vision of the University. </w:t>
            </w:r>
          </w:p>
          <w:p w14:paraId="0BC78F00" w14:textId="77777777" w:rsidR="0037147F" w:rsidRPr="0037147F" w:rsidRDefault="0037147F" w:rsidP="0037147F">
            <w:pPr>
              <w:pStyle w:val="NormalWeb"/>
              <w:shd w:val="clear" w:color="auto" w:fill="FFFFFF"/>
              <w:rPr>
                <w:rFonts w:asciiTheme="minorHAnsi" w:hAnsiTheme="minorHAnsi" w:cstheme="minorHAnsi"/>
                <w:color w:val="000000"/>
                <w:sz w:val="22"/>
                <w:szCs w:val="20"/>
              </w:rPr>
            </w:pPr>
            <w:r w:rsidRPr="0037147F">
              <w:rPr>
                <w:rFonts w:asciiTheme="minorHAnsi" w:hAnsiTheme="minorHAnsi" w:cstheme="minorHAnsi"/>
                <w:color w:val="000000"/>
                <w:sz w:val="22"/>
                <w:szCs w:val="20"/>
                <w:lang w:val="en-US"/>
              </w:rPr>
              <w:t> </w:t>
            </w:r>
          </w:p>
          <w:p w14:paraId="01C5A9B4" w14:textId="7014BD29" w:rsidR="0037147F" w:rsidRPr="0037147F" w:rsidRDefault="0037147F" w:rsidP="0037147F">
            <w:pPr>
              <w:pStyle w:val="NormalWeb"/>
              <w:shd w:val="clear" w:color="auto" w:fill="FFFFFF"/>
              <w:rPr>
                <w:rFonts w:asciiTheme="minorHAnsi" w:hAnsiTheme="minorHAnsi" w:cstheme="minorHAnsi"/>
                <w:color w:val="000000"/>
                <w:sz w:val="22"/>
                <w:szCs w:val="20"/>
              </w:rPr>
            </w:pPr>
            <w:r w:rsidRPr="0037147F">
              <w:rPr>
                <w:rFonts w:asciiTheme="minorHAnsi" w:hAnsiTheme="minorHAnsi" w:cstheme="minorHAnsi"/>
                <w:color w:val="000000"/>
                <w:sz w:val="22"/>
                <w:szCs w:val="20"/>
                <w:lang w:val="en-US"/>
              </w:rPr>
              <w:t xml:space="preserve">The </w:t>
            </w:r>
            <w:r w:rsidR="00583643">
              <w:rPr>
                <w:rFonts w:asciiTheme="minorHAnsi" w:hAnsiTheme="minorHAnsi" w:cstheme="minorHAnsi"/>
                <w:color w:val="000000"/>
                <w:sz w:val="22"/>
                <w:szCs w:val="20"/>
                <w:lang w:val="en-US"/>
              </w:rPr>
              <w:t>aim of the SISP</w:t>
            </w:r>
            <w:r w:rsidRPr="0037147F">
              <w:rPr>
                <w:rFonts w:asciiTheme="minorHAnsi" w:hAnsiTheme="minorHAnsi" w:cstheme="minorHAnsi"/>
                <w:color w:val="000000"/>
                <w:sz w:val="22"/>
                <w:szCs w:val="20"/>
                <w:lang w:val="en-US"/>
              </w:rPr>
              <w:t xml:space="preserve"> is to achieve ASD Essential 8 compliance and at least NIST maturity level 3 by 2021 with a regime of continuous monitoring against this target to be introduced by late 2020. In addition, in early 2020, ANU will establish on premise Cybersecurity Operations Centre (CSOC) which will provide coverage of all areas of the network as well as drive broader cybersecurity initiatives including red teaming and cyber threat assessments.</w:t>
            </w:r>
          </w:p>
          <w:p w14:paraId="170C026F" w14:textId="77777777" w:rsidR="0037147F" w:rsidRPr="0037147F" w:rsidRDefault="0037147F" w:rsidP="0037147F">
            <w:pPr>
              <w:pStyle w:val="NormalWeb"/>
              <w:shd w:val="clear" w:color="auto" w:fill="FFFFFF"/>
              <w:rPr>
                <w:rFonts w:asciiTheme="minorHAnsi" w:hAnsiTheme="minorHAnsi" w:cstheme="minorHAnsi"/>
                <w:color w:val="000000"/>
                <w:sz w:val="22"/>
                <w:szCs w:val="20"/>
              </w:rPr>
            </w:pPr>
            <w:r w:rsidRPr="0037147F">
              <w:rPr>
                <w:rFonts w:asciiTheme="minorHAnsi" w:hAnsiTheme="minorHAnsi" w:cstheme="minorHAnsi"/>
                <w:color w:val="000000"/>
                <w:sz w:val="22"/>
                <w:szCs w:val="20"/>
                <w:lang w:val="en-US"/>
              </w:rPr>
              <w:t> </w:t>
            </w:r>
          </w:p>
          <w:p w14:paraId="42C61DF7" w14:textId="74BBB924" w:rsidR="0037147F" w:rsidRPr="0037147F" w:rsidRDefault="0037147F" w:rsidP="0037147F">
            <w:pPr>
              <w:pStyle w:val="NormalWeb"/>
              <w:shd w:val="clear" w:color="auto" w:fill="FFFFFF"/>
              <w:rPr>
                <w:rFonts w:asciiTheme="minorHAnsi" w:hAnsiTheme="minorHAnsi" w:cstheme="minorHAnsi"/>
                <w:color w:val="000000"/>
                <w:sz w:val="22"/>
                <w:szCs w:val="20"/>
              </w:rPr>
            </w:pPr>
            <w:r w:rsidRPr="0037147F">
              <w:rPr>
                <w:rFonts w:asciiTheme="minorHAnsi" w:hAnsiTheme="minorHAnsi" w:cstheme="minorHAnsi"/>
                <w:color w:val="000000"/>
                <w:sz w:val="22"/>
                <w:szCs w:val="20"/>
                <w:lang w:val="en-US"/>
              </w:rPr>
              <w:t xml:space="preserve">The SISP will introduce a range of measures to improve the visibility of </w:t>
            </w:r>
            <w:r w:rsidR="00583643">
              <w:rPr>
                <w:rFonts w:asciiTheme="minorHAnsi" w:hAnsiTheme="minorHAnsi" w:cstheme="minorHAnsi"/>
                <w:color w:val="000000"/>
                <w:sz w:val="22"/>
                <w:szCs w:val="20"/>
                <w:lang w:val="en-US"/>
              </w:rPr>
              <w:t xml:space="preserve">the </w:t>
            </w:r>
            <w:r w:rsidR="00C476F5">
              <w:rPr>
                <w:rFonts w:asciiTheme="minorHAnsi" w:hAnsiTheme="minorHAnsi" w:cstheme="minorHAnsi"/>
                <w:color w:val="000000"/>
                <w:sz w:val="22"/>
                <w:szCs w:val="20"/>
                <w:lang w:val="en-US"/>
              </w:rPr>
              <w:t>U</w:t>
            </w:r>
            <w:r w:rsidR="00875907">
              <w:rPr>
                <w:rFonts w:asciiTheme="minorHAnsi" w:hAnsiTheme="minorHAnsi" w:cstheme="minorHAnsi"/>
                <w:color w:val="000000"/>
                <w:sz w:val="22"/>
                <w:szCs w:val="20"/>
                <w:lang w:val="en-US"/>
              </w:rPr>
              <w:t>niversity’s</w:t>
            </w:r>
            <w:r w:rsidRPr="0037147F">
              <w:rPr>
                <w:rFonts w:asciiTheme="minorHAnsi" w:hAnsiTheme="minorHAnsi" w:cstheme="minorHAnsi"/>
                <w:color w:val="000000"/>
                <w:sz w:val="22"/>
                <w:szCs w:val="20"/>
                <w:lang w:val="en-US"/>
              </w:rPr>
              <w:t xml:space="preserve"> corporate and research data holdings and align this to data loss prevention technical and procedural capabilities to protect against </w:t>
            </w:r>
            <w:proofErr w:type="spellStart"/>
            <w:r w:rsidRPr="0037147F">
              <w:rPr>
                <w:rFonts w:asciiTheme="minorHAnsi" w:hAnsiTheme="minorHAnsi" w:cstheme="minorHAnsi"/>
                <w:color w:val="000000"/>
                <w:sz w:val="22"/>
                <w:szCs w:val="20"/>
                <w:lang w:val="en-US"/>
              </w:rPr>
              <w:t>unauthorised</w:t>
            </w:r>
            <w:proofErr w:type="spellEnd"/>
            <w:r w:rsidRPr="0037147F">
              <w:rPr>
                <w:rFonts w:asciiTheme="minorHAnsi" w:hAnsiTheme="minorHAnsi" w:cstheme="minorHAnsi"/>
                <w:color w:val="000000"/>
                <w:sz w:val="22"/>
                <w:szCs w:val="20"/>
                <w:lang w:val="en-US"/>
              </w:rPr>
              <w:t xml:space="preserve"> access and disclosure. To support this</w:t>
            </w:r>
            <w:r w:rsidR="00875907">
              <w:rPr>
                <w:rFonts w:asciiTheme="minorHAnsi" w:hAnsiTheme="minorHAnsi" w:cstheme="minorHAnsi"/>
                <w:color w:val="000000"/>
                <w:sz w:val="22"/>
                <w:szCs w:val="20"/>
                <w:lang w:val="en-US"/>
              </w:rPr>
              <w:t>,</w:t>
            </w:r>
            <w:r w:rsidRPr="0037147F">
              <w:rPr>
                <w:rFonts w:asciiTheme="minorHAnsi" w:hAnsiTheme="minorHAnsi" w:cstheme="minorHAnsi"/>
                <w:color w:val="000000"/>
                <w:sz w:val="22"/>
                <w:szCs w:val="20"/>
                <w:lang w:val="en-US"/>
              </w:rPr>
              <w:t xml:space="preserve"> ANU </w:t>
            </w:r>
            <w:r w:rsidR="00875907">
              <w:rPr>
                <w:rFonts w:asciiTheme="minorHAnsi" w:hAnsiTheme="minorHAnsi" w:cstheme="minorHAnsi"/>
                <w:color w:val="000000"/>
                <w:sz w:val="22"/>
                <w:szCs w:val="20"/>
                <w:lang w:val="en-US"/>
              </w:rPr>
              <w:t>will</w:t>
            </w:r>
            <w:r w:rsidRPr="0037147F">
              <w:rPr>
                <w:rFonts w:asciiTheme="minorHAnsi" w:hAnsiTheme="minorHAnsi" w:cstheme="minorHAnsi"/>
                <w:color w:val="000000"/>
                <w:sz w:val="22"/>
                <w:szCs w:val="20"/>
                <w:lang w:val="en-US"/>
              </w:rPr>
              <w:t xml:space="preserve"> review and re-fram</w:t>
            </w:r>
            <w:r w:rsidR="00875907">
              <w:rPr>
                <w:rFonts w:asciiTheme="minorHAnsi" w:hAnsiTheme="minorHAnsi" w:cstheme="minorHAnsi"/>
                <w:color w:val="000000"/>
                <w:sz w:val="22"/>
                <w:szCs w:val="20"/>
                <w:lang w:val="en-US"/>
              </w:rPr>
              <w:t>e</w:t>
            </w:r>
            <w:r w:rsidRPr="0037147F">
              <w:rPr>
                <w:rFonts w:asciiTheme="minorHAnsi" w:hAnsiTheme="minorHAnsi" w:cstheme="minorHAnsi"/>
                <w:color w:val="000000"/>
                <w:sz w:val="22"/>
                <w:szCs w:val="20"/>
                <w:lang w:val="en-US"/>
              </w:rPr>
              <w:t xml:space="preserve"> current policies related to the classification, governance, storage and transmission of all ANU controlled data. This will include an accreditation process for all systems which hold ANU data</w:t>
            </w:r>
            <w:r w:rsidR="00875907">
              <w:rPr>
                <w:rFonts w:asciiTheme="minorHAnsi" w:hAnsiTheme="minorHAnsi" w:cstheme="minorHAnsi"/>
                <w:color w:val="000000"/>
                <w:sz w:val="22"/>
                <w:szCs w:val="20"/>
                <w:lang w:val="en-US"/>
              </w:rPr>
              <w:t xml:space="preserve"> </w:t>
            </w:r>
            <w:r w:rsidR="007B4347">
              <w:rPr>
                <w:rFonts w:asciiTheme="minorHAnsi" w:hAnsiTheme="minorHAnsi" w:cstheme="minorHAnsi"/>
                <w:color w:val="000000"/>
                <w:sz w:val="22"/>
                <w:szCs w:val="20"/>
                <w:lang w:val="en-US"/>
              </w:rPr>
              <w:t>–</w:t>
            </w:r>
            <w:r w:rsidRPr="0037147F">
              <w:rPr>
                <w:rFonts w:asciiTheme="minorHAnsi" w:hAnsiTheme="minorHAnsi" w:cstheme="minorHAnsi"/>
                <w:color w:val="000000"/>
                <w:sz w:val="22"/>
                <w:szCs w:val="20"/>
                <w:lang w:val="en-US"/>
              </w:rPr>
              <w:t xml:space="preserve"> in line with guidance from both the ISM and Commonwealth Protective Security Policy Framework</w:t>
            </w:r>
            <w:r w:rsidR="00875907">
              <w:rPr>
                <w:rFonts w:asciiTheme="minorHAnsi" w:hAnsiTheme="minorHAnsi" w:cstheme="minorHAnsi"/>
                <w:color w:val="000000"/>
                <w:sz w:val="22"/>
                <w:szCs w:val="20"/>
                <w:lang w:val="en-US"/>
              </w:rPr>
              <w:t>, as well as</w:t>
            </w:r>
            <w:r w:rsidRPr="0037147F">
              <w:rPr>
                <w:rFonts w:asciiTheme="minorHAnsi" w:hAnsiTheme="minorHAnsi" w:cstheme="minorHAnsi"/>
                <w:color w:val="000000"/>
                <w:sz w:val="22"/>
                <w:szCs w:val="20"/>
                <w:lang w:val="en-US"/>
              </w:rPr>
              <w:t xml:space="preserve"> enhanced procedures for preventing and dealing with disclosable data breaches. ANU will be working closely with both ASD, ASIO and the Office of the Information Commissioner to develop these capabilities over the course of 2020.</w:t>
            </w:r>
            <w:r w:rsidRPr="0037147F">
              <w:rPr>
                <w:rFonts w:asciiTheme="minorHAnsi" w:hAnsiTheme="minorHAnsi" w:cstheme="minorHAnsi"/>
                <w:color w:val="000000"/>
                <w:sz w:val="22"/>
                <w:szCs w:val="20"/>
                <w:lang w:val="en-US"/>
              </w:rPr>
              <w:br/>
            </w:r>
          </w:p>
          <w:p w14:paraId="00E42FD8" w14:textId="6EBB3C19" w:rsidR="00146F85" w:rsidRPr="006E458F" w:rsidRDefault="0037147F" w:rsidP="0037147F">
            <w:pPr>
              <w:pStyle w:val="NormalIndent"/>
              <w:spacing w:before="0" w:after="0"/>
              <w:ind w:left="0"/>
              <w:rPr>
                <w:color w:val="FF0000"/>
              </w:rPr>
            </w:pPr>
            <w:r w:rsidRPr="0037147F">
              <w:rPr>
                <w:rFonts w:asciiTheme="minorHAnsi" w:hAnsiTheme="minorHAnsi" w:cstheme="minorHAnsi"/>
                <w:color w:val="000000"/>
                <w:szCs w:val="20"/>
                <w:lang w:val="en-US"/>
              </w:rPr>
              <w:t>In line with the guidelines from the University Foreign Interference Taskforce</w:t>
            </w:r>
            <w:r w:rsidR="00875907">
              <w:rPr>
                <w:rFonts w:asciiTheme="minorHAnsi" w:hAnsiTheme="minorHAnsi" w:cstheme="minorHAnsi"/>
                <w:color w:val="000000"/>
                <w:szCs w:val="20"/>
                <w:lang w:val="en-US"/>
              </w:rPr>
              <w:t>,</w:t>
            </w:r>
            <w:r w:rsidRPr="0037147F">
              <w:rPr>
                <w:rFonts w:asciiTheme="minorHAnsi" w:hAnsiTheme="minorHAnsi" w:cstheme="minorHAnsi"/>
                <w:color w:val="000000"/>
                <w:szCs w:val="20"/>
                <w:lang w:val="en-US"/>
              </w:rPr>
              <w:t xml:space="preserve"> ANU will develop and implement a range of technical and procedural capabilities to detect, deter and deal with foreign interference against our research, staff and student communities. This will include the analysis of foreign collaborations to identify ultimate beneficiaries and to assess the potential for harm against the national interest or the use of deceptive practices designed to co-opt the </w:t>
            </w:r>
            <w:r w:rsidR="00C476F5">
              <w:rPr>
                <w:rFonts w:asciiTheme="minorHAnsi" w:hAnsiTheme="minorHAnsi" w:cstheme="minorHAnsi"/>
                <w:color w:val="000000"/>
                <w:szCs w:val="20"/>
                <w:lang w:val="en-US"/>
              </w:rPr>
              <w:t>U</w:t>
            </w:r>
            <w:r w:rsidRPr="0037147F">
              <w:rPr>
                <w:rFonts w:asciiTheme="minorHAnsi" w:hAnsiTheme="minorHAnsi" w:cstheme="minorHAnsi"/>
                <w:color w:val="000000"/>
                <w:szCs w:val="20"/>
                <w:lang w:val="en-US"/>
              </w:rPr>
              <w:t>niversity. Emphasis will be placed on the education of researchers to detect potential signs of foreign influence or interference which may be contrary to the national interest or</w:t>
            </w:r>
            <w:r w:rsidR="00875907">
              <w:rPr>
                <w:rFonts w:asciiTheme="minorHAnsi" w:hAnsiTheme="minorHAnsi" w:cstheme="minorHAnsi"/>
                <w:color w:val="000000"/>
                <w:szCs w:val="20"/>
                <w:lang w:val="en-US"/>
              </w:rPr>
              <w:t xml:space="preserve"> ANU</w:t>
            </w:r>
            <w:r w:rsidRPr="0037147F">
              <w:rPr>
                <w:rFonts w:asciiTheme="minorHAnsi" w:hAnsiTheme="minorHAnsi" w:cstheme="minorHAnsi"/>
                <w:color w:val="000000"/>
                <w:szCs w:val="20"/>
                <w:lang w:val="en-US"/>
              </w:rPr>
              <w:t xml:space="preserve"> values. Reporting on the implementation of these guidelines, under the SISP, will be provided to relevant Government agencies.</w:t>
            </w:r>
          </w:p>
        </w:tc>
      </w:tr>
    </w:tbl>
    <w:p w14:paraId="652612C4" w14:textId="77777777" w:rsidR="00311C88" w:rsidRDefault="00311C88"/>
    <w:p w14:paraId="00AAE61D" w14:textId="77777777" w:rsidR="00B722D2" w:rsidRDefault="00B722D2"/>
    <w:p w14:paraId="374A9225" w14:textId="77777777" w:rsidR="00B722D2" w:rsidRDefault="00B722D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0245A" w14:paraId="1DFE24C6" w14:textId="77777777" w:rsidTr="00923E3E">
        <w:tc>
          <w:tcPr>
            <w:tcW w:w="4675" w:type="dxa"/>
          </w:tcPr>
          <w:p w14:paraId="6BAF0C90" w14:textId="77777777" w:rsidR="00C0245A" w:rsidRPr="00981955" w:rsidRDefault="00C0245A" w:rsidP="00C0245A">
            <w:pPr>
              <w:rPr>
                <w:rFonts w:ascii="Calibri" w:hAnsi="Calibri" w:cs="Arial"/>
                <w:b/>
              </w:rPr>
            </w:pPr>
            <w:r w:rsidRPr="00981955">
              <w:rPr>
                <w:rFonts w:ascii="Calibri" w:hAnsi="Calibri" w:cs="Arial"/>
                <w:b/>
              </w:rPr>
              <w:t>SIGNED for and on behalf of</w:t>
            </w:r>
          </w:p>
          <w:p w14:paraId="3581D325" w14:textId="77777777" w:rsidR="00C0245A" w:rsidRPr="00981955" w:rsidRDefault="00C0245A" w:rsidP="00C0245A">
            <w:pPr>
              <w:rPr>
                <w:rFonts w:ascii="Calibri" w:hAnsi="Calibri" w:cs="Arial"/>
              </w:rPr>
            </w:pPr>
          </w:p>
          <w:p w14:paraId="508DFC65" w14:textId="77777777" w:rsidR="00C0245A" w:rsidRPr="00981955" w:rsidRDefault="00C0245A" w:rsidP="00C0245A">
            <w:pPr>
              <w:rPr>
                <w:rFonts w:ascii="Calibri" w:hAnsi="Calibri" w:cs="Arial"/>
              </w:rPr>
            </w:pPr>
            <w:r w:rsidRPr="00981955">
              <w:rPr>
                <w:rFonts w:ascii="Calibri" w:hAnsi="Calibri" w:cs="Arial"/>
              </w:rPr>
              <w:t>THE COMMONWEALTH OF AUSTRALIA</w:t>
            </w:r>
          </w:p>
          <w:p w14:paraId="7218933E" w14:textId="77777777" w:rsidR="00C0245A" w:rsidRPr="00981955" w:rsidRDefault="00C0245A" w:rsidP="00C0245A">
            <w:pPr>
              <w:rPr>
                <w:rFonts w:ascii="Calibri" w:hAnsi="Calibri" w:cs="Arial"/>
              </w:rPr>
            </w:pPr>
          </w:p>
          <w:p w14:paraId="33D5A896" w14:textId="77777777" w:rsidR="00C0245A" w:rsidRPr="00981955" w:rsidRDefault="00C0245A" w:rsidP="00C0245A">
            <w:pPr>
              <w:rPr>
                <w:rFonts w:ascii="Calibri" w:hAnsi="Calibri" w:cs="Arial"/>
              </w:rPr>
            </w:pPr>
            <w:r w:rsidRPr="00981955">
              <w:rPr>
                <w:rFonts w:ascii="Calibri" w:hAnsi="Calibri" w:cs="Arial"/>
              </w:rPr>
              <w:t xml:space="preserve">by </w:t>
            </w:r>
            <w:r>
              <w:rPr>
                <w:rFonts w:ascii="Calibri" w:hAnsi="Calibri" w:cs="Arial"/>
              </w:rPr>
              <w:t>Danielle Donegan</w:t>
            </w:r>
            <w:r w:rsidRPr="00981955">
              <w:rPr>
                <w:rFonts w:ascii="Calibri" w:hAnsi="Calibri" w:cs="Arial"/>
              </w:rPr>
              <w:t>,</w:t>
            </w:r>
            <w:r>
              <w:rPr>
                <w:rFonts w:ascii="Calibri" w:hAnsi="Calibri" w:cs="Arial"/>
              </w:rPr>
              <w:t xml:space="preserve"> Acting</w:t>
            </w:r>
            <w:r w:rsidRPr="00981955">
              <w:rPr>
                <w:rFonts w:ascii="Calibri" w:hAnsi="Calibri" w:cs="Arial"/>
              </w:rPr>
              <w:t xml:space="preserve"> First Assistant Secretary, Higher Education Division of the Department of Education, Skills and Employment as delegate of the Minister for Education. </w:t>
            </w:r>
          </w:p>
          <w:p w14:paraId="26B14E19" w14:textId="77777777" w:rsidR="00C0245A" w:rsidRPr="00981955" w:rsidRDefault="00C0245A" w:rsidP="00C0245A">
            <w:pPr>
              <w:rPr>
                <w:rFonts w:ascii="Calibri" w:hAnsi="Calibri" w:cs="Arial"/>
              </w:rPr>
            </w:pPr>
          </w:p>
          <w:p w14:paraId="7B0DD31F" w14:textId="77777777" w:rsidR="00C0245A" w:rsidRPr="00981955" w:rsidRDefault="00C0245A" w:rsidP="00C0245A">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C0245A" w:rsidRPr="00981955" w14:paraId="4B31EACF" w14:textId="77777777" w:rsidTr="00ED3739">
              <w:tc>
                <w:tcPr>
                  <w:tcW w:w="9854" w:type="dxa"/>
                </w:tcPr>
                <w:p w14:paraId="5C693562" w14:textId="77777777" w:rsidR="00C0245A" w:rsidRPr="00981955" w:rsidRDefault="00C0245A" w:rsidP="00C0245A">
                  <w:pPr>
                    <w:rPr>
                      <w:rFonts w:ascii="Calibri" w:hAnsi="Calibri" w:cs="Arial"/>
                      <w:b/>
                    </w:rPr>
                  </w:pPr>
                  <w:r w:rsidRPr="00981955">
                    <w:rPr>
                      <w:rFonts w:ascii="Calibri" w:hAnsi="Calibri" w:cs="Arial"/>
                      <w:b/>
                    </w:rPr>
                    <w:t xml:space="preserve">Signed by </w:t>
                  </w:r>
                </w:p>
              </w:tc>
            </w:tr>
            <w:tr w:rsidR="00C0245A" w:rsidRPr="00981955" w14:paraId="78839D5C" w14:textId="77777777" w:rsidTr="00ED3739">
              <w:tc>
                <w:tcPr>
                  <w:tcW w:w="9854" w:type="dxa"/>
                  <w:tcBorders>
                    <w:bottom w:val="single" w:sz="4" w:space="0" w:color="auto"/>
                  </w:tcBorders>
                </w:tcPr>
                <w:p w14:paraId="5509EADA" w14:textId="77777777" w:rsidR="00C0245A" w:rsidRPr="00981955" w:rsidRDefault="00C0245A" w:rsidP="00C0245A">
                  <w:pPr>
                    <w:rPr>
                      <w:rFonts w:ascii="Calibri" w:hAnsi="Calibri" w:cs="Arial"/>
                    </w:rPr>
                  </w:pPr>
                  <w:r>
                    <w:rPr>
                      <w:rFonts w:ascii="Calibri" w:hAnsi="Calibri" w:cs="Arial"/>
                    </w:rPr>
                    <w:t>Danielle Donegan</w:t>
                  </w:r>
                </w:p>
              </w:tc>
            </w:tr>
          </w:tbl>
          <w:p w14:paraId="6C38CF66" w14:textId="77777777" w:rsidR="00C0245A" w:rsidRPr="00981955" w:rsidRDefault="00C0245A" w:rsidP="00C0245A">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3785"/>
            </w:tblGrid>
            <w:tr w:rsidR="00C0245A" w:rsidRPr="00981955" w14:paraId="63E7BFE0" w14:textId="77777777" w:rsidTr="00ED3739">
              <w:tc>
                <w:tcPr>
                  <w:tcW w:w="675" w:type="dxa"/>
                  <w:tcBorders>
                    <w:bottom w:val="single" w:sz="4" w:space="0" w:color="auto"/>
                  </w:tcBorders>
                </w:tcPr>
                <w:p w14:paraId="5A797B5B" w14:textId="77777777" w:rsidR="00C0245A" w:rsidRPr="00981955" w:rsidRDefault="00C0245A" w:rsidP="00C0245A">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017E4348" w14:textId="77777777" w:rsidR="00C0245A" w:rsidRPr="00981955" w:rsidRDefault="00C0245A" w:rsidP="00C0245A">
                  <w:pPr>
                    <w:rPr>
                      <w:rFonts w:ascii="Calibri" w:hAnsi="Calibri" w:cs="Arial"/>
                    </w:rPr>
                  </w:pPr>
                  <w:r>
                    <w:rPr>
                      <w:rFonts w:ascii="Calibri" w:hAnsi="Calibri" w:cs="Arial"/>
                    </w:rPr>
                    <w:t>17 December 2020</w:t>
                  </w:r>
                </w:p>
              </w:tc>
            </w:tr>
          </w:tbl>
          <w:p w14:paraId="4CB8E059" w14:textId="77777777" w:rsidR="00C0245A" w:rsidRPr="00981955" w:rsidRDefault="00C0245A" w:rsidP="00C0245A">
            <w:pPr>
              <w:rPr>
                <w:rFonts w:ascii="Calibri" w:hAnsi="Calibri" w:cs="Arial"/>
              </w:rPr>
            </w:pPr>
          </w:p>
          <w:p w14:paraId="6B8391D1" w14:textId="77777777" w:rsidR="00C0245A" w:rsidRPr="00981955" w:rsidRDefault="00C0245A" w:rsidP="00C0245A">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C0245A" w:rsidRPr="00981955" w14:paraId="48725504" w14:textId="77777777" w:rsidTr="00ED3739">
              <w:tc>
                <w:tcPr>
                  <w:tcW w:w="9854" w:type="dxa"/>
                </w:tcPr>
                <w:p w14:paraId="317DF6D0" w14:textId="77777777" w:rsidR="00C0245A" w:rsidRPr="00981955" w:rsidRDefault="00C0245A" w:rsidP="00C0245A">
                  <w:pPr>
                    <w:rPr>
                      <w:rFonts w:ascii="Calibri" w:hAnsi="Calibri" w:cs="Arial"/>
                      <w:b/>
                    </w:rPr>
                  </w:pPr>
                  <w:r w:rsidRPr="00981955">
                    <w:rPr>
                      <w:rFonts w:ascii="Calibri" w:hAnsi="Calibri" w:cs="Arial"/>
                      <w:b/>
                    </w:rPr>
                    <w:t xml:space="preserve">Signed by </w:t>
                  </w:r>
                </w:p>
              </w:tc>
            </w:tr>
            <w:tr w:rsidR="00C0245A" w:rsidRPr="00981955" w14:paraId="231138BD" w14:textId="77777777" w:rsidTr="00ED3739">
              <w:tc>
                <w:tcPr>
                  <w:tcW w:w="9854" w:type="dxa"/>
                  <w:tcBorders>
                    <w:bottom w:val="single" w:sz="4" w:space="0" w:color="auto"/>
                  </w:tcBorders>
                </w:tcPr>
                <w:p w14:paraId="653450EB" w14:textId="77777777" w:rsidR="00C0245A" w:rsidRPr="00981955" w:rsidRDefault="00C0245A" w:rsidP="00C0245A">
                  <w:pPr>
                    <w:rPr>
                      <w:rFonts w:ascii="Calibri" w:hAnsi="Calibri" w:cs="Arial"/>
                    </w:rPr>
                  </w:pPr>
                  <w:r>
                    <w:rPr>
                      <w:rFonts w:ascii="Calibri" w:hAnsi="Calibri" w:cs="Arial"/>
                    </w:rPr>
                    <w:t>Sabrina Kim</w:t>
                  </w:r>
                </w:p>
              </w:tc>
            </w:tr>
          </w:tbl>
          <w:p w14:paraId="66BA7DAE" w14:textId="77777777" w:rsidR="00C0245A" w:rsidRPr="00981955" w:rsidRDefault="00C0245A" w:rsidP="00C0245A">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C0245A" w:rsidRPr="00981955" w14:paraId="5A917152" w14:textId="77777777" w:rsidTr="00ED3739">
              <w:tc>
                <w:tcPr>
                  <w:tcW w:w="9854" w:type="dxa"/>
                </w:tcPr>
                <w:p w14:paraId="1B745FF1" w14:textId="77777777" w:rsidR="00C0245A" w:rsidRPr="00981955" w:rsidRDefault="00C0245A" w:rsidP="00C0245A">
                  <w:pPr>
                    <w:rPr>
                      <w:rFonts w:ascii="Calibri" w:hAnsi="Calibri" w:cs="Arial"/>
                      <w:b/>
                    </w:rPr>
                  </w:pPr>
                  <w:r w:rsidRPr="00981955">
                    <w:rPr>
                      <w:rFonts w:ascii="Calibri" w:hAnsi="Calibri" w:cs="Arial"/>
                      <w:b/>
                    </w:rPr>
                    <w:t xml:space="preserve">Position of witness </w:t>
                  </w:r>
                </w:p>
              </w:tc>
            </w:tr>
            <w:tr w:rsidR="00C0245A" w:rsidRPr="00981955" w14:paraId="7EBD6C9E" w14:textId="77777777" w:rsidTr="00ED3739">
              <w:tc>
                <w:tcPr>
                  <w:tcW w:w="9854" w:type="dxa"/>
                  <w:tcBorders>
                    <w:bottom w:val="single" w:sz="4" w:space="0" w:color="auto"/>
                  </w:tcBorders>
                </w:tcPr>
                <w:p w14:paraId="18B54FA7" w14:textId="77777777" w:rsidR="00C0245A" w:rsidRPr="00981955" w:rsidRDefault="00C0245A" w:rsidP="00C0245A">
                  <w:pPr>
                    <w:rPr>
                      <w:rFonts w:ascii="Calibri" w:hAnsi="Calibri" w:cs="Arial"/>
                    </w:rPr>
                  </w:pPr>
                  <w:r>
                    <w:rPr>
                      <w:rFonts w:ascii="Calibri" w:hAnsi="Calibri" w:cs="Arial"/>
                    </w:rPr>
                    <w:t>Policy Officer</w:t>
                  </w:r>
                </w:p>
              </w:tc>
            </w:tr>
          </w:tbl>
          <w:p w14:paraId="5F631AD6" w14:textId="77777777" w:rsidR="00C0245A" w:rsidRDefault="00C0245A"/>
        </w:tc>
        <w:tc>
          <w:tcPr>
            <w:tcW w:w="4675" w:type="dxa"/>
          </w:tcPr>
          <w:p w14:paraId="60E1F857" w14:textId="77777777" w:rsidR="00C0245A" w:rsidRPr="00981955" w:rsidRDefault="00C0245A" w:rsidP="00C0245A">
            <w:pPr>
              <w:rPr>
                <w:rFonts w:ascii="Calibri" w:hAnsi="Calibri" w:cs="Arial"/>
                <w:b/>
              </w:rPr>
            </w:pPr>
            <w:r w:rsidRPr="00981955">
              <w:rPr>
                <w:rFonts w:ascii="Calibri" w:hAnsi="Calibri" w:cs="Arial"/>
                <w:b/>
              </w:rPr>
              <w:t>SIGNED for and on behalf of</w:t>
            </w:r>
          </w:p>
          <w:p w14:paraId="58011CDD" w14:textId="71949606" w:rsidR="00C0245A" w:rsidRPr="00AD2126" w:rsidRDefault="00C0245A" w:rsidP="00C0245A">
            <w:pPr>
              <w:rPr>
                <w:rFonts w:ascii="Calibri" w:hAnsi="Calibri" w:cs="Arial"/>
                <w:b/>
                <w:bCs/>
              </w:rPr>
            </w:pPr>
            <w:r>
              <w:rPr>
                <w:rFonts w:ascii="Calibri" w:hAnsi="Calibri" w:cs="Arial"/>
                <w:b/>
                <w:bCs/>
                <w:noProof/>
              </w:rPr>
              <w:t xml:space="preserve">The Australian National </w:t>
            </w:r>
            <w:r w:rsidRPr="00AD2126">
              <w:rPr>
                <w:rFonts w:ascii="Calibri" w:hAnsi="Calibri" w:cs="Arial"/>
                <w:b/>
                <w:bCs/>
                <w:noProof/>
              </w:rPr>
              <w:t>University</w:t>
            </w:r>
          </w:p>
          <w:p w14:paraId="3DBD1C68" w14:textId="77777777" w:rsidR="00C0245A" w:rsidRPr="00981955" w:rsidRDefault="00C0245A" w:rsidP="00C0245A">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C0245A" w:rsidRPr="00981955" w14:paraId="288CEF43" w14:textId="77777777" w:rsidTr="00ED3739">
              <w:tc>
                <w:tcPr>
                  <w:tcW w:w="9854" w:type="dxa"/>
                </w:tcPr>
                <w:p w14:paraId="1AF79E9F" w14:textId="77777777" w:rsidR="00C0245A" w:rsidRPr="00981955" w:rsidRDefault="00C0245A" w:rsidP="00C0245A">
                  <w:pPr>
                    <w:rPr>
                      <w:rFonts w:ascii="Calibri" w:hAnsi="Calibri" w:cs="Arial"/>
                      <w:b/>
                    </w:rPr>
                  </w:pPr>
                  <w:r w:rsidRPr="00981955">
                    <w:rPr>
                      <w:rFonts w:ascii="Calibri" w:hAnsi="Calibri" w:cs="Arial"/>
                      <w:b/>
                    </w:rPr>
                    <w:t xml:space="preserve">Signed by </w:t>
                  </w:r>
                </w:p>
              </w:tc>
            </w:tr>
            <w:tr w:rsidR="00C0245A" w:rsidRPr="00981955" w14:paraId="0A9105D2" w14:textId="77777777" w:rsidTr="00ED3739">
              <w:trPr>
                <w:trHeight w:val="122"/>
              </w:trPr>
              <w:tc>
                <w:tcPr>
                  <w:tcW w:w="9854" w:type="dxa"/>
                  <w:tcBorders>
                    <w:bottom w:val="single" w:sz="4" w:space="0" w:color="auto"/>
                  </w:tcBorders>
                  <w:vAlign w:val="bottom"/>
                </w:tcPr>
                <w:p w14:paraId="41C3AB57" w14:textId="76679C28" w:rsidR="00C0245A" w:rsidRPr="00981955" w:rsidRDefault="00C0245A" w:rsidP="00C0245A">
                  <w:pPr>
                    <w:tabs>
                      <w:tab w:val="left" w:pos="4820"/>
                    </w:tabs>
                    <w:rPr>
                      <w:rFonts w:ascii="Calibri" w:hAnsi="Calibri" w:cs="Arial"/>
                    </w:rPr>
                  </w:pPr>
                  <w:r>
                    <w:rPr>
                      <w:rFonts w:ascii="Calibri" w:hAnsi="Calibri" w:cs="Arial"/>
                    </w:rPr>
                    <w:t>Professor Brian Schmidt</w:t>
                  </w:r>
                </w:p>
              </w:tc>
            </w:tr>
          </w:tbl>
          <w:p w14:paraId="7898FB43" w14:textId="77777777" w:rsidR="00C0245A" w:rsidRPr="00981955" w:rsidRDefault="00C0245A" w:rsidP="00C0245A">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C0245A" w:rsidRPr="00981955" w14:paraId="454B711A" w14:textId="77777777" w:rsidTr="00ED3739">
              <w:tc>
                <w:tcPr>
                  <w:tcW w:w="9854" w:type="dxa"/>
                </w:tcPr>
                <w:p w14:paraId="1FEC3F77" w14:textId="77777777" w:rsidR="00C0245A" w:rsidRPr="00981955" w:rsidRDefault="00C0245A" w:rsidP="00C0245A">
                  <w:pPr>
                    <w:rPr>
                      <w:rFonts w:ascii="Calibri" w:hAnsi="Calibri" w:cs="Arial"/>
                      <w:b/>
                    </w:rPr>
                  </w:pPr>
                  <w:r w:rsidRPr="00981955">
                    <w:rPr>
                      <w:rFonts w:ascii="Calibri" w:hAnsi="Calibri" w:cs="Arial"/>
                      <w:b/>
                    </w:rPr>
                    <w:t xml:space="preserve">Position </w:t>
                  </w:r>
                </w:p>
              </w:tc>
            </w:tr>
            <w:tr w:rsidR="00C0245A" w:rsidRPr="00981955" w14:paraId="5569871D" w14:textId="77777777" w:rsidTr="00ED3739">
              <w:tc>
                <w:tcPr>
                  <w:tcW w:w="9854" w:type="dxa"/>
                  <w:tcBorders>
                    <w:bottom w:val="single" w:sz="4" w:space="0" w:color="auto"/>
                  </w:tcBorders>
                </w:tcPr>
                <w:p w14:paraId="7A3EC71C" w14:textId="77777777" w:rsidR="00C0245A" w:rsidRPr="00981955" w:rsidRDefault="00C0245A" w:rsidP="00C0245A">
                  <w:pPr>
                    <w:tabs>
                      <w:tab w:val="left" w:pos="4820"/>
                    </w:tabs>
                    <w:rPr>
                      <w:rFonts w:ascii="Calibri" w:hAnsi="Calibri" w:cs="Arial"/>
                    </w:rPr>
                  </w:pPr>
                  <w:r>
                    <w:rPr>
                      <w:rFonts w:ascii="Calibri" w:hAnsi="Calibri" w:cs="Arial"/>
                    </w:rPr>
                    <w:t>Vice-Chancellor and President</w:t>
                  </w:r>
                </w:p>
              </w:tc>
            </w:tr>
          </w:tbl>
          <w:p w14:paraId="4C714CCF" w14:textId="77777777" w:rsidR="00C0245A" w:rsidRPr="00981955" w:rsidRDefault="00C0245A" w:rsidP="00C0245A">
            <w:pPr>
              <w:rPr>
                <w:rFonts w:ascii="Calibri" w:hAnsi="Calibri" w:cs="Arial"/>
              </w:rPr>
            </w:pPr>
          </w:p>
          <w:p w14:paraId="319C82E8" w14:textId="77777777" w:rsidR="00C0245A" w:rsidRPr="00981955" w:rsidRDefault="00C0245A" w:rsidP="00C0245A">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C0245A" w:rsidRPr="00981955" w14:paraId="09DEF840" w14:textId="77777777" w:rsidTr="00ED3739">
              <w:tc>
                <w:tcPr>
                  <w:tcW w:w="9854" w:type="dxa"/>
                </w:tcPr>
                <w:p w14:paraId="5C56D2B9" w14:textId="77777777" w:rsidR="00C0245A" w:rsidRPr="00981955" w:rsidRDefault="00C0245A" w:rsidP="00C0245A">
                  <w:pPr>
                    <w:rPr>
                      <w:rFonts w:ascii="Calibri" w:hAnsi="Calibri" w:cs="Arial"/>
                      <w:b/>
                    </w:rPr>
                  </w:pPr>
                  <w:r w:rsidRPr="00981955">
                    <w:rPr>
                      <w:rFonts w:ascii="Calibri" w:hAnsi="Calibri" w:cs="Arial"/>
                      <w:b/>
                    </w:rPr>
                    <w:t xml:space="preserve">Signed by </w:t>
                  </w:r>
                </w:p>
              </w:tc>
            </w:tr>
            <w:tr w:rsidR="00C0245A" w:rsidRPr="00981955" w14:paraId="24CE1D9C" w14:textId="77777777" w:rsidTr="00ED3739">
              <w:tc>
                <w:tcPr>
                  <w:tcW w:w="9854" w:type="dxa"/>
                  <w:tcBorders>
                    <w:bottom w:val="single" w:sz="4" w:space="0" w:color="auto"/>
                  </w:tcBorders>
                </w:tcPr>
                <w:p w14:paraId="49E65816" w14:textId="378D5373" w:rsidR="00C0245A" w:rsidRPr="00981955" w:rsidRDefault="00C0245A" w:rsidP="00C0245A">
                  <w:pPr>
                    <w:rPr>
                      <w:rFonts w:ascii="Calibri" w:hAnsi="Calibri" w:cs="Arial"/>
                    </w:rPr>
                  </w:pPr>
                  <w:r>
                    <w:rPr>
                      <w:rFonts w:ascii="Calibri" w:hAnsi="Calibri" w:cs="Arial"/>
                    </w:rPr>
                    <w:t>Sara Rowley</w:t>
                  </w:r>
                </w:p>
              </w:tc>
            </w:tr>
          </w:tbl>
          <w:p w14:paraId="1252A671" w14:textId="77777777" w:rsidR="00C0245A" w:rsidRPr="00981955" w:rsidRDefault="00C0245A" w:rsidP="00C0245A">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C0245A" w:rsidRPr="00981955" w14:paraId="1E2C4828" w14:textId="77777777" w:rsidTr="00ED3739">
              <w:tc>
                <w:tcPr>
                  <w:tcW w:w="9854" w:type="dxa"/>
                </w:tcPr>
                <w:p w14:paraId="07C7FC72" w14:textId="77777777" w:rsidR="00C0245A" w:rsidRPr="00981955" w:rsidRDefault="00C0245A" w:rsidP="00C0245A">
                  <w:pPr>
                    <w:rPr>
                      <w:rFonts w:ascii="Calibri" w:hAnsi="Calibri" w:cs="Arial"/>
                      <w:b/>
                    </w:rPr>
                  </w:pPr>
                  <w:r w:rsidRPr="00981955">
                    <w:rPr>
                      <w:rFonts w:ascii="Calibri" w:hAnsi="Calibri" w:cs="Arial"/>
                      <w:b/>
                    </w:rPr>
                    <w:t xml:space="preserve">Position or profession of witness </w:t>
                  </w:r>
                </w:p>
              </w:tc>
            </w:tr>
            <w:tr w:rsidR="00C0245A" w:rsidRPr="00981955" w14:paraId="50A9367A" w14:textId="77777777" w:rsidTr="00ED3739">
              <w:tc>
                <w:tcPr>
                  <w:tcW w:w="9854" w:type="dxa"/>
                  <w:tcBorders>
                    <w:bottom w:val="single" w:sz="4" w:space="0" w:color="auto"/>
                  </w:tcBorders>
                </w:tcPr>
                <w:p w14:paraId="23D8D67D" w14:textId="407BB2D6" w:rsidR="00C0245A" w:rsidRPr="00981955" w:rsidRDefault="00C0245A" w:rsidP="00C0245A">
                  <w:pPr>
                    <w:rPr>
                      <w:rFonts w:ascii="Calibri" w:hAnsi="Calibri" w:cs="Arial"/>
                    </w:rPr>
                  </w:pPr>
                  <w:r>
                    <w:rPr>
                      <w:rFonts w:ascii="Calibri" w:hAnsi="Calibri" w:cs="Arial"/>
                    </w:rPr>
                    <w:t>Executive Officer to the Vice-Chancellor</w:t>
                  </w:r>
                </w:p>
              </w:tc>
            </w:tr>
          </w:tbl>
          <w:p w14:paraId="780975EE" w14:textId="77777777" w:rsidR="00C0245A" w:rsidRDefault="00C0245A"/>
        </w:tc>
      </w:tr>
    </w:tbl>
    <w:p w14:paraId="42D56458" w14:textId="2ED90635" w:rsidR="00B722D2" w:rsidRDefault="00C0245A">
      <w:r>
        <w:tab/>
      </w:r>
    </w:p>
    <w:sectPr w:rsidR="00B722D2" w:rsidSect="00DD3641">
      <w:pgSz w:w="12240" w:h="15840"/>
      <w:pgMar w:top="568"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BEE0E" w14:textId="77777777" w:rsidR="00C404D4" w:rsidRDefault="00C404D4" w:rsidP="00F56CFA">
      <w:r>
        <w:separator/>
      </w:r>
    </w:p>
  </w:endnote>
  <w:endnote w:type="continuationSeparator" w:id="0">
    <w:p w14:paraId="3841F226" w14:textId="77777777" w:rsidR="00C404D4" w:rsidRDefault="00C404D4" w:rsidP="00F56CFA">
      <w:r>
        <w:continuationSeparator/>
      </w:r>
    </w:p>
  </w:endnote>
  <w:endnote w:type="continuationNotice" w:id="1">
    <w:p w14:paraId="180C8E1D" w14:textId="77777777" w:rsidR="00C404D4" w:rsidRDefault="00C404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1D9E8" w14:textId="77777777" w:rsidR="00C404D4" w:rsidRDefault="00C404D4" w:rsidP="00F56CFA">
      <w:r>
        <w:separator/>
      </w:r>
    </w:p>
  </w:footnote>
  <w:footnote w:type="continuationSeparator" w:id="0">
    <w:p w14:paraId="71DCABD3" w14:textId="77777777" w:rsidR="00C404D4" w:rsidRDefault="00C404D4" w:rsidP="00F56CFA">
      <w:r>
        <w:continuationSeparator/>
      </w:r>
    </w:p>
  </w:footnote>
  <w:footnote w:type="continuationNotice" w:id="1">
    <w:p w14:paraId="7F134F68" w14:textId="77777777" w:rsidR="00C404D4" w:rsidRDefault="00C404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8200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2AC3D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97A73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763B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6247F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7041B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FB81DDE"/>
    <w:lvl w:ilvl="0">
      <w:start w:val="1"/>
      <w:numFmt w:val="bullet"/>
      <w:pStyle w:val="ListBullet3example"/>
      <w:lvlText w:val=""/>
      <w:lvlJc w:val="left"/>
      <w:pPr>
        <w:tabs>
          <w:tab w:val="num" w:pos="1080"/>
        </w:tabs>
        <w:ind w:left="1080" w:hanging="360"/>
      </w:pPr>
      <w:rPr>
        <w:rFonts w:ascii="Wingdings" w:hAnsi="Wingdings" w:hint="default"/>
      </w:rPr>
    </w:lvl>
  </w:abstractNum>
  <w:abstractNum w:abstractNumId="7" w15:restartNumberingAfterBreak="0">
    <w:nsid w:val="FFFFFF83"/>
    <w:multiLevelType w:val="singleLevel"/>
    <w:tmpl w:val="F3C201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12E6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781C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E21C6"/>
    <w:multiLevelType w:val="hybridMultilevel"/>
    <w:tmpl w:val="4F3C26F4"/>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7D286E"/>
    <w:multiLevelType w:val="hybridMultilevel"/>
    <w:tmpl w:val="62003982"/>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F6152D"/>
    <w:multiLevelType w:val="hybridMultilevel"/>
    <w:tmpl w:val="47E8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937813"/>
    <w:multiLevelType w:val="hybridMultilevel"/>
    <w:tmpl w:val="7C8A6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805966"/>
    <w:multiLevelType w:val="hybridMultilevel"/>
    <w:tmpl w:val="D0E09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D37B1E"/>
    <w:multiLevelType w:val="hybridMultilevel"/>
    <w:tmpl w:val="0E7610FE"/>
    <w:lvl w:ilvl="0" w:tplc="C324E16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AF60DFF"/>
    <w:multiLevelType w:val="hybridMultilevel"/>
    <w:tmpl w:val="3D78A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7717E2"/>
    <w:multiLevelType w:val="hybridMultilevel"/>
    <w:tmpl w:val="60E0D5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1B31447"/>
    <w:multiLevelType w:val="hybridMultilevel"/>
    <w:tmpl w:val="272E7812"/>
    <w:lvl w:ilvl="0" w:tplc="E06293DE">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2083473"/>
    <w:multiLevelType w:val="hybridMultilevel"/>
    <w:tmpl w:val="C876F7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50C6861"/>
    <w:multiLevelType w:val="hybridMultilevel"/>
    <w:tmpl w:val="4D46DE46"/>
    <w:lvl w:ilvl="0" w:tplc="C324E16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D5557F7"/>
    <w:multiLevelType w:val="hybridMultilevel"/>
    <w:tmpl w:val="DFE4E4C8"/>
    <w:lvl w:ilvl="0" w:tplc="C324E16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2E687B67"/>
    <w:multiLevelType w:val="hybridMultilevel"/>
    <w:tmpl w:val="CF80FC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3417862"/>
    <w:multiLevelType w:val="hybridMultilevel"/>
    <w:tmpl w:val="29E0EF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5886982"/>
    <w:multiLevelType w:val="hybridMultilevel"/>
    <w:tmpl w:val="EADCA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8AF559B"/>
    <w:multiLevelType w:val="hybridMultilevel"/>
    <w:tmpl w:val="A8869DA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7" w15:restartNumberingAfterBreak="0">
    <w:nsid w:val="3A2135A1"/>
    <w:multiLevelType w:val="hybridMultilevel"/>
    <w:tmpl w:val="4CF2530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216D3F"/>
    <w:multiLevelType w:val="hybridMultilevel"/>
    <w:tmpl w:val="2B908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D565553"/>
    <w:multiLevelType w:val="hybridMultilevel"/>
    <w:tmpl w:val="230A9742"/>
    <w:lvl w:ilvl="0" w:tplc="C324E16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F462B94"/>
    <w:multiLevelType w:val="hybridMultilevel"/>
    <w:tmpl w:val="F9ACF6D0"/>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0745B53"/>
    <w:multiLevelType w:val="multilevel"/>
    <w:tmpl w:val="982A1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0925897"/>
    <w:multiLevelType w:val="hybridMultilevel"/>
    <w:tmpl w:val="DCC03436"/>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423700FD"/>
    <w:multiLevelType w:val="hybridMultilevel"/>
    <w:tmpl w:val="8E7E044A"/>
    <w:lvl w:ilvl="0" w:tplc="9D0C417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4178C9"/>
    <w:multiLevelType w:val="multilevel"/>
    <w:tmpl w:val="305E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FE013CB"/>
    <w:multiLevelType w:val="hybridMultilevel"/>
    <w:tmpl w:val="0F96538A"/>
    <w:lvl w:ilvl="0" w:tplc="C324E166">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57435DF6"/>
    <w:multiLevelType w:val="multilevel"/>
    <w:tmpl w:val="F808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89E756D"/>
    <w:multiLevelType w:val="multilevel"/>
    <w:tmpl w:val="2C508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B050AE6"/>
    <w:multiLevelType w:val="hybridMultilevel"/>
    <w:tmpl w:val="A6D49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2F34186"/>
    <w:multiLevelType w:val="hybridMultilevel"/>
    <w:tmpl w:val="A4D4D61E"/>
    <w:lvl w:ilvl="0" w:tplc="DD34BD5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4247371"/>
    <w:multiLevelType w:val="hybridMultilevel"/>
    <w:tmpl w:val="08B0A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5C1E60"/>
    <w:multiLevelType w:val="hybridMultilevel"/>
    <w:tmpl w:val="FFEE0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B027E5B"/>
    <w:multiLevelType w:val="multilevel"/>
    <w:tmpl w:val="DFB81DD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BC38C7"/>
    <w:multiLevelType w:val="hybridMultilevel"/>
    <w:tmpl w:val="CE644F7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104E94"/>
    <w:multiLevelType w:val="hybridMultilevel"/>
    <w:tmpl w:val="873EF4A0"/>
    <w:lvl w:ilvl="0" w:tplc="88268B46">
      <w:start w:val="1"/>
      <w:numFmt w:val="bullet"/>
      <w:pStyle w:val="ListBullet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5730EC7"/>
    <w:multiLevelType w:val="hybridMultilevel"/>
    <w:tmpl w:val="193EE1E6"/>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62D7262"/>
    <w:multiLevelType w:val="hybridMultilevel"/>
    <w:tmpl w:val="AE28D6C6"/>
    <w:lvl w:ilvl="0" w:tplc="A7B69C2A">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E402FBB"/>
    <w:multiLevelType w:val="hybridMultilevel"/>
    <w:tmpl w:val="C4D0F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A84504"/>
    <w:multiLevelType w:val="hybridMultilevel"/>
    <w:tmpl w:val="107EF2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7"/>
  </w:num>
  <w:num w:numId="2">
    <w:abstractNumId w:val="43"/>
  </w:num>
  <w:num w:numId="3">
    <w:abstractNumId w:val="32"/>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44"/>
  </w:num>
  <w:num w:numId="16">
    <w:abstractNumId w:val="42"/>
  </w:num>
  <w:num w:numId="17">
    <w:abstractNumId w:val="21"/>
  </w:num>
  <w:num w:numId="18">
    <w:abstractNumId w:val="10"/>
  </w:num>
  <w:num w:numId="19">
    <w:abstractNumId w:val="13"/>
  </w:num>
  <w:num w:numId="20">
    <w:abstractNumId w:val="23"/>
  </w:num>
  <w:num w:numId="21">
    <w:abstractNumId w:val="41"/>
  </w:num>
  <w:num w:numId="22">
    <w:abstractNumId w:val="46"/>
  </w:num>
  <w:num w:numId="23">
    <w:abstractNumId w:val="48"/>
  </w:num>
  <w:num w:numId="24">
    <w:abstractNumId w:val="24"/>
  </w:num>
  <w:num w:numId="25">
    <w:abstractNumId w:val="45"/>
  </w:num>
  <w:num w:numId="26">
    <w:abstractNumId w:val="11"/>
  </w:num>
  <w:num w:numId="27">
    <w:abstractNumId w:val="30"/>
  </w:num>
  <w:num w:numId="28">
    <w:abstractNumId w:val="25"/>
  </w:num>
  <w:num w:numId="29">
    <w:abstractNumId w:val="19"/>
  </w:num>
  <w:num w:numId="30">
    <w:abstractNumId w:val="12"/>
  </w:num>
  <w:num w:numId="31">
    <w:abstractNumId w:val="26"/>
  </w:num>
  <w:num w:numId="32">
    <w:abstractNumId w:val="38"/>
  </w:num>
  <w:num w:numId="33">
    <w:abstractNumId w:val="28"/>
  </w:num>
  <w:num w:numId="34">
    <w:abstractNumId w:val="20"/>
  </w:num>
  <w:num w:numId="35">
    <w:abstractNumId w:val="39"/>
  </w:num>
  <w:num w:numId="36">
    <w:abstractNumId w:val="35"/>
  </w:num>
  <w:num w:numId="37">
    <w:abstractNumId w:val="22"/>
  </w:num>
  <w:num w:numId="38">
    <w:abstractNumId w:val="29"/>
  </w:num>
  <w:num w:numId="39">
    <w:abstractNumId w:val="16"/>
  </w:num>
  <w:num w:numId="40">
    <w:abstractNumId w:val="18"/>
  </w:num>
  <w:num w:numId="41">
    <w:abstractNumId w:val="36"/>
  </w:num>
  <w:num w:numId="42">
    <w:abstractNumId w:val="31"/>
  </w:num>
  <w:num w:numId="43">
    <w:abstractNumId w:val="37"/>
  </w:num>
  <w:num w:numId="44">
    <w:abstractNumId w:val="34"/>
  </w:num>
  <w:num w:numId="45">
    <w:abstractNumId w:val="40"/>
  </w:num>
  <w:num w:numId="46">
    <w:abstractNumId w:val="47"/>
  </w:num>
  <w:num w:numId="47">
    <w:abstractNumId w:val="15"/>
  </w:num>
  <w:num w:numId="48">
    <w:abstractNumId w:val="14"/>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22E"/>
    <w:rsid w:val="00046AF7"/>
    <w:rsid w:val="00050DE7"/>
    <w:rsid w:val="00051744"/>
    <w:rsid w:val="000576EB"/>
    <w:rsid w:val="00057D5E"/>
    <w:rsid w:val="00076023"/>
    <w:rsid w:val="00083B1E"/>
    <w:rsid w:val="000B1075"/>
    <w:rsid w:val="000C31E8"/>
    <w:rsid w:val="000D4227"/>
    <w:rsid w:val="000D5C62"/>
    <w:rsid w:val="000E4FBA"/>
    <w:rsid w:val="000F3109"/>
    <w:rsid w:val="001160FD"/>
    <w:rsid w:val="00132B35"/>
    <w:rsid w:val="00146F85"/>
    <w:rsid w:val="0015292B"/>
    <w:rsid w:val="00164B5F"/>
    <w:rsid w:val="00172F9C"/>
    <w:rsid w:val="001733D1"/>
    <w:rsid w:val="001745CC"/>
    <w:rsid w:val="001767AD"/>
    <w:rsid w:val="0018198A"/>
    <w:rsid w:val="001819F7"/>
    <w:rsid w:val="00182165"/>
    <w:rsid w:val="0019562E"/>
    <w:rsid w:val="001A5270"/>
    <w:rsid w:val="001A63B9"/>
    <w:rsid w:val="001C49AB"/>
    <w:rsid w:val="001F15CE"/>
    <w:rsid w:val="002002A2"/>
    <w:rsid w:val="002021AA"/>
    <w:rsid w:val="0020499D"/>
    <w:rsid w:val="00212410"/>
    <w:rsid w:val="00213F07"/>
    <w:rsid w:val="00215A22"/>
    <w:rsid w:val="0022295C"/>
    <w:rsid w:val="002328CE"/>
    <w:rsid w:val="0024185F"/>
    <w:rsid w:val="00247E02"/>
    <w:rsid w:val="002503D1"/>
    <w:rsid w:val="00276BFB"/>
    <w:rsid w:val="00284602"/>
    <w:rsid w:val="0028479A"/>
    <w:rsid w:val="002A71BE"/>
    <w:rsid w:val="002B0D40"/>
    <w:rsid w:val="002B6B6F"/>
    <w:rsid w:val="002C1A2E"/>
    <w:rsid w:val="002C232A"/>
    <w:rsid w:val="002C2896"/>
    <w:rsid w:val="002E3538"/>
    <w:rsid w:val="002E510B"/>
    <w:rsid w:val="002E6E29"/>
    <w:rsid w:val="002F5D59"/>
    <w:rsid w:val="0030311B"/>
    <w:rsid w:val="003104BE"/>
    <w:rsid w:val="00311C88"/>
    <w:rsid w:val="0031335B"/>
    <w:rsid w:val="003141F2"/>
    <w:rsid w:val="00334D26"/>
    <w:rsid w:val="00351760"/>
    <w:rsid w:val="00353E74"/>
    <w:rsid w:val="00365256"/>
    <w:rsid w:val="003672C5"/>
    <w:rsid w:val="0037147F"/>
    <w:rsid w:val="0037749E"/>
    <w:rsid w:val="003A0BE0"/>
    <w:rsid w:val="003A514E"/>
    <w:rsid w:val="003D1373"/>
    <w:rsid w:val="003E05D6"/>
    <w:rsid w:val="00400D7B"/>
    <w:rsid w:val="00411B87"/>
    <w:rsid w:val="00425DBC"/>
    <w:rsid w:val="00444CB9"/>
    <w:rsid w:val="00447D48"/>
    <w:rsid w:val="00456FEF"/>
    <w:rsid w:val="00480472"/>
    <w:rsid w:val="00481E8B"/>
    <w:rsid w:val="00482A7B"/>
    <w:rsid w:val="00491944"/>
    <w:rsid w:val="004A5301"/>
    <w:rsid w:val="004A7F48"/>
    <w:rsid w:val="004C612A"/>
    <w:rsid w:val="004D1B82"/>
    <w:rsid w:val="004D5A48"/>
    <w:rsid w:val="004E04B0"/>
    <w:rsid w:val="004F2EC1"/>
    <w:rsid w:val="004F2EE7"/>
    <w:rsid w:val="00511487"/>
    <w:rsid w:val="0051348E"/>
    <w:rsid w:val="00515BD5"/>
    <w:rsid w:val="005458A1"/>
    <w:rsid w:val="00555BB5"/>
    <w:rsid w:val="005705F4"/>
    <w:rsid w:val="00582FFF"/>
    <w:rsid w:val="00583643"/>
    <w:rsid w:val="005971D3"/>
    <w:rsid w:val="005B5C98"/>
    <w:rsid w:val="005B737B"/>
    <w:rsid w:val="005C35BA"/>
    <w:rsid w:val="005D6DCF"/>
    <w:rsid w:val="005F32BA"/>
    <w:rsid w:val="00612A39"/>
    <w:rsid w:val="00623DBC"/>
    <w:rsid w:val="0063370D"/>
    <w:rsid w:val="00634AE6"/>
    <w:rsid w:val="00655CF9"/>
    <w:rsid w:val="006660A6"/>
    <w:rsid w:val="00676D92"/>
    <w:rsid w:val="00681E96"/>
    <w:rsid w:val="00684881"/>
    <w:rsid w:val="006908B3"/>
    <w:rsid w:val="006A12A3"/>
    <w:rsid w:val="006A6B5F"/>
    <w:rsid w:val="006B3796"/>
    <w:rsid w:val="006C77D9"/>
    <w:rsid w:val="006E458F"/>
    <w:rsid w:val="006F357B"/>
    <w:rsid w:val="007264C8"/>
    <w:rsid w:val="00736D77"/>
    <w:rsid w:val="00741974"/>
    <w:rsid w:val="007504A8"/>
    <w:rsid w:val="00754F53"/>
    <w:rsid w:val="00767B00"/>
    <w:rsid w:val="00772160"/>
    <w:rsid w:val="007877C4"/>
    <w:rsid w:val="00795268"/>
    <w:rsid w:val="0079679B"/>
    <w:rsid w:val="007A737D"/>
    <w:rsid w:val="007B0B8B"/>
    <w:rsid w:val="007B4347"/>
    <w:rsid w:val="007D4875"/>
    <w:rsid w:val="007F110B"/>
    <w:rsid w:val="007F6B42"/>
    <w:rsid w:val="007F75F1"/>
    <w:rsid w:val="00800FF1"/>
    <w:rsid w:val="008050F3"/>
    <w:rsid w:val="00805873"/>
    <w:rsid w:val="00810F3B"/>
    <w:rsid w:val="00816529"/>
    <w:rsid w:val="008340F9"/>
    <w:rsid w:val="00854E8D"/>
    <w:rsid w:val="00875907"/>
    <w:rsid w:val="00891A6E"/>
    <w:rsid w:val="008B034E"/>
    <w:rsid w:val="008B039C"/>
    <w:rsid w:val="008D422E"/>
    <w:rsid w:val="008D76F8"/>
    <w:rsid w:val="008D7E0C"/>
    <w:rsid w:val="008E611F"/>
    <w:rsid w:val="008E7AB0"/>
    <w:rsid w:val="008F0C17"/>
    <w:rsid w:val="008F1870"/>
    <w:rsid w:val="00911F13"/>
    <w:rsid w:val="00923E3E"/>
    <w:rsid w:val="00933825"/>
    <w:rsid w:val="009408BE"/>
    <w:rsid w:val="00944C86"/>
    <w:rsid w:val="00951B61"/>
    <w:rsid w:val="00953F8B"/>
    <w:rsid w:val="00970CB2"/>
    <w:rsid w:val="009759A3"/>
    <w:rsid w:val="00984464"/>
    <w:rsid w:val="00991B28"/>
    <w:rsid w:val="009B1FEA"/>
    <w:rsid w:val="009B5131"/>
    <w:rsid w:val="009C2909"/>
    <w:rsid w:val="009D00F1"/>
    <w:rsid w:val="009D047E"/>
    <w:rsid w:val="009D6CEE"/>
    <w:rsid w:val="009F0FEB"/>
    <w:rsid w:val="009F4B2F"/>
    <w:rsid w:val="00A07373"/>
    <w:rsid w:val="00A1048F"/>
    <w:rsid w:val="00A174F4"/>
    <w:rsid w:val="00A222EB"/>
    <w:rsid w:val="00A23C4A"/>
    <w:rsid w:val="00A33B4C"/>
    <w:rsid w:val="00A33C43"/>
    <w:rsid w:val="00A42796"/>
    <w:rsid w:val="00A4661F"/>
    <w:rsid w:val="00A47213"/>
    <w:rsid w:val="00A605DF"/>
    <w:rsid w:val="00A643CA"/>
    <w:rsid w:val="00A66663"/>
    <w:rsid w:val="00AB1469"/>
    <w:rsid w:val="00AB5503"/>
    <w:rsid w:val="00AE0AFC"/>
    <w:rsid w:val="00AE4D0F"/>
    <w:rsid w:val="00B04A68"/>
    <w:rsid w:val="00B47212"/>
    <w:rsid w:val="00B47297"/>
    <w:rsid w:val="00B52B7D"/>
    <w:rsid w:val="00B54AF3"/>
    <w:rsid w:val="00B561AF"/>
    <w:rsid w:val="00B64D21"/>
    <w:rsid w:val="00B722D2"/>
    <w:rsid w:val="00B815E4"/>
    <w:rsid w:val="00B95972"/>
    <w:rsid w:val="00B97E0F"/>
    <w:rsid w:val="00BB56A7"/>
    <w:rsid w:val="00BC42EC"/>
    <w:rsid w:val="00BC4716"/>
    <w:rsid w:val="00BC5527"/>
    <w:rsid w:val="00BD4FB0"/>
    <w:rsid w:val="00BD52E3"/>
    <w:rsid w:val="00C0245A"/>
    <w:rsid w:val="00C11E11"/>
    <w:rsid w:val="00C156FA"/>
    <w:rsid w:val="00C300F9"/>
    <w:rsid w:val="00C404D4"/>
    <w:rsid w:val="00C407EC"/>
    <w:rsid w:val="00C476F5"/>
    <w:rsid w:val="00C5261D"/>
    <w:rsid w:val="00C576C4"/>
    <w:rsid w:val="00C57E17"/>
    <w:rsid w:val="00C64062"/>
    <w:rsid w:val="00C800C7"/>
    <w:rsid w:val="00C9667D"/>
    <w:rsid w:val="00CB7B69"/>
    <w:rsid w:val="00CC2BB3"/>
    <w:rsid w:val="00CC5465"/>
    <w:rsid w:val="00CD556E"/>
    <w:rsid w:val="00CE19BB"/>
    <w:rsid w:val="00CE795A"/>
    <w:rsid w:val="00D03787"/>
    <w:rsid w:val="00D426EF"/>
    <w:rsid w:val="00D443A3"/>
    <w:rsid w:val="00D44AC7"/>
    <w:rsid w:val="00D51A71"/>
    <w:rsid w:val="00D71394"/>
    <w:rsid w:val="00D7289B"/>
    <w:rsid w:val="00D75C12"/>
    <w:rsid w:val="00D95496"/>
    <w:rsid w:val="00DA58D0"/>
    <w:rsid w:val="00DB4359"/>
    <w:rsid w:val="00DC1B07"/>
    <w:rsid w:val="00DC76E6"/>
    <w:rsid w:val="00DD3641"/>
    <w:rsid w:val="00DD4BE7"/>
    <w:rsid w:val="00DF1D0E"/>
    <w:rsid w:val="00E10ADA"/>
    <w:rsid w:val="00E12C6F"/>
    <w:rsid w:val="00E2475B"/>
    <w:rsid w:val="00E43CA8"/>
    <w:rsid w:val="00E44037"/>
    <w:rsid w:val="00E52060"/>
    <w:rsid w:val="00E5685E"/>
    <w:rsid w:val="00E57E3B"/>
    <w:rsid w:val="00E668D6"/>
    <w:rsid w:val="00E73CFD"/>
    <w:rsid w:val="00E77E31"/>
    <w:rsid w:val="00E83A41"/>
    <w:rsid w:val="00E86C41"/>
    <w:rsid w:val="00EA22C5"/>
    <w:rsid w:val="00EB2E25"/>
    <w:rsid w:val="00EB704B"/>
    <w:rsid w:val="00EC08AE"/>
    <w:rsid w:val="00ED7F0E"/>
    <w:rsid w:val="00F07952"/>
    <w:rsid w:val="00F14C9E"/>
    <w:rsid w:val="00F33943"/>
    <w:rsid w:val="00F40990"/>
    <w:rsid w:val="00F43DD2"/>
    <w:rsid w:val="00F46C37"/>
    <w:rsid w:val="00F56CFA"/>
    <w:rsid w:val="00F63649"/>
    <w:rsid w:val="00F85F06"/>
    <w:rsid w:val="00F85FD6"/>
    <w:rsid w:val="00FC0ACD"/>
    <w:rsid w:val="00FC1FE0"/>
    <w:rsid w:val="00FD1A40"/>
    <w:rsid w:val="00FD78D8"/>
    <w:rsid w:val="00FE4CD5"/>
    <w:rsid w:val="00FF0F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89FBD0"/>
  <w15:docId w15:val="{66E36510-DCE3-4528-AFEF-C2A9F685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3370D"/>
    <w:rPr>
      <w:rFonts w:ascii="Arial" w:hAnsi="Arial"/>
      <w:szCs w:val="24"/>
      <w:lang w:val="en-US" w:eastAsia="en-US"/>
    </w:rPr>
  </w:style>
  <w:style w:type="paragraph" w:styleId="Heading1">
    <w:name w:val="heading 1"/>
    <w:basedOn w:val="Normal"/>
    <w:next w:val="Normal"/>
    <w:qFormat/>
    <w:rsid w:val="000B1075"/>
    <w:pPr>
      <w:keepNext/>
      <w:spacing w:before="240" w:after="60"/>
      <w:outlineLvl w:val="0"/>
    </w:pPr>
    <w:rPr>
      <w:rFonts w:cs="Arial"/>
      <w:b/>
      <w:bCs/>
      <w:kern w:val="32"/>
      <w:sz w:val="32"/>
      <w:szCs w:val="32"/>
    </w:rPr>
  </w:style>
  <w:style w:type="paragraph" w:styleId="Heading3">
    <w:name w:val="heading 3"/>
    <w:basedOn w:val="Normal"/>
    <w:next w:val="Normal"/>
    <w:qFormat/>
    <w:rsid w:val="000B1075"/>
    <w:pPr>
      <w:keepNext/>
      <w:spacing w:before="240" w:after="60"/>
      <w:outlineLvl w:val="2"/>
    </w:pPr>
    <w:rPr>
      <w:rFonts w:cs="Arial"/>
      <w:b/>
      <w:bCs/>
      <w:sz w:val="26"/>
      <w:szCs w:val="26"/>
    </w:rPr>
  </w:style>
  <w:style w:type="paragraph" w:styleId="Heading4">
    <w:name w:val="heading 4"/>
    <w:basedOn w:val="Normal"/>
    <w:next w:val="Normal"/>
    <w:qFormat/>
    <w:rsid w:val="0063370D"/>
    <w:pPr>
      <w:keepNext/>
      <w:spacing w:before="180" w:after="60"/>
      <w:outlineLvl w:val="3"/>
    </w:pPr>
    <w:rPr>
      <w:b/>
      <w:bCs/>
      <w:caps/>
      <w:szCs w:val="20"/>
    </w:rPr>
  </w:style>
  <w:style w:type="paragraph" w:styleId="Heading5">
    <w:name w:val="heading 5"/>
    <w:basedOn w:val="BodyText2"/>
    <w:next w:val="Normal"/>
    <w:qFormat/>
    <w:rsid w:val="00046AF7"/>
    <w:pPr>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1974"/>
    <w:rPr>
      <w:color w:val="0000FF"/>
      <w:u w:val="single"/>
    </w:rPr>
  </w:style>
  <w:style w:type="paragraph" w:styleId="BodyText">
    <w:name w:val="Body Text"/>
    <w:basedOn w:val="Normal"/>
    <w:link w:val="BodyTextChar"/>
    <w:rsid w:val="0015292B"/>
    <w:pPr>
      <w:spacing w:after="240"/>
    </w:pPr>
  </w:style>
  <w:style w:type="character" w:customStyle="1" w:styleId="BodyTextChar">
    <w:name w:val="Body Text Char"/>
    <w:basedOn w:val="DefaultParagraphFont"/>
    <w:link w:val="BodyText"/>
    <w:rsid w:val="0015292B"/>
    <w:rPr>
      <w:rFonts w:ascii="Arial" w:hAnsi="Arial"/>
      <w:szCs w:val="24"/>
      <w:lang w:val="en-US" w:eastAsia="en-US" w:bidi="ar-SA"/>
    </w:rPr>
  </w:style>
  <w:style w:type="paragraph" w:styleId="BodyTextIndent">
    <w:name w:val="Body Text Indent"/>
    <w:basedOn w:val="Normal"/>
    <w:link w:val="BodyTextIndentChar"/>
    <w:rsid w:val="0015292B"/>
    <w:pPr>
      <w:spacing w:after="120"/>
      <w:ind w:left="360"/>
    </w:pPr>
  </w:style>
  <w:style w:type="paragraph" w:styleId="BodyTextFirstIndent2">
    <w:name w:val="Body Text First Indent 2"/>
    <w:aliases w:val="Body Text Indent Left .5"/>
    <w:basedOn w:val="Normal"/>
    <w:link w:val="BodyTextFirstIndent2Char"/>
    <w:rsid w:val="00046AF7"/>
    <w:pPr>
      <w:ind w:left="720" w:firstLine="210"/>
    </w:pPr>
  </w:style>
  <w:style w:type="character" w:customStyle="1" w:styleId="BodyTextIndentChar">
    <w:name w:val="Body Text Indent Char"/>
    <w:basedOn w:val="DefaultParagraphFont"/>
    <w:link w:val="BodyTextIndent"/>
    <w:rsid w:val="0015292B"/>
    <w:rPr>
      <w:rFonts w:ascii="Arial" w:hAnsi="Arial"/>
      <w:szCs w:val="24"/>
      <w:lang w:val="en-US" w:eastAsia="en-US" w:bidi="ar-SA"/>
    </w:rPr>
  </w:style>
  <w:style w:type="character" w:customStyle="1" w:styleId="BodyTextFirstIndent2Char">
    <w:name w:val="Body Text First Indent 2 Char"/>
    <w:aliases w:val="Body Text Indent Left .5 Char"/>
    <w:basedOn w:val="BodyTextIndentChar"/>
    <w:link w:val="BodyTextFirstIndent2"/>
    <w:rsid w:val="00046AF7"/>
    <w:rPr>
      <w:rFonts w:ascii="Arial" w:hAnsi="Arial"/>
      <w:szCs w:val="24"/>
      <w:lang w:val="en-US" w:eastAsia="en-US" w:bidi="ar-SA"/>
    </w:rPr>
  </w:style>
  <w:style w:type="paragraph" w:styleId="BodyTextFirstIndent">
    <w:name w:val="Body Text First Indent"/>
    <w:aliases w:val="Body Text First Indent(example)"/>
    <w:basedOn w:val="Normal"/>
    <w:link w:val="BodyTextFirstIndentChar"/>
    <w:rsid w:val="0015292B"/>
    <w:pPr>
      <w:tabs>
        <w:tab w:val="left" w:pos="720"/>
      </w:tabs>
      <w:spacing w:after="120"/>
      <w:ind w:firstLine="210"/>
    </w:pPr>
    <w:rPr>
      <w:color w:val="999999"/>
    </w:rPr>
  </w:style>
  <w:style w:type="character" w:customStyle="1" w:styleId="BodyTextFirstIndentChar">
    <w:name w:val="Body Text First Indent Char"/>
    <w:aliases w:val="Body Text First Indent(example) Char"/>
    <w:basedOn w:val="BodyTextChar"/>
    <w:link w:val="BodyTextFirstIndent"/>
    <w:rsid w:val="0015292B"/>
    <w:rPr>
      <w:rFonts w:ascii="Arial" w:hAnsi="Arial"/>
      <w:color w:val="999999"/>
      <w:szCs w:val="24"/>
      <w:lang w:val="en-US" w:eastAsia="en-US" w:bidi="ar-SA"/>
    </w:rPr>
  </w:style>
  <w:style w:type="paragraph" w:styleId="BodyText2">
    <w:name w:val="Body Text 2"/>
    <w:basedOn w:val="Normal"/>
    <w:rsid w:val="0015292B"/>
    <w:pPr>
      <w:spacing w:before="120" w:after="60"/>
    </w:pPr>
    <w:rPr>
      <w:b/>
    </w:rPr>
  </w:style>
  <w:style w:type="paragraph" w:styleId="BodyText3">
    <w:name w:val="Body Text 3"/>
    <w:basedOn w:val="Normal"/>
    <w:link w:val="BodyText3Char"/>
    <w:rsid w:val="00C5261D"/>
    <w:pPr>
      <w:ind w:left="360"/>
    </w:pPr>
    <w:rPr>
      <w:szCs w:val="16"/>
    </w:rPr>
  </w:style>
  <w:style w:type="character" w:customStyle="1" w:styleId="BodyText3Char">
    <w:name w:val="Body Text 3 Char"/>
    <w:basedOn w:val="DefaultParagraphFont"/>
    <w:link w:val="BodyText3"/>
    <w:rsid w:val="00C5261D"/>
    <w:rPr>
      <w:rFonts w:ascii="Arial" w:hAnsi="Arial"/>
      <w:szCs w:val="16"/>
      <w:lang w:val="en-US" w:eastAsia="en-US" w:bidi="ar-SA"/>
    </w:rPr>
  </w:style>
  <w:style w:type="paragraph" w:styleId="ListBullet3">
    <w:name w:val="List Bullet 3"/>
    <w:basedOn w:val="Normal"/>
    <w:link w:val="ListBullet3Char"/>
    <w:rsid w:val="007B0B8B"/>
    <w:pPr>
      <w:numPr>
        <w:numId w:val="15"/>
      </w:numPr>
    </w:pPr>
  </w:style>
  <w:style w:type="paragraph" w:styleId="ListBullet">
    <w:name w:val="List Bullet"/>
    <w:basedOn w:val="Normal"/>
    <w:rsid w:val="00046AF7"/>
    <w:pPr>
      <w:numPr>
        <w:numId w:val="5"/>
      </w:numPr>
    </w:pPr>
  </w:style>
  <w:style w:type="paragraph" w:styleId="ListBullet2">
    <w:name w:val="List Bullet 2"/>
    <w:basedOn w:val="Normal"/>
    <w:rsid w:val="00046AF7"/>
    <w:pPr>
      <w:numPr>
        <w:numId w:val="6"/>
      </w:numPr>
    </w:pPr>
  </w:style>
  <w:style w:type="paragraph" w:customStyle="1" w:styleId="ListBullet3example">
    <w:name w:val="List Bullet 3 (example)"/>
    <w:basedOn w:val="ListBullet3"/>
    <w:link w:val="ListBullet3exampleChar"/>
    <w:rsid w:val="007B0B8B"/>
    <w:pPr>
      <w:numPr>
        <w:numId w:val="7"/>
      </w:numPr>
    </w:pPr>
    <w:rPr>
      <w:color w:val="999999"/>
    </w:rPr>
  </w:style>
  <w:style w:type="paragraph" w:customStyle="1" w:styleId="BodyText3bold">
    <w:name w:val="Body Text 3 + bold"/>
    <w:basedOn w:val="BodyText3"/>
    <w:link w:val="BodyText3boldChar"/>
    <w:rsid w:val="007B0B8B"/>
    <w:pPr>
      <w:spacing w:after="60"/>
    </w:pPr>
    <w:rPr>
      <w:b/>
    </w:rPr>
  </w:style>
  <w:style w:type="character" w:customStyle="1" w:styleId="BodyText3boldChar">
    <w:name w:val="Body Text 3 + bold Char"/>
    <w:basedOn w:val="BodyText3Char"/>
    <w:link w:val="BodyText3bold"/>
    <w:rsid w:val="007B0B8B"/>
    <w:rPr>
      <w:rFonts w:ascii="Arial" w:hAnsi="Arial"/>
      <w:b/>
      <w:szCs w:val="16"/>
      <w:lang w:val="en-US" w:eastAsia="en-US" w:bidi="ar-SA"/>
    </w:rPr>
  </w:style>
  <w:style w:type="character" w:customStyle="1" w:styleId="ListBullet3Char">
    <w:name w:val="List Bullet 3 Char"/>
    <w:basedOn w:val="DefaultParagraphFont"/>
    <w:link w:val="ListBullet3"/>
    <w:rsid w:val="007B0B8B"/>
    <w:rPr>
      <w:rFonts w:ascii="Arial" w:hAnsi="Arial"/>
      <w:szCs w:val="24"/>
      <w:lang w:val="en-US" w:eastAsia="en-US" w:bidi="ar-SA"/>
    </w:rPr>
  </w:style>
  <w:style w:type="character" w:customStyle="1" w:styleId="ListBullet3exampleChar">
    <w:name w:val="List Bullet 3 (example) Char"/>
    <w:basedOn w:val="ListBullet3Char"/>
    <w:link w:val="ListBullet3example"/>
    <w:rsid w:val="007B0B8B"/>
    <w:rPr>
      <w:rFonts w:ascii="Arial" w:hAnsi="Arial"/>
      <w:color w:val="999999"/>
      <w:szCs w:val="24"/>
      <w:lang w:val="en-US" w:eastAsia="en-US" w:bidi="ar-SA"/>
    </w:rPr>
  </w:style>
  <w:style w:type="paragraph" w:customStyle="1" w:styleId="BodyText3example">
    <w:name w:val="Body Text 3 (example)"/>
    <w:basedOn w:val="BodyText3"/>
    <w:link w:val="BodyText3exampleChar"/>
    <w:rsid w:val="003A0BE0"/>
    <w:rPr>
      <w:color w:val="999999"/>
    </w:rPr>
  </w:style>
  <w:style w:type="paragraph" w:customStyle="1" w:styleId="BodyText3Bold40">
    <w:name w:val="Body Text 3 + Bold 40%"/>
    <w:basedOn w:val="BodyText3bold"/>
    <w:rsid w:val="003A0BE0"/>
    <w:rPr>
      <w:color w:val="999999"/>
    </w:rPr>
  </w:style>
  <w:style w:type="character" w:customStyle="1" w:styleId="BodyText3exampleChar">
    <w:name w:val="Body Text 3 (example) Char"/>
    <w:basedOn w:val="BodyText3Char"/>
    <w:link w:val="BodyText3example"/>
    <w:rsid w:val="003A0BE0"/>
    <w:rPr>
      <w:rFonts w:ascii="Arial" w:hAnsi="Arial"/>
      <w:color w:val="999999"/>
      <w:szCs w:val="16"/>
      <w:lang w:val="en-US" w:eastAsia="en-US" w:bidi="ar-SA"/>
    </w:rPr>
  </w:style>
  <w:style w:type="character" w:styleId="CommentReference">
    <w:name w:val="annotation reference"/>
    <w:basedOn w:val="DefaultParagraphFont"/>
    <w:rsid w:val="00951B61"/>
    <w:rPr>
      <w:sz w:val="16"/>
      <w:szCs w:val="16"/>
    </w:rPr>
  </w:style>
  <w:style w:type="paragraph" w:styleId="CommentText">
    <w:name w:val="annotation text"/>
    <w:basedOn w:val="Normal"/>
    <w:link w:val="CommentTextChar"/>
    <w:rsid w:val="00951B61"/>
    <w:rPr>
      <w:szCs w:val="20"/>
    </w:rPr>
  </w:style>
  <w:style w:type="paragraph" w:styleId="CommentSubject">
    <w:name w:val="annotation subject"/>
    <w:basedOn w:val="CommentText"/>
    <w:next w:val="CommentText"/>
    <w:semiHidden/>
    <w:rsid w:val="00951B61"/>
    <w:rPr>
      <w:b/>
      <w:bCs/>
    </w:rPr>
  </w:style>
  <w:style w:type="paragraph" w:styleId="BalloonText">
    <w:name w:val="Balloon Text"/>
    <w:basedOn w:val="Normal"/>
    <w:semiHidden/>
    <w:rsid w:val="00951B61"/>
    <w:rPr>
      <w:rFonts w:ascii="Tahoma" w:hAnsi="Tahoma" w:cs="Tahoma"/>
      <w:sz w:val="16"/>
      <w:szCs w:val="16"/>
    </w:rPr>
  </w:style>
  <w:style w:type="character" w:styleId="Emphasis">
    <w:name w:val="Emphasis"/>
    <w:basedOn w:val="DefaultParagraphFont"/>
    <w:uiPriority w:val="99"/>
    <w:qFormat/>
    <w:rsid w:val="00795268"/>
    <w:rPr>
      <w:rFonts w:ascii="Calibri" w:hAnsi="Calibri" w:cs="Times New Roman"/>
      <w:b w:val="0"/>
      <w:i/>
      <w:sz w:val="22"/>
    </w:rPr>
  </w:style>
  <w:style w:type="paragraph" w:styleId="NormalIndent">
    <w:name w:val="Normal Indent"/>
    <w:basedOn w:val="Normal"/>
    <w:link w:val="NormalIndentChar"/>
    <w:uiPriority w:val="99"/>
    <w:rsid w:val="00795268"/>
    <w:pPr>
      <w:spacing w:before="120" w:after="120" w:line="220" w:lineRule="atLeast"/>
      <w:ind w:left="709"/>
    </w:pPr>
    <w:rPr>
      <w:rFonts w:ascii="Calibri" w:hAnsi="Calibri"/>
      <w:sz w:val="22"/>
      <w:lang w:val="en-AU" w:eastAsia="en-AU"/>
    </w:rPr>
  </w:style>
  <w:style w:type="character" w:customStyle="1" w:styleId="NormalIndentChar">
    <w:name w:val="Normal Indent Char"/>
    <w:basedOn w:val="DefaultParagraphFont"/>
    <w:link w:val="NormalIndent"/>
    <w:uiPriority w:val="99"/>
    <w:locked/>
    <w:rsid w:val="00795268"/>
    <w:rPr>
      <w:rFonts w:ascii="Calibri" w:hAnsi="Calibri"/>
      <w:sz w:val="22"/>
      <w:szCs w:val="24"/>
    </w:rPr>
  </w:style>
  <w:style w:type="character" w:customStyle="1" w:styleId="CommentTextChar">
    <w:name w:val="Comment Text Char"/>
    <w:basedOn w:val="DefaultParagraphFont"/>
    <w:link w:val="CommentText"/>
    <w:rsid w:val="00311C88"/>
    <w:rPr>
      <w:rFonts w:ascii="Arial" w:hAnsi="Arial"/>
      <w:lang w:val="en-US" w:eastAsia="en-US"/>
    </w:rPr>
  </w:style>
  <w:style w:type="paragraph" w:styleId="Header">
    <w:name w:val="header"/>
    <w:basedOn w:val="Normal"/>
    <w:link w:val="HeaderChar"/>
    <w:unhideWhenUsed/>
    <w:rsid w:val="00F56CFA"/>
    <w:pPr>
      <w:tabs>
        <w:tab w:val="center" w:pos="4513"/>
        <w:tab w:val="right" w:pos="9026"/>
      </w:tabs>
    </w:pPr>
  </w:style>
  <w:style w:type="character" w:customStyle="1" w:styleId="HeaderChar">
    <w:name w:val="Header Char"/>
    <w:basedOn w:val="DefaultParagraphFont"/>
    <w:link w:val="Header"/>
    <w:rsid w:val="00F56CFA"/>
    <w:rPr>
      <w:rFonts w:ascii="Arial" w:hAnsi="Arial"/>
      <w:szCs w:val="24"/>
      <w:lang w:val="en-US" w:eastAsia="en-US"/>
    </w:rPr>
  </w:style>
  <w:style w:type="paragraph" w:styleId="Footer">
    <w:name w:val="footer"/>
    <w:basedOn w:val="Normal"/>
    <w:link w:val="FooterChar"/>
    <w:unhideWhenUsed/>
    <w:rsid w:val="00F56CFA"/>
    <w:pPr>
      <w:tabs>
        <w:tab w:val="center" w:pos="4513"/>
        <w:tab w:val="right" w:pos="9026"/>
      </w:tabs>
    </w:pPr>
  </w:style>
  <w:style w:type="character" w:customStyle="1" w:styleId="FooterChar">
    <w:name w:val="Footer Char"/>
    <w:basedOn w:val="DefaultParagraphFont"/>
    <w:link w:val="Footer"/>
    <w:rsid w:val="00F56CFA"/>
    <w:rPr>
      <w:rFonts w:ascii="Arial" w:hAnsi="Arial"/>
      <w:szCs w:val="24"/>
      <w:lang w:val="en-US" w:eastAsia="en-US"/>
    </w:rPr>
  </w:style>
  <w:style w:type="paragraph" w:styleId="Revision">
    <w:name w:val="Revision"/>
    <w:hidden/>
    <w:uiPriority w:val="99"/>
    <w:semiHidden/>
    <w:rsid w:val="004A5301"/>
    <w:rPr>
      <w:rFonts w:ascii="Arial" w:hAnsi="Arial"/>
      <w:szCs w:val="24"/>
      <w:lang w:val="en-US" w:eastAsia="en-US"/>
    </w:rPr>
  </w:style>
  <w:style w:type="paragraph" w:styleId="ListParagraph">
    <w:name w:val="List Paragraph"/>
    <w:aliases w:val="0Bullet,Body Bullets 1,Bullet Point,Bullet point,Bullet points,Bulleted Para,Content descriptions,L,List Bullet 1,List Paragraph Number,List Paragraph1,List Paragraph11,List Paragraph2,NFP GP Bulleted List,Recommendation,bullet point list"/>
    <w:basedOn w:val="Normal"/>
    <w:link w:val="ListParagraphChar"/>
    <w:uiPriority w:val="34"/>
    <w:qFormat/>
    <w:rsid w:val="00634AE6"/>
    <w:pPr>
      <w:ind w:left="720"/>
      <w:contextualSpacing/>
    </w:pPr>
  </w:style>
  <w:style w:type="character" w:customStyle="1" w:styleId="ListParagraphChar">
    <w:name w:val="List Paragraph Char"/>
    <w:aliases w:val="0Bullet Char,Body Bullets 1 Char,Bullet Point Char,Bullet point Char,Bullet points Char,Bulleted Para Char,Content descriptions Char,L Char,List Bullet 1 Char,List Paragraph Number Char,List Paragraph1 Char,List Paragraph11 Char"/>
    <w:basedOn w:val="DefaultParagraphFont"/>
    <w:link w:val="ListParagraph"/>
    <w:uiPriority w:val="34"/>
    <w:locked/>
    <w:rsid w:val="00E5685E"/>
    <w:rPr>
      <w:rFonts w:ascii="Arial" w:hAnsi="Arial"/>
      <w:szCs w:val="24"/>
      <w:lang w:val="en-US" w:eastAsia="en-US"/>
    </w:rPr>
  </w:style>
  <w:style w:type="character" w:styleId="FollowedHyperlink">
    <w:name w:val="FollowedHyperlink"/>
    <w:basedOn w:val="DefaultParagraphFont"/>
    <w:semiHidden/>
    <w:unhideWhenUsed/>
    <w:rsid w:val="006E458F"/>
    <w:rPr>
      <w:color w:val="800080" w:themeColor="followedHyperlink"/>
      <w:u w:val="single"/>
    </w:rPr>
  </w:style>
  <w:style w:type="paragraph" w:styleId="NormalWeb">
    <w:name w:val="Normal (Web)"/>
    <w:basedOn w:val="Normal"/>
    <w:uiPriority w:val="99"/>
    <w:semiHidden/>
    <w:unhideWhenUsed/>
    <w:rsid w:val="0037147F"/>
    <w:rPr>
      <w:rFonts w:ascii="Times New Roman" w:eastAsiaTheme="minorHAnsi" w:hAnsi="Times New Roman"/>
      <w:sz w:val="24"/>
      <w:lang w:val="en-AU" w:eastAsia="en-AU"/>
    </w:rPr>
  </w:style>
  <w:style w:type="paragraph" w:customStyle="1" w:styleId="Default">
    <w:name w:val="Default"/>
    <w:rsid w:val="00754F53"/>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114356">
      <w:bodyDiv w:val="1"/>
      <w:marLeft w:val="0"/>
      <w:marRight w:val="0"/>
      <w:marTop w:val="0"/>
      <w:marBottom w:val="0"/>
      <w:divBdr>
        <w:top w:val="none" w:sz="0" w:space="0" w:color="auto"/>
        <w:left w:val="none" w:sz="0" w:space="0" w:color="auto"/>
        <w:bottom w:val="none" w:sz="0" w:space="0" w:color="auto"/>
        <w:right w:val="none" w:sz="0" w:space="0" w:color="auto"/>
      </w:divBdr>
    </w:div>
    <w:div w:id="401106781">
      <w:bodyDiv w:val="1"/>
      <w:marLeft w:val="0"/>
      <w:marRight w:val="0"/>
      <w:marTop w:val="0"/>
      <w:marBottom w:val="0"/>
      <w:divBdr>
        <w:top w:val="none" w:sz="0" w:space="0" w:color="auto"/>
        <w:left w:val="none" w:sz="0" w:space="0" w:color="auto"/>
        <w:bottom w:val="none" w:sz="0" w:space="0" w:color="auto"/>
        <w:right w:val="none" w:sz="0" w:space="0" w:color="auto"/>
      </w:divBdr>
    </w:div>
    <w:div w:id="1416242403">
      <w:bodyDiv w:val="1"/>
      <w:marLeft w:val="0"/>
      <w:marRight w:val="0"/>
      <w:marTop w:val="0"/>
      <w:marBottom w:val="0"/>
      <w:divBdr>
        <w:top w:val="none" w:sz="0" w:space="0" w:color="auto"/>
        <w:left w:val="none" w:sz="0" w:space="0" w:color="auto"/>
        <w:bottom w:val="none" w:sz="0" w:space="0" w:color="auto"/>
        <w:right w:val="none" w:sz="0" w:space="0" w:color="auto"/>
      </w:divBdr>
    </w:div>
    <w:div w:id="1870603404">
      <w:bodyDiv w:val="1"/>
      <w:marLeft w:val="0"/>
      <w:marRight w:val="0"/>
      <w:marTop w:val="0"/>
      <w:marBottom w:val="0"/>
      <w:divBdr>
        <w:top w:val="none" w:sz="0" w:space="0" w:color="auto"/>
        <w:left w:val="none" w:sz="0" w:space="0" w:color="auto"/>
        <w:bottom w:val="none" w:sz="0" w:space="0" w:color="auto"/>
        <w:right w:val="none" w:sz="0" w:space="0" w:color="auto"/>
      </w:divBdr>
    </w:div>
    <w:div w:id="197043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rvices.anu.edu.au/education-support/education-data/wellbeing-and-remote-education-survey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nu.edu.au/about/strategic-planning/anu-strategic-plan-2019-202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anu.edu.au/study/apply/domestic-applications-anu-undergraduate?utm_source=homepage&amp;utm_medium=mainbanner&amp;utm_content=ASA&amp;utm_campaign=Brand2018"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nu.edu.au/about/governance/committees/anu-idea-oversight-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4536F3BBE2F484DA5964C6D506E8ECC" ma:contentTypeVersion="" ma:contentTypeDescription="PDMS Document Site Content Type" ma:contentTypeScope="" ma:versionID="8f6a8a3ec32d3aeca81e2fdddb711f10">
  <xsd:schema xmlns:xsd="http://www.w3.org/2001/XMLSchema" xmlns:xs="http://www.w3.org/2001/XMLSchema" xmlns:p="http://schemas.microsoft.com/office/2006/metadata/properties" xmlns:ns2="ACE3D9DF-0D23-4D2D-95DF-DC07378BAFD0" targetNamespace="http://schemas.microsoft.com/office/2006/metadata/properties" ma:root="true" ma:fieldsID="6338bfc25c2eb1c0ebf9a2960eba46f1" ns2:_="">
    <xsd:import namespace="ACE3D9DF-0D23-4D2D-95DF-DC07378BAFD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3D9DF-0D23-4D2D-95DF-DC07378BAFD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CE3D9DF-0D23-4D2D-95DF-DC07378BAFD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90E75-06C6-4210-B4E7-522F86DDE2F1}">
  <ds:schemaRefs>
    <ds:schemaRef ds:uri="http://schemas.microsoft.com/sharepoint/v3/contenttype/forms"/>
  </ds:schemaRefs>
</ds:datastoreItem>
</file>

<file path=customXml/itemProps2.xml><?xml version="1.0" encoding="utf-8"?>
<ds:datastoreItem xmlns:ds="http://schemas.openxmlformats.org/officeDocument/2006/customXml" ds:itemID="{4A5DD8FC-4D41-422C-B9F5-14134F55F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3D9DF-0D23-4D2D-95DF-DC07378BA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B6F213-4C06-430A-B848-E17F61CCB2F4}">
  <ds:schemaRef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elements/1.1/"/>
    <ds:schemaRef ds:uri="http://purl.org/dc/terms/"/>
    <ds:schemaRef ds:uri="ACE3D9DF-0D23-4D2D-95DF-DC07378BAFD0"/>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EB6BC45-3BB5-4CA7-8634-2BE43F18F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3466</Words>
  <Characters>21514</Characters>
  <Application>Microsoft Office Word</Application>
  <DocSecurity>4</DocSecurity>
  <Lines>179</Lines>
  <Paragraphs>49</Paragraphs>
  <ScaleCrop>false</ScaleCrop>
  <HeadingPairs>
    <vt:vector size="2" baseType="variant">
      <vt:variant>
        <vt:lpstr>Title</vt:lpstr>
      </vt:variant>
      <vt:variant>
        <vt:i4>1</vt:i4>
      </vt:variant>
    </vt:vector>
  </HeadingPairs>
  <TitlesOfParts>
    <vt:vector size="1" baseType="lpstr">
      <vt:lpstr>DRAFT Compact Template 2018</vt:lpstr>
    </vt:vector>
  </TitlesOfParts>
  <Company>Australian Government</Company>
  <LinksUpToDate>false</LinksUpToDate>
  <CharactersWithSpaces>24931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Compact Template 2018</dc:title>
  <dc:subject/>
  <dc:creator>Amy McEneny;Cate Hutchinson</dc:creator>
  <cp:keywords>Compacts, 2018, draft</cp:keywords>
  <dc:description/>
  <cp:lastModifiedBy>PIANI,Patrick</cp:lastModifiedBy>
  <cp:revision>2</cp:revision>
  <cp:lastPrinted>2019-10-29T04:32:00Z</cp:lastPrinted>
  <dcterms:created xsi:type="dcterms:W3CDTF">2021-01-12T01:12:00Z</dcterms:created>
  <dcterms:modified xsi:type="dcterms:W3CDTF">2021-01-12T01:12:00Z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TC011949651033</vt:lpwstr>
  </property>
  <property fmtid="{D5CDD505-2E9C-101B-9397-08002B2CF9AE}" pid="3" name="ContentTypeId">
    <vt:lpwstr>0x010100266966F133664895A6EE3632470D45F500D4536F3BBE2F484DA5964C6D506E8ECC</vt:lpwstr>
  </property>
</Properties>
</file>