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82329" w14:textId="77777777" w:rsidR="00A668BF" w:rsidRDefault="00C60222" w:rsidP="00414677">
      <w:pPr>
        <w:ind w:left="709"/>
        <w:sectPr w:rsidR="00A668BF" w:rsidSect="002A7840"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  <w:r w:rsidRPr="00A668BF"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1" locked="1" layoutInCell="1" allowOverlap="1" wp14:anchorId="428250C7" wp14:editId="1C61ADD3">
            <wp:simplePos x="0" y="0"/>
            <wp:positionH relativeFrom="column">
              <wp:posOffset>-476250</wp:posOffset>
            </wp:positionH>
            <wp:positionV relativeFrom="page">
              <wp:posOffset>-25400</wp:posOffset>
            </wp:positionV>
            <wp:extent cx="7592400" cy="2167200"/>
            <wp:effectExtent l="0" t="0" r="0" b="5080"/>
            <wp:wrapNone/>
            <wp:docPr id="7" name="Picture 7" descr="Decorativ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400" cy="21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8BF"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6A562EB9" wp14:editId="1DE34688">
            <wp:simplePos x="0" y="0"/>
            <wp:positionH relativeFrom="column">
              <wp:posOffset>447675</wp:posOffset>
            </wp:positionH>
            <wp:positionV relativeFrom="paragraph">
              <wp:posOffset>1905</wp:posOffset>
            </wp:positionV>
            <wp:extent cx="2331720" cy="716280"/>
            <wp:effectExtent l="0" t="0" r="0" b="7620"/>
            <wp:wrapThrough wrapText="bothSides">
              <wp:wrapPolygon edited="0">
                <wp:start x="2824" y="0"/>
                <wp:lineTo x="1235" y="2872"/>
                <wp:lineTo x="0" y="7468"/>
                <wp:lineTo x="0" y="13787"/>
                <wp:lineTo x="4235" y="18957"/>
                <wp:lineTo x="7235" y="20681"/>
                <wp:lineTo x="14471" y="21255"/>
                <wp:lineTo x="16941" y="21255"/>
                <wp:lineTo x="18882" y="21255"/>
                <wp:lineTo x="20294" y="20106"/>
                <wp:lineTo x="19941" y="18957"/>
                <wp:lineTo x="21353" y="16085"/>
                <wp:lineTo x="21353" y="9766"/>
                <wp:lineTo x="21000" y="5170"/>
                <wp:lineTo x="4235" y="0"/>
                <wp:lineTo x="2824" y="0"/>
              </wp:wrapPolygon>
            </wp:wrapThrough>
            <wp:docPr id="1" name="Picture 1" descr="Australian Government Department of Education, Skills and 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t Education, Skills and Employment_Inline_Rev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98D724" w14:textId="455B1CAD" w:rsidR="00A56FC7" w:rsidRPr="009635BA" w:rsidRDefault="00D52464" w:rsidP="009635BA">
      <w:pPr>
        <w:pStyle w:val="Title"/>
        <w:jc w:val="center"/>
        <w:rPr>
          <w:sz w:val="56"/>
          <w:szCs w:val="52"/>
        </w:rPr>
      </w:pPr>
      <w:r>
        <w:rPr>
          <w:sz w:val="56"/>
          <w:szCs w:val="52"/>
        </w:rPr>
        <w:br/>
      </w:r>
      <w:r w:rsidR="009635BA" w:rsidRPr="009635BA">
        <w:rPr>
          <w:sz w:val="56"/>
          <w:szCs w:val="52"/>
        </w:rPr>
        <w:t>Direct Measure of Income (DMI) Refinement Working Group</w:t>
      </w:r>
    </w:p>
    <w:p w14:paraId="51BC5B4F" w14:textId="72D3A7CC" w:rsidR="00C6788D" w:rsidRPr="00C6788D" w:rsidRDefault="00C6788D" w:rsidP="002D5844">
      <w:pPr>
        <w:jc w:val="both"/>
        <w:rPr>
          <w:rFonts w:ascii="Calibri" w:eastAsia="Times New Roman" w:hAnsi="Calibri" w:cs="Times New Roman"/>
        </w:rPr>
      </w:pPr>
      <w:r w:rsidRPr="00C6788D">
        <w:rPr>
          <w:rFonts w:ascii="Calibri" w:eastAsia="Times New Roman" w:hAnsi="Calibri" w:cs="Times New Roman"/>
        </w:rPr>
        <w:t>The Department of Education, Skills and Employment (the department)</w:t>
      </w:r>
      <w:r w:rsidR="00344C1C">
        <w:rPr>
          <w:rFonts w:ascii="Calibri" w:eastAsia="Times New Roman" w:hAnsi="Calibri" w:cs="Times New Roman"/>
        </w:rPr>
        <w:t xml:space="preserve"> </w:t>
      </w:r>
      <w:r w:rsidRPr="00C6788D">
        <w:rPr>
          <w:rFonts w:ascii="Calibri" w:eastAsia="Times New Roman" w:hAnsi="Calibri" w:cs="Times New Roman"/>
        </w:rPr>
        <w:t xml:space="preserve">established the DMI Refinement Working Group (Working Group) to undertake further work on the DMI methodology. As whole of government data is expected to become increasingly available, further work </w:t>
      </w:r>
      <w:r w:rsidR="00D96649">
        <w:rPr>
          <w:rFonts w:ascii="Calibri" w:eastAsia="Times New Roman" w:hAnsi="Calibri" w:cs="Times New Roman"/>
        </w:rPr>
        <w:t>is being</w:t>
      </w:r>
      <w:r w:rsidRPr="00C6788D">
        <w:rPr>
          <w:rFonts w:ascii="Calibri" w:eastAsia="Times New Roman" w:hAnsi="Calibri" w:cs="Times New Roman"/>
        </w:rPr>
        <w:t xml:space="preserve"> undertaken to explore how innovations in the use and availability of additional Multi-Agency Data Integration Project (MADIP) data could </w:t>
      </w:r>
      <w:r w:rsidR="00344C1C">
        <w:rPr>
          <w:rFonts w:ascii="Calibri" w:eastAsia="Times New Roman" w:hAnsi="Calibri" w:cs="Times New Roman"/>
        </w:rPr>
        <w:t xml:space="preserve">be used to </w:t>
      </w:r>
      <w:r w:rsidRPr="00C6788D">
        <w:rPr>
          <w:rFonts w:ascii="Calibri" w:eastAsia="Times New Roman" w:hAnsi="Calibri" w:cs="Times New Roman"/>
        </w:rPr>
        <w:t xml:space="preserve">further refine the DMI. This will ensure that the DMI continues to be </w:t>
      </w:r>
      <w:r w:rsidR="00D96649">
        <w:rPr>
          <w:rFonts w:ascii="Calibri" w:eastAsia="Times New Roman" w:hAnsi="Calibri" w:cs="Times New Roman"/>
        </w:rPr>
        <w:t>the most</w:t>
      </w:r>
      <w:r w:rsidRPr="00C6788D">
        <w:rPr>
          <w:rFonts w:ascii="Calibri" w:eastAsia="Times New Roman" w:hAnsi="Calibri" w:cs="Times New Roman"/>
        </w:rPr>
        <w:t xml:space="preserve"> reliable and robust measure available to determine </w:t>
      </w:r>
      <w:r w:rsidR="00344C1C">
        <w:rPr>
          <w:rFonts w:ascii="Calibri" w:eastAsia="Times New Roman" w:hAnsi="Calibri" w:cs="Times New Roman"/>
        </w:rPr>
        <w:t xml:space="preserve">the </w:t>
      </w:r>
      <w:r w:rsidR="00D96649">
        <w:rPr>
          <w:rFonts w:ascii="Calibri" w:eastAsia="Times New Roman" w:hAnsi="Calibri" w:cs="Times New Roman"/>
        </w:rPr>
        <w:t>Commonwealth</w:t>
      </w:r>
      <w:r w:rsidR="00344C1C">
        <w:rPr>
          <w:rFonts w:ascii="Calibri" w:eastAsia="Times New Roman" w:hAnsi="Calibri" w:cs="Times New Roman"/>
        </w:rPr>
        <w:t xml:space="preserve">’s contribution to </w:t>
      </w:r>
      <w:r w:rsidRPr="00C6788D">
        <w:rPr>
          <w:rFonts w:ascii="Calibri" w:eastAsia="Times New Roman" w:hAnsi="Calibri" w:cs="Times New Roman"/>
        </w:rPr>
        <w:t xml:space="preserve">non-government school funding. </w:t>
      </w:r>
    </w:p>
    <w:p w14:paraId="042608DF" w14:textId="66328C9A" w:rsidR="009635BA" w:rsidRPr="003469FA" w:rsidRDefault="009635BA" w:rsidP="002D5844">
      <w:pPr>
        <w:pStyle w:val="Heading1"/>
        <w:jc w:val="both"/>
        <w:rPr>
          <w:rFonts w:asciiTheme="minorHAnsi" w:hAnsiTheme="minorHAnsi" w:cstheme="minorHAnsi"/>
          <w:bCs/>
          <w:color w:val="007CAF" w:themeColor="accent1" w:themeTint="BF"/>
          <w:sz w:val="36"/>
          <w:szCs w:val="36"/>
        </w:rPr>
      </w:pPr>
      <w:r w:rsidRPr="003469FA">
        <w:rPr>
          <w:rFonts w:asciiTheme="minorHAnsi" w:hAnsiTheme="minorHAnsi" w:cstheme="minorHAnsi"/>
          <w:bCs/>
          <w:color w:val="007CAF" w:themeColor="accent1" w:themeTint="BF"/>
          <w:sz w:val="36"/>
          <w:szCs w:val="36"/>
        </w:rPr>
        <w:t>Meeting 2 – 2</w:t>
      </w:r>
      <w:r w:rsidR="00CA78FA" w:rsidRPr="003469FA">
        <w:rPr>
          <w:rFonts w:asciiTheme="minorHAnsi" w:hAnsiTheme="minorHAnsi" w:cstheme="minorHAnsi"/>
          <w:bCs/>
          <w:color w:val="007CAF" w:themeColor="accent1" w:themeTint="BF"/>
          <w:sz w:val="36"/>
          <w:szCs w:val="36"/>
        </w:rPr>
        <w:t>5</w:t>
      </w:r>
      <w:r w:rsidRPr="003469FA">
        <w:rPr>
          <w:rFonts w:asciiTheme="minorHAnsi" w:hAnsiTheme="minorHAnsi" w:cstheme="minorHAnsi"/>
          <w:bCs/>
          <w:color w:val="007CAF" w:themeColor="accent1" w:themeTint="BF"/>
          <w:sz w:val="36"/>
          <w:szCs w:val="36"/>
        </w:rPr>
        <w:t xml:space="preserve"> November 2020 – Communique</w:t>
      </w:r>
    </w:p>
    <w:p w14:paraId="1092EBBE" w14:textId="3E9B46ED" w:rsidR="009635BA" w:rsidRDefault="009635BA" w:rsidP="002D5844">
      <w:pPr>
        <w:jc w:val="both"/>
      </w:pPr>
      <w:r>
        <w:t xml:space="preserve">The second meeting of the DMI Refinement Working Group was held via video conference. </w:t>
      </w:r>
    </w:p>
    <w:p w14:paraId="270FD73C" w14:textId="62808AF0" w:rsidR="009635BA" w:rsidRPr="003469FA" w:rsidRDefault="005A1787" w:rsidP="002D5844">
      <w:pPr>
        <w:pStyle w:val="Heading2"/>
        <w:jc w:val="both"/>
        <w:rPr>
          <w:sz w:val="28"/>
          <w:szCs w:val="28"/>
        </w:rPr>
      </w:pPr>
      <w:r w:rsidRPr="003469FA">
        <w:rPr>
          <w:sz w:val="28"/>
          <w:szCs w:val="28"/>
        </w:rPr>
        <w:t xml:space="preserve">Outcomes and action items </w:t>
      </w:r>
      <w:r w:rsidR="00CA78FA" w:rsidRPr="003469FA">
        <w:rPr>
          <w:sz w:val="28"/>
          <w:szCs w:val="28"/>
        </w:rPr>
        <w:t>from</w:t>
      </w:r>
      <w:r w:rsidRPr="003469FA">
        <w:rPr>
          <w:sz w:val="28"/>
          <w:szCs w:val="28"/>
        </w:rPr>
        <w:t xml:space="preserve"> </w:t>
      </w:r>
      <w:r w:rsidR="00CA78FA" w:rsidRPr="003469FA">
        <w:rPr>
          <w:sz w:val="28"/>
          <w:szCs w:val="28"/>
        </w:rPr>
        <w:t>M</w:t>
      </w:r>
      <w:r w:rsidRPr="003469FA">
        <w:rPr>
          <w:sz w:val="28"/>
          <w:szCs w:val="28"/>
        </w:rPr>
        <w:t>eeting 1</w:t>
      </w:r>
    </w:p>
    <w:p w14:paraId="7D5C5453" w14:textId="59E5669D" w:rsidR="009635BA" w:rsidRDefault="009635BA" w:rsidP="002D5844">
      <w:pPr>
        <w:jc w:val="both"/>
      </w:pPr>
      <w:r>
        <w:t xml:space="preserve">The </w:t>
      </w:r>
      <w:r w:rsidR="00D96649">
        <w:t>department</w:t>
      </w:r>
      <w:r w:rsidR="005A1787">
        <w:t xml:space="preserve"> and the Australian Bureau of Statistics (ABS) provided the Working Group with an overview and update on action items from </w:t>
      </w:r>
      <w:r w:rsidR="00CA78FA">
        <w:t>M</w:t>
      </w:r>
      <w:r w:rsidR="005A1787">
        <w:t xml:space="preserve">eeting </w:t>
      </w:r>
      <w:r w:rsidR="00CA78FA">
        <w:t>1</w:t>
      </w:r>
      <w:r w:rsidR="005A1787">
        <w:t xml:space="preserve">. The department </w:t>
      </w:r>
      <w:r w:rsidR="004514BE">
        <w:t xml:space="preserve">will </w:t>
      </w:r>
      <w:r w:rsidR="00C31AF3">
        <w:t xml:space="preserve">publish the </w:t>
      </w:r>
      <w:r w:rsidR="005A1787">
        <w:t>communiques and papers presented at Working Group meetings o</w:t>
      </w:r>
      <w:r w:rsidR="00C31AF3">
        <w:t>n</w:t>
      </w:r>
      <w:r w:rsidR="005A1787">
        <w:t xml:space="preserve"> the department’s website. </w:t>
      </w:r>
    </w:p>
    <w:p w14:paraId="6B8D130A" w14:textId="3A1BDF47" w:rsidR="009635BA" w:rsidRPr="003469FA" w:rsidRDefault="009635BA" w:rsidP="002D5844">
      <w:pPr>
        <w:pStyle w:val="Heading2"/>
        <w:jc w:val="both"/>
        <w:rPr>
          <w:sz w:val="28"/>
          <w:szCs w:val="28"/>
        </w:rPr>
      </w:pPr>
      <w:r w:rsidRPr="003469FA">
        <w:rPr>
          <w:sz w:val="28"/>
          <w:szCs w:val="28"/>
        </w:rPr>
        <w:t>Linkage improvements</w:t>
      </w:r>
    </w:p>
    <w:p w14:paraId="22DE5F78" w14:textId="1B7093FA" w:rsidR="00CA3FCF" w:rsidRDefault="009635BA" w:rsidP="002D5844">
      <w:pPr>
        <w:jc w:val="both"/>
      </w:pPr>
      <w:r>
        <w:t>The ABS</w:t>
      </w:r>
      <w:r w:rsidR="005A1787">
        <w:t xml:space="preserve"> presented </w:t>
      </w:r>
      <w:r w:rsidR="00CA78FA">
        <w:t xml:space="preserve">a paper </w:t>
      </w:r>
      <w:r w:rsidR="00344C1C">
        <w:t xml:space="preserve">on </w:t>
      </w:r>
      <w:r w:rsidR="005A1787">
        <w:t xml:space="preserve">the </w:t>
      </w:r>
      <w:r w:rsidR="00344C1C">
        <w:t xml:space="preserve">areas of </w:t>
      </w:r>
      <w:r w:rsidR="00D96649">
        <w:t>improvements to</w:t>
      </w:r>
      <w:r w:rsidR="00C31AF3">
        <w:t xml:space="preserve"> the annual linkage of the </w:t>
      </w:r>
      <w:r w:rsidR="005A1787">
        <w:t>capacity to contribute (</w:t>
      </w:r>
      <w:r w:rsidR="005A1787" w:rsidRPr="003469FA">
        <w:t>CTC)</w:t>
      </w:r>
      <w:r w:rsidR="00C31AF3" w:rsidRPr="003469FA">
        <w:t xml:space="preserve"> </w:t>
      </w:r>
      <w:r w:rsidR="00BE24AE" w:rsidRPr="003469FA">
        <w:t>Student</w:t>
      </w:r>
      <w:r w:rsidR="00BE24AE">
        <w:t xml:space="preserve"> Residential Address and Other Information </w:t>
      </w:r>
      <w:r w:rsidR="00BE24AE" w:rsidRPr="003469FA">
        <w:t>Collection</w:t>
      </w:r>
      <w:r w:rsidR="00BE24AE" w:rsidRPr="003469FA" w:rsidDel="00BE24AE">
        <w:t xml:space="preserve"> </w:t>
      </w:r>
      <w:r w:rsidR="00C31AF3" w:rsidRPr="003469FA">
        <w:t>to</w:t>
      </w:r>
      <w:r w:rsidR="00C31AF3">
        <w:t xml:space="preserve"> the Multi-Agency Data Integration Project (MADIP) spine</w:t>
      </w:r>
      <w:r w:rsidR="00CA3FCF">
        <w:t xml:space="preserve">. The ABS </w:t>
      </w:r>
      <w:r w:rsidR="006D0FCE">
        <w:t>are</w:t>
      </w:r>
      <w:r w:rsidR="00CA3FCF">
        <w:t xml:space="preserve"> investigat</w:t>
      </w:r>
      <w:r w:rsidR="006D0FCE">
        <w:t>ing</w:t>
      </w:r>
      <w:r w:rsidR="00CA3FCF">
        <w:t xml:space="preserve"> solutions to improve linkage a</w:t>
      </w:r>
      <w:r w:rsidR="00CA78FA">
        <w:t xml:space="preserve">s well as </w:t>
      </w:r>
      <w:r w:rsidR="00CA3FCF">
        <w:t xml:space="preserve">understand why </w:t>
      </w:r>
      <w:r w:rsidR="00CA78FA">
        <w:t xml:space="preserve">some </w:t>
      </w:r>
      <w:r w:rsidR="00CA3FCF">
        <w:t xml:space="preserve">unlinked records </w:t>
      </w:r>
      <w:bookmarkStart w:id="1" w:name="_Hlk59444649"/>
      <w:r w:rsidR="00CA3FCF">
        <w:t xml:space="preserve">do not match to the </w:t>
      </w:r>
      <w:r w:rsidR="00CA78FA">
        <w:t>MADIP</w:t>
      </w:r>
      <w:r w:rsidR="00CA78FA" w:rsidDel="00CA78FA">
        <w:t xml:space="preserve"> </w:t>
      </w:r>
      <w:r w:rsidR="00CA3FCF">
        <w:t>spine</w:t>
      </w:r>
      <w:bookmarkEnd w:id="1"/>
      <w:r w:rsidR="00CA78FA">
        <w:t xml:space="preserve">. This work will investigate the </w:t>
      </w:r>
      <w:r w:rsidR="00E337DD">
        <w:t xml:space="preserve">population </w:t>
      </w:r>
      <w:r w:rsidR="00CA78FA">
        <w:t xml:space="preserve">characteristics of schools with lower linkage rates and inform potential solutions to improve </w:t>
      </w:r>
      <w:r w:rsidR="006D0FCE">
        <w:t xml:space="preserve">linkage outcomes. </w:t>
      </w:r>
      <w:r w:rsidR="00CA3FCF">
        <w:t xml:space="preserve">The Working Group discussed potential sources of data to improve linkage and </w:t>
      </w:r>
      <w:r w:rsidR="00E67280">
        <w:t xml:space="preserve">characteristics of </w:t>
      </w:r>
      <w:r w:rsidR="00CA3FCF">
        <w:t>populations</w:t>
      </w:r>
      <w:r w:rsidR="00E67280">
        <w:t xml:space="preserve"> more likely to no</w:t>
      </w:r>
      <w:r w:rsidR="006D0FCE">
        <w:t>t</w:t>
      </w:r>
      <w:r w:rsidR="00E67280">
        <w:t xml:space="preserve"> be linked</w:t>
      </w:r>
      <w:r w:rsidR="00CA3FCF">
        <w:t xml:space="preserve">.   </w:t>
      </w:r>
    </w:p>
    <w:p w14:paraId="32EB851B" w14:textId="0B665209" w:rsidR="009635BA" w:rsidRPr="003469FA" w:rsidRDefault="009635BA" w:rsidP="002D5844">
      <w:pPr>
        <w:pStyle w:val="Heading2"/>
        <w:jc w:val="both"/>
        <w:rPr>
          <w:sz w:val="28"/>
          <w:szCs w:val="28"/>
        </w:rPr>
      </w:pPr>
      <w:r w:rsidRPr="003469FA">
        <w:rPr>
          <w:sz w:val="28"/>
          <w:szCs w:val="28"/>
        </w:rPr>
        <w:t>Imputation of income approach and potential data sources</w:t>
      </w:r>
    </w:p>
    <w:p w14:paraId="03AFE6E2" w14:textId="2C44B54B" w:rsidR="009635BA" w:rsidRPr="009635BA" w:rsidRDefault="00D93FE7" w:rsidP="002D5844">
      <w:pPr>
        <w:jc w:val="both"/>
      </w:pPr>
      <w:r>
        <w:t>The ABS presented</w:t>
      </w:r>
      <w:r w:rsidR="006D0FCE">
        <w:t xml:space="preserve"> a paper</w:t>
      </w:r>
      <w:r>
        <w:t xml:space="preserve"> on</w:t>
      </w:r>
      <w:r w:rsidR="00E337DD">
        <w:t xml:space="preserve"> a methodology for estimating an </w:t>
      </w:r>
      <w:r w:rsidR="006D0FCE">
        <w:t xml:space="preserve">income where </w:t>
      </w:r>
      <w:r w:rsidR="00E337DD">
        <w:t xml:space="preserve">the income of the </w:t>
      </w:r>
      <w:r w:rsidR="006D0FCE">
        <w:t xml:space="preserve">parent and/or guardian </w:t>
      </w:r>
      <w:r w:rsidR="00E337DD">
        <w:t>is not know</w:t>
      </w:r>
      <w:r w:rsidR="00C6788D">
        <w:t>n</w:t>
      </w:r>
      <w:r w:rsidR="006D0FCE">
        <w:t>.</w:t>
      </w:r>
      <w:r>
        <w:t xml:space="preserve"> </w:t>
      </w:r>
      <w:r w:rsidR="00460CC1">
        <w:t xml:space="preserve">The ABS is currently engaged in two projects to inform the </w:t>
      </w:r>
      <w:r w:rsidR="00C6788D">
        <w:t xml:space="preserve">income estimation (or </w:t>
      </w:r>
      <w:r w:rsidR="00460CC1">
        <w:t>imputation</w:t>
      </w:r>
      <w:r w:rsidR="00C6788D">
        <w:t>)</w:t>
      </w:r>
      <w:r w:rsidR="00460CC1">
        <w:t xml:space="preserve"> strategy for the DMI. The first</w:t>
      </w:r>
      <w:r w:rsidR="006D0FCE">
        <w:t xml:space="preserve"> project</w:t>
      </w:r>
      <w:r w:rsidR="00460CC1">
        <w:t xml:space="preserve"> aims to examine the fitness-for-purpose of using government payments data </w:t>
      </w:r>
      <w:r w:rsidR="00E337DD">
        <w:t>to</w:t>
      </w:r>
      <w:r w:rsidR="00460CC1">
        <w:t xml:space="preserve"> estimat</w:t>
      </w:r>
      <w:r w:rsidR="00E337DD">
        <w:t>e a</w:t>
      </w:r>
      <w:r w:rsidR="00C6788D">
        <w:t>n</w:t>
      </w:r>
      <w:r w:rsidR="00E337DD">
        <w:t xml:space="preserve"> income value </w:t>
      </w:r>
      <w:r w:rsidR="00515849">
        <w:t>for those whose taxation data is not available.</w:t>
      </w:r>
      <w:r w:rsidR="00460CC1">
        <w:t xml:space="preserve"> The second </w:t>
      </w:r>
      <w:r w:rsidR="0076604F">
        <w:t xml:space="preserve">project </w:t>
      </w:r>
      <w:r w:rsidR="00460CC1">
        <w:t xml:space="preserve">explores the use of statistical modelling to </w:t>
      </w:r>
      <w:r w:rsidR="00E337DD">
        <w:t xml:space="preserve">estimate an income value for those </w:t>
      </w:r>
      <w:r w:rsidR="003579AD">
        <w:t xml:space="preserve">who </w:t>
      </w:r>
      <w:r w:rsidR="003579AD" w:rsidRPr="00DA6977">
        <w:t>do</w:t>
      </w:r>
      <w:r w:rsidR="00DA6977">
        <w:t xml:space="preserve"> not </w:t>
      </w:r>
      <w:r w:rsidR="00DA6977" w:rsidRPr="002A0B29">
        <w:t>match</w:t>
      </w:r>
      <w:r w:rsidR="00DA6977">
        <w:t xml:space="preserve"> to the MADIP</w:t>
      </w:r>
      <w:r w:rsidR="00DA6977" w:rsidDel="00CA78FA">
        <w:t xml:space="preserve"> </w:t>
      </w:r>
      <w:r w:rsidR="00DA6977">
        <w:t>spine or are missing from taxation and government payment data</w:t>
      </w:r>
      <w:r w:rsidR="00344C1C">
        <w:t xml:space="preserve">. </w:t>
      </w:r>
      <w:r w:rsidR="001B05EE">
        <w:t>The Working Group discussed other potential Australian Government income data that could be used</w:t>
      </w:r>
      <w:r>
        <w:t xml:space="preserve"> </w:t>
      </w:r>
      <w:r w:rsidR="00E337DD">
        <w:t>to estimate</w:t>
      </w:r>
      <w:r>
        <w:t xml:space="preserve"> income</w:t>
      </w:r>
      <w:r w:rsidR="001B05EE">
        <w:t xml:space="preserve">. </w:t>
      </w:r>
      <w:r w:rsidR="00584089">
        <w:t>The ABS will present further findings at the next Working Group meeting</w:t>
      </w:r>
      <w:r w:rsidR="0076604F">
        <w:t xml:space="preserve"> in January 2021</w:t>
      </w:r>
      <w:r w:rsidR="00230E0C">
        <w:t xml:space="preserve">. </w:t>
      </w:r>
    </w:p>
    <w:sectPr w:rsidR="009635BA" w:rsidRPr="009635BA" w:rsidSect="008507C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90102" w14:textId="77777777" w:rsidR="000C02A4" w:rsidRDefault="000C02A4" w:rsidP="0051352E">
      <w:pPr>
        <w:spacing w:after="0" w:line="240" w:lineRule="auto"/>
      </w:pPr>
      <w:r>
        <w:separator/>
      </w:r>
    </w:p>
  </w:endnote>
  <w:endnote w:type="continuationSeparator" w:id="0">
    <w:p w14:paraId="44EAD7E5" w14:textId="77777777" w:rsidR="000C02A4" w:rsidRDefault="000C02A4" w:rsidP="0051352E">
      <w:pPr>
        <w:spacing w:after="0" w:line="240" w:lineRule="auto"/>
      </w:pPr>
      <w:r>
        <w:continuationSeparator/>
      </w:r>
    </w:p>
  </w:endnote>
  <w:endnote w:type="continuationNotice" w:id="1">
    <w:p w14:paraId="643175BD" w14:textId="77777777" w:rsidR="000C02A4" w:rsidRDefault="000C02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33FD4" w14:textId="77777777" w:rsidR="000C02A4" w:rsidRDefault="000C02A4" w:rsidP="0051352E">
      <w:pPr>
        <w:spacing w:after="0" w:line="240" w:lineRule="auto"/>
      </w:pPr>
      <w:r>
        <w:separator/>
      </w:r>
    </w:p>
  </w:footnote>
  <w:footnote w:type="continuationSeparator" w:id="0">
    <w:p w14:paraId="0290F6C7" w14:textId="77777777" w:rsidR="000C02A4" w:rsidRDefault="000C02A4" w:rsidP="0051352E">
      <w:pPr>
        <w:spacing w:after="0" w:line="240" w:lineRule="auto"/>
      </w:pPr>
      <w:r>
        <w:continuationSeparator/>
      </w:r>
    </w:p>
  </w:footnote>
  <w:footnote w:type="continuationNotice" w:id="1">
    <w:p w14:paraId="5EAF9862" w14:textId="77777777" w:rsidR="000C02A4" w:rsidRDefault="000C02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805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322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DCA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3066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BC3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8A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8F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523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BA"/>
    <w:rsid w:val="00052BBC"/>
    <w:rsid w:val="000A453D"/>
    <w:rsid w:val="000C02A4"/>
    <w:rsid w:val="000F4F02"/>
    <w:rsid w:val="00142D29"/>
    <w:rsid w:val="00157F35"/>
    <w:rsid w:val="001B05EE"/>
    <w:rsid w:val="00217EAB"/>
    <w:rsid w:val="0022498C"/>
    <w:rsid w:val="00230E0C"/>
    <w:rsid w:val="002724D0"/>
    <w:rsid w:val="0029398C"/>
    <w:rsid w:val="002A0B29"/>
    <w:rsid w:val="002A7840"/>
    <w:rsid w:val="002B1CE5"/>
    <w:rsid w:val="002D5844"/>
    <w:rsid w:val="002F4DB3"/>
    <w:rsid w:val="003059F8"/>
    <w:rsid w:val="00344C1C"/>
    <w:rsid w:val="003469FA"/>
    <w:rsid w:val="00350FFA"/>
    <w:rsid w:val="003579AD"/>
    <w:rsid w:val="00382F07"/>
    <w:rsid w:val="00414677"/>
    <w:rsid w:val="004514BE"/>
    <w:rsid w:val="00453C04"/>
    <w:rsid w:val="00460CC1"/>
    <w:rsid w:val="00497764"/>
    <w:rsid w:val="0051352E"/>
    <w:rsid w:val="00515849"/>
    <w:rsid w:val="00517DA7"/>
    <w:rsid w:val="00520A33"/>
    <w:rsid w:val="00527AE4"/>
    <w:rsid w:val="0055569D"/>
    <w:rsid w:val="005647CE"/>
    <w:rsid w:val="00584089"/>
    <w:rsid w:val="005A1787"/>
    <w:rsid w:val="005D7CE7"/>
    <w:rsid w:val="00610A38"/>
    <w:rsid w:val="00630DDF"/>
    <w:rsid w:val="006D0FCE"/>
    <w:rsid w:val="006E5D6E"/>
    <w:rsid w:val="00721B03"/>
    <w:rsid w:val="007570DC"/>
    <w:rsid w:val="0076604F"/>
    <w:rsid w:val="007B1ABA"/>
    <w:rsid w:val="007B4C0D"/>
    <w:rsid w:val="007B6702"/>
    <w:rsid w:val="007B74C5"/>
    <w:rsid w:val="0082721B"/>
    <w:rsid w:val="008507C1"/>
    <w:rsid w:val="00861934"/>
    <w:rsid w:val="00872969"/>
    <w:rsid w:val="008F0AC9"/>
    <w:rsid w:val="0093473D"/>
    <w:rsid w:val="00944ECC"/>
    <w:rsid w:val="009635BA"/>
    <w:rsid w:val="00967FC4"/>
    <w:rsid w:val="00972F57"/>
    <w:rsid w:val="00995280"/>
    <w:rsid w:val="00A24E6E"/>
    <w:rsid w:val="00A43694"/>
    <w:rsid w:val="00A56FC7"/>
    <w:rsid w:val="00A668BF"/>
    <w:rsid w:val="00A72575"/>
    <w:rsid w:val="00A74071"/>
    <w:rsid w:val="00A754E4"/>
    <w:rsid w:val="00AA124A"/>
    <w:rsid w:val="00AA2A96"/>
    <w:rsid w:val="00B100CC"/>
    <w:rsid w:val="00B6689D"/>
    <w:rsid w:val="00B72368"/>
    <w:rsid w:val="00BE24AE"/>
    <w:rsid w:val="00C1758D"/>
    <w:rsid w:val="00C31AF3"/>
    <w:rsid w:val="00C54D58"/>
    <w:rsid w:val="00C573E1"/>
    <w:rsid w:val="00C60222"/>
    <w:rsid w:val="00C6788D"/>
    <w:rsid w:val="00C736D3"/>
    <w:rsid w:val="00C92015"/>
    <w:rsid w:val="00C95DF6"/>
    <w:rsid w:val="00CA3FCF"/>
    <w:rsid w:val="00CA78FA"/>
    <w:rsid w:val="00D52464"/>
    <w:rsid w:val="00D706FA"/>
    <w:rsid w:val="00D93FE7"/>
    <w:rsid w:val="00D96649"/>
    <w:rsid w:val="00DA1B7B"/>
    <w:rsid w:val="00DA6977"/>
    <w:rsid w:val="00DB79DF"/>
    <w:rsid w:val="00E337DD"/>
    <w:rsid w:val="00E67280"/>
    <w:rsid w:val="00EA32F7"/>
    <w:rsid w:val="00F230CD"/>
    <w:rsid w:val="00F51C18"/>
    <w:rsid w:val="00F73EDD"/>
    <w:rsid w:val="00FA31E2"/>
    <w:rsid w:val="00FF5B70"/>
    <w:rsid w:val="00FF5BB9"/>
    <w:rsid w:val="3CB02B66"/>
    <w:rsid w:val="6183B7D4"/>
    <w:rsid w:val="6373A7C9"/>
    <w:rsid w:val="68F7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0C9382E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1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4DB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1C18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3437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69D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287DB2" w:themeColor="accent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C18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827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610A38"/>
    <w:pPr>
      <w:spacing w:before="1800" w:after="0"/>
    </w:pPr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610A38"/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2B1CE5"/>
    <w:pPr>
      <w:numPr>
        <w:ilvl w:val="1"/>
      </w:numPr>
      <w:spacing w:after="0"/>
    </w:pPr>
    <w:rPr>
      <w:rFonts w:ascii="Calibri" w:eastAsiaTheme="minorEastAsia" w:hAnsi="Calibri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B100CC"/>
    <w:rPr>
      <w:rFonts w:ascii="Calibri" w:eastAsiaTheme="minorEastAsia" w:hAnsi="Calibri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51C18"/>
    <w:rPr>
      <w:rFonts w:ascii="Calibri" w:eastAsiaTheme="majorEastAsia" w:hAnsi="Calibri" w:cstheme="majorBidi"/>
      <w:b/>
      <w:color w:val="34374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569D"/>
    <w:rPr>
      <w:rFonts w:ascii="Calibri" w:eastAsiaTheme="majorEastAsia" w:hAnsi="Calibri" w:cstheme="majorBidi"/>
      <w:b/>
      <w:color w:val="287DB2" w:themeColor="accent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1C18"/>
    <w:rPr>
      <w:rFonts w:ascii="Calibri" w:eastAsiaTheme="majorEastAsia" w:hAnsi="Calibri" w:cstheme="majorBidi"/>
      <w:color w:val="00827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B100CC"/>
    <w:rPr>
      <w:color w:val="287BB3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22498C"/>
    <w:rPr>
      <w:sz w:val="18"/>
    </w:rPr>
  </w:style>
  <w:style w:type="table" w:customStyle="1" w:styleId="DESE">
    <w:name w:val="DESE"/>
    <w:basedOn w:val="TableNormal"/>
    <w:uiPriority w:val="99"/>
    <w:rsid w:val="0055569D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002D3F" w:themeFill="text2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A56FC7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app.application.enet\OfficeTemplates\DESE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2C9804508E848925AE7F7B9687CB2" ma:contentTypeVersion="10" ma:contentTypeDescription="Create a new document." ma:contentTypeScope="" ma:versionID="69bcb152a56893ebeae2acca7ad5e195">
  <xsd:schema xmlns:xsd="http://www.w3.org/2001/XMLSchema" xmlns:xs="http://www.w3.org/2001/XMLSchema" xmlns:p="http://schemas.microsoft.com/office/2006/metadata/properties" xmlns:ns3="c0fd65f7-4e73-4983-bb21-592ea7224115" targetNamespace="http://schemas.microsoft.com/office/2006/metadata/properties" ma:root="true" ma:fieldsID="92d608cf293e0cd7f94ea42e9076e6a9" ns3:_="">
    <xsd:import namespace="c0fd65f7-4e73-4983-bb21-592ea72241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65f7-4e73-4983-bb21-592ea722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6226-3EAF-46C5-B0F2-A2410F07452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0fd65f7-4e73-4983-bb21-592ea722411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BF1BF-F853-4BA7-B89C-2D114134B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65f7-4e73-4983-bb21-592ea7224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F3B09D-7D96-439F-B954-EE34F5B9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Template.dotx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Template</vt:lpstr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Template</dc:title>
  <dc:subject/>
  <dc:creator/>
  <cp:keywords/>
  <dc:description/>
  <cp:lastModifiedBy/>
  <cp:revision>1</cp:revision>
  <dcterms:created xsi:type="dcterms:W3CDTF">2020-12-22T04:09:00Z</dcterms:created>
  <dcterms:modified xsi:type="dcterms:W3CDTF">2020-12-22T04:09:00Z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0x0101001F02C9804508E848925AE7F7B9687CB2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</Properties>
</file>