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6F6E" w14:textId="77777777" w:rsidR="00107DD5" w:rsidRDefault="00221D8F" w:rsidP="00CA4815">
      <w:r w:rsidRPr="00CA4815">
        <w:rPr>
          <w:b/>
          <w:bCs/>
          <w:noProof/>
        </w:rPr>
        <w:drawing>
          <wp:anchor distT="0" distB="0" distL="114300" distR="114300" simplePos="0" relativeHeight="251658240" behindDoc="1" locked="1" layoutInCell="1" allowOverlap="1" wp14:anchorId="682CD62D" wp14:editId="1B217A7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E638283" wp14:editId="7A92DBA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82834051"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53E92958F00D4A3FB3EBC5E851EE2C84"/>
        </w:placeholder>
        <w:dataBinding w:prefixMappings="xmlns:ns0='http://purl.org/dc/elements/1.1/' xmlns:ns1='http://schemas.openxmlformats.org/package/2006/metadata/core-properties' " w:xpath="/ns1:coreProperties[1]/ns0:title[1]" w:storeItemID="{6C3C8BC8-F283-45AE-878A-BAB7291924A1}"/>
        <w:text/>
      </w:sdtPr>
      <w:sdtEndPr/>
      <w:sdtContent>
        <w:p w14:paraId="3832AD26" w14:textId="3A8A29A9" w:rsidR="00221D8F" w:rsidRDefault="00BF78CF" w:rsidP="00221D8F">
          <w:pPr>
            <w:pStyle w:val="Heading1"/>
          </w:pPr>
          <w:r>
            <w:rPr>
              <w:rFonts w:eastAsiaTheme="minorHAnsi"/>
            </w:rPr>
            <w:t xml:space="preserve">Calculation of </w:t>
          </w:r>
          <w:r w:rsidR="00921DBE">
            <w:rPr>
              <w:rFonts w:eastAsiaTheme="minorHAnsi"/>
            </w:rPr>
            <w:t>R</w:t>
          </w:r>
          <w:r>
            <w:rPr>
              <w:rFonts w:eastAsiaTheme="minorHAnsi"/>
            </w:rPr>
            <w:t xml:space="preserve">esearch </w:t>
          </w:r>
          <w:r w:rsidR="00DE161D">
            <w:rPr>
              <w:rFonts w:eastAsiaTheme="minorHAnsi"/>
            </w:rPr>
            <w:t>Training</w:t>
          </w:r>
          <w:r>
            <w:rPr>
              <w:rFonts w:eastAsiaTheme="minorHAnsi"/>
            </w:rPr>
            <w:t xml:space="preserve"> Program </w:t>
          </w:r>
          <w:r w:rsidR="00C62E9B">
            <w:rPr>
              <w:rFonts w:eastAsiaTheme="minorHAnsi"/>
            </w:rPr>
            <w:t>allocations</w:t>
          </w:r>
        </w:p>
      </w:sdtContent>
    </w:sdt>
    <w:bookmarkEnd w:id="0" w:displacedByCustomXml="prev"/>
    <w:bookmarkEnd w:id="1" w:displacedByCustomXml="prev"/>
    <w:bookmarkEnd w:id="2" w:displacedByCustomXml="prev"/>
    <w:p w14:paraId="0B294AA6" w14:textId="1CF0AF07" w:rsidR="0017134D" w:rsidRDefault="00BF78CF" w:rsidP="00EB4C2F">
      <w:pPr>
        <w:pStyle w:val="Subtitle"/>
      </w:pPr>
      <w:r>
        <w:t xml:space="preserve">This document </w:t>
      </w:r>
      <w:r w:rsidR="00921DBE">
        <w:t>is a</w:t>
      </w:r>
      <w:r>
        <w:t xml:space="preserve"> practical guide on </w:t>
      </w:r>
      <w:r w:rsidR="00921DBE">
        <w:t>the calculation of</w:t>
      </w:r>
      <w:r>
        <w:t xml:space="preserve"> Research </w:t>
      </w:r>
      <w:r w:rsidR="00243495">
        <w:t xml:space="preserve">Training </w:t>
      </w:r>
      <w:r>
        <w:t>Program funding for</w:t>
      </w:r>
      <w:r w:rsidR="00921DBE">
        <w:t xml:space="preserve"> the</w:t>
      </w:r>
      <w:r>
        <w:t xml:space="preserve"> 202</w:t>
      </w:r>
      <w:r w:rsidR="00DE161D">
        <w:t>4</w:t>
      </w:r>
      <w:r>
        <w:t xml:space="preserve"> to 2025 grant years</w:t>
      </w:r>
    </w:p>
    <w:p w14:paraId="4A216C7D" w14:textId="77777777" w:rsidR="00107D87" w:rsidRDefault="00107D87">
      <w:pPr>
        <w:sectPr w:rsidR="00107D87" w:rsidSect="00221D8F">
          <w:pgSz w:w="11906" w:h="16838"/>
          <w:pgMar w:top="1814" w:right="1440" w:bottom="1440" w:left="1440" w:header="709" w:footer="709" w:gutter="0"/>
          <w:cols w:space="708"/>
          <w:docGrid w:linePitch="360"/>
        </w:sectPr>
      </w:pPr>
    </w:p>
    <w:p w14:paraId="47B9EF70" w14:textId="77777777" w:rsidR="0017134D" w:rsidRDefault="00107D87" w:rsidP="0017134D">
      <w:r>
        <w:rPr>
          <w:noProof/>
        </w:rPr>
        <w:lastRenderedPageBreak/>
        <w:drawing>
          <wp:inline distT="0" distB="0" distL="0" distR="0" wp14:anchorId="6F010CC0" wp14:editId="16530A6D">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3237D18"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382E0A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EF145D5" w14:textId="5C70C720" w:rsidR="0017134D" w:rsidRDefault="0017134D" w:rsidP="0017134D">
      <w:r>
        <w:t>The document must be attributed as the (</w:t>
      </w:r>
      <w:r w:rsidR="00921DBE">
        <w:t xml:space="preserve">Calculation of Research </w:t>
      </w:r>
      <w:r w:rsidR="00DE161D">
        <w:t>Training</w:t>
      </w:r>
      <w:r w:rsidR="00921DBE">
        <w:t xml:space="preserve"> Program allocations</w:t>
      </w:r>
      <w:r>
        <w:t>).</w:t>
      </w:r>
    </w:p>
    <w:p w14:paraId="5910A3B7"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204282029"/>
        <w:docPartObj>
          <w:docPartGallery w:val="Table of Contents"/>
          <w:docPartUnique/>
        </w:docPartObj>
      </w:sdtPr>
      <w:sdtEndPr/>
      <w:sdtContent>
        <w:p w14:paraId="20FC3CDF" w14:textId="43801648" w:rsidR="004A0722" w:rsidRDefault="004A0722">
          <w:pPr>
            <w:pStyle w:val="TOCHeading"/>
          </w:pPr>
          <w:r>
            <w:t>Contents</w:t>
          </w:r>
        </w:p>
        <w:p w14:paraId="5E9D8A1C" w14:textId="4C064EA5" w:rsidR="005E63EC" w:rsidRDefault="004A0722">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\o "2-3" \h \z \u </w:instrText>
          </w:r>
          <w:r>
            <w:fldChar w:fldCharType="separate"/>
          </w:r>
          <w:hyperlink w:anchor="_Toc182909475" w:history="1">
            <w:r w:rsidR="005E63EC" w:rsidRPr="00AB1DF2">
              <w:rPr>
                <w:rStyle w:val="Hyperlink"/>
                <w:noProof/>
              </w:rPr>
              <w:t>Overview</w:t>
            </w:r>
            <w:r w:rsidR="005E63EC">
              <w:rPr>
                <w:noProof/>
                <w:webHidden/>
              </w:rPr>
              <w:tab/>
            </w:r>
            <w:r w:rsidR="005E63EC">
              <w:rPr>
                <w:noProof/>
                <w:webHidden/>
              </w:rPr>
              <w:fldChar w:fldCharType="begin"/>
            </w:r>
            <w:r w:rsidR="005E63EC">
              <w:rPr>
                <w:noProof/>
                <w:webHidden/>
              </w:rPr>
              <w:instrText xml:space="preserve"> PAGEREF _Toc182909475 \h </w:instrText>
            </w:r>
            <w:r w:rsidR="005E63EC">
              <w:rPr>
                <w:noProof/>
                <w:webHidden/>
              </w:rPr>
            </w:r>
            <w:r w:rsidR="005E63EC">
              <w:rPr>
                <w:noProof/>
                <w:webHidden/>
              </w:rPr>
              <w:fldChar w:fldCharType="separate"/>
            </w:r>
            <w:r w:rsidR="00607D38">
              <w:rPr>
                <w:noProof/>
                <w:webHidden/>
              </w:rPr>
              <w:t>4</w:t>
            </w:r>
            <w:r w:rsidR="005E63EC">
              <w:rPr>
                <w:noProof/>
                <w:webHidden/>
              </w:rPr>
              <w:fldChar w:fldCharType="end"/>
            </w:r>
          </w:hyperlink>
        </w:p>
        <w:p w14:paraId="5CC84C21" w14:textId="0DE80530"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76" w:history="1">
            <w:r w:rsidRPr="00AB1DF2">
              <w:rPr>
                <w:rStyle w:val="Hyperlink"/>
                <w:noProof/>
              </w:rPr>
              <w:t>Data used</w:t>
            </w:r>
            <w:r>
              <w:rPr>
                <w:noProof/>
                <w:webHidden/>
              </w:rPr>
              <w:tab/>
            </w:r>
            <w:r>
              <w:rPr>
                <w:noProof/>
                <w:webHidden/>
              </w:rPr>
              <w:fldChar w:fldCharType="begin"/>
            </w:r>
            <w:r>
              <w:rPr>
                <w:noProof/>
                <w:webHidden/>
              </w:rPr>
              <w:instrText xml:space="preserve"> PAGEREF _Toc182909476 \h </w:instrText>
            </w:r>
            <w:r>
              <w:rPr>
                <w:noProof/>
                <w:webHidden/>
              </w:rPr>
            </w:r>
            <w:r>
              <w:rPr>
                <w:noProof/>
                <w:webHidden/>
              </w:rPr>
              <w:fldChar w:fldCharType="separate"/>
            </w:r>
            <w:r w:rsidR="00607D38">
              <w:rPr>
                <w:noProof/>
                <w:webHidden/>
              </w:rPr>
              <w:t>5</w:t>
            </w:r>
            <w:r>
              <w:rPr>
                <w:noProof/>
                <w:webHidden/>
              </w:rPr>
              <w:fldChar w:fldCharType="end"/>
            </w:r>
          </w:hyperlink>
        </w:p>
        <w:p w14:paraId="0B1D86C7" w14:textId="582CD786"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7" w:history="1">
            <w:r w:rsidRPr="00AB1DF2">
              <w:rPr>
                <w:rStyle w:val="Hyperlink"/>
                <w:noProof/>
              </w:rPr>
              <w:t>Research and development income</w:t>
            </w:r>
            <w:r>
              <w:rPr>
                <w:noProof/>
                <w:webHidden/>
              </w:rPr>
              <w:tab/>
            </w:r>
            <w:r>
              <w:rPr>
                <w:noProof/>
                <w:webHidden/>
              </w:rPr>
              <w:fldChar w:fldCharType="begin"/>
            </w:r>
            <w:r>
              <w:rPr>
                <w:noProof/>
                <w:webHidden/>
              </w:rPr>
              <w:instrText xml:space="preserve"> PAGEREF _Toc182909477 \h </w:instrText>
            </w:r>
            <w:r>
              <w:rPr>
                <w:noProof/>
                <w:webHidden/>
              </w:rPr>
            </w:r>
            <w:r>
              <w:rPr>
                <w:noProof/>
                <w:webHidden/>
              </w:rPr>
              <w:fldChar w:fldCharType="separate"/>
            </w:r>
            <w:r w:rsidR="00607D38">
              <w:rPr>
                <w:noProof/>
                <w:webHidden/>
              </w:rPr>
              <w:t>5</w:t>
            </w:r>
            <w:r>
              <w:rPr>
                <w:noProof/>
                <w:webHidden/>
              </w:rPr>
              <w:fldChar w:fldCharType="end"/>
            </w:r>
          </w:hyperlink>
        </w:p>
        <w:p w14:paraId="06C82C48" w14:textId="17BA0C3C"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8" w:history="1">
            <w:r w:rsidRPr="00AB1DF2">
              <w:rPr>
                <w:rStyle w:val="Hyperlink"/>
                <w:noProof/>
              </w:rPr>
              <w:t>Weighted HDR student completions</w:t>
            </w:r>
            <w:r>
              <w:rPr>
                <w:noProof/>
                <w:webHidden/>
              </w:rPr>
              <w:tab/>
            </w:r>
            <w:r>
              <w:rPr>
                <w:noProof/>
                <w:webHidden/>
              </w:rPr>
              <w:fldChar w:fldCharType="begin"/>
            </w:r>
            <w:r>
              <w:rPr>
                <w:noProof/>
                <w:webHidden/>
              </w:rPr>
              <w:instrText xml:space="preserve"> PAGEREF _Toc182909478 \h </w:instrText>
            </w:r>
            <w:r>
              <w:rPr>
                <w:noProof/>
                <w:webHidden/>
              </w:rPr>
            </w:r>
            <w:r>
              <w:rPr>
                <w:noProof/>
                <w:webHidden/>
              </w:rPr>
              <w:fldChar w:fldCharType="separate"/>
            </w:r>
            <w:r w:rsidR="00607D38">
              <w:rPr>
                <w:noProof/>
                <w:webHidden/>
              </w:rPr>
              <w:t>5</w:t>
            </w:r>
            <w:r>
              <w:rPr>
                <w:noProof/>
                <w:webHidden/>
              </w:rPr>
              <w:fldChar w:fldCharType="end"/>
            </w:r>
          </w:hyperlink>
        </w:p>
        <w:p w14:paraId="48576B2C" w14:textId="1A33C7D8"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9" w:history="1">
            <w:r w:rsidRPr="00AB1DF2">
              <w:rPr>
                <w:rStyle w:val="Hyperlink"/>
                <w:noProof/>
              </w:rPr>
              <w:t>Funding pools</w:t>
            </w:r>
            <w:r>
              <w:rPr>
                <w:noProof/>
                <w:webHidden/>
              </w:rPr>
              <w:tab/>
            </w:r>
            <w:r>
              <w:rPr>
                <w:noProof/>
                <w:webHidden/>
              </w:rPr>
              <w:fldChar w:fldCharType="begin"/>
            </w:r>
            <w:r>
              <w:rPr>
                <w:noProof/>
                <w:webHidden/>
              </w:rPr>
              <w:instrText xml:space="preserve"> PAGEREF _Toc182909479 \h </w:instrText>
            </w:r>
            <w:r>
              <w:rPr>
                <w:noProof/>
                <w:webHidden/>
              </w:rPr>
            </w:r>
            <w:r>
              <w:rPr>
                <w:noProof/>
                <w:webHidden/>
              </w:rPr>
              <w:fldChar w:fldCharType="separate"/>
            </w:r>
            <w:r w:rsidR="00607D38">
              <w:rPr>
                <w:noProof/>
                <w:webHidden/>
              </w:rPr>
              <w:t>6</w:t>
            </w:r>
            <w:r>
              <w:rPr>
                <w:noProof/>
                <w:webHidden/>
              </w:rPr>
              <w:fldChar w:fldCharType="end"/>
            </w:r>
          </w:hyperlink>
        </w:p>
        <w:p w14:paraId="5CB7467B" w14:textId="751ACE5F"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0" w:history="1">
            <w:r w:rsidRPr="00AB1DF2">
              <w:rPr>
                <w:rStyle w:val="Hyperlink"/>
                <w:noProof/>
              </w:rPr>
              <w:t>Funding drivers</w:t>
            </w:r>
            <w:r>
              <w:rPr>
                <w:noProof/>
                <w:webHidden/>
              </w:rPr>
              <w:tab/>
            </w:r>
            <w:r>
              <w:rPr>
                <w:noProof/>
                <w:webHidden/>
              </w:rPr>
              <w:fldChar w:fldCharType="begin"/>
            </w:r>
            <w:r>
              <w:rPr>
                <w:noProof/>
                <w:webHidden/>
              </w:rPr>
              <w:instrText xml:space="preserve"> PAGEREF _Toc182909480 \h </w:instrText>
            </w:r>
            <w:r>
              <w:rPr>
                <w:noProof/>
                <w:webHidden/>
              </w:rPr>
            </w:r>
            <w:r>
              <w:rPr>
                <w:noProof/>
                <w:webHidden/>
              </w:rPr>
              <w:fldChar w:fldCharType="separate"/>
            </w:r>
            <w:r w:rsidR="00607D38">
              <w:rPr>
                <w:noProof/>
                <w:webHidden/>
              </w:rPr>
              <w:t>6</w:t>
            </w:r>
            <w:r>
              <w:rPr>
                <w:noProof/>
                <w:webHidden/>
              </w:rPr>
              <w:fldChar w:fldCharType="end"/>
            </w:r>
          </w:hyperlink>
        </w:p>
        <w:p w14:paraId="7E17D22B" w14:textId="69EC2CB2"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1" w:history="1">
            <w:r w:rsidRPr="00AB1DF2">
              <w:rPr>
                <w:rStyle w:val="Hyperlink"/>
                <w:noProof/>
              </w:rPr>
              <w:t>Part 1: Calculating a HEP’s weighted HDR student completions</w:t>
            </w:r>
            <w:r>
              <w:rPr>
                <w:noProof/>
                <w:webHidden/>
              </w:rPr>
              <w:tab/>
            </w:r>
            <w:r>
              <w:rPr>
                <w:noProof/>
                <w:webHidden/>
              </w:rPr>
              <w:fldChar w:fldCharType="begin"/>
            </w:r>
            <w:r>
              <w:rPr>
                <w:noProof/>
                <w:webHidden/>
              </w:rPr>
              <w:instrText xml:space="preserve"> PAGEREF _Toc182909481 \h </w:instrText>
            </w:r>
            <w:r>
              <w:rPr>
                <w:noProof/>
                <w:webHidden/>
              </w:rPr>
            </w:r>
            <w:r>
              <w:rPr>
                <w:noProof/>
                <w:webHidden/>
              </w:rPr>
              <w:fldChar w:fldCharType="separate"/>
            </w:r>
            <w:r w:rsidR="00607D38">
              <w:rPr>
                <w:noProof/>
                <w:webHidden/>
              </w:rPr>
              <w:t>7</w:t>
            </w:r>
            <w:r>
              <w:rPr>
                <w:noProof/>
                <w:webHidden/>
              </w:rPr>
              <w:fldChar w:fldCharType="end"/>
            </w:r>
          </w:hyperlink>
        </w:p>
        <w:p w14:paraId="72E6B4A1" w14:textId="33F3A1E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2" w:history="1">
            <w:r w:rsidRPr="00AB1DF2">
              <w:rPr>
                <w:rStyle w:val="Hyperlink"/>
                <w:iCs/>
                <w:noProof/>
              </w:rPr>
              <w:t>Calculation steps</w:t>
            </w:r>
            <w:r>
              <w:rPr>
                <w:noProof/>
                <w:webHidden/>
              </w:rPr>
              <w:tab/>
            </w:r>
            <w:r>
              <w:rPr>
                <w:noProof/>
                <w:webHidden/>
              </w:rPr>
              <w:fldChar w:fldCharType="begin"/>
            </w:r>
            <w:r>
              <w:rPr>
                <w:noProof/>
                <w:webHidden/>
              </w:rPr>
              <w:instrText xml:space="preserve"> PAGEREF _Toc182909482 \h </w:instrText>
            </w:r>
            <w:r>
              <w:rPr>
                <w:noProof/>
                <w:webHidden/>
              </w:rPr>
            </w:r>
            <w:r>
              <w:rPr>
                <w:noProof/>
                <w:webHidden/>
              </w:rPr>
              <w:fldChar w:fldCharType="separate"/>
            </w:r>
            <w:r w:rsidR="00607D38">
              <w:rPr>
                <w:noProof/>
                <w:webHidden/>
              </w:rPr>
              <w:t>7</w:t>
            </w:r>
            <w:r>
              <w:rPr>
                <w:noProof/>
                <w:webHidden/>
              </w:rPr>
              <w:fldChar w:fldCharType="end"/>
            </w:r>
          </w:hyperlink>
        </w:p>
        <w:p w14:paraId="17AC6BD1" w14:textId="3484D02D"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3" w:history="1">
            <w:r w:rsidRPr="00AB1DF2">
              <w:rPr>
                <w:rStyle w:val="Hyperlink"/>
                <w:noProof/>
              </w:rPr>
              <w:t>Worked example</w:t>
            </w:r>
            <w:r>
              <w:rPr>
                <w:noProof/>
                <w:webHidden/>
              </w:rPr>
              <w:tab/>
            </w:r>
            <w:r>
              <w:rPr>
                <w:noProof/>
                <w:webHidden/>
              </w:rPr>
              <w:fldChar w:fldCharType="begin"/>
            </w:r>
            <w:r>
              <w:rPr>
                <w:noProof/>
                <w:webHidden/>
              </w:rPr>
              <w:instrText xml:space="preserve"> PAGEREF _Toc182909483 \h </w:instrText>
            </w:r>
            <w:r>
              <w:rPr>
                <w:noProof/>
                <w:webHidden/>
              </w:rPr>
            </w:r>
            <w:r>
              <w:rPr>
                <w:noProof/>
                <w:webHidden/>
              </w:rPr>
              <w:fldChar w:fldCharType="separate"/>
            </w:r>
            <w:r w:rsidR="00607D38">
              <w:rPr>
                <w:noProof/>
                <w:webHidden/>
              </w:rPr>
              <w:t>7</w:t>
            </w:r>
            <w:r>
              <w:rPr>
                <w:noProof/>
                <w:webHidden/>
              </w:rPr>
              <w:fldChar w:fldCharType="end"/>
            </w:r>
          </w:hyperlink>
        </w:p>
        <w:p w14:paraId="4CB0F6FC" w14:textId="52E47342"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4" w:history="1">
            <w:r w:rsidRPr="00AB1DF2">
              <w:rPr>
                <w:rStyle w:val="Hyperlink"/>
                <w:noProof/>
              </w:rPr>
              <w:t>Part 2: Calculating a HEP’s percentage share of each funding driver</w:t>
            </w:r>
            <w:r>
              <w:rPr>
                <w:noProof/>
                <w:webHidden/>
              </w:rPr>
              <w:tab/>
            </w:r>
            <w:r>
              <w:rPr>
                <w:noProof/>
                <w:webHidden/>
              </w:rPr>
              <w:fldChar w:fldCharType="begin"/>
            </w:r>
            <w:r>
              <w:rPr>
                <w:noProof/>
                <w:webHidden/>
              </w:rPr>
              <w:instrText xml:space="preserve"> PAGEREF _Toc182909484 \h </w:instrText>
            </w:r>
            <w:r>
              <w:rPr>
                <w:noProof/>
                <w:webHidden/>
              </w:rPr>
            </w:r>
            <w:r>
              <w:rPr>
                <w:noProof/>
                <w:webHidden/>
              </w:rPr>
              <w:fldChar w:fldCharType="separate"/>
            </w:r>
            <w:r w:rsidR="00607D38">
              <w:rPr>
                <w:noProof/>
                <w:webHidden/>
              </w:rPr>
              <w:t>8</w:t>
            </w:r>
            <w:r>
              <w:rPr>
                <w:noProof/>
                <w:webHidden/>
              </w:rPr>
              <w:fldChar w:fldCharType="end"/>
            </w:r>
          </w:hyperlink>
        </w:p>
        <w:p w14:paraId="3BFFF504" w14:textId="5C5AC7C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5"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_Toc182909485 \h </w:instrText>
            </w:r>
            <w:r>
              <w:rPr>
                <w:noProof/>
                <w:webHidden/>
              </w:rPr>
            </w:r>
            <w:r>
              <w:rPr>
                <w:noProof/>
                <w:webHidden/>
              </w:rPr>
              <w:fldChar w:fldCharType="separate"/>
            </w:r>
            <w:r w:rsidR="00607D38">
              <w:rPr>
                <w:noProof/>
                <w:webHidden/>
              </w:rPr>
              <w:t>8</w:t>
            </w:r>
            <w:r>
              <w:rPr>
                <w:noProof/>
                <w:webHidden/>
              </w:rPr>
              <w:fldChar w:fldCharType="end"/>
            </w:r>
          </w:hyperlink>
        </w:p>
        <w:p w14:paraId="656781A1" w14:textId="3BB0F256"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6" w:history="1">
            <w:r w:rsidRPr="00AB1DF2">
              <w:rPr>
                <w:rStyle w:val="Hyperlink"/>
                <w:noProof/>
              </w:rPr>
              <w:t>Worked example</w:t>
            </w:r>
            <w:r>
              <w:rPr>
                <w:noProof/>
                <w:webHidden/>
              </w:rPr>
              <w:tab/>
            </w:r>
            <w:r>
              <w:rPr>
                <w:noProof/>
                <w:webHidden/>
              </w:rPr>
              <w:fldChar w:fldCharType="begin"/>
            </w:r>
            <w:r>
              <w:rPr>
                <w:noProof/>
                <w:webHidden/>
              </w:rPr>
              <w:instrText xml:space="preserve"> PAGEREF _Toc182909486 \h </w:instrText>
            </w:r>
            <w:r>
              <w:rPr>
                <w:noProof/>
                <w:webHidden/>
              </w:rPr>
            </w:r>
            <w:r>
              <w:rPr>
                <w:noProof/>
                <w:webHidden/>
              </w:rPr>
              <w:fldChar w:fldCharType="separate"/>
            </w:r>
            <w:r w:rsidR="00607D38">
              <w:rPr>
                <w:noProof/>
                <w:webHidden/>
              </w:rPr>
              <w:t>8</w:t>
            </w:r>
            <w:r>
              <w:rPr>
                <w:noProof/>
                <w:webHidden/>
              </w:rPr>
              <w:fldChar w:fldCharType="end"/>
            </w:r>
          </w:hyperlink>
        </w:p>
        <w:p w14:paraId="4EE4DBE6" w14:textId="54ADBB30"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7" w:history="1">
            <w:r w:rsidRPr="00AB1DF2">
              <w:rPr>
                <w:rStyle w:val="Hyperlink"/>
                <w:noProof/>
              </w:rPr>
              <w:t>Part 3: Calculating a HEP’s RTP basic grant amount</w:t>
            </w:r>
            <w:r>
              <w:rPr>
                <w:noProof/>
                <w:webHidden/>
              </w:rPr>
              <w:tab/>
            </w:r>
            <w:r>
              <w:rPr>
                <w:noProof/>
                <w:webHidden/>
              </w:rPr>
              <w:fldChar w:fldCharType="begin"/>
            </w:r>
            <w:r>
              <w:rPr>
                <w:noProof/>
                <w:webHidden/>
              </w:rPr>
              <w:instrText xml:space="preserve"> PAGEREF _Toc182909487 \h </w:instrText>
            </w:r>
            <w:r>
              <w:rPr>
                <w:noProof/>
                <w:webHidden/>
              </w:rPr>
            </w:r>
            <w:r>
              <w:rPr>
                <w:noProof/>
                <w:webHidden/>
              </w:rPr>
              <w:fldChar w:fldCharType="separate"/>
            </w:r>
            <w:r w:rsidR="00607D38">
              <w:rPr>
                <w:noProof/>
                <w:webHidden/>
              </w:rPr>
              <w:t>10</w:t>
            </w:r>
            <w:r>
              <w:rPr>
                <w:noProof/>
                <w:webHidden/>
              </w:rPr>
              <w:fldChar w:fldCharType="end"/>
            </w:r>
          </w:hyperlink>
        </w:p>
        <w:p w14:paraId="3CD4DB4D" w14:textId="2FEE222A"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8"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_Toc182909488 \h </w:instrText>
            </w:r>
            <w:r>
              <w:rPr>
                <w:noProof/>
                <w:webHidden/>
              </w:rPr>
            </w:r>
            <w:r>
              <w:rPr>
                <w:noProof/>
                <w:webHidden/>
              </w:rPr>
              <w:fldChar w:fldCharType="separate"/>
            </w:r>
            <w:r w:rsidR="00607D38">
              <w:rPr>
                <w:noProof/>
                <w:webHidden/>
              </w:rPr>
              <w:t>10</w:t>
            </w:r>
            <w:r>
              <w:rPr>
                <w:noProof/>
                <w:webHidden/>
              </w:rPr>
              <w:fldChar w:fldCharType="end"/>
            </w:r>
          </w:hyperlink>
        </w:p>
        <w:p w14:paraId="4CEDDD28" w14:textId="15316F4E"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9" w:history="1">
            <w:r w:rsidRPr="00AB1DF2">
              <w:rPr>
                <w:rStyle w:val="Hyperlink"/>
                <w:noProof/>
              </w:rPr>
              <w:t>Worked example</w:t>
            </w:r>
            <w:r>
              <w:rPr>
                <w:noProof/>
                <w:webHidden/>
              </w:rPr>
              <w:tab/>
            </w:r>
            <w:r>
              <w:rPr>
                <w:noProof/>
                <w:webHidden/>
              </w:rPr>
              <w:fldChar w:fldCharType="begin"/>
            </w:r>
            <w:r>
              <w:rPr>
                <w:noProof/>
                <w:webHidden/>
              </w:rPr>
              <w:instrText xml:space="preserve"> PAGEREF _Toc182909489 \h </w:instrText>
            </w:r>
            <w:r>
              <w:rPr>
                <w:noProof/>
                <w:webHidden/>
              </w:rPr>
            </w:r>
            <w:r>
              <w:rPr>
                <w:noProof/>
                <w:webHidden/>
              </w:rPr>
              <w:fldChar w:fldCharType="separate"/>
            </w:r>
            <w:r w:rsidR="00607D38">
              <w:rPr>
                <w:noProof/>
                <w:webHidden/>
              </w:rPr>
              <w:t>10</w:t>
            </w:r>
            <w:r>
              <w:rPr>
                <w:noProof/>
                <w:webHidden/>
              </w:rPr>
              <w:fldChar w:fldCharType="end"/>
            </w:r>
          </w:hyperlink>
        </w:p>
        <w:p w14:paraId="5C4A2C9C" w14:textId="04BC83E7"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90" w:history="1">
            <w:r w:rsidRPr="00AB1DF2">
              <w:rPr>
                <w:rStyle w:val="Hyperlink"/>
                <w:noProof/>
              </w:rPr>
              <w:t>Part 4: Applying rounding to calculate a HEP’s RTP grant amount</w:t>
            </w:r>
            <w:r>
              <w:rPr>
                <w:noProof/>
                <w:webHidden/>
              </w:rPr>
              <w:tab/>
            </w:r>
            <w:r>
              <w:rPr>
                <w:noProof/>
                <w:webHidden/>
              </w:rPr>
              <w:fldChar w:fldCharType="begin"/>
            </w:r>
            <w:r>
              <w:rPr>
                <w:noProof/>
                <w:webHidden/>
              </w:rPr>
              <w:instrText xml:space="preserve"> PAGEREF _Toc182909490 \h </w:instrText>
            </w:r>
            <w:r>
              <w:rPr>
                <w:noProof/>
                <w:webHidden/>
              </w:rPr>
            </w:r>
            <w:r>
              <w:rPr>
                <w:noProof/>
                <w:webHidden/>
              </w:rPr>
              <w:fldChar w:fldCharType="separate"/>
            </w:r>
            <w:r w:rsidR="00607D38">
              <w:rPr>
                <w:noProof/>
                <w:webHidden/>
              </w:rPr>
              <w:t>12</w:t>
            </w:r>
            <w:r>
              <w:rPr>
                <w:noProof/>
                <w:webHidden/>
              </w:rPr>
              <w:fldChar w:fldCharType="end"/>
            </w:r>
          </w:hyperlink>
        </w:p>
        <w:p w14:paraId="249E37C9" w14:textId="241D5014"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1"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_Toc182909491 \h </w:instrText>
            </w:r>
            <w:r>
              <w:rPr>
                <w:noProof/>
                <w:webHidden/>
              </w:rPr>
            </w:r>
            <w:r>
              <w:rPr>
                <w:noProof/>
                <w:webHidden/>
              </w:rPr>
              <w:fldChar w:fldCharType="separate"/>
            </w:r>
            <w:r w:rsidR="00607D38">
              <w:rPr>
                <w:noProof/>
                <w:webHidden/>
              </w:rPr>
              <w:t>12</w:t>
            </w:r>
            <w:r>
              <w:rPr>
                <w:noProof/>
                <w:webHidden/>
              </w:rPr>
              <w:fldChar w:fldCharType="end"/>
            </w:r>
          </w:hyperlink>
        </w:p>
        <w:p w14:paraId="64CEEF10" w14:textId="77DD70D5"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2" w:history="1">
            <w:r w:rsidRPr="00AB1DF2">
              <w:rPr>
                <w:rStyle w:val="Hyperlink"/>
                <w:noProof/>
              </w:rPr>
              <w:t>Worked example</w:t>
            </w:r>
            <w:r>
              <w:rPr>
                <w:noProof/>
                <w:webHidden/>
              </w:rPr>
              <w:tab/>
            </w:r>
            <w:r>
              <w:rPr>
                <w:noProof/>
                <w:webHidden/>
              </w:rPr>
              <w:fldChar w:fldCharType="begin"/>
            </w:r>
            <w:r>
              <w:rPr>
                <w:noProof/>
                <w:webHidden/>
              </w:rPr>
              <w:instrText xml:space="preserve"> PAGEREF _Toc182909492 \h </w:instrText>
            </w:r>
            <w:r>
              <w:rPr>
                <w:noProof/>
                <w:webHidden/>
              </w:rPr>
            </w:r>
            <w:r>
              <w:rPr>
                <w:noProof/>
                <w:webHidden/>
              </w:rPr>
              <w:fldChar w:fldCharType="separate"/>
            </w:r>
            <w:r w:rsidR="00607D38">
              <w:rPr>
                <w:noProof/>
                <w:webHidden/>
              </w:rPr>
              <w:t>12</w:t>
            </w:r>
            <w:r>
              <w:rPr>
                <w:noProof/>
                <w:webHidden/>
              </w:rPr>
              <w:fldChar w:fldCharType="end"/>
            </w:r>
          </w:hyperlink>
        </w:p>
        <w:p w14:paraId="07B7F787" w14:textId="5D502941" w:rsidR="004A0722" w:rsidRDefault="004A0722">
          <w:r>
            <w:fldChar w:fldCharType="end"/>
          </w:r>
        </w:p>
      </w:sdtContent>
    </w:sdt>
    <w:p w14:paraId="525DA9CC" w14:textId="260E4AD4" w:rsidR="0017134D" w:rsidRDefault="0017134D">
      <w:r>
        <w:br w:type="page"/>
      </w:r>
    </w:p>
    <w:p w14:paraId="6E47DBCF" w14:textId="50C15DF7" w:rsidR="0017134D" w:rsidRPr="00AD631F" w:rsidRDefault="00BF78CF" w:rsidP="00AD631F">
      <w:pPr>
        <w:pStyle w:val="Heading2"/>
      </w:pPr>
      <w:bookmarkStart w:id="3" w:name="_Toc182834052"/>
      <w:bookmarkStart w:id="4" w:name="_Toc182909475"/>
      <w:r>
        <w:lastRenderedPageBreak/>
        <w:t>Overview</w:t>
      </w:r>
      <w:bookmarkEnd w:id="3"/>
      <w:bookmarkEnd w:id="4"/>
    </w:p>
    <w:p w14:paraId="2EBD4F39" w14:textId="6D749308" w:rsidR="00BF78CF" w:rsidRDefault="00BF78CF" w:rsidP="0017134D">
      <w:r>
        <w:t>For the 202</w:t>
      </w:r>
      <w:r w:rsidR="00DE161D">
        <w:t>4</w:t>
      </w:r>
      <w:r>
        <w:t xml:space="preserve"> to 2025 grant years, funding for the </w:t>
      </w:r>
      <w:r w:rsidR="00243495">
        <w:t>R</w:t>
      </w:r>
      <w:r>
        <w:t xml:space="preserve">esearch </w:t>
      </w:r>
      <w:r w:rsidR="00243495">
        <w:t>Training P</w:t>
      </w:r>
      <w:r>
        <w:t>rogram (R</w:t>
      </w:r>
      <w:r w:rsidR="00DE161D">
        <w:t>T</w:t>
      </w:r>
      <w:r>
        <w:t xml:space="preserve">P) is allocated </w:t>
      </w:r>
      <w:r w:rsidR="00C62E9B">
        <w:t xml:space="preserve">to eligible higher education providers (HEPs) </w:t>
      </w:r>
      <w:r w:rsidR="000F2630">
        <w:t>bas</w:t>
      </w:r>
      <w:r w:rsidR="004A0722">
        <w:t>e</w:t>
      </w:r>
      <w:r>
        <w:t>d on the</w:t>
      </w:r>
      <w:r w:rsidR="00C62E9B">
        <w:t>ir</w:t>
      </w:r>
      <w:r>
        <w:t xml:space="preserve"> relative performance in earning research </w:t>
      </w:r>
      <w:r w:rsidR="00C62E9B">
        <w:t xml:space="preserve">and development </w:t>
      </w:r>
      <w:r w:rsidR="004A0722">
        <w:t xml:space="preserve">(R&amp;D) </w:t>
      </w:r>
      <w:r>
        <w:t>income</w:t>
      </w:r>
      <w:r w:rsidR="00DE161D">
        <w:t xml:space="preserve"> and higher degree by research (HDR) student completions. </w:t>
      </w:r>
    </w:p>
    <w:p w14:paraId="55C89932" w14:textId="1A5A81BE" w:rsidR="0017134D" w:rsidRDefault="00BF78CF" w:rsidP="0017134D">
      <w:r>
        <w:t xml:space="preserve">The funding formula </w:t>
      </w:r>
      <w:r w:rsidR="00C62E9B">
        <w:t>to calculate</w:t>
      </w:r>
      <w:r>
        <w:t xml:space="preserve"> the </w:t>
      </w:r>
      <w:r w:rsidR="00A9797A">
        <w:t>RTP</w:t>
      </w:r>
      <w:r>
        <w:t xml:space="preserve"> is </w:t>
      </w:r>
      <w:r w:rsidR="001E0652">
        <w:t>set by</w:t>
      </w:r>
      <w:r>
        <w:t xml:space="preserve"> the </w:t>
      </w:r>
      <w:hyperlink r:id="rId17" w:history="1">
        <w:r w:rsidR="004A0722">
          <w:rPr>
            <w:rStyle w:val="Hyperlink"/>
          </w:rPr>
          <w:t>Commonwealth Scholarships Guidelines (Research) 2017</w:t>
        </w:r>
      </w:hyperlink>
      <w:r>
        <w:t xml:space="preserve">. </w:t>
      </w:r>
    </w:p>
    <w:p w14:paraId="6E7ED013" w14:textId="092A491D" w:rsidR="00BF78CF" w:rsidRDefault="00C62E9B" w:rsidP="0017134D">
      <w:r>
        <w:t xml:space="preserve">The calculation of </w:t>
      </w:r>
      <w:r w:rsidR="00BF78CF">
        <w:t>R</w:t>
      </w:r>
      <w:r w:rsidR="00A9797A">
        <w:t>T</w:t>
      </w:r>
      <w:r w:rsidR="00BF78CF">
        <w:t xml:space="preserve">P </w:t>
      </w:r>
      <w:r>
        <w:t>can be broken down to the</w:t>
      </w:r>
      <w:r w:rsidR="00BF78CF">
        <w:t xml:space="preserve"> following steps:</w:t>
      </w:r>
    </w:p>
    <w:p w14:paraId="1862FD66" w14:textId="0E4B5E0E" w:rsidR="00DE161D" w:rsidRDefault="00DE161D" w:rsidP="005E63EC">
      <w:pPr>
        <w:pStyle w:val="List"/>
      </w:pPr>
      <w:r>
        <w:t>Calculating a HEP’s weighted HDR student completions</w:t>
      </w:r>
    </w:p>
    <w:p w14:paraId="23A8C69B" w14:textId="526C47D8" w:rsidR="00BF78CF" w:rsidRDefault="00BF78CF" w:rsidP="005E63EC">
      <w:pPr>
        <w:pStyle w:val="List"/>
      </w:pPr>
      <w:r>
        <w:t>Calculat</w:t>
      </w:r>
      <w:r w:rsidR="00095B4E">
        <w:t>ing</w:t>
      </w:r>
      <w:r>
        <w:t xml:space="preserve"> </w:t>
      </w:r>
      <w:r w:rsidR="00DE161D">
        <w:t>a</w:t>
      </w:r>
      <w:r>
        <w:t xml:space="preserve"> HEP’s percentage share </w:t>
      </w:r>
      <w:r w:rsidR="00066D97">
        <w:t>by</w:t>
      </w:r>
      <w:r w:rsidR="00095B4E">
        <w:t xml:space="preserve"> funding driver</w:t>
      </w:r>
    </w:p>
    <w:p w14:paraId="4E2B261D" w14:textId="75E29E2E" w:rsidR="00BF78CF" w:rsidRDefault="00BF78CF" w:rsidP="005E63EC">
      <w:pPr>
        <w:pStyle w:val="List"/>
      </w:pPr>
      <w:r>
        <w:t>Calculat</w:t>
      </w:r>
      <w:r w:rsidR="00095B4E">
        <w:t>ing</w:t>
      </w:r>
      <w:r>
        <w:t xml:space="preserve"> </w:t>
      </w:r>
      <w:r w:rsidR="00DE161D">
        <w:t>a</w:t>
      </w:r>
      <w:r>
        <w:t xml:space="preserve"> HEP’s </w:t>
      </w:r>
      <w:r w:rsidR="000F2630">
        <w:t>basic</w:t>
      </w:r>
      <w:r>
        <w:t xml:space="preserve"> grant amount</w:t>
      </w:r>
    </w:p>
    <w:p w14:paraId="24F64B1B" w14:textId="3ACCF21F" w:rsidR="00796585" w:rsidRDefault="00BF78CF" w:rsidP="005E63EC">
      <w:pPr>
        <w:pStyle w:val="List"/>
      </w:pPr>
      <w:r>
        <w:t>Apply</w:t>
      </w:r>
      <w:r w:rsidR="00095B4E">
        <w:t>ing</w:t>
      </w:r>
      <w:r>
        <w:t xml:space="preserve"> the rounding methodology</w:t>
      </w:r>
      <w:r w:rsidR="004A0722">
        <w:t>.</w:t>
      </w:r>
    </w:p>
    <w:p w14:paraId="1C89E672" w14:textId="31D75342" w:rsidR="004A0722" w:rsidRDefault="004A0722">
      <w:pPr>
        <w:spacing w:after="160"/>
      </w:pPr>
      <w:r>
        <w:br w:type="page"/>
      </w:r>
    </w:p>
    <w:p w14:paraId="3EEDA644" w14:textId="423BF186" w:rsidR="00BF78CF" w:rsidRDefault="00BF78CF" w:rsidP="00BF78CF">
      <w:pPr>
        <w:pStyle w:val="Heading2"/>
      </w:pPr>
      <w:bookmarkStart w:id="5" w:name="_Toc182834053"/>
      <w:bookmarkStart w:id="6" w:name="_Toc182909476"/>
      <w:r>
        <w:lastRenderedPageBreak/>
        <w:t>Data used</w:t>
      </w:r>
      <w:bookmarkEnd w:id="5"/>
      <w:bookmarkEnd w:id="6"/>
    </w:p>
    <w:p w14:paraId="4F2F1C04" w14:textId="2C39825C" w:rsidR="00BF78CF" w:rsidRDefault="00BF78CF" w:rsidP="00BF78CF">
      <w:pPr>
        <w:pStyle w:val="Heading3"/>
      </w:pPr>
      <w:bookmarkStart w:id="7" w:name="_Toc182909477"/>
      <w:r>
        <w:t xml:space="preserve">Research and </w:t>
      </w:r>
      <w:r w:rsidR="00243495">
        <w:t>D</w:t>
      </w:r>
      <w:r>
        <w:t>evelopment</w:t>
      </w:r>
      <w:r w:rsidR="00243495">
        <w:t xml:space="preserve"> (R&amp;D)</w:t>
      </w:r>
      <w:r>
        <w:t xml:space="preserve"> </w:t>
      </w:r>
      <w:r w:rsidR="004A0722">
        <w:t>i</w:t>
      </w:r>
      <w:r>
        <w:t>ncome</w:t>
      </w:r>
      <w:bookmarkEnd w:id="7"/>
    </w:p>
    <w:p w14:paraId="18F93E39" w14:textId="1D0461C5" w:rsidR="00BF78CF" w:rsidRDefault="004A0722" w:rsidP="00C62E9B">
      <w:r>
        <w:t>R&amp;D</w:t>
      </w:r>
      <w:r w:rsidR="00BF78CF">
        <w:t xml:space="preserve"> income is collected as part of the </w:t>
      </w:r>
      <w:hyperlink r:id="rId18" w:history="1">
        <w:r w:rsidR="00BF78CF" w:rsidRPr="009C3262">
          <w:rPr>
            <w:rStyle w:val="Hyperlink"/>
          </w:rPr>
          <w:t>Higher Education Research Data Collection</w:t>
        </w:r>
      </w:hyperlink>
      <w:r w:rsidR="00BF78CF">
        <w:t xml:space="preserve"> (HERDC) and comprises two categories for the purposes of calculating </w:t>
      </w:r>
      <w:r w:rsidR="00A9797A">
        <w:t>RTP</w:t>
      </w:r>
      <w:r w:rsidR="00BF78CF">
        <w:t>:</w:t>
      </w:r>
    </w:p>
    <w:p w14:paraId="085B4621" w14:textId="535069D4" w:rsidR="00BF78CF" w:rsidRDefault="00BF78CF" w:rsidP="005E63EC">
      <w:pPr>
        <w:pStyle w:val="List"/>
        <w:numPr>
          <w:ilvl w:val="0"/>
          <w:numId w:val="34"/>
        </w:numPr>
      </w:pPr>
      <w:r w:rsidRPr="005E63EC">
        <w:rPr>
          <w:b/>
          <w:bCs/>
        </w:rPr>
        <w:t>Competitive income</w:t>
      </w:r>
      <w:r>
        <w:t xml:space="preserve"> – </w:t>
      </w:r>
      <w:r w:rsidR="00243495">
        <w:t>R&amp;D</w:t>
      </w:r>
      <w:r w:rsidR="00C62E9B">
        <w:t xml:space="preserve"> </w:t>
      </w:r>
      <w:r>
        <w:t>income classified as Category 1 in HERDC</w:t>
      </w:r>
    </w:p>
    <w:p w14:paraId="57A2A5AB" w14:textId="3B1F1BF8" w:rsidR="00BF78CF" w:rsidRDefault="00BF78CF" w:rsidP="005E63EC">
      <w:pPr>
        <w:pStyle w:val="List"/>
      </w:pPr>
      <w:r w:rsidRPr="00C62E9B">
        <w:rPr>
          <w:b/>
          <w:bCs/>
        </w:rPr>
        <w:t>Engagement income</w:t>
      </w:r>
      <w:r>
        <w:t xml:space="preserve"> – </w:t>
      </w:r>
      <w:r w:rsidR="00243495">
        <w:t>R&amp;D</w:t>
      </w:r>
      <w:r w:rsidR="00C62E9B">
        <w:t xml:space="preserve"> </w:t>
      </w:r>
      <w:r>
        <w:t>income classified as Categories 2, 3 and 4 in HERDC</w:t>
      </w:r>
      <w:r w:rsidR="004A0722">
        <w:t>.</w:t>
      </w:r>
    </w:p>
    <w:p w14:paraId="051997C6" w14:textId="5DBA47EA" w:rsidR="00C62E9B" w:rsidRDefault="00C62E9B" w:rsidP="00C62E9B">
      <w:r>
        <w:t xml:space="preserve">The two most recent years of available </w:t>
      </w:r>
      <w:r w:rsidR="004A0722">
        <w:t>R&amp;D</w:t>
      </w:r>
      <w:r>
        <w:t xml:space="preserve"> income is summed together. For example, when calculating 2025 </w:t>
      </w:r>
      <w:r w:rsidR="00A9797A">
        <w:t>RTP</w:t>
      </w:r>
      <w:r w:rsidR="004A0722">
        <w:t xml:space="preserve"> allocations,</w:t>
      </w:r>
      <w:r>
        <w:t xml:space="preserve"> the 2022 and 2023 data years collected through HERDC is used to calculate the competitive income and engagement income for each HEP. </w:t>
      </w:r>
    </w:p>
    <w:p w14:paraId="3D119E80" w14:textId="3298DC61" w:rsidR="00796585" w:rsidRDefault="00796585" w:rsidP="00C62E9B">
      <w:r>
        <w:t xml:space="preserve">A time series of </w:t>
      </w:r>
      <w:hyperlink r:id="rId19" w:history="1">
        <w:r w:rsidR="004A0722">
          <w:rPr>
            <w:rStyle w:val="Hyperlink"/>
          </w:rPr>
          <w:t>R&amp;D income</w:t>
        </w:r>
      </w:hyperlink>
      <w:r>
        <w:t xml:space="preserve"> used to calculate </w:t>
      </w:r>
      <w:r w:rsidR="00A9797A">
        <w:t>RTP</w:t>
      </w:r>
      <w:r>
        <w:t xml:space="preserve"> funding is available. </w:t>
      </w:r>
    </w:p>
    <w:p w14:paraId="11BFB84D" w14:textId="140450EF" w:rsidR="00A9797A" w:rsidRDefault="00A9797A" w:rsidP="00A9797A">
      <w:pPr>
        <w:pStyle w:val="Heading3"/>
      </w:pPr>
      <w:bookmarkStart w:id="8" w:name="_Toc182909478"/>
      <w:r>
        <w:t>Weighted HDR student completions</w:t>
      </w:r>
      <w:bookmarkEnd w:id="8"/>
    </w:p>
    <w:p w14:paraId="2CFE069E" w14:textId="5C50A6E6" w:rsidR="00A9797A" w:rsidRDefault="00A9797A" w:rsidP="00A9797A">
      <w:r>
        <w:t xml:space="preserve">HDR student completions are collected as part of the </w:t>
      </w:r>
      <w:hyperlink r:id="rId20" w:history="1">
        <w:r w:rsidRPr="00293AB5">
          <w:rPr>
            <w:rStyle w:val="Hyperlink"/>
          </w:rPr>
          <w:t>Higher Education Student Data Collection</w:t>
        </w:r>
      </w:hyperlink>
      <w:r w:rsidRPr="006051F8">
        <w:rPr>
          <w:color w:val="0070C0"/>
        </w:rPr>
        <w:t xml:space="preserve"> </w:t>
      </w:r>
      <w:r>
        <w:t xml:space="preserve">(HESDC). For the purposes of calculating RTP allocations, weightings are applied to HDR student completions. </w:t>
      </w:r>
    </w:p>
    <w:p w14:paraId="370167FA" w14:textId="3380CD3D" w:rsidR="00A9797A" w:rsidRPr="00A44EDF" w:rsidRDefault="00A9797A" w:rsidP="005E63EC">
      <w:r>
        <w:t>For the 2024 and 2025 grant years, HDR student completions are weighted according to the level of the HDR, the cost type of the HDR, whether the student completed an eligible research internship</w:t>
      </w:r>
      <w:r w:rsidR="004A0722">
        <w:t xml:space="preserve"> (Research Doctorate students only)</w:t>
      </w:r>
      <w:r>
        <w:t>, and the student’s Indigenous or non-Indigenous status.</w:t>
      </w:r>
      <w:r w:rsidR="000F2630">
        <w:t xml:space="preserve"> The </w:t>
      </w:r>
      <w:r w:rsidR="001F43CE">
        <w:t>two</w:t>
      </w:r>
      <w:r w:rsidR="000F2630">
        <w:t xml:space="preserve"> most recent years of data is summed together to form the weighted HDR student completions funding driver. </w:t>
      </w:r>
    </w:p>
    <w:p w14:paraId="618EFAF8" w14:textId="1A7E45E8" w:rsidR="002E3A84" w:rsidRDefault="002E3A84" w:rsidP="005E63EC">
      <w:pPr>
        <w:pStyle w:val="Caption"/>
        <w:keepNext/>
      </w:pPr>
      <w:r>
        <w:t xml:space="preserve">Table </w:t>
      </w:r>
      <w:r>
        <w:fldChar w:fldCharType="begin"/>
      </w:r>
      <w:r>
        <w:instrText xml:space="preserve"> SEQ Table \* ARABIC </w:instrText>
      </w:r>
      <w:r>
        <w:fldChar w:fldCharType="separate"/>
      </w:r>
      <w:r w:rsidR="00607D38">
        <w:rPr>
          <w:noProof/>
        </w:rPr>
        <w:t>1</w:t>
      </w:r>
      <w:r>
        <w:fldChar w:fldCharType="end"/>
      </w:r>
      <w:r>
        <w:t xml:space="preserve">: </w:t>
      </w:r>
      <w:r w:rsidRPr="00366096">
        <w:t>Weightings for HDR completions</w:t>
      </w:r>
    </w:p>
    <w:tbl>
      <w:tblPr>
        <w:tblStyle w:val="DESE"/>
        <w:tblpPr w:leftFromText="180" w:rightFromText="180" w:vertAnchor="text"/>
        <w:tblW w:w="5000" w:type="pct"/>
        <w:tblLook w:val="04A0" w:firstRow="1" w:lastRow="0" w:firstColumn="1" w:lastColumn="0" w:noHBand="0" w:noVBand="1"/>
      </w:tblPr>
      <w:tblGrid>
        <w:gridCol w:w="1863"/>
        <w:gridCol w:w="1044"/>
        <w:gridCol w:w="2032"/>
        <w:gridCol w:w="2039"/>
        <w:gridCol w:w="2038"/>
      </w:tblGrid>
      <w:tr w:rsidR="00A9797A" w:rsidRPr="00837381" w14:paraId="08B82FA2" w14:textId="77777777" w:rsidTr="005E63EC">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100" w:firstRow="0" w:lastRow="0" w:firstColumn="1" w:lastColumn="0" w:oddVBand="0" w:evenVBand="0" w:oddHBand="0" w:evenHBand="0" w:firstRowFirstColumn="1" w:firstRowLastColumn="0" w:lastRowFirstColumn="0" w:lastRowLastColumn="0"/>
            <w:tcW w:w="1033" w:type="pct"/>
            <w:hideMark/>
          </w:tcPr>
          <w:p w14:paraId="4BFEB451" w14:textId="77777777" w:rsidR="00A9797A" w:rsidRPr="00A44EDF" w:rsidRDefault="00A9797A" w:rsidP="00D35F3B">
            <w:pPr>
              <w:spacing w:after="0" w:line="260" w:lineRule="atLeast"/>
              <w:jc w:val="center"/>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HDR level</w:t>
            </w:r>
          </w:p>
        </w:tc>
        <w:tc>
          <w:tcPr>
            <w:tcW w:w="579" w:type="pct"/>
            <w:hideMark/>
          </w:tcPr>
          <w:p w14:paraId="055860BF"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Cost type</w:t>
            </w:r>
          </w:p>
        </w:tc>
        <w:tc>
          <w:tcPr>
            <w:tcW w:w="1127" w:type="pct"/>
            <w:hideMark/>
          </w:tcPr>
          <w:p w14:paraId="2A84204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Completed an eligible research internship</w:t>
            </w:r>
          </w:p>
        </w:tc>
        <w:tc>
          <w:tcPr>
            <w:tcW w:w="1131" w:type="pct"/>
            <w:hideMark/>
          </w:tcPr>
          <w:p w14:paraId="29D73A0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Non-Indigenous student</w:t>
            </w:r>
          </w:p>
        </w:tc>
        <w:tc>
          <w:tcPr>
            <w:tcW w:w="1130" w:type="pct"/>
            <w:hideMark/>
          </w:tcPr>
          <w:p w14:paraId="40DA1082"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Indigenous student</w:t>
            </w:r>
          </w:p>
        </w:tc>
      </w:tr>
      <w:tr w:rsidR="00A9797A" w:rsidRPr="00837381" w14:paraId="3C2F4CA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1D081C9D"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Doctorate</w:t>
            </w:r>
          </w:p>
        </w:tc>
        <w:tc>
          <w:tcPr>
            <w:tcW w:w="579" w:type="pct"/>
            <w:vMerge w:val="restart"/>
            <w:hideMark/>
          </w:tcPr>
          <w:p w14:paraId="5B3E86C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08C66987"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ECB079B"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c>
          <w:tcPr>
            <w:tcW w:w="1130" w:type="pct"/>
            <w:hideMark/>
          </w:tcPr>
          <w:p w14:paraId="0DEF9B8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9.40</w:t>
            </w:r>
          </w:p>
        </w:tc>
      </w:tr>
      <w:tr w:rsidR="00A9797A" w:rsidRPr="00837381" w14:paraId="06C4894B"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7D9DB4F4" w14:textId="77777777" w:rsidR="00A9797A" w:rsidRPr="00A44EDF" w:rsidRDefault="00A9797A" w:rsidP="00D35F3B">
            <w:pPr>
              <w:spacing w:after="0"/>
              <w:rPr>
                <w:rFonts w:eastAsia="Times New Roman" w:cstheme="minorHAnsi"/>
                <w:lang w:eastAsia="en-AU"/>
              </w:rPr>
            </w:pPr>
          </w:p>
        </w:tc>
        <w:tc>
          <w:tcPr>
            <w:tcW w:w="579" w:type="pct"/>
            <w:vMerge/>
            <w:hideMark/>
          </w:tcPr>
          <w:p w14:paraId="2633FD9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33952503"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7BB9A7A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6.70</w:t>
            </w:r>
          </w:p>
        </w:tc>
        <w:tc>
          <w:tcPr>
            <w:tcW w:w="1130" w:type="pct"/>
            <w:hideMark/>
          </w:tcPr>
          <w:p w14:paraId="1C626B8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11.40</w:t>
            </w:r>
          </w:p>
        </w:tc>
      </w:tr>
      <w:tr w:rsidR="00A9797A" w:rsidRPr="00837381" w14:paraId="07282D4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3CD3B4E6" w14:textId="77777777" w:rsidR="00A9797A" w:rsidRPr="00A44EDF" w:rsidRDefault="00A9797A" w:rsidP="00D35F3B">
            <w:pPr>
              <w:spacing w:after="0"/>
              <w:rPr>
                <w:rFonts w:eastAsia="Times New Roman" w:cstheme="minorHAnsi"/>
                <w:lang w:eastAsia="en-AU"/>
              </w:rPr>
            </w:pPr>
          </w:p>
        </w:tc>
        <w:tc>
          <w:tcPr>
            <w:tcW w:w="579" w:type="pct"/>
            <w:vMerge w:val="restart"/>
            <w:hideMark/>
          </w:tcPr>
          <w:p w14:paraId="20CFAD4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5A384354"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B7BDDFC"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c>
          <w:tcPr>
            <w:tcW w:w="1130" w:type="pct"/>
            <w:hideMark/>
          </w:tcPr>
          <w:p w14:paraId="19FFD8AD"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r>
      <w:tr w:rsidR="00A9797A" w:rsidRPr="00837381" w14:paraId="58520399"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B5ED59D" w14:textId="77777777" w:rsidR="00A9797A" w:rsidRPr="00A44EDF" w:rsidRDefault="00A9797A" w:rsidP="00D35F3B">
            <w:pPr>
              <w:spacing w:after="0"/>
              <w:rPr>
                <w:rFonts w:eastAsia="Times New Roman" w:cstheme="minorHAnsi"/>
                <w:lang w:eastAsia="en-AU"/>
              </w:rPr>
            </w:pPr>
          </w:p>
        </w:tc>
        <w:tc>
          <w:tcPr>
            <w:tcW w:w="579" w:type="pct"/>
            <w:vMerge/>
            <w:hideMark/>
          </w:tcPr>
          <w:p w14:paraId="7035BE6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58D745FF"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55A51EC7"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c>
          <w:tcPr>
            <w:tcW w:w="1130" w:type="pct"/>
            <w:hideMark/>
          </w:tcPr>
          <w:p w14:paraId="3A9A9BA6"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6.00</w:t>
            </w:r>
          </w:p>
        </w:tc>
      </w:tr>
      <w:tr w:rsidR="00A9797A" w:rsidRPr="00837381" w14:paraId="1B80514E"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5D60EBAF"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Masters</w:t>
            </w:r>
          </w:p>
        </w:tc>
        <w:tc>
          <w:tcPr>
            <w:tcW w:w="579" w:type="pct"/>
            <w:hideMark/>
          </w:tcPr>
          <w:p w14:paraId="6A3E700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785C225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19D679A"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2.35</w:t>
            </w:r>
          </w:p>
        </w:tc>
        <w:tc>
          <w:tcPr>
            <w:tcW w:w="1130" w:type="pct"/>
            <w:hideMark/>
          </w:tcPr>
          <w:p w14:paraId="0E9C414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r>
      <w:tr w:rsidR="00A9797A" w:rsidRPr="00837381" w14:paraId="70E3B61F"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4BBD187" w14:textId="77777777" w:rsidR="00A9797A" w:rsidRPr="00A44EDF" w:rsidRDefault="00A9797A" w:rsidP="00D35F3B">
            <w:pPr>
              <w:spacing w:after="0"/>
              <w:rPr>
                <w:rFonts w:eastAsia="Times New Roman" w:cstheme="minorHAnsi"/>
                <w:color w:val="000000"/>
                <w:lang w:eastAsia="en-AU"/>
              </w:rPr>
            </w:pPr>
          </w:p>
        </w:tc>
        <w:tc>
          <w:tcPr>
            <w:tcW w:w="579" w:type="pct"/>
            <w:hideMark/>
          </w:tcPr>
          <w:p w14:paraId="5461DC0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4941FE26"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3BFC9A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1.00</w:t>
            </w:r>
          </w:p>
        </w:tc>
        <w:tc>
          <w:tcPr>
            <w:tcW w:w="1130" w:type="pct"/>
            <w:hideMark/>
          </w:tcPr>
          <w:p w14:paraId="6FA6E67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r>
    </w:tbl>
    <w:p w14:paraId="516B906F" w14:textId="77777777" w:rsidR="004A0722" w:rsidRDefault="004A0722">
      <w:pPr>
        <w:spacing w:after="160"/>
        <w:rPr>
          <w:rFonts w:asciiTheme="majorHAnsi" w:eastAsiaTheme="majorEastAsia" w:hAnsiTheme="majorHAnsi" w:cstheme="majorBidi"/>
          <w:b/>
          <w:color w:val="008599" w:themeColor="accent1"/>
          <w:sz w:val="32"/>
          <w:szCs w:val="24"/>
        </w:rPr>
      </w:pPr>
      <w:r>
        <w:br w:type="page"/>
      </w:r>
    </w:p>
    <w:p w14:paraId="055B6B43" w14:textId="5A5A3336" w:rsidR="00921DBE" w:rsidRDefault="00921DBE" w:rsidP="00BF78CF">
      <w:pPr>
        <w:pStyle w:val="Heading3"/>
      </w:pPr>
      <w:bookmarkStart w:id="9" w:name="_Toc182909479"/>
      <w:r>
        <w:lastRenderedPageBreak/>
        <w:t xml:space="preserve">Funding </w:t>
      </w:r>
      <w:r w:rsidR="00A3606A">
        <w:t>p</w:t>
      </w:r>
      <w:r>
        <w:t>ool</w:t>
      </w:r>
      <w:r w:rsidR="00796585">
        <w:t>s</w:t>
      </w:r>
      <w:bookmarkEnd w:id="9"/>
    </w:p>
    <w:p w14:paraId="713A75FD" w14:textId="7EF63A0D" w:rsidR="00921DBE" w:rsidRDefault="00921DBE" w:rsidP="00921DBE">
      <w:r>
        <w:t>The funding pool</w:t>
      </w:r>
      <w:r w:rsidR="00796585">
        <w:t>s</w:t>
      </w:r>
      <w:r>
        <w:t xml:space="preserve"> for the </w:t>
      </w:r>
      <w:r w:rsidR="00A9797A">
        <w:t>RTP</w:t>
      </w:r>
      <w:r>
        <w:t xml:space="preserve"> </w:t>
      </w:r>
      <w:r w:rsidR="00796585">
        <w:t xml:space="preserve">from 2022 to 2025 </w:t>
      </w:r>
      <w:r w:rsidR="004A0722">
        <w:t>are</w:t>
      </w:r>
      <w:r w:rsidR="00796585">
        <w:t xml:space="preserve"> listed below:</w:t>
      </w:r>
    </w:p>
    <w:p w14:paraId="6F48747C" w14:textId="01EDB9DF" w:rsidR="00796585" w:rsidRPr="00556DBF" w:rsidRDefault="00796585" w:rsidP="005E63EC">
      <w:pPr>
        <w:pStyle w:val="ListBulletquote"/>
        <w:rPr>
          <w:color w:val="auto"/>
        </w:rPr>
      </w:pPr>
      <w:r w:rsidRPr="00556DBF">
        <w:rPr>
          <w:color w:val="auto"/>
        </w:rPr>
        <w:t>2022 = $</w:t>
      </w:r>
      <w:r w:rsidR="002A211D" w:rsidRPr="00556DBF">
        <w:rPr>
          <w:color w:val="auto"/>
        </w:rPr>
        <w:t>1,073,971,075</w:t>
      </w:r>
    </w:p>
    <w:p w14:paraId="7F9582E0" w14:textId="72F2F836" w:rsidR="00796585" w:rsidRPr="00556DBF" w:rsidRDefault="00796585" w:rsidP="005E63EC">
      <w:pPr>
        <w:pStyle w:val="ListBulletquote"/>
        <w:rPr>
          <w:color w:val="auto"/>
        </w:rPr>
      </w:pPr>
      <w:r w:rsidRPr="00556DBF">
        <w:rPr>
          <w:color w:val="auto"/>
        </w:rPr>
        <w:t>2023 = $</w:t>
      </w:r>
      <w:r w:rsidR="002A211D" w:rsidRPr="00556DBF">
        <w:rPr>
          <w:color w:val="auto"/>
        </w:rPr>
        <w:t>1,111,560,062</w:t>
      </w:r>
    </w:p>
    <w:p w14:paraId="7567EB47" w14:textId="75443EBF" w:rsidR="00796585" w:rsidRPr="00556DBF" w:rsidRDefault="00796585" w:rsidP="005E63EC">
      <w:pPr>
        <w:pStyle w:val="ListBulletquote"/>
        <w:rPr>
          <w:color w:val="auto"/>
        </w:rPr>
      </w:pPr>
      <w:r w:rsidRPr="00556DBF">
        <w:rPr>
          <w:color w:val="auto"/>
        </w:rPr>
        <w:t>2024 = $</w:t>
      </w:r>
      <w:r w:rsidR="002A211D" w:rsidRPr="00556DBF">
        <w:rPr>
          <w:color w:val="auto"/>
        </w:rPr>
        <w:t>1,198,261,746</w:t>
      </w:r>
    </w:p>
    <w:p w14:paraId="0BC2A013" w14:textId="772E435F" w:rsidR="00796585" w:rsidRPr="00556DBF" w:rsidRDefault="00796585" w:rsidP="005E63EC">
      <w:pPr>
        <w:pStyle w:val="ListBulletquote"/>
        <w:rPr>
          <w:color w:val="auto"/>
        </w:rPr>
      </w:pPr>
      <w:r w:rsidRPr="00556DBF">
        <w:rPr>
          <w:color w:val="auto"/>
        </w:rPr>
        <w:t>2025 = $1,</w:t>
      </w:r>
      <w:r w:rsidR="002A211D" w:rsidRPr="00556DBF">
        <w:rPr>
          <w:color w:val="auto"/>
        </w:rPr>
        <w:t>247,390,481</w:t>
      </w:r>
    </w:p>
    <w:p w14:paraId="1B46E419" w14:textId="1E5B77B0" w:rsidR="00BF78CF" w:rsidRDefault="00BF78CF" w:rsidP="00BF78CF">
      <w:pPr>
        <w:pStyle w:val="Heading3"/>
      </w:pPr>
      <w:bookmarkStart w:id="10" w:name="_Toc182909480"/>
      <w:r>
        <w:t>Funding drivers</w:t>
      </w:r>
      <w:bookmarkEnd w:id="10"/>
    </w:p>
    <w:p w14:paraId="411F9738" w14:textId="1A4E8070" w:rsidR="00BF78CF" w:rsidRDefault="00BF78CF" w:rsidP="00BF78CF">
      <w:r>
        <w:t xml:space="preserve">A HEP’s </w:t>
      </w:r>
      <w:r w:rsidR="00A9797A">
        <w:t>RTP</w:t>
      </w:r>
      <w:r>
        <w:t xml:space="preserve"> bas</w:t>
      </w:r>
      <w:r w:rsidR="000F2630">
        <w:t>ic</w:t>
      </w:r>
      <w:r>
        <w:t xml:space="preserve"> grant amount is </w:t>
      </w:r>
      <w:r w:rsidR="000F2630">
        <w:t>bas</w:t>
      </w:r>
      <w:r w:rsidR="007A3461">
        <w:t>e</w:t>
      </w:r>
      <w:r>
        <w:t xml:space="preserve">d on its share of each funding driver relative to other HEPs. Each funding driver accounts for a proportion of the overall </w:t>
      </w:r>
      <w:r w:rsidR="00A9797A">
        <w:t>RTP</w:t>
      </w:r>
      <w:r>
        <w:t xml:space="preserve"> funding pool. </w:t>
      </w:r>
    </w:p>
    <w:p w14:paraId="71AF141F" w14:textId="23E34D45" w:rsidR="00C62E9B" w:rsidRDefault="00BF78CF" w:rsidP="00C62E9B">
      <w:r>
        <w:t xml:space="preserve">The </w:t>
      </w:r>
      <w:r w:rsidR="00A9797A">
        <w:t>RTP</w:t>
      </w:r>
      <w:r>
        <w:t xml:space="preserve"> </w:t>
      </w:r>
      <w:r w:rsidR="000F2630">
        <w:t>basic</w:t>
      </w:r>
      <w:r>
        <w:t xml:space="preserve"> grant amount is comprised of </w:t>
      </w:r>
      <w:r w:rsidR="001F43CE">
        <w:t>three</w:t>
      </w:r>
      <w:r>
        <w:t xml:space="preserve"> funding drivers:</w:t>
      </w:r>
    </w:p>
    <w:p w14:paraId="3622936E" w14:textId="4B487F41" w:rsidR="00BF78CF" w:rsidRPr="00C62E9B" w:rsidRDefault="00BF78CF" w:rsidP="005E63EC">
      <w:pPr>
        <w:pStyle w:val="List"/>
        <w:numPr>
          <w:ilvl w:val="0"/>
          <w:numId w:val="33"/>
        </w:numPr>
      </w:pPr>
      <w:r w:rsidRPr="004A0722">
        <w:rPr>
          <w:b/>
          <w:bCs/>
        </w:rPr>
        <w:t>Competitive income</w:t>
      </w:r>
      <w:r w:rsidRPr="00C62E9B">
        <w:t xml:space="preserve"> – </w:t>
      </w:r>
      <w:r w:rsidR="00A9797A">
        <w:t>25</w:t>
      </w:r>
      <w:r w:rsidRPr="00C62E9B">
        <w:t xml:space="preserve">% </w:t>
      </w:r>
      <w:r w:rsidR="00C62E9B">
        <w:t xml:space="preserve">of the funding pool </w:t>
      </w:r>
    </w:p>
    <w:p w14:paraId="26BCB530" w14:textId="3D4476F7" w:rsidR="00796585" w:rsidRDefault="00BF78CF" w:rsidP="005E63EC">
      <w:pPr>
        <w:pStyle w:val="List"/>
      </w:pPr>
      <w:r w:rsidRPr="00796585">
        <w:rPr>
          <w:b/>
          <w:bCs/>
        </w:rPr>
        <w:t>Engagement income</w:t>
      </w:r>
      <w:r w:rsidRPr="00C62E9B">
        <w:t xml:space="preserve"> – </w:t>
      </w:r>
      <w:r w:rsidR="00A9797A">
        <w:t>25</w:t>
      </w:r>
      <w:r w:rsidRPr="00C62E9B">
        <w:t xml:space="preserve">% </w:t>
      </w:r>
      <w:r w:rsidR="00C62E9B">
        <w:t>of the funding pool</w:t>
      </w:r>
    </w:p>
    <w:p w14:paraId="6F301664" w14:textId="77751D6D" w:rsidR="00A9797A" w:rsidRDefault="00A9797A" w:rsidP="005E63EC">
      <w:pPr>
        <w:pStyle w:val="List"/>
      </w:pPr>
      <w:r>
        <w:rPr>
          <w:b/>
          <w:bCs/>
        </w:rPr>
        <w:t xml:space="preserve">Weighted HDR student completions </w:t>
      </w:r>
      <w:r>
        <w:t>– 50% of the funding pool</w:t>
      </w:r>
      <w:r w:rsidR="004A0722">
        <w:t>.</w:t>
      </w:r>
    </w:p>
    <w:p w14:paraId="560A439F" w14:textId="27AA7C4B" w:rsidR="002E3A84" w:rsidRDefault="002E3A84" w:rsidP="005E63EC">
      <w:pPr>
        <w:pStyle w:val="Caption"/>
        <w:keepNext/>
      </w:pPr>
      <w:r>
        <w:t xml:space="preserve">Figure </w:t>
      </w:r>
      <w:r>
        <w:fldChar w:fldCharType="begin"/>
      </w:r>
      <w:r>
        <w:instrText xml:space="preserve"> SEQ Figure \* ARABIC </w:instrText>
      </w:r>
      <w:r>
        <w:fldChar w:fldCharType="separate"/>
      </w:r>
      <w:r w:rsidR="00607D38">
        <w:rPr>
          <w:noProof/>
        </w:rPr>
        <w:t>1</w:t>
      </w:r>
      <w:r>
        <w:fldChar w:fldCharType="end"/>
      </w:r>
      <w:r>
        <w:t xml:space="preserve">: </w:t>
      </w:r>
      <w:r w:rsidRPr="00F44F16">
        <w:t>Proportion of RTP funding pool allocation by funding driver</w:t>
      </w:r>
    </w:p>
    <w:p w14:paraId="52229AC1" w14:textId="3ABF7274" w:rsidR="00F6391C" w:rsidRPr="00F6391C" w:rsidRDefault="00F6391C" w:rsidP="00F6391C">
      <w:pPr>
        <w:pStyle w:val="Caption"/>
      </w:pPr>
      <w:r w:rsidRPr="00F6391C">
        <w:rPr>
          <w:noProof/>
        </w:rPr>
        <w:drawing>
          <wp:inline distT="0" distB="0" distL="0" distR="0" wp14:anchorId="24B1C015" wp14:editId="2877DF1E">
            <wp:extent cx="5731510" cy="2860040"/>
            <wp:effectExtent l="19050" t="19050" r="21590" b="16510"/>
            <wp:docPr id="1234937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60040"/>
                    </a:xfrm>
                    <a:prstGeom prst="rect">
                      <a:avLst/>
                    </a:prstGeom>
                    <a:noFill/>
                    <a:ln>
                      <a:solidFill>
                        <a:schemeClr val="tx1"/>
                      </a:solidFill>
                    </a:ln>
                  </pic:spPr>
                </pic:pic>
              </a:graphicData>
            </a:graphic>
          </wp:inline>
        </w:drawing>
      </w:r>
    </w:p>
    <w:p w14:paraId="6E702174" w14:textId="7E1278A6" w:rsidR="00095B4E" w:rsidRDefault="00095B4E" w:rsidP="00095B4E">
      <w:pPr>
        <w:pStyle w:val="Caption"/>
      </w:pPr>
    </w:p>
    <w:p w14:paraId="77977EF8" w14:textId="77777777" w:rsidR="00596C07" w:rsidRDefault="00596C07" w:rsidP="00066D97">
      <w:pPr>
        <w:pStyle w:val="Heading2"/>
        <w:sectPr w:rsidR="00596C07" w:rsidSect="005E63EC">
          <w:footerReference w:type="default" r:id="rId22"/>
          <w:pgSz w:w="11906" w:h="16838"/>
          <w:pgMar w:top="1440" w:right="1440" w:bottom="1440" w:left="1440" w:header="708" w:footer="708" w:gutter="0"/>
          <w:cols w:space="708"/>
          <w:docGrid w:linePitch="360"/>
        </w:sectPr>
      </w:pPr>
    </w:p>
    <w:p w14:paraId="48E876E5" w14:textId="2776FC5F" w:rsidR="00066D97" w:rsidRDefault="00066D97" w:rsidP="00066D97">
      <w:pPr>
        <w:pStyle w:val="Heading2"/>
      </w:pPr>
      <w:bookmarkStart w:id="11" w:name="_Toc182834054"/>
      <w:bookmarkStart w:id="12" w:name="_Toc182909481"/>
      <w:r>
        <w:lastRenderedPageBreak/>
        <w:t xml:space="preserve">Part 1: Calculating </w:t>
      </w:r>
      <w:r w:rsidR="00DE161D">
        <w:t>a</w:t>
      </w:r>
      <w:r>
        <w:t xml:space="preserve"> HEP’s </w:t>
      </w:r>
      <w:bookmarkEnd w:id="11"/>
      <w:r w:rsidR="000F2630">
        <w:t>weighted HDR student completions</w:t>
      </w:r>
      <w:bookmarkEnd w:id="12"/>
    </w:p>
    <w:p w14:paraId="099F01FE" w14:textId="77777777" w:rsidR="000F2630" w:rsidRPr="000F2630" w:rsidRDefault="000F2630" w:rsidP="000F2630">
      <w:pPr>
        <w:pStyle w:val="Heading3"/>
        <w:rPr>
          <w:iCs/>
        </w:rPr>
      </w:pPr>
      <w:bookmarkStart w:id="13" w:name="_Toc182909482"/>
      <w:r w:rsidRPr="000F2630">
        <w:rPr>
          <w:iCs/>
        </w:rPr>
        <w:t>Calculation steps</w:t>
      </w:r>
      <w:bookmarkEnd w:id="13"/>
    </w:p>
    <w:p w14:paraId="341C26BF" w14:textId="77777777" w:rsidR="000F2630" w:rsidRDefault="000F2630" w:rsidP="000F2630">
      <w:r w:rsidRPr="00C46202">
        <w:rPr>
          <w:b/>
        </w:rPr>
        <w:t>Step 1</w:t>
      </w:r>
      <w:r w:rsidRPr="00C46202">
        <w:t xml:space="preserve"> </w:t>
      </w:r>
      <w:r>
        <w:t xml:space="preserve">– Categorise HDR student completions by the HDR type to fill out the ‘HDR student completions’ column in the working example table below. </w:t>
      </w:r>
    </w:p>
    <w:p w14:paraId="37072D14" w14:textId="0BC81EC9" w:rsidR="000F2630" w:rsidRDefault="000F2630" w:rsidP="000F2630">
      <w:r w:rsidRPr="001B3320">
        <w:rPr>
          <w:b/>
          <w:bCs/>
        </w:rPr>
        <w:t>Step 2</w:t>
      </w:r>
      <w:r>
        <w:t xml:space="preserve"> – Using the weightings for HDR student completions table in the ‘</w:t>
      </w:r>
      <w:r w:rsidR="003F36DD">
        <w:t>D</w:t>
      </w:r>
      <w:r>
        <w:t xml:space="preserve">ata used’ section above, multiply the HDR completions by the weightings for each student and course type. See the ‘Weighting’ and ‘Weighted HDR student completions’ columns in the working example table below. </w:t>
      </w:r>
    </w:p>
    <w:p w14:paraId="29591AE1" w14:textId="1751B1E8" w:rsidR="000F2630" w:rsidRDefault="000F2630" w:rsidP="000F2630">
      <w:r w:rsidRPr="00BB5C2F">
        <w:rPr>
          <w:b/>
          <w:bCs/>
        </w:rPr>
        <w:t xml:space="preserve">Step </w:t>
      </w:r>
      <w:r>
        <w:rPr>
          <w:b/>
          <w:bCs/>
        </w:rPr>
        <w:t>3</w:t>
      </w:r>
      <w:r>
        <w:t xml:space="preserve"> – Sum the total of weighted HDR student completions by each student and course type. In the work</w:t>
      </w:r>
      <w:r w:rsidR="003F36DD">
        <w:t>ed</w:t>
      </w:r>
      <w:r>
        <w:t xml:space="preserve"> example, the total weighted HDR student completions </w:t>
      </w:r>
      <w:proofErr w:type="gramStart"/>
      <w:r>
        <w:t>is</w:t>
      </w:r>
      <w:proofErr w:type="gramEnd"/>
      <w:r>
        <w:t xml:space="preserve"> 1,211.25. </w:t>
      </w:r>
    </w:p>
    <w:p w14:paraId="5A68EF92" w14:textId="3422BD31" w:rsidR="000F2630" w:rsidRPr="006051F8" w:rsidRDefault="000F2630" w:rsidP="000F2630">
      <w:pPr>
        <w:pStyle w:val="Heading3"/>
      </w:pPr>
      <w:bookmarkStart w:id="14" w:name="_Toc182909483"/>
      <w:r w:rsidRPr="00B3359D">
        <w:t>Work</w:t>
      </w:r>
      <w:r w:rsidR="003F36DD">
        <w:t>ed</w:t>
      </w:r>
      <w:r w:rsidRPr="00B3359D">
        <w:t xml:space="preserve"> example</w:t>
      </w:r>
      <w:bookmarkEnd w:id="14"/>
    </w:p>
    <w:p w14:paraId="6F929CED" w14:textId="3B903353" w:rsidR="002E3A84" w:rsidRDefault="002E3A84" w:rsidP="005E63EC">
      <w:pPr>
        <w:pStyle w:val="Caption"/>
        <w:keepNext/>
      </w:pPr>
      <w:r>
        <w:t xml:space="preserve">Table </w:t>
      </w:r>
      <w:r>
        <w:fldChar w:fldCharType="begin"/>
      </w:r>
      <w:r>
        <w:instrText xml:space="preserve"> SEQ Table \* ARABIC </w:instrText>
      </w:r>
      <w:r>
        <w:fldChar w:fldCharType="separate"/>
      </w:r>
      <w:r w:rsidR="00607D38">
        <w:rPr>
          <w:noProof/>
        </w:rPr>
        <w:t>2</w:t>
      </w:r>
      <w:r>
        <w:fldChar w:fldCharType="end"/>
      </w:r>
      <w:r>
        <w:t>: Calculating a HEP's weighted HDR student completions</w:t>
      </w:r>
    </w:p>
    <w:tbl>
      <w:tblPr>
        <w:tblStyle w:val="DESE"/>
        <w:tblW w:w="0" w:type="auto"/>
        <w:tblLook w:val="04A0" w:firstRow="1" w:lastRow="0" w:firstColumn="1" w:lastColumn="0" w:noHBand="0" w:noVBand="1"/>
      </w:tblPr>
      <w:tblGrid>
        <w:gridCol w:w="1813"/>
        <w:gridCol w:w="3049"/>
        <w:gridCol w:w="1343"/>
        <w:gridCol w:w="1402"/>
        <w:gridCol w:w="1409"/>
      </w:tblGrid>
      <w:tr w:rsidR="00C40A8F" w14:paraId="07945F7A" w14:textId="77777777" w:rsidTr="005E63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3" w:type="dxa"/>
          </w:tcPr>
          <w:p w14:paraId="21CF37F0" w14:textId="433A12C9" w:rsidR="00C40A8F" w:rsidRPr="005E63EC" w:rsidRDefault="00C40A8F" w:rsidP="005E63EC">
            <w:pPr>
              <w:spacing w:before="0" w:beforeAutospacing="0" w:after="0" w:afterAutospacing="0"/>
              <w:jc w:val="center"/>
              <w:rPr>
                <w:rFonts w:asciiTheme="minorHAnsi" w:hAnsiTheme="minorHAnsi" w:cstheme="minorHAnsi"/>
                <w:b/>
                <w:bCs/>
              </w:rPr>
            </w:pPr>
            <w:r w:rsidRPr="005E63EC">
              <w:rPr>
                <w:rFonts w:asciiTheme="minorHAnsi" w:hAnsiTheme="minorHAnsi" w:cstheme="minorHAnsi"/>
                <w:b/>
                <w:bCs/>
              </w:rPr>
              <w:t>Student classification</w:t>
            </w:r>
          </w:p>
        </w:tc>
        <w:tc>
          <w:tcPr>
            <w:tcW w:w="3049" w:type="dxa"/>
          </w:tcPr>
          <w:p w14:paraId="25A1C73C" w14:textId="181D12D3"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course type (level – cost – eligible internship)</w:t>
            </w:r>
          </w:p>
        </w:tc>
        <w:tc>
          <w:tcPr>
            <w:tcW w:w="1343" w:type="dxa"/>
          </w:tcPr>
          <w:p w14:paraId="4A65027E" w14:textId="38A893C5"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student completions</w:t>
            </w:r>
          </w:p>
        </w:tc>
        <w:tc>
          <w:tcPr>
            <w:tcW w:w="1402" w:type="dxa"/>
          </w:tcPr>
          <w:p w14:paraId="201D705F" w14:textId="453B784D"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Weighting</w:t>
            </w:r>
          </w:p>
        </w:tc>
        <w:tc>
          <w:tcPr>
            <w:tcW w:w="1409" w:type="dxa"/>
          </w:tcPr>
          <w:p w14:paraId="246CA2C3" w14:textId="7CB9714F"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Weighted HDR student completions</w:t>
            </w:r>
          </w:p>
        </w:tc>
      </w:tr>
      <w:tr w:rsidR="002E3A84" w14:paraId="463E0D0D"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602C4179" w14:textId="1F389AE1" w:rsidR="002E3A84" w:rsidRPr="002E3A84" w:rsidRDefault="002E3A84" w:rsidP="005E63EC">
            <w:pPr>
              <w:spacing w:before="0" w:beforeAutospacing="0" w:after="0" w:afterAutospacing="0"/>
              <w:rPr>
                <w:rFonts w:cstheme="minorHAnsi"/>
              </w:rPr>
            </w:pPr>
            <w:r w:rsidRPr="002E3A84">
              <w:rPr>
                <w:rFonts w:cstheme="minorHAnsi"/>
              </w:rPr>
              <w:t>Non-Indigenous</w:t>
            </w:r>
          </w:p>
        </w:tc>
        <w:tc>
          <w:tcPr>
            <w:tcW w:w="3049" w:type="dxa"/>
          </w:tcPr>
          <w:p w14:paraId="1CD89B32" w14:textId="5C762463"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3CC697A5" w14:textId="63BA3EEF" w:rsidR="002E3A84" w:rsidRPr="002E3A84" w:rsidRDefault="002E3A84" w:rsidP="005E63EC">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41</w:t>
            </w:r>
          </w:p>
        </w:tc>
        <w:tc>
          <w:tcPr>
            <w:tcW w:w="1402" w:type="dxa"/>
          </w:tcPr>
          <w:p w14:paraId="29B45D8C" w14:textId="3424B5B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2.35</w:t>
            </w:r>
          </w:p>
        </w:tc>
        <w:tc>
          <w:tcPr>
            <w:tcW w:w="1409" w:type="dxa"/>
          </w:tcPr>
          <w:p w14:paraId="07759E14" w14:textId="164DD9A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96.35</w:t>
            </w:r>
          </w:p>
        </w:tc>
      </w:tr>
      <w:tr w:rsidR="002E3A84" w14:paraId="3E0ED1B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58796DE" w14:textId="77777777" w:rsidR="002E3A84" w:rsidRPr="002E3A84" w:rsidRDefault="002E3A84" w:rsidP="005E63EC">
            <w:pPr>
              <w:spacing w:before="0" w:beforeAutospacing="0" w:after="0" w:afterAutospacing="0"/>
              <w:rPr>
                <w:rFonts w:cstheme="minorHAnsi"/>
              </w:rPr>
            </w:pPr>
          </w:p>
        </w:tc>
        <w:tc>
          <w:tcPr>
            <w:tcW w:w="3049" w:type="dxa"/>
          </w:tcPr>
          <w:p w14:paraId="4DB3B91C" w14:textId="6F4BD180"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02D147AF" w14:textId="249C331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c>
          <w:tcPr>
            <w:tcW w:w="1402" w:type="dxa"/>
          </w:tcPr>
          <w:p w14:paraId="31B7B641" w14:textId="06DE05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9" w:type="dxa"/>
          </w:tcPr>
          <w:p w14:paraId="6FD79F80" w14:textId="26FBFEF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28</w:t>
            </w:r>
          </w:p>
        </w:tc>
      </w:tr>
      <w:tr w:rsidR="002E3A84" w14:paraId="1A04D92C"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98FEF49" w14:textId="77777777" w:rsidR="002E3A84" w:rsidRPr="002E3A84" w:rsidRDefault="002E3A84" w:rsidP="005E63EC">
            <w:pPr>
              <w:spacing w:before="0" w:beforeAutospacing="0" w:after="0" w:afterAutospacing="0"/>
              <w:rPr>
                <w:rFonts w:cstheme="minorHAnsi"/>
              </w:rPr>
            </w:pPr>
          </w:p>
        </w:tc>
        <w:tc>
          <w:tcPr>
            <w:tcW w:w="3049" w:type="dxa"/>
          </w:tcPr>
          <w:p w14:paraId="01DB97E5" w14:textId="491962C0"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w:t>
            </w:r>
            <w:r w:rsidR="00887166">
              <w:rPr>
                <w:rFonts w:cstheme="minorHAnsi"/>
              </w:rPr>
              <w:t xml:space="preserve"> </w:t>
            </w:r>
            <w:r w:rsidRPr="002E3A84">
              <w:rPr>
                <w:rFonts w:cstheme="minorHAnsi"/>
              </w:rPr>
              <w:t>eligible internship</w:t>
            </w:r>
          </w:p>
        </w:tc>
        <w:tc>
          <w:tcPr>
            <w:tcW w:w="1343" w:type="dxa"/>
          </w:tcPr>
          <w:p w14:paraId="605ECD88" w14:textId="3C758F1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c>
          <w:tcPr>
            <w:tcW w:w="1402" w:type="dxa"/>
          </w:tcPr>
          <w:p w14:paraId="2FFFD418" w14:textId="555AF48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6.7</w:t>
            </w:r>
          </w:p>
        </w:tc>
        <w:tc>
          <w:tcPr>
            <w:tcW w:w="1409" w:type="dxa"/>
          </w:tcPr>
          <w:p w14:paraId="0478669A" w14:textId="54F6F74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46.9</w:t>
            </w:r>
          </w:p>
        </w:tc>
      </w:tr>
      <w:tr w:rsidR="002E3A84" w14:paraId="1EDD278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70C1B71" w14:textId="77777777" w:rsidR="002E3A84" w:rsidRPr="002E3A84" w:rsidRDefault="002E3A84" w:rsidP="005E63EC">
            <w:pPr>
              <w:spacing w:before="0" w:beforeAutospacing="0" w:after="0" w:afterAutospacing="0"/>
              <w:rPr>
                <w:rFonts w:cstheme="minorHAnsi"/>
              </w:rPr>
            </w:pPr>
          </w:p>
        </w:tc>
        <w:tc>
          <w:tcPr>
            <w:tcW w:w="3049" w:type="dxa"/>
          </w:tcPr>
          <w:p w14:paraId="36858934" w14:textId="01997D41"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3BED70D9" w14:textId="1E761AC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156</w:t>
            </w:r>
          </w:p>
        </w:tc>
        <w:tc>
          <w:tcPr>
            <w:tcW w:w="1402" w:type="dxa"/>
          </w:tcPr>
          <w:p w14:paraId="1F0F1052" w14:textId="009078E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1FF1EB50" w14:textId="5E96D4A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733.2</w:t>
            </w:r>
          </w:p>
        </w:tc>
      </w:tr>
      <w:tr w:rsidR="002E3A84" w14:paraId="30ABDE26"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2541C96C" w14:textId="77777777" w:rsidR="002E3A84" w:rsidRPr="002E3A84" w:rsidRDefault="002E3A84" w:rsidP="005E63EC">
            <w:pPr>
              <w:spacing w:before="0" w:beforeAutospacing="0" w:after="0" w:afterAutospacing="0"/>
              <w:rPr>
                <w:rFonts w:cstheme="minorHAnsi"/>
              </w:rPr>
            </w:pPr>
          </w:p>
        </w:tc>
        <w:tc>
          <w:tcPr>
            <w:tcW w:w="3049" w:type="dxa"/>
          </w:tcPr>
          <w:p w14:paraId="67D8FF3C" w14:textId="604B63A4"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0AC49A2F" w14:textId="27BC230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02" w:type="dxa"/>
          </w:tcPr>
          <w:p w14:paraId="335BBA71" w14:textId="793B4C2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610C51D2" w14:textId="174F6EC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8</w:t>
            </w:r>
          </w:p>
        </w:tc>
      </w:tr>
      <w:tr w:rsidR="002E3A84" w14:paraId="78241631"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C76311E" w14:textId="77777777" w:rsidR="002E3A84" w:rsidRPr="002E3A84" w:rsidRDefault="002E3A84" w:rsidP="005E63EC">
            <w:pPr>
              <w:spacing w:before="0" w:beforeAutospacing="0" w:after="0" w:afterAutospacing="0"/>
              <w:rPr>
                <w:rFonts w:cstheme="minorHAnsi"/>
              </w:rPr>
            </w:pPr>
          </w:p>
        </w:tc>
        <w:tc>
          <w:tcPr>
            <w:tcW w:w="3049" w:type="dxa"/>
          </w:tcPr>
          <w:p w14:paraId="6D473984" w14:textId="79F10A4E"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60767330" w14:textId="562669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130</w:t>
            </w:r>
          </w:p>
        </w:tc>
        <w:tc>
          <w:tcPr>
            <w:tcW w:w="1402" w:type="dxa"/>
          </w:tcPr>
          <w:p w14:paraId="3B2DEA8E" w14:textId="5679809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6B8C1590" w14:textId="6218160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r w:rsidR="00B30759">
              <w:rPr>
                <w:rFonts w:cstheme="minorHAnsi"/>
              </w:rPr>
              <w:t>6</w:t>
            </w:r>
            <w:r w:rsidRPr="002E3A84">
              <w:rPr>
                <w:rFonts w:cstheme="minorHAnsi"/>
              </w:rPr>
              <w:t>0</w:t>
            </w:r>
          </w:p>
        </w:tc>
      </w:tr>
      <w:tr w:rsidR="002E3A84" w14:paraId="2790DBDA"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1B7450C3" w14:textId="25EBA272" w:rsidR="002E3A84" w:rsidRPr="002E3A84" w:rsidRDefault="002E3A84" w:rsidP="005E63EC">
            <w:pPr>
              <w:spacing w:before="0" w:beforeAutospacing="0" w:after="0" w:afterAutospacing="0"/>
              <w:rPr>
                <w:rFonts w:cstheme="minorHAnsi"/>
              </w:rPr>
            </w:pPr>
            <w:r w:rsidRPr="002E3A84">
              <w:rPr>
                <w:rFonts w:cstheme="minorHAnsi"/>
              </w:rPr>
              <w:t>Indigenous</w:t>
            </w:r>
          </w:p>
        </w:tc>
        <w:tc>
          <w:tcPr>
            <w:tcW w:w="3049" w:type="dxa"/>
          </w:tcPr>
          <w:p w14:paraId="584AFF29" w14:textId="3EE4E59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502BBC2F" w14:textId="0ADECD3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38DF2D51" w14:textId="09EDF35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64DA58E3" w14:textId="7027FDB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r>
      <w:tr w:rsidR="002E3A84" w14:paraId="6583627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8F63F7E" w14:textId="77777777" w:rsidR="002E3A84" w:rsidRPr="002E3A84" w:rsidRDefault="002E3A84" w:rsidP="005E63EC">
            <w:pPr>
              <w:spacing w:before="0" w:beforeAutospacing="0" w:after="0" w:afterAutospacing="0"/>
              <w:rPr>
                <w:rFonts w:cstheme="minorHAnsi"/>
              </w:rPr>
            </w:pPr>
          </w:p>
        </w:tc>
        <w:tc>
          <w:tcPr>
            <w:tcW w:w="3049" w:type="dxa"/>
          </w:tcPr>
          <w:p w14:paraId="79EEA74D" w14:textId="133A999D"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53952FB4" w14:textId="7BA3E15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w:t>
            </w:r>
          </w:p>
        </w:tc>
        <w:tc>
          <w:tcPr>
            <w:tcW w:w="1402" w:type="dxa"/>
          </w:tcPr>
          <w:p w14:paraId="1D53FA9D" w14:textId="5EB5FA4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39C213EE" w14:textId="1BD9021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r>
      <w:tr w:rsidR="002E3A84" w14:paraId="3BD97192"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340EC3A" w14:textId="77777777" w:rsidR="002E3A84" w:rsidRPr="002E3A84" w:rsidRDefault="002E3A84" w:rsidP="005E63EC">
            <w:pPr>
              <w:spacing w:before="0" w:beforeAutospacing="0" w:after="0" w:afterAutospacing="0"/>
              <w:rPr>
                <w:rFonts w:cstheme="minorHAnsi"/>
              </w:rPr>
            </w:pPr>
          </w:p>
        </w:tc>
        <w:tc>
          <w:tcPr>
            <w:tcW w:w="3049" w:type="dxa"/>
          </w:tcPr>
          <w:p w14:paraId="3CB3195A" w14:textId="2A2D92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eligible internship</w:t>
            </w:r>
          </w:p>
        </w:tc>
        <w:tc>
          <w:tcPr>
            <w:tcW w:w="1343" w:type="dxa"/>
          </w:tcPr>
          <w:p w14:paraId="3DE078F2" w14:textId="128DDB5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2" w:type="dxa"/>
          </w:tcPr>
          <w:p w14:paraId="678CC14A" w14:textId="3620FAA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c>
          <w:tcPr>
            <w:tcW w:w="1409" w:type="dxa"/>
          </w:tcPr>
          <w:p w14:paraId="1DE02ADF" w14:textId="0F8EFCF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r>
      <w:tr w:rsidR="002E3A84" w14:paraId="7DDF27A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FE6CF99" w14:textId="77777777" w:rsidR="002E3A84" w:rsidRPr="002E3A84" w:rsidRDefault="002E3A84" w:rsidP="005E63EC">
            <w:pPr>
              <w:spacing w:before="0" w:beforeAutospacing="0" w:after="0" w:afterAutospacing="0"/>
              <w:rPr>
                <w:rFonts w:cstheme="minorHAnsi"/>
              </w:rPr>
            </w:pPr>
          </w:p>
        </w:tc>
        <w:tc>
          <w:tcPr>
            <w:tcW w:w="3049" w:type="dxa"/>
          </w:tcPr>
          <w:p w14:paraId="74B6E716" w14:textId="4299A876"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27CC3446" w14:textId="563408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5FFE2FE1" w14:textId="1AC6F26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c>
          <w:tcPr>
            <w:tcW w:w="1409" w:type="dxa"/>
          </w:tcPr>
          <w:p w14:paraId="357FAB66" w14:textId="5F48AA7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2E3A84" w14:paraId="52D17AC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2DC4440E" w14:textId="77777777" w:rsidR="002E3A84" w:rsidRPr="002E3A84" w:rsidRDefault="002E3A84" w:rsidP="005E63EC">
            <w:pPr>
              <w:spacing w:before="0" w:beforeAutospacing="0" w:after="0" w:afterAutospacing="0"/>
              <w:rPr>
                <w:rFonts w:cstheme="minorHAnsi"/>
              </w:rPr>
            </w:pPr>
          </w:p>
        </w:tc>
        <w:tc>
          <w:tcPr>
            <w:tcW w:w="3049" w:type="dxa"/>
          </w:tcPr>
          <w:p w14:paraId="5D739C49" w14:textId="16C34F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373F7622" w14:textId="3496106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18A3D97C" w14:textId="3F65285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c>
          <w:tcPr>
            <w:tcW w:w="1409" w:type="dxa"/>
          </w:tcPr>
          <w:p w14:paraId="60DB296F" w14:textId="0FE2E46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w:t>
            </w:r>
          </w:p>
        </w:tc>
      </w:tr>
      <w:tr w:rsidR="002E3A84" w14:paraId="41C53A0B"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Borders>
              <w:bottom w:val="single" w:sz="4" w:space="0" w:color="auto"/>
            </w:tcBorders>
          </w:tcPr>
          <w:p w14:paraId="49606DB3" w14:textId="77777777" w:rsidR="002E3A84" w:rsidRPr="002E3A84" w:rsidRDefault="002E3A84" w:rsidP="005E63EC">
            <w:pPr>
              <w:spacing w:before="0" w:beforeAutospacing="0" w:after="0" w:afterAutospacing="0"/>
              <w:rPr>
                <w:rFonts w:cstheme="minorHAnsi"/>
              </w:rPr>
            </w:pPr>
          </w:p>
        </w:tc>
        <w:tc>
          <w:tcPr>
            <w:tcW w:w="3049" w:type="dxa"/>
            <w:tcBorders>
              <w:bottom w:val="single" w:sz="4" w:space="0" w:color="auto"/>
            </w:tcBorders>
          </w:tcPr>
          <w:p w14:paraId="135D4F76" w14:textId="667FFDC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7DBE16C3" w14:textId="03936FA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007C4030" w14:textId="16FB20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39B722F7" w14:textId="0B1726B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5E63EC" w14:paraId="2EE0D74A" w14:textId="77777777" w:rsidTr="0093523F">
        <w:tc>
          <w:tcPr>
            <w:cnfStyle w:val="001000000000" w:firstRow="0" w:lastRow="0" w:firstColumn="1" w:lastColumn="0" w:oddVBand="0" w:evenVBand="0" w:oddHBand="0" w:evenHBand="0" w:firstRowFirstColumn="0" w:firstRowLastColumn="0" w:lastRowFirstColumn="0" w:lastRowLastColumn="0"/>
            <w:tcW w:w="4862" w:type="dxa"/>
            <w:gridSpan w:val="2"/>
          </w:tcPr>
          <w:p w14:paraId="1C6D6B1D" w14:textId="0E7BDDFE" w:rsidR="005E63EC" w:rsidRPr="002E3A84" w:rsidRDefault="005E63EC" w:rsidP="005E63EC">
            <w:pPr>
              <w:spacing w:before="0" w:beforeAutospacing="0" w:after="0" w:afterAutospacing="0"/>
              <w:rPr>
                <w:rFonts w:cstheme="minorHAnsi"/>
              </w:rPr>
            </w:pPr>
            <w:r w:rsidRPr="002E3A84">
              <w:rPr>
                <w:rFonts w:cstheme="minorHAnsi"/>
                <w:b/>
                <w:bCs/>
              </w:rPr>
              <w:t>Total</w:t>
            </w:r>
          </w:p>
        </w:tc>
        <w:tc>
          <w:tcPr>
            <w:tcW w:w="1343" w:type="dxa"/>
          </w:tcPr>
          <w:p w14:paraId="2CB3016A" w14:textId="3088D253"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372</w:t>
            </w:r>
          </w:p>
        </w:tc>
        <w:tc>
          <w:tcPr>
            <w:tcW w:w="1402" w:type="dxa"/>
          </w:tcPr>
          <w:p w14:paraId="6A4A1D17" w14:textId="376BFBF9"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N/A</w:t>
            </w:r>
          </w:p>
        </w:tc>
        <w:tc>
          <w:tcPr>
            <w:tcW w:w="1409" w:type="dxa"/>
          </w:tcPr>
          <w:p w14:paraId="384AF68A" w14:textId="3528AB52"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1,211.25</w:t>
            </w:r>
          </w:p>
        </w:tc>
      </w:tr>
    </w:tbl>
    <w:p w14:paraId="7DB4934A" w14:textId="33C0C536" w:rsidR="000F2630" w:rsidRDefault="000F2630">
      <w:pPr>
        <w:spacing w:after="160"/>
      </w:pPr>
    </w:p>
    <w:p w14:paraId="1A159E60" w14:textId="77777777" w:rsidR="000F2630" w:rsidRDefault="000F2630" w:rsidP="000F2630">
      <w:pPr>
        <w:pStyle w:val="Heading2"/>
      </w:pPr>
      <w:bookmarkStart w:id="15" w:name="_Toc178168723"/>
      <w:bookmarkStart w:id="16" w:name="_Toc182909484"/>
      <w:r>
        <w:lastRenderedPageBreak/>
        <w:t>Part 2: Calculating a HEP’s percentage share of each funding driver</w:t>
      </w:r>
      <w:bookmarkEnd w:id="15"/>
      <w:bookmarkEnd w:id="16"/>
    </w:p>
    <w:p w14:paraId="4A698318" w14:textId="77777777" w:rsidR="000F2630" w:rsidRPr="000F2630" w:rsidRDefault="000F2630" w:rsidP="000F2630">
      <w:pPr>
        <w:pStyle w:val="Heading3"/>
      </w:pPr>
      <w:bookmarkStart w:id="17" w:name="_Toc182909485"/>
      <w:r w:rsidRPr="000F2630">
        <w:rPr>
          <w:rStyle w:val="Heading4Char"/>
          <w:b/>
          <w:iCs w:val="0"/>
          <w:color w:val="008599" w:themeColor="accent1"/>
          <w:sz w:val="32"/>
        </w:rPr>
        <w:t>Calculation steps</w:t>
      </w:r>
      <w:bookmarkEnd w:id="17"/>
    </w:p>
    <w:p w14:paraId="4CD70EBA" w14:textId="77777777" w:rsidR="000F2630" w:rsidRPr="00C46202" w:rsidRDefault="000F2630" w:rsidP="000F2630">
      <w:r w:rsidRPr="00C46202">
        <w:rPr>
          <w:b/>
        </w:rPr>
        <w:t>Step 1</w:t>
      </w:r>
      <w:r w:rsidRPr="00C46202">
        <w:t xml:space="preserve"> </w:t>
      </w:r>
      <w:r>
        <w:t>–</w:t>
      </w:r>
      <w:r w:rsidRPr="00C46202">
        <w:t xml:space="preserve"> For each </w:t>
      </w:r>
      <w:r>
        <w:t>g</w:t>
      </w:r>
      <w:r w:rsidRPr="00C46202">
        <w:t xml:space="preserve">rant </w:t>
      </w:r>
      <w:r>
        <w:t>y</w:t>
      </w:r>
      <w:r w:rsidRPr="00C46202">
        <w:t>ear</w:t>
      </w:r>
      <w:r>
        <w:t>,</w:t>
      </w:r>
      <w:r w:rsidRPr="00C46202">
        <w:t xml:space="preserve"> a HEP’s share of COMPETITIVE income is calculated by the sum of that HEP’s </w:t>
      </w:r>
      <w:r>
        <w:t>C</w:t>
      </w:r>
      <w:r w:rsidRPr="00C46202">
        <w:t>ategory 1 income for the two most recent years</w:t>
      </w:r>
      <w:r>
        <w:t>,</w:t>
      </w:r>
      <w:r w:rsidRPr="00C46202">
        <w:t xml:space="preserve"> divided by the sum of </w:t>
      </w:r>
      <w:r>
        <w:t>C</w:t>
      </w:r>
      <w:r w:rsidRPr="00C46202">
        <w:t>ategory 1 income for all eligible HEPs for the two most recent years</w:t>
      </w:r>
      <w:r>
        <w:t xml:space="preserve"> of data</w:t>
      </w:r>
      <w:r w:rsidRPr="00C46202">
        <w:t xml:space="preserve">. </w:t>
      </w:r>
      <w:r>
        <w:t>For example, if the grant year is 2025, Category 1 income data from 2022 and 2023 (the two most recent years available) will be used to calculate the share.</w:t>
      </w:r>
    </w:p>
    <w:p w14:paraId="715CDBB2" w14:textId="77777777" w:rsidR="000F2630" w:rsidRDefault="000F2630" w:rsidP="000F2630">
      <w:r w:rsidRPr="00C46202">
        <w:rPr>
          <w:b/>
        </w:rPr>
        <w:t>Step 2</w:t>
      </w:r>
      <w:r w:rsidRPr="00C46202">
        <w:t xml:space="preserve"> </w:t>
      </w:r>
      <w:r>
        <w:t>–</w:t>
      </w:r>
      <w:r w:rsidRPr="00C46202">
        <w:t xml:space="preserve"> For each </w:t>
      </w:r>
      <w:r>
        <w:t>g</w:t>
      </w:r>
      <w:r w:rsidRPr="00C46202">
        <w:t xml:space="preserve">rant </w:t>
      </w:r>
      <w:r>
        <w:t>y</w:t>
      </w:r>
      <w:r w:rsidRPr="00C46202">
        <w:t xml:space="preserve">ear a HEP’s share of ENGAGEMENT income is calculated by the sum of that HEP’s </w:t>
      </w:r>
      <w:r>
        <w:t>C</w:t>
      </w:r>
      <w:r w:rsidRPr="00C46202">
        <w:t xml:space="preserve">ategory 2, 3 and 4 </w:t>
      </w:r>
      <w:proofErr w:type="gramStart"/>
      <w:r w:rsidRPr="00C46202">
        <w:t>income</w:t>
      </w:r>
      <w:proofErr w:type="gramEnd"/>
      <w:r w:rsidRPr="00C46202">
        <w:t xml:space="preserve"> for the two most recent years</w:t>
      </w:r>
      <w:r>
        <w:t>,</w:t>
      </w:r>
      <w:r w:rsidRPr="00C46202">
        <w:t xml:space="preserve"> divided by the sum of </w:t>
      </w:r>
      <w:r>
        <w:t>C</w:t>
      </w:r>
      <w:r w:rsidRPr="00C46202">
        <w:t>ategory 2, 3 and 4 income for all eligible HEPs for the two most recent years</w:t>
      </w:r>
      <w:r>
        <w:t xml:space="preserve"> of data</w:t>
      </w:r>
      <w:r w:rsidRPr="00C46202">
        <w:t xml:space="preserve">. </w:t>
      </w:r>
    </w:p>
    <w:p w14:paraId="12652B9C" w14:textId="77777777" w:rsidR="000F2630" w:rsidRPr="00C46202" w:rsidRDefault="000F2630" w:rsidP="000F2630">
      <w:r w:rsidRPr="002520DF">
        <w:rPr>
          <w:b/>
          <w:bCs/>
        </w:rPr>
        <w:t>S</w:t>
      </w:r>
      <w:r>
        <w:rPr>
          <w:b/>
          <w:bCs/>
        </w:rPr>
        <w:t>t</w:t>
      </w:r>
      <w:r w:rsidRPr="002520DF">
        <w:rPr>
          <w:b/>
          <w:bCs/>
        </w:rPr>
        <w:t>ep 3</w:t>
      </w:r>
      <w:r>
        <w:t xml:space="preserve"> – For each grant year a HEP’s share of WEIGHTED HDR STUDENT COMPLETIONS is calculated by the sum of that HEP’s weighted HDR student completions for the two most recent years of weighted HDR student completions divided by the sum of weighted HDR student completions for all eligible HEPs for the two most recent years. </w:t>
      </w:r>
    </w:p>
    <w:p w14:paraId="4E46C189" w14:textId="055A7C3E" w:rsidR="000F2630" w:rsidRPr="000F2630" w:rsidRDefault="000F2630" w:rsidP="000F2630">
      <w:pPr>
        <w:pStyle w:val="Heading3"/>
        <w:rPr>
          <w:rStyle w:val="Heading4Char"/>
          <w:b/>
          <w:iCs w:val="0"/>
          <w:color w:val="008599" w:themeColor="accent1"/>
          <w:sz w:val="32"/>
        </w:rPr>
      </w:pPr>
      <w:bookmarkStart w:id="18" w:name="_Toc182909486"/>
      <w:r w:rsidRPr="000F2630">
        <w:rPr>
          <w:rStyle w:val="Heading4Char"/>
          <w:b/>
          <w:iCs w:val="0"/>
          <w:color w:val="008599" w:themeColor="accent1"/>
          <w:sz w:val="32"/>
        </w:rPr>
        <w:t>Work</w:t>
      </w:r>
      <w:r w:rsidR="00180B8E">
        <w:rPr>
          <w:rStyle w:val="Heading4Char"/>
          <w:b/>
          <w:iCs w:val="0"/>
          <w:color w:val="008599" w:themeColor="accent1"/>
          <w:sz w:val="32"/>
        </w:rPr>
        <w:t>ed</w:t>
      </w:r>
      <w:r w:rsidRPr="000F2630">
        <w:rPr>
          <w:rStyle w:val="Heading4Char"/>
          <w:b/>
          <w:iCs w:val="0"/>
          <w:color w:val="008599" w:themeColor="accent1"/>
          <w:sz w:val="32"/>
        </w:rPr>
        <w:t xml:space="preserve"> example</w:t>
      </w:r>
      <w:bookmarkEnd w:id="18"/>
    </w:p>
    <w:p w14:paraId="0B7B71A6" w14:textId="77777777" w:rsidR="000F2630" w:rsidRPr="00C46202" w:rsidRDefault="000F2630" w:rsidP="000F2630">
      <w:r w:rsidRPr="00C46202">
        <w:t xml:space="preserve">Where the HEP has research income </w:t>
      </w:r>
      <w:r>
        <w:t xml:space="preserve">and weighted HDR student completions </w:t>
      </w:r>
      <w:r w:rsidRPr="00C46202">
        <w:t>in the two most recent years comprising:</w:t>
      </w:r>
    </w:p>
    <w:p w14:paraId="19C3AEB8" w14:textId="77777777" w:rsidR="000F2630" w:rsidRPr="00876B31" w:rsidRDefault="000F2630" w:rsidP="00180B8E">
      <w:pPr>
        <w:pStyle w:val="ListBullet"/>
      </w:pPr>
      <w:r>
        <w:t>Competitive income</w:t>
      </w:r>
      <w:r w:rsidRPr="00C46202">
        <w:t>: $</w:t>
      </w:r>
      <w:r>
        <w:t>36,00</w:t>
      </w:r>
      <w:r w:rsidRPr="00C46202">
        <w:t>0,000 and $</w:t>
      </w:r>
      <w:r>
        <w:t>44</w:t>
      </w:r>
      <w:r w:rsidRPr="00876B31">
        <w:t xml:space="preserve">,000,000 </w:t>
      </w:r>
    </w:p>
    <w:p w14:paraId="03129247" w14:textId="77777777" w:rsidR="000F2630" w:rsidRPr="00876B31" w:rsidRDefault="000F2630" w:rsidP="00180B8E">
      <w:pPr>
        <w:pStyle w:val="ListBullet"/>
      </w:pPr>
      <w:r>
        <w:t>Engagement income</w:t>
      </w:r>
      <w:r w:rsidRPr="00C46202">
        <w:t>: $</w:t>
      </w:r>
      <w:r>
        <w:t xml:space="preserve">30,000,000 </w:t>
      </w:r>
      <w:r w:rsidRPr="00C46202">
        <w:t>and $</w:t>
      </w:r>
      <w:r>
        <w:t>40</w:t>
      </w:r>
      <w:r w:rsidRPr="00876B31">
        <w:t>,000,000</w:t>
      </w:r>
    </w:p>
    <w:p w14:paraId="7A826191" w14:textId="7059EB04" w:rsidR="000F2630" w:rsidRPr="000F2A71" w:rsidRDefault="000F2630" w:rsidP="00180B8E">
      <w:pPr>
        <w:pStyle w:val="ListBullet"/>
      </w:pPr>
      <w:r>
        <w:t>Weighted HDR student completions: 1,600 and 2,000</w:t>
      </w:r>
    </w:p>
    <w:p w14:paraId="76E5E538" w14:textId="7B5CFEE8" w:rsidR="000F2630" w:rsidRPr="00C46202" w:rsidRDefault="000F2630" w:rsidP="000F2630">
      <w:pPr>
        <w:spacing w:before="240" w:after="120"/>
        <w:rPr>
          <w:rFonts w:cstheme="minorHAnsi"/>
        </w:rPr>
      </w:pPr>
      <w:r w:rsidRPr="00C46202">
        <w:rPr>
          <w:rFonts w:cstheme="minorHAnsi"/>
        </w:rPr>
        <w:t xml:space="preserve">And the total </w:t>
      </w:r>
      <w:r w:rsidR="00180B8E">
        <w:rPr>
          <w:rFonts w:cstheme="minorHAnsi"/>
        </w:rPr>
        <w:t>R&amp;D</w:t>
      </w:r>
      <w:r w:rsidR="00180B8E" w:rsidRPr="00C46202">
        <w:rPr>
          <w:rFonts w:cstheme="minorHAnsi"/>
        </w:rPr>
        <w:t xml:space="preserve"> </w:t>
      </w:r>
      <w:r w:rsidRPr="00C46202">
        <w:rPr>
          <w:rFonts w:cstheme="minorHAnsi"/>
        </w:rPr>
        <w:t xml:space="preserve">income </w:t>
      </w:r>
      <w:r>
        <w:rPr>
          <w:rFonts w:cstheme="minorHAnsi"/>
        </w:rPr>
        <w:t xml:space="preserve">and weighted HDR completions </w:t>
      </w:r>
      <w:r w:rsidRPr="00C46202">
        <w:rPr>
          <w:rFonts w:cstheme="minorHAnsi"/>
        </w:rPr>
        <w:t>for all eligible HEPs in the two most recent years is:</w:t>
      </w:r>
    </w:p>
    <w:p w14:paraId="6C979BB0" w14:textId="77777777" w:rsidR="000F2630" w:rsidRPr="00180B8E" w:rsidRDefault="000F2630" w:rsidP="00180B8E">
      <w:pPr>
        <w:pStyle w:val="ListBullet"/>
      </w:pPr>
      <w:r w:rsidRPr="00180B8E">
        <w:t>Competitive income: $1,900,000,000 and $2,100,000,000</w:t>
      </w:r>
    </w:p>
    <w:p w14:paraId="0F3CA301" w14:textId="77777777" w:rsidR="000F2630" w:rsidRPr="00180B8E" w:rsidRDefault="000F2630" w:rsidP="00180B8E">
      <w:pPr>
        <w:pStyle w:val="ListBullet"/>
      </w:pPr>
      <w:r w:rsidRPr="00180B8E">
        <w:t>Engagement income: $3,400,000,000 and $3,600,000,000</w:t>
      </w:r>
    </w:p>
    <w:p w14:paraId="24461EC7" w14:textId="1417898A" w:rsidR="000F2630" w:rsidRPr="00180B8E" w:rsidRDefault="000F2630" w:rsidP="00180B8E">
      <w:pPr>
        <w:pStyle w:val="ListBullet"/>
      </w:pPr>
      <w:r w:rsidRPr="00180B8E">
        <w:t>Weighted HDR student completions: 55,000 and 65,000</w:t>
      </w:r>
    </w:p>
    <w:p w14:paraId="311781B9" w14:textId="77777777" w:rsidR="000F2630" w:rsidRPr="00C46202" w:rsidRDefault="000F2630" w:rsidP="000F2630">
      <w:pPr>
        <w:spacing w:before="240" w:after="120"/>
        <w:rPr>
          <w:rFonts w:cstheme="minorHAnsi"/>
          <w:b/>
        </w:rPr>
      </w:pPr>
      <w:r w:rsidRPr="00C46202">
        <w:rPr>
          <w:rFonts w:cstheme="minorHAnsi"/>
          <w:b/>
        </w:rPr>
        <w:t xml:space="preserve">Step 1 – </w:t>
      </w:r>
      <w:r>
        <w:rPr>
          <w:rFonts w:cstheme="minorHAnsi"/>
          <w:b/>
        </w:rPr>
        <w:t>C</w:t>
      </w:r>
      <w:r w:rsidRPr="00C46202">
        <w:rPr>
          <w:rFonts w:cstheme="minorHAnsi"/>
          <w:b/>
        </w:rPr>
        <w:t>alculate the HEP’s share of COMPETITIVE income</w:t>
      </w:r>
    </w:p>
    <w:p w14:paraId="6D22F84B" w14:textId="77777777" w:rsidR="000F2630" w:rsidRDefault="000F2630" w:rsidP="000F2630">
      <w:pPr>
        <w:spacing w:before="240" w:after="120"/>
        <w:rPr>
          <w:rFonts w:cstheme="minorHAnsi"/>
        </w:rPr>
      </w:pPr>
      <w:r w:rsidRPr="00C46202">
        <w:rPr>
          <w:rFonts w:cstheme="minorHAnsi"/>
        </w:rPr>
        <w:t>COMPETITIVE share for a HEP</w:t>
      </w:r>
    </w:p>
    <w:p w14:paraId="6DD87058" w14:textId="719C591E" w:rsidR="000F2630" w:rsidRPr="00C46202" w:rsidRDefault="000F2630" w:rsidP="000F2630">
      <w:pPr>
        <w:spacing w:before="240" w:after="120"/>
        <w:rPr>
          <w:rFonts w:cstheme="minorHAnsi"/>
        </w:rPr>
      </w:pPr>
      <w:r>
        <w:rPr>
          <w:rFonts w:cstheme="minorHAnsi"/>
        </w:rPr>
        <w:t>=</w:t>
      </w:r>
      <m:oMath>
        <m:r>
          <m:rPr>
            <m:sty m:val="p"/>
          </m:rPr>
          <w:rPr>
            <w:rFonts w:ascii="Cambria Math" w:hAnsi="Cambria Math" w:cstheme="minorHAnsi"/>
          </w:rPr>
          <m:t xml:space="preserve"> </m:t>
        </m:r>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($36,000,000 + $44,000,000 ) </m:t>
            </m:r>
          </m:num>
          <m:den>
            <m:r>
              <m:rPr>
                <m:sty m:val="p"/>
              </m:rPr>
              <w:rPr>
                <w:rFonts w:ascii="Cambria Math" w:hAnsi="Cambria Math" w:cstheme="minorHAnsi"/>
                <w:sz w:val="28"/>
                <w:szCs w:val="28"/>
              </w:rPr>
              <m:t>($1,900,000,000  + $2,100,000,000)</m:t>
            </m:r>
          </m:den>
        </m:f>
      </m:oMath>
      <w:r w:rsidRPr="00C46202">
        <w:rPr>
          <w:rFonts w:cstheme="minorHAnsi"/>
        </w:rPr>
        <w:t xml:space="preserve"> </w:t>
      </w:r>
    </w:p>
    <w:p w14:paraId="235ACD84"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$80,000,000 </m:t>
            </m:r>
          </m:num>
          <m:den>
            <m:r>
              <m:rPr>
                <m:sty m:val="p"/>
              </m:rPr>
              <w:rPr>
                <w:rFonts w:ascii="Cambria Math" w:hAnsi="Cambria Math" w:cstheme="minorHAnsi"/>
                <w:sz w:val="28"/>
                <w:szCs w:val="28"/>
              </w:rPr>
              <m:t>$4,000,000,000</m:t>
            </m:r>
          </m:den>
        </m:f>
      </m:oMath>
      <w:r w:rsidRPr="000A0765">
        <w:rPr>
          <w:rFonts w:ascii="Cambria Math" w:hAnsi="Cambria Math" w:cstheme="minorHAnsi"/>
          <w:i/>
          <w:sz w:val="28"/>
          <w:szCs w:val="28"/>
        </w:rPr>
        <w:t xml:space="preserve"> </w:t>
      </w:r>
    </w:p>
    <w:p w14:paraId="6D8B0A01" w14:textId="77777777" w:rsidR="000F2630" w:rsidRPr="00CD23CF" w:rsidRDefault="000F2630" w:rsidP="000F2630">
      <w:pPr>
        <w:spacing w:before="240" w:after="120"/>
        <w:rPr>
          <w:rFonts w:cstheme="minorHAnsi"/>
          <w:iCs/>
        </w:rPr>
      </w:pPr>
      <w:r>
        <w:rPr>
          <w:rFonts w:eastAsiaTheme="minorEastAsia" w:cstheme="minorHAnsi"/>
        </w:rPr>
        <w:t xml:space="preserve">= </w:t>
      </w:r>
      <m:oMath>
        <m:r>
          <m:rPr>
            <m:sty m:val="p"/>
          </m:rPr>
          <w:rPr>
            <w:rFonts w:ascii="Cambria Math" w:hAnsi="Cambria Math" w:cstheme="minorHAnsi"/>
          </w:rPr>
          <m:t xml:space="preserve"> 2% share</m:t>
        </m:r>
      </m:oMath>
    </w:p>
    <w:p w14:paraId="6882CB1C" w14:textId="77777777" w:rsidR="000F2630" w:rsidRDefault="000F2630">
      <w:pPr>
        <w:spacing w:after="160"/>
        <w:rPr>
          <w:rFonts w:cstheme="minorHAnsi"/>
          <w:b/>
        </w:rPr>
      </w:pPr>
      <w:r>
        <w:rPr>
          <w:rFonts w:cstheme="minorHAnsi"/>
          <w:b/>
        </w:rPr>
        <w:br w:type="page"/>
      </w:r>
    </w:p>
    <w:p w14:paraId="0A0BCC64" w14:textId="27079243" w:rsidR="000F2630" w:rsidRPr="00C46202" w:rsidRDefault="000F2630" w:rsidP="000F2630">
      <w:pPr>
        <w:rPr>
          <w:rFonts w:cstheme="minorHAnsi"/>
          <w:b/>
        </w:rPr>
      </w:pPr>
      <w:r w:rsidRPr="00C46202">
        <w:rPr>
          <w:rFonts w:cstheme="minorHAnsi"/>
          <w:b/>
        </w:rPr>
        <w:lastRenderedPageBreak/>
        <w:t xml:space="preserve">Step 2 – </w:t>
      </w:r>
      <w:r>
        <w:rPr>
          <w:rFonts w:cstheme="minorHAnsi"/>
          <w:b/>
        </w:rPr>
        <w:t>C</w:t>
      </w:r>
      <w:r w:rsidRPr="00C46202">
        <w:rPr>
          <w:rFonts w:cstheme="minorHAnsi"/>
          <w:b/>
        </w:rPr>
        <w:t>alculate the HEP’s share of ENGAGEMENT income</w:t>
      </w:r>
    </w:p>
    <w:p w14:paraId="0FF0CFE3" w14:textId="77777777" w:rsidR="000F2630" w:rsidRDefault="000F2630" w:rsidP="000F2630">
      <w:pPr>
        <w:spacing w:before="240" w:after="120"/>
        <w:rPr>
          <w:rFonts w:cstheme="minorHAnsi"/>
        </w:rPr>
      </w:pPr>
      <w:r w:rsidRPr="00C46202">
        <w:rPr>
          <w:rFonts w:cstheme="minorHAnsi"/>
        </w:rPr>
        <w:t>ENGAGEMENT share for a HEP</w:t>
      </w:r>
      <w:r w:rsidRPr="00C46202">
        <w:rPr>
          <w:rFonts w:cstheme="minorHAnsi"/>
        </w:rPr>
        <w:tab/>
      </w:r>
    </w:p>
    <w:p w14:paraId="01ACCDE8" w14:textId="1613C81D"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($30,000,000 + $40,000,000) </m:t>
            </m:r>
          </m:num>
          <m:den>
            <m:r>
              <w:rPr>
                <w:rFonts w:ascii="Cambria Math" w:hAnsi="Cambria Math" w:cstheme="minorHAnsi"/>
                <w:sz w:val="28"/>
                <w:szCs w:val="28"/>
              </w:rPr>
              <m:t>($</m:t>
            </m:r>
            <m:r>
              <m:rPr>
                <m:sty m:val="p"/>
              </m:rPr>
              <w:rPr>
                <w:rFonts w:ascii="Cambria Math" w:hAnsi="Cambria Math" w:cstheme="minorHAnsi"/>
                <w:sz w:val="28"/>
                <w:szCs w:val="28"/>
              </w:rPr>
              <m:t>3,400,000,000 + $3,600,000,000</m:t>
            </m:r>
            <m:r>
              <w:rPr>
                <w:rFonts w:ascii="Cambria Math" w:hAnsi="Cambria Math" w:cstheme="minorHAnsi"/>
                <w:sz w:val="28"/>
                <w:szCs w:val="28"/>
              </w:rPr>
              <m:t>)</m:t>
            </m:r>
          </m:den>
        </m:f>
      </m:oMath>
      <w:r w:rsidRPr="00342458">
        <w:rPr>
          <w:rFonts w:ascii="Cambria Math" w:hAnsi="Cambria Math" w:cstheme="minorHAnsi"/>
          <w:i/>
          <w:sz w:val="28"/>
          <w:szCs w:val="28"/>
        </w:rPr>
        <w:t xml:space="preserve"> </w:t>
      </w:r>
    </w:p>
    <w:p w14:paraId="5D63EBE3"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$70,000,000  </m:t>
            </m:r>
          </m:num>
          <m:den>
            <m:r>
              <w:rPr>
                <w:rFonts w:ascii="Cambria Math" w:hAnsi="Cambria Math" w:cstheme="minorHAnsi"/>
                <w:sz w:val="28"/>
                <w:szCs w:val="28"/>
              </w:rPr>
              <m:t>$</m:t>
            </m:r>
            <m:r>
              <m:rPr>
                <m:sty m:val="p"/>
              </m:rPr>
              <w:rPr>
                <w:rFonts w:ascii="Cambria Math" w:hAnsi="Cambria Math" w:cstheme="minorHAnsi"/>
                <w:sz w:val="28"/>
                <w:szCs w:val="28"/>
              </w:rPr>
              <m:t>7,000,000,000</m:t>
            </m:r>
          </m:den>
        </m:f>
      </m:oMath>
    </w:p>
    <w:p w14:paraId="5D5D3C8E" w14:textId="77777777" w:rsidR="000F2630" w:rsidRDefault="000F2630" w:rsidP="000F2630">
      <w:pPr>
        <w:spacing w:after="160"/>
        <w:rPr>
          <w:rFonts w:cstheme="minorHAnsi"/>
        </w:rPr>
      </w:pPr>
      <w:r>
        <w:rPr>
          <w:rFonts w:eastAsiaTheme="minorEastAsia" w:cstheme="minorHAnsi"/>
        </w:rPr>
        <w:t>=</w:t>
      </w:r>
      <m:oMath>
        <m:r>
          <m:rPr>
            <m:sty m:val="p"/>
          </m:rPr>
          <w:rPr>
            <w:rFonts w:ascii="Cambria Math" w:hAnsi="Cambria Math" w:cstheme="minorHAnsi"/>
          </w:rPr>
          <m:t xml:space="preserve"> 1% share</m:t>
        </m:r>
      </m:oMath>
      <w:r>
        <w:rPr>
          <w:rFonts w:cstheme="minorHAnsi"/>
        </w:rPr>
        <w:t xml:space="preserve"> </w:t>
      </w:r>
    </w:p>
    <w:p w14:paraId="5CE9034D" w14:textId="77777777" w:rsidR="000F2630" w:rsidRPr="00C46202" w:rsidRDefault="000F2630" w:rsidP="000F2630">
      <w:pPr>
        <w:rPr>
          <w:rFonts w:cstheme="minorHAnsi"/>
          <w:b/>
        </w:rPr>
      </w:pPr>
      <w:r w:rsidRPr="00C46202">
        <w:rPr>
          <w:rFonts w:cstheme="minorHAnsi"/>
          <w:b/>
        </w:rPr>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share of </w:t>
      </w:r>
      <w:r>
        <w:rPr>
          <w:rFonts w:cstheme="minorHAnsi"/>
          <w:b/>
        </w:rPr>
        <w:t>WEIGHTED HDR STUDENT COMPLETIONS</w:t>
      </w:r>
    </w:p>
    <w:p w14:paraId="2A46F98F" w14:textId="77777777" w:rsidR="000F2630" w:rsidRDefault="000F2630" w:rsidP="000F2630">
      <w:pPr>
        <w:spacing w:before="240" w:after="120"/>
      </w:pPr>
      <w:r>
        <w:t>WEIGHTED HDR STUDENT COMPLETIONS</w:t>
      </w:r>
      <w:r w:rsidRPr="00C46202">
        <w:t xml:space="preserve"> share for a HEP</w:t>
      </w:r>
    </w:p>
    <w:p w14:paraId="72309A81" w14:textId="7FE0A316"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(1,600 + 2,000) </m:t>
            </m:r>
          </m:num>
          <m:den>
            <m:r>
              <w:rPr>
                <w:rFonts w:ascii="Cambria Math" w:hAnsi="Cambria Math" w:cstheme="minorHAnsi"/>
                <w:sz w:val="28"/>
                <w:szCs w:val="28"/>
              </w:rPr>
              <m:t>( 55,000 + 65,000)</m:t>
            </m:r>
          </m:den>
        </m:f>
      </m:oMath>
      <w:r w:rsidRPr="00342458">
        <w:rPr>
          <w:rFonts w:ascii="Cambria Math" w:hAnsi="Cambria Math" w:cstheme="minorHAnsi"/>
          <w:i/>
          <w:sz w:val="28"/>
          <w:szCs w:val="28"/>
        </w:rPr>
        <w:t xml:space="preserve"> </w:t>
      </w:r>
    </w:p>
    <w:p w14:paraId="30198203" w14:textId="6CEEFA5C" w:rsidR="000F2630" w:rsidRPr="007A057C"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3,600  </m:t>
            </m:r>
          </m:num>
          <m:den>
            <m:r>
              <w:rPr>
                <w:rFonts w:ascii="Cambria Math" w:hAnsi="Cambria Math" w:cstheme="minorHAnsi"/>
                <w:sz w:val="28"/>
                <w:szCs w:val="28"/>
              </w:rPr>
              <m:t>120,000</m:t>
            </m:r>
          </m:den>
        </m:f>
      </m:oMath>
      <w:r>
        <w:rPr>
          <w:rFonts w:eastAsiaTheme="minorEastAsia" w:cstheme="minorHAnsi"/>
        </w:rPr>
        <w:t xml:space="preserve"> = </w:t>
      </w:r>
      <m:oMath>
        <m:r>
          <m:rPr>
            <m:sty m:val="p"/>
          </m:rPr>
          <w:rPr>
            <w:rFonts w:ascii="Cambria Math" w:hAnsi="Cambria Math" w:cstheme="minorHAnsi"/>
          </w:rPr>
          <m:t>3% share</m:t>
        </m:r>
      </m:oMath>
    </w:p>
    <w:p w14:paraId="0654B893" w14:textId="77777777" w:rsidR="000F2630" w:rsidRDefault="000F2630">
      <w:pPr>
        <w:spacing w:after="160"/>
        <w:rPr>
          <w:rFonts w:asciiTheme="majorHAnsi" w:eastAsiaTheme="majorEastAsia" w:hAnsiTheme="majorHAnsi" w:cstheme="majorBidi"/>
          <w:b/>
          <w:color w:val="55437E" w:themeColor="accent2"/>
          <w:sz w:val="44"/>
          <w:szCs w:val="26"/>
        </w:rPr>
      </w:pPr>
      <w:bookmarkStart w:id="19" w:name="_Toc182834055"/>
      <w:bookmarkStart w:id="20" w:name="_Toc126923148"/>
      <w:bookmarkStart w:id="21" w:name="_Toc126923159"/>
      <w:r>
        <w:br w:type="page"/>
      </w:r>
    </w:p>
    <w:p w14:paraId="322304F0" w14:textId="6A20BAC8" w:rsidR="00066D97" w:rsidRPr="00596C07" w:rsidRDefault="00066D97" w:rsidP="00596C07">
      <w:pPr>
        <w:pStyle w:val="Heading2"/>
        <w:rPr>
          <w:rFonts w:cstheme="minorHAnsi"/>
        </w:rPr>
      </w:pPr>
      <w:bookmarkStart w:id="22" w:name="_Toc182909487"/>
      <w:r w:rsidRPr="00066D97">
        <w:lastRenderedPageBreak/>
        <w:t xml:space="preserve">Part </w:t>
      </w:r>
      <w:r w:rsidR="000F2630">
        <w:t>3</w:t>
      </w:r>
      <w:r w:rsidRPr="00066D97">
        <w:t xml:space="preserve">: Calculating a HEP’s </w:t>
      </w:r>
      <w:r w:rsidR="00A9797A">
        <w:t>RTP</w:t>
      </w:r>
      <w:r w:rsidRPr="00066D97">
        <w:t xml:space="preserve"> </w:t>
      </w:r>
      <w:r w:rsidR="000F2630">
        <w:t>basic</w:t>
      </w:r>
      <w:r w:rsidRPr="00066D97">
        <w:t xml:space="preserve"> grant amount</w:t>
      </w:r>
      <w:bookmarkEnd w:id="19"/>
      <w:bookmarkEnd w:id="22"/>
    </w:p>
    <w:p w14:paraId="26CBC633" w14:textId="580B4739" w:rsidR="00066D97" w:rsidRDefault="00066D97" w:rsidP="00066D97">
      <w:pPr>
        <w:pStyle w:val="Heading3"/>
      </w:pPr>
      <w:bookmarkStart w:id="23" w:name="_Toc182909488"/>
      <w:r>
        <w:t>Calculation steps</w:t>
      </w:r>
      <w:bookmarkEnd w:id="23"/>
    </w:p>
    <w:p w14:paraId="0911D20C" w14:textId="77777777" w:rsidR="0024028A" w:rsidRPr="00C46202" w:rsidRDefault="0024028A" w:rsidP="0024028A">
      <w:r w:rsidRPr="00C46202">
        <w:rPr>
          <w:b/>
        </w:rPr>
        <w:t>Step 1</w:t>
      </w:r>
      <w:r w:rsidRPr="00C46202">
        <w:t xml:space="preserve"> </w:t>
      </w:r>
      <w:r w:rsidRPr="00D35F3B">
        <w:rPr>
          <w:rFonts w:cstheme="minorHAnsi"/>
          <w:bCs/>
        </w:rPr>
        <w:t>–</w:t>
      </w:r>
      <w:r w:rsidRPr="00C46202">
        <w:t xml:space="preserve"> A HEP’s competitive component is calculated by multiplying </w:t>
      </w:r>
      <w:r>
        <w:t>25%</w:t>
      </w:r>
      <w:r w:rsidRPr="00C46202">
        <w:t xml:space="preserve"> of the R</w:t>
      </w:r>
      <w:r>
        <w:t>T</w:t>
      </w:r>
      <w:r w:rsidRPr="00C46202">
        <w:t xml:space="preserve">P </w:t>
      </w:r>
      <w:r>
        <w:t>f</w:t>
      </w:r>
      <w:r w:rsidRPr="00C46202">
        <w:t xml:space="preserve">unding </w:t>
      </w:r>
      <w:r>
        <w:t>p</w:t>
      </w:r>
      <w:r w:rsidRPr="00C46202">
        <w:t>ool by the HEP’s share of COMPETITIVE income.</w:t>
      </w:r>
    </w:p>
    <w:p w14:paraId="0BB3C27F" w14:textId="77777777" w:rsidR="0024028A" w:rsidRDefault="0024028A" w:rsidP="0024028A">
      <w:pPr>
        <w:spacing w:before="240" w:after="120"/>
        <w:rPr>
          <w:rFonts w:cstheme="minorHAnsi"/>
        </w:rPr>
      </w:pPr>
      <w:r w:rsidRPr="00C46202">
        <w:rPr>
          <w:rFonts w:cstheme="minorHAnsi"/>
          <w:b/>
          <w:bCs/>
        </w:rPr>
        <w:t>Step 2</w:t>
      </w:r>
      <w:r w:rsidRPr="00C46202">
        <w:rPr>
          <w:rFonts w:cstheme="minorHAnsi"/>
        </w:rPr>
        <w:t xml:space="preserve"> </w:t>
      </w:r>
      <w:r w:rsidRPr="00977CDC">
        <w:rPr>
          <w:rFonts w:cstheme="minorHAnsi"/>
          <w:bCs/>
        </w:rPr>
        <w:t>–</w:t>
      </w:r>
      <w:r w:rsidRPr="00C46202">
        <w:rPr>
          <w:rFonts w:cstheme="minorHAnsi"/>
        </w:rPr>
        <w:t xml:space="preserve"> A HEP’s engagement component is calculated by multiplying </w:t>
      </w:r>
      <w:r>
        <w:rPr>
          <w:rFonts w:cstheme="minorHAnsi"/>
        </w:rPr>
        <w:t>25%</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ENGAGEMENT income. </w:t>
      </w:r>
    </w:p>
    <w:p w14:paraId="0A393517"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3</w:t>
      </w:r>
      <w:r w:rsidRPr="00C46202">
        <w:rPr>
          <w:rFonts w:cstheme="minorHAnsi"/>
        </w:rPr>
        <w:t xml:space="preserve"> </w:t>
      </w:r>
      <w:r w:rsidRPr="00977CDC">
        <w:rPr>
          <w:rFonts w:cstheme="minorHAnsi"/>
          <w:bCs/>
        </w:rPr>
        <w:t>–</w:t>
      </w:r>
      <w:r w:rsidRPr="00C46202">
        <w:rPr>
          <w:rFonts w:cstheme="minorHAnsi"/>
        </w:rPr>
        <w:t xml:space="preserve"> A HEP’s </w:t>
      </w:r>
      <w:r>
        <w:rPr>
          <w:rFonts w:cstheme="minorHAnsi"/>
        </w:rPr>
        <w:t xml:space="preserve">weighted HDR student completions </w:t>
      </w:r>
      <w:r w:rsidRPr="00C46202">
        <w:rPr>
          <w:rFonts w:cstheme="minorHAnsi"/>
        </w:rPr>
        <w:t>component is calculated by multiplying 5</w:t>
      </w:r>
      <w:r>
        <w:rPr>
          <w:rFonts w:cstheme="minorHAnsi"/>
        </w:rPr>
        <w:t>0%</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w:t>
      </w:r>
      <w:r>
        <w:rPr>
          <w:rFonts w:cstheme="minorHAnsi"/>
        </w:rPr>
        <w:t>WEIGHTED HDR STUDENT COMPLETIONS</w:t>
      </w:r>
      <w:r w:rsidRPr="00C46202">
        <w:rPr>
          <w:rFonts w:cstheme="minorHAnsi"/>
        </w:rPr>
        <w:t xml:space="preserve">. </w:t>
      </w:r>
    </w:p>
    <w:p w14:paraId="4FB67A9D"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4</w:t>
      </w:r>
      <w:r w:rsidRPr="00C46202">
        <w:rPr>
          <w:rFonts w:cstheme="minorHAnsi"/>
        </w:rPr>
        <w:t xml:space="preserve"> </w:t>
      </w:r>
      <w:r w:rsidRPr="00977CDC">
        <w:rPr>
          <w:rFonts w:cstheme="minorHAnsi"/>
          <w:bCs/>
        </w:rPr>
        <w:t>–</w:t>
      </w:r>
      <w:r w:rsidRPr="00C46202">
        <w:rPr>
          <w:rFonts w:cstheme="minorHAnsi"/>
        </w:rPr>
        <w:t xml:space="preserve"> These t</w:t>
      </w:r>
      <w:r>
        <w:rPr>
          <w:rFonts w:cstheme="minorHAnsi"/>
        </w:rPr>
        <w:t>hree</w:t>
      </w:r>
      <w:r w:rsidRPr="00C46202">
        <w:rPr>
          <w:rFonts w:cstheme="minorHAnsi"/>
        </w:rPr>
        <w:t xml:space="preserve"> amounts are added together to determine a HEP’s </w:t>
      </w:r>
      <w:r>
        <w:rPr>
          <w:rFonts w:cstheme="minorHAnsi"/>
        </w:rPr>
        <w:t>basic</w:t>
      </w:r>
      <w:r w:rsidRPr="00C46202">
        <w:rPr>
          <w:rFonts w:cstheme="minorHAnsi"/>
        </w:rPr>
        <w:t xml:space="preserve"> </w:t>
      </w:r>
      <w:r>
        <w:rPr>
          <w:rFonts w:cstheme="minorHAnsi"/>
        </w:rPr>
        <w:t>g</w:t>
      </w:r>
      <w:r w:rsidRPr="00C46202">
        <w:rPr>
          <w:rFonts w:cstheme="minorHAnsi"/>
        </w:rPr>
        <w:t xml:space="preserve">rant </w:t>
      </w:r>
      <w:r>
        <w:rPr>
          <w:rFonts w:cstheme="minorHAnsi"/>
        </w:rPr>
        <w:t>a</w:t>
      </w:r>
      <w:r w:rsidRPr="00C46202">
        <w:rPr>
          <w:rFonts w:cstheme="minorHAnsi"/>
        </w:rPr>
        <w:t>mount.</w:t>
      </w:r>
    </w:p>
    <w:p w14:paraId="0F8CF17D" w14:textId="558E2D35" w:rsidR="002E3A84" w:rsidRDefault="002E3A84" w:rsidP="005E63EC">
      <w:pPr>
        <w:pStyle w:val="Caption"/>
        <w:keepNext/>
      </w:pPr>
      <w:r>
        <w:t xml:space="preserve">Equation </w:t>
      </w:r>
      <w:r>
        <w:fldChar w:fldCharType="begin"/>
      </w:r>
      <w:r>
        <w:instrText xml:space="preserve"> SEQ Equation \* ARABIC </w:instrText>
      </w:r>
      <w:r>
        <w:fldChar w:fldCharType="separate"/>
      </w:r>
      <w:r w:rsidR="00607D38">
        <w:rPr>
          <w:noProof/>
        </w:rPr>
        <w:t>1</w:t>
      </w:r>
      <w:r>
        <w:fldChar w:fldCharType="end"/>
      </w:r>
      <w:r>
        <w:t>: Calculating a HEP's RTP basic grant amount</w:t>
      </w:r>
    </w:p>
    <w:p w14:paraId="476C3C1D" w14:textId="3A67794B" w:rsidR="00F6391C" w:rsidRPr="00F6391C" w:rsidRDefault="00F6391C" w:rsidP="00F6391C">
      <w:pPr>
        <w:spacing w:before="240" w:after="120"/>
        <w:rPr>
          <w:rFonts w:cstheme="minorHAnsi"/>
        </w:rPr>
      </w:pPr>
      <w:r w:rsidRPr="00F6391C">
        <w:rPr>
          <w:rFonts w:cstheme="minorHAnsi"/>
          <w:noProof/>
        </w:rPr>
        <w:drawing>
          <wp:inline distT="0" distB="0" distL="0" distR="0" wp14:anchorId="179B99E9" wp14:editId="48CE2BEC">
            <wp:extent cx="5731510" cy="935990"/>
            <wp:effectExtent l="0" t="0" r="2540" b="0"/>
            <wp:docPr id="198984409" name="Picture 4" descr="A group of circles with a plu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4409" name="Picture 4" descr="A group of circles with a plus 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935990"/>
                    </a:xfrm>
                    <a:prstGeom prst="rect">
                      <a:avLst/>
                    </a:prstGeom>
                    <a:noFill/>
                    <a:ln>
                      <a:noFill/>
                    </a:ln>
                  </pic:spPr>
                </pic:pic>
              </a:graphicData>
            </a:graphic>
          </wp:inline>
        </w:drawing>
      </w:r>
    </w:p>
    <w:p w14:paraId="00557586" w14:textId="39AC06D0" w:rsidR="00066D97" w:rsidRPr="00DE2951" w:rsidRDefault="00066D97" w:rsidP="00066D97">
      <w:pPr>
        <w:pStyle w:val="Heading3"/>
      </w:pPr>
      <w:bookmarkStart w:id="24" w:name="_Toc181973598"/>
      <w:bookmarkStart w:id="25" w:name="_Toc182909489"/>
      <w:r w:rsidRPr="00DE2951">
        <w:t>Work</w:t>
      </w:r>
      <w:r w:rsidR="00180B8E">
        <w:t>ed</w:t>
      </w:r>
      <w:r w:rsidRPr="00DE2951">
        <w:t xml:space="preserve"> </w:t>
      </w:r>
      <w:r>
        <w:t>e</w:t>
      </w:r>
      <w:r w:rsidRPr="00DE2951">
        <w:t>xample</w:t>
      </w:r>
      <w:bookmarkEnd w:id="24"/>
      <w:bookmarkEnd w:id="25"/>
    </w:p>
    <w:p w14:paraId="7D1F2718" w14:textId="77777777" w:rsidR="0024028A" w:rsidRPr="00D35F3B" w:rsidRDefault="0024028A" w:rsidP="0024028A">
      <w:pPr>
        <w:rPr>
          <w:b/>
          <w:bCs/>
        </w:rPr>
      </w:pPr>
      <w:r w:rsidRPr="00D35F3B">
        <w:rPr>
          <w:b/>
          <w:bCs/>
        </w:rPr>
        <w:t xml:space="preserve">Step 1 – </w:t>
      </w:r>
      <w:r>
        <w:rPr>
          <w:b/>
          <w:bCs/>
        </w:rPr>
        <w:t>C</w:t>
      </w:r>
      <w:r w:rsidRPr="00D35F3B">
        <w:rPr>
          <w:b/>
          <w:bCs/>
        </w:rPr>
        <w:t>alculate the HEP’s competitive component where the total RTP funding pool is $1,000,000,000</w:t>
      </w:r>
    </w:p>
    <w:p w14:paraId="2F2BAD12" w14:textId="0ABC9D80"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 ×</m:t>
        </m:r>
        <m:r>
          <m:rPr>
            <m:sty m:val="p"/>
          </m:rPr>
          <w:rPr>
            <w:rFonts w:ascii="Cambria Math" w:hAnsi="Cambria Math" w:cstheme="minorHAnsi"/>
          </w:rPr>
          <m:t xml:space="preserve"> COMPETITIVE share</m:t>
        </m:r>
        <m:r>
          <w:rPr>
            <w:rFonts w:ascii="Cambria Math" w:hAnsi="Cambria Math" w:cstheme="minorHAnsi"/>
          </w:rPr>
          <m:t xml:space="preserve"> </m:t>
        </m:r>
      </m:oMath>
    </w:p>
    <w:p w14:paraId="399B4E00" w14:textId="73C8477B"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2%</m:t>
        </m:r>
        <m:r>
          <w:rPr>
            <w:rFonts w:ascii="Cambria Math" w:hAnsi="Cambria Math" w:cstheme="minorHAnsi"/>
          </w:rPr>
          <m:t xml:space="preserve"> </m:t>
        </m:r>
      </m:oMath>
      <w:r w:rsidRPr="00C46202">
        <w:rPr>
          <w:rFonts w:cstheme="minorHAnsi"/>
        </w:rPr>
        <w:t xml:space="preserve"> </w:t>
      </w:r>
    </w:p>
    <w:p w14:paraId="0D8BD52A"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 xml:space="preserve"> 2%</m:t>
        </m:r>
      </m:oMath>
    </w:p>
    <w:p w14:paraId="6D3DB525" w14:textId="2CE94F16" w:rsidR="0024028A" w:rsidRPr="00C46202" w:rsidRDefault="0024028A" w:rsidP="0024028A">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oMath>
    </w:p>
    <w:p w14:paraId="735B3F3B"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2 – </w:t>
      </w:r>
      <w:r>
        <w:rPr>
          <w:rFonts w:cstheme="minorHAnsi"/>
          <w:b/>
        </w:rPr>
        <w:t>C</w:t>
      </w:r>
      <w:r w:rsidRPr="00C46202">
        <w:rPr>
          <w:rFonts w:cstheme="minorHAnsi"/>
          <w:b/>
        </w:rPr>
        <w:t xml:space="preserve">alculate the HEP’s engagement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68129EB"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ENGAGEMENT share</m:t>
        </m:r>
        <m:r>
          <w:rPr>
            <w:rFonts w:ascii="Cambria Math" w:hAnsi="Cambria Math" w:cstheme="minorHAnsi"/>
          </w:rPr>
          <m:t xml:space="preserve"> </m:t>
        </m:r>
      </m:oMath>
      <w:r w:rsidRPr="00C46202" w:rsidDel="00A91DCE">
        <w:rPr>
          <w:rFonts w:cstheme="minorHAnsi"/>
        </w:rPr>
        <w:t xml:space="preserve"> </w:t>
      </w:r>
    </w:p>
    <w:p w14:paraId="1CF88113" w14:textId="680AE44C"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×$1,000,000,000×</m:t>
        </m:r>
        <m:r>
          <m:rPr>
            <m:sty m:val="p"/>
          </m:rPr>
          <w:rPr>
            <w:rFonts w:ascii="Cambria Math" w:hAnsi="Cambria Math" w:cstheme="minorHAnsi"/>
          </w:rPr>
          <m:t>1%</m:t>
        </m:r>
        <m:r>
          <w:rPr>
            <w:rFonts w:ascii="Cambria Math" w:hAnsi="Cambria Math" w:cstheme="minorHAnsi"/>
          </w:rPr>
          <m:t xml:space="preserve"> </m:t>
        </m:r>
      </m:oMath>
      <w:r w:rsidRPr="00C46202" w:rsidDel="00A91DCE">
        <w:rPr>
          <w:rFonts w:cstheme="minorHAnsi"/>
        </w:rPr>
        <w:t xml:space="preserve"> </w:t>
      </w:r>
    </w:p>
    <w:p w14:paraId="047C6E67" w14:textId="04E521C9"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1%</m:t>
        </m:r>
      </m:oMath>
      <w:r w:rsidRPr="00C46202">
        <w:rPr>
          <w:rFonts w:cstheme="minorHAnsi"/>
        </w:rPr>
        <w:t xml:space="preserve"> </w:t>
      </w:r>
    </w:p>
    <w:p w14:paraId="34A4173F" w14:textId="39DB3C98" w:rsidR="00180B8E" w:rsidRDefault="0024028A" w:rsidP="0024028A">
      <w:pPr>
        <w:spacing w:before="240" w:after="120"/>
        <w:rPr>
          <w:rFonts w:eastAsiaTheme="minorEastAsia" w:cstheme="minorHAnsi"/>
        </w:rPr>
      </w:pPr>
      <w:r w:rsidRPr="00C46202">
        <w:rPr>
          <w:rFonts w:cstheme="minorHAnsi"/>
        </w:rPr>
        <w:t xml:space="preserve">= </w:t>
      </w:r>
      <m:oMath>
        <m:r>
          <w:rPr>
            <w:rFonts w:ascii="Cambria Math" w:hAnsi="Cambria Math" w:cstheme="minorHAnsi"/>
          </w:rPr>
          <m:t>$2,500,000</m:t>
        </m:r>
      </m:oMath>
    </w:p>
    <w:p w14:paraId="57357BCD" w14:textId="056B12C2" w:rsidR="0024028A" w:rsidRPr="005E63EC" w:rsidRDefault="00180B8E" w:rsidP="005E63EC">
      <w:pPr>
        <w:spacing w:after="160"/>
        <w:rPr>
          <w:rFonts w:eastAsiaTheme="minorEastAsia" w:cstheme="minorHAnsi"/>
        </w:rPr>
      </w:pPr>
      <w:r>
        <w:rPr>
          <w:rFonts w:eastAsiaTheme="minorEastAsia" w:cstheme="minorHAnsi"/>
        </w:rPr>
        <w:br w:type="page"/>
      </w:r>
    </w:p>
    <w:p w14:paraId="62DB1014" w14:textId="77777777" w:rsidR="0024028A" w:rsidRPr="00C46202" w:rsidRDefault="0024028A" w:rsidP="0024028A">
      <w:pPr>
        <w:spacing w:before="240" w:after="120"/>
        <w:rPr>
          <w:rFonts w:cstheme="minorHAnsi"/>
          <w:b/>
        </w:rPr>
      </w:pPr>
      <w:r w:rsidRPr="00C46202">
        <w:rPr>
          <w:rFonts w:cstheme="minorHAnsi"/>
          <w:b/>
        </w:rPr>
        <w:lastRenderedPageBreak/>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weighted HDR student completions</w:t>
      </w:r>
      <w:r w:rsidRPr="00C46202">
        <w:rPr>
          <w:rFonts w:cstheme="minorHAnsi"/>
          <w:b/>
        </w:rPr>
        <w:t xml:space="preserve">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59E428A"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 $1,000,000,000 ×</m:t>
        </m:r>
        <m:r>
          <m:rPr>
            <m:sty m:val="p"/>
          </m:rPr>
          <w:rPr>
            <w:rFonts w:ascii="Cambria Math" w:hAnsi="Cambria Math" w:cstheme="minorHAnsi"/>
          </w:rPr>
          <m:t>WEIGHTED HDR STUDENT COMPLETIONS share</m:t>
        </m:r>
      </m:oMath>
    </w:p>
    <w:p w14:paraId="736B6D10"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×$1,000,000,000×</m:t>
        </m:r>
        <m:r>
          <m:rPr>
            <m:sty m:val="p"/>
          </m:rPr>
          <w:rPr>
            <w:rFonts w:ascii="Cambria Math" w:hAnsi="Cambria Math" w:cstheme="minorHAnsi"/>
          </w:rPr>
          <m:t xml:space="preserve"> 3%</m:t>
        </m:r>
        <m:r>
          <w:rPr>
            <w:rFonts w:ascii="Cambria Math" w:hAnsi="Cambria Math" w:cstheme="minorHAnsi"/>
          </w:rPr>
          <m:t xml:space="preserve"> </m:t>
        </m:r>
      </m:oMath>
      <w:r w:rsidRPr="00C46202" w:rsidDel="00A91DCE">
        <w:rPr>
          <w:rFonts w:cstheme="minorHAnsi"/>
        </w:rPr>
        <w:t xml:space="preserve"> </w:t>
      </w:r>
    </w:p>
    <w:p w14:paraId="7B440335"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$500,000,000 ×</m:t>
        </m:r>
        <m:r>
          <m:rPr>
            <m:sty m:val="p"/>
          </m:rPr>
          <w:rPr>
            <w:rFonts w:ascii="Cambria Math" w:hAnsi="Cambria Math" w:cstheme="minorHAnsi"/>
          </w:rPr>
          <m:t xml:space="preserve"> 3%</m:t>
        </m:r>
      </m:oMath>
      <w:r w:rsidRPr="00C46202">
        <w:rPr>
          <w:rFonts w:cstheme="minorHAnsi"/>
        </w:rPr>
        <w:t xml:space="preserve"> </w:t>
      </w:r>
    </w:p>
    <w:p w14:paraId="7B3C06F4" w14:textId="77777777" w:rsidR="0024028A" w:rsidRDefault="0024028A" w:rsidP="00E106F3">
      <w:pPr>
        <w:spacing w:before="240" w:after="120"/>
        <w:rPr>
          <w:rFonts w:eastAsiaTheme="minorEastAsia" w:cstheme="minorHAnsi"/>
        </w:rPr>
      </w:pPr>
      <w:r w:rsidRPr="00C46202">
        <w:rPr>
          <w:rFonts w:cstheme="minorHAnsi"/>
        </w:rPr>
        <w:t xml:space="preserve">= </w:t>
      </w:r>
      <m:oMath>
        <m:r>
          <w:rPr>
            <w:rFonts w:ascii="Cambria Math" w:hAnsi="Cambria Math" w:cstheme="minorHAnsi"/>
          </w:rPr>
          <m:t>$15,000,000</m:t>
        </m:r>
      </m:oMath>
    </w:p>
    <w:p w14:paraId="48E3C4D6"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w:t>
      </w:r>
      <w:r>
        <w:rPr>
          <w:rFonts w:cstheme="minorHAnsi"/>
          <w:b/>
        </w:rPr>
        <w:t>4</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RTP basic</w:t>
      </w:r>
      <w:r w:rsidRPr="00C46202">
        <w:rPr>
          <w:rFonts w:cstheme="minorHAnsi"/>
          <w:b/>
        </w:rPr>
        <w:t xml:space="preserve"> </w:t>
      </w:r>
      <w:r>
        <w:rPr>
          <w:rFonts w:cstheme="minorHAnsi"/>
          <w:b/>
        </w:rPr>
        <w:t>g</w:t>
      </w:r>
      <w:r w:rsidRPr="00C46202">
        <w:rPr>
          <w:rFonts w:cstheme="minorHAnsi"/>
          <w:b/>
        </w:rPr>
        <w:t xml:space="preserve">rant </w:t>
      </w:r>
      <w:r>
        <w:rPr>
          <w:rFonts w:cstheme="minorHAnsi"/>
          <w:b/>
        </w:rPr>
        <w:t>a</w:t>
      </w:r>
      <w:r w:rsidRPr="00C46202">
        <w:rPr>
          <w:rFonts w:cstheme="minorHAnsi"/>
          <w:b/>
        </w:rPr>
        <w:t xml:space="preserve">mount </w:t>
      </w:r>
    </w:p>
    <w:p w14:paraId="1761D3BE" w14:textId="77777777" w:rsidR="00E106F3" w:rsidRDefault="0024028A" w:rsidP="00E106F3">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r>
          <w:rPr>
            <w:rFonts w:ascii="Cambria Math" w:hAnsi="Cambria Math" w:cstheme="minorHAnsi"/>
          </w:rPr>
          <m:t>$2,500,000+$15,000,000</m:t>
        </m:r>
      </m:oMath>
    </w:p>
    <w:p w14:paraId="45B6D397" w14:textId="09AEF10A" w:rsidR="0024028A" w:rsidRDefault="0024028A" w:rsidP="00E106F3">
      <w:pPr>
        <w:spacing w:before="240" w:after="120"/>
        <w:rPr>
          <w:rFonts w:cstheme="minorHAnsi"/>
        </w:rPr>
      </w:pPr>
      <w:r>
        <w:rPr>
          <w:rFonts w:cstheme="minorHAnsi"/>
        </w:rPr>
        <w:t>=</w:t>
      </w:r>
      <m:oMath>
        <m:r>
          <w:rPr>
            <w:rFonts w:ascii="Cambria Math" w:hAnsi="Cambria Math" w:cstheme="minorHAnsi"/>
          </w:rPr>
          <m:t>$22,500,000</m:t>
        </m:r>
      </m:oMath>
    </w:p>
    <w:p w14:paraId="2D235564" w14:textId="178E2F35" w:rsidR="00A3606A" w:rsidRDefault="00A3606A">
      <w:pPr>
        <w:spacing w:after="160"/>
        <w:rPr>
          <w:rFonts w:eastAsiaTheme="minorEastAsia"/>
        </w:rPr>
      </w:pPr>
      <w:r>
        <w:rPr>
          <w:rFonts w:eastAsiaTheme="minorEastAsia"/>
        </w:rPr>
        <w:br w:type="page"/>
      </w:r>
    </w:p>
    <w:p w14:paraId="28D359AC" w14:textId="7FB92A8E" w:rsidR="00066D97" w:rsidRDefault="00A3606A" w:rsidP="00A3606A">
      <w:pPr>
        <w:pStyle w:val="Heading2"/>
      </w:pPr>
      <w:bookmarkStart w:id="26" w:name="_Toc182834056"/>
      <w:bookmarkStart w:id="27" w:name="_Toc182909490"/>
      <w:r>
        <w:lastRenderedPageBreak/>
        <w:t xml:space="preserve">Part </w:t>
      </w:r>
      <w:r w:rsidR="00E106F3">
        <w:t>4</w:t>
      </w:r>
      <w:r>
        <w:t xml:space="preserve">: Applying rounding to calculate a HEP’s </w:t>
      </w:r>
      <w:r w:rsidR="00A9797A">
        <w:t>RTP</w:t>
      </w:r>
      <w:r>
        <w:t xml:space="preserve"> grant amount</w:t>
      </w:r>
      <w:bookmarkEnd w:id="26"/>
      <w:bookmarkEnd w:id="27"/>
    </w:p>
    <w:p w14:paraId="3CC061B4" w14:textId="76618DB2" w:rsidR="00A3606A" w:rsidRDefault="00A3606A" w:rsidP="00A3606A">
      <w:pPr>
        <w:pStyle w:val="Heading3"/>
      </w:pPr>
      <w:bookmarkStart w:id="28" w:name="_Toc182909491"/>
      <w:r>
        <w:t>Calculation steps</w:t>
      </w:r>
      <w:bookmarkEnd w:id="28"/>
    </w:p>
    <w:p w14:paraId="528565EC" w14:textId="4EF9070F" w:rsidR="00A3606A" w:rsidRDefault="00A3606A" w:rsidP="00A3606A">
      <w:r w:rsidRPr="006C5E3F">
        <w:rPr>
          <w:b/>
          <w:bCs/>
        </w:rPr>
        <w:t>Step 1</w:t>
      </w:r>
      <w:r>
        <w:rPr>
          <w:b/>
          <w:bCs/>
        </w:rPr>
        <w:t xml:space="preserve"> </w:t>
      </w:r>
      <w:r w:rsidRPr="00966C24">
        <w:t>–</w:t>
      </w:r>
      <w:r w:rsidR="00180B8E">
        <w:t xml:space="preserve"> </w:t>
      </w:r>
      <w:r w:rsidRPr="00C53C80">
        <w:t>T</w:t>
      </w:r>
      <w:r w:rsidRPr="006C5E3F">
        <w:t xml:space="preserve">he </w:t>
      </w:r>
      <w:r w:rsidR="00A9797A">
        <w:t>RTP</w:t>
      </w:r>
      <w:r w:rsidRPr="006C5E3F">
        <w:t xml:space="preserve"> </w:t>
      </w:r>
      <w:r w:rsidR="000F2630">
        <w:t>basic</w:t>
      </w:r>
      <w:r>
        <w:t xml:space="preserve"> g</w:t>
      </w:r>
      <w:r w:rsidRPr="006C5E3F">
        <w:t xml:space="preserve">rant </w:t>
      </w:r>
      <w:r>
        <w:t>a</w:t>
      </w:r>
      <w:r w:rsidRPr="006C5E3F">
        <w:t xml:space="preserve">mount </w:t>
      </w:r>
      <w:r>
        <w:t xml:space="preserve">for each HEP is </w:t>
      </w:r>
      <w:r w:rsidRPr="006C5E3F">
        <w:t>rounded down to the nearest dollar</w:t>
      </w:r>
      <w:r>
        <w:t>.</w:t>
      </w:r>
    </w:p>
    <w:p w14:paraId="62A3E5A6" w14:textId="3E1EFD10"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T</w:t>
      </w:r>
      <w:r w:rsidRPr="006C5E3F">
        <w:rPr>
          <w:rFonts w:asciiTheme="minorHAnsi" w:eastAsiaTheme="minorHAnsi" w:hAnsiTheme="minorHAnsi" w:cstheme="minorBidi"/>
          <w:sz w:val="22"/>
          <w:szCs w:val="22"/>
          <w:lang w:eastAsia="en-US"/>
        </w:rPr>
        <w:t>he rounded</w:t>
      </w:r>
      <w:r>
        <w:rPr>
          <w:rFonts w:asciiTheme="minorHAnsi" w:eastAsiaTheme="minorHAnsi" w:hAnsiTheme="minorHAnsi" w:cstheme="minorBidi"/>
          <w:sz w:val="22"/>
          <w:szCs w:val="22"/>
          <w:lang w:eastAsia="en-US"/>
        </w:rPr>
        <w:t xml:space="preserve"> down</w:t>
      </w:r>
      <w:r w:rsidRPr="006C5E3F">
        <w:rPr>
          <w:rFonts w:asciiTheme="minorHAnsi" w:eastAsiaTheme="minorHAnsi" w:hAnsiTheme="minorHAnsi" w:cstheme="minorBidi"/>
          <w:sz w:val="22"/>
          <w:szCs w:val="22"/>
          <w:lang w:eastAsia="en-US"/>
        </w:rPr>
        <w:t xml:space="preserve">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 xml:space="preserve">mount </w:t>
      </w:r>
      <w:r>
        <w:rPr>
          <w:rFonts w:asciiTheme="minorHAnsi" w:eastAsiaTheme="minorHAnsi" w:hAnsiTheme="minorHAnsi" w:cstheme="minorBidi"/>
          <w:sz w:val="22"/>
          <w:szCs w:val="22"/>
          <w:lang w:eastAsia="en-US"/>
        </w:rPr>
        <w:t>is s</w:t>
      </w:r>
      <w:r w:rsidRPr="006C5E3F">
        <w:rPr>
          <w:rFonts w:asciiTheme="minorHAnsi" w:eastAsiaTheme="minorHAnsi" w:hAnsiTheme="minorHAnsi" w:cstheme="minorBidi"/>
          <w:sz w:val="22"/>
          <w:szCs w:val="22"/>
          <w:lang w:eastAsia="en-US"/>
        </w:rPr>
        <w:t>ubtrac</w:t>
      </w:r>
      <w:r>
        <w:rPr>
          <w:rFonts w:asciiTheme="minorHAnsi" w:eastAsiaTheme="minorHAnsi" w:hAnsiTheme="minorHAnsi" w:cstheme="minorBidi"/>
          <w:sz w:val="22"/>
          <w:szCs w:val="22"/>
          <w:lang w:eastAsia="en-US"/>
        </w:rPr>
        <w:t xml:space="preserve">ted from the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difference in cents between a HEP’s rounded down and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is its remainder. The sum of all remainders is the unallocated dollars. </w:t>
      </w:r>
    </w:p>
    <w:p w14:paraId="44AE061E" w14:textId="3059F146"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sidRPr="006C5E3F">
        <w:rPr>
          <w:rFonts w:asciiTheme="minorHAnsi" w:eastAsiaTheme="minorHAnsi" w:hAnsiTheme="minorHAnsi" w:cstheme="minorBidi"/>
          <w:sz w:val="22"/>
          <w:szCs w:val="22"/>
          <w:lang w:eastAsia="en-US"/>
        </w:rPr>
        <w:t xml:space="preserve">Each HEP is ranked in </w:t>
      </w:r>
      <w:r>
        <w:rPr>
          <w:rFonts w:asciiTheme="minorHAnsi" w:eastAsiaTheme="minorHAnsi" w:hAnsiTheme="minorHAnsi" w:cstheme="minorBidi"/>
          <w:sz w:val="22"/>
          <w:szCs w:val="22"/>
          <w:lang w:eastAsia="en-US"/>
        </w:rPr>
        <w:t xml:space="preserve">descending </w:t>
      </w:r>
      <w:r w:rsidRPr="006C5E3F">
        <w:rPr>
          <w:rFonts w:asciiTheme="minorHAnsi" w:eastAsiaTheme="minorHAnsi" w:hAnsiTheme="minorHAnsi" w:cstheme="minorBidi"/>
          <w:sz w:val="22"/>
          <w:szCs w:val="22"/>
          <w:lang w:eastAsia="en-US"/>
        </w:rPr>
        <w:t xml:space="preserve">order </w:t>
      </w:r>
      <w:r w:rsidR="000F2630">
        <w:rPr>
          <w:rFonts w:asciiTheme="minorHAnsi" w:eastAsiaTheme="minorHAnsi" w:hAnsiTheme="minorHAnsi" w:cstheme="minorBidi"/>
          <w:sz w:val="22"/>
          <w:szCs w:val="22"/>
          <w:lang w:eastAsia="en-US"/>
        </w:rPr>
        <w:t>bas</w:t>
      </w:r>
      <w:r w:rsidR="00E106F3">
        <w:rPr>
          <w:rFonts w:asciiTheme="minorHAnsi" w:eastAsiaTheme="minorHAnsi" w:hAnsiTheme="minorHAnsi" w:cstheme="minorBidi"/>
          <w:sz w:val="22"/>
          <w:szCs w:val="22"/>
          <w:lang w:eastAsia="en-US"/>
        </w:rPr>
        <w:t>e</w:t>
      </w:r>
      <w:r w:rsidRPr="006C5E3F">
        <w:rPr>
          <w:rFonts w:asciiTheme="minorHAnsi" w:eastAsiaTheme="minorHAnsi" w:hAnsiTheme="minorHAnsi" w:cstheme="minorBidi"/>
          <w:sz w:val="22"/>
          <w:szCs w:val="22"/>
          <w:lang w:eastAsia="en-US"/>
        </w:rPr>
        <w:t xml:space="preserve">d on their </w:t>
      </w:r>
      <w:r>
        <w:rPr>
          <w:rFonts w:asciiTheme="minorHAnsi" w:eastAsiaTheme="minorHAnsi" w:hAnsiTheme="minorHAnsi" w:cstheme="minorBidi"/>
          <w:sz w:val="22"/>
          <w:szCs w:val="22"/>
          <w:lang w:eastAsia="en-US"/>
        </w:rPr>
        <w:t>remainder’s closeness to 100 cents</w:t>
      </w:r>
      <w:r w:rsidRPr="006C5E3F">
        <w:rPr>
          <w:rFonts w:asciiTheme="minorHAnsi" w:eastAsiaTheme="minorHAnsi" w:hAnsiTheme="minorHAnsi" w:cstheme="minorBidi"/>
          <w:sz w:val="22"/>
          <w:szCs w:val="22"/>
          <w:lang w:eastAsia="en-US"/>
        </w:rPr>
        <w:t>.</w:t>
      </w:r>
    </w:p>
    <w:p w14:paraId="632D8D8E" w14:textId="18A284EA"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4</w:t>
      </w:r>
      <w:r>
        <w:rPr>
          <w:rFonts w:asciiTheme="minorHAnsi" w:eastAsiaTheme="minorHAnsi" w:hAnsiTheme="minorHAnsi" w:cstheme="minorBidi"/>
          <w:b/>
          <w:bCs/>
          <w:sz w:val="22"/>
          <w:szCs w:val="22"/>
          <w:lang w:eastAsia="en-US"/>
        </w:rPr>
        <w:t xml:space="preserve"> </w:t>
      </w:r>
      <w:r w:rsidRPr="009E5009">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One dollar is assigned to each</w:t>
      </w:r>
      <w:r w:rsidRPr="006C5E3F">
        <w:rPr>
          <w:rFonts w:asciiTheme="minorHAnsi" w:eastAsiaTheme="minorHAnsi" w:hAnsiTheme="minorHAnsi" w:cstheme="minorBidi"/>
          <w:sz w:val="22"/>
          <w:szCs w:val="22"/>
          <w:lang w:eastAsia="en-US"/>
        </w:rPr>
        <w:t xml:space="preserve"> HEP</w:t>
      </w:r>
      <w:r>
        <w:rPr>
          <w:rFonts w:asciiTheme="minorHAnsi" w:eastAsiaTheme="minorHAnsi" w:hAnsiTheme="minorHAnsi" w:cstheme="minorBidi"/>
          <w:sz w:val="22"/>
          <w:szCs w:val="22"/>
          <w:lang w:eastAsia="en-US"/>
        </w:rPr>
        <w:t xml:space="preserve">’s </w:t>
      </w:r>
      <w:r w:rsidRPr="006C5E3F">
        <w:rPr>
          <w:rFonts w:asciiTheme="minorHAnsi" w:eastAsiaTheme="minorHAnsi" w:hAnsiTheme="minorHAnsi" w:cstheme="minorBidi"/>
          <w:sz w:val="22"/>
          <w:szCs w:val="22"/>
          <w:lang w:eastAsia="en-US"/>
        </w:rPr>
        <w:t xml:space="preserve">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mount</w:t>
      </w:r>
      <w:r>
        <w:rPr>
          <w:rFonts w:asciiTheme="minorHAnsi" w:eastAsiaTheme="minorHAnsi" w:hAnsiTheme="minorHAnsi" w:cstheme="minorBidi"/>
          <w:sz w:val="22"/>
          <w:szCs w:val="22"/>
          <w:lang w:eastAsia="en-US"/>
        </w:rPr>
        <w:t xml:space="preserve"> in order of ranking until all unallocated dollars are exhausted</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Each HEP’s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grant amount is equal to the rounded down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plus any whole dollars.</w:t>
      </w:r>
    </w:p>
    <w:p w14:paraId="6850ED7B" w14:textId="44B5CF55" w:rsidR="00A3606A" w:rsidRPr="00A3606A" w:rsidRDefault="00A3606A" w:rsidP="00A3606A">
      <w:pPr>
        <w:pStyle w:val="Heading3"/>
      </w:pPr>
      <w:bookmarkStart w:id="29" w:name="_Toc182909492"/>
      <w:r>
        <w:t>Work</w:t>
      </w:r>
      <w:r w:rsidR="00180B8E">
        <w:t>ed</w:t>
      </w:r>
      <w:r>
        <w:t xml:space="preserve"> example</w:t>
      </w:r>
      <w:bookmarkEnd w:id="29"/>
    </w:p>
    <w:p w14:paraId="0BF15832" w14:textId="650077CA" w:rsidR="00A3606A" w:rsidRDefault="00A3606A" w:rsidP="00A3606A">
      <w:r>
        <w:t xml:space="preserve">Where there are three HEPs with the following </w:t>
      </w:r>
      <w:r w:rsidR="00A9797A">
        <w:t>RTP</w:t>
      </w:r>
      <w:r>
        <w:t xml:space="preserve"> </w:t>
      </w:r>
      <w:r w:rsidR="000F2630">
        <w:t>basic</w:t>
      </w:r>
      <w:r>
        <w:t xml:space="preserve"> grant amounts:</w:t>
      </w:r>
    </w:p>
    <w:p w14:paraId="44D13B9F" w14:textId="18D163DF" w:rsidR="00A3606A" w:rsidRDefault="00A3606A" w:rsidP="00A3606A">
      <w:pPr>
        <w:pStyle w:val="ListBullet"/>
      </w:pPr>
      <w:r>
        <w:t>HEP</w:t>
      </w:r>
      <w:r w:rsidDel="007C017E">
        <w:t xml:space="preserve"> </w:t>
      </w:r>
      <w:r>
        <w:t xml:space="preserve">A: $8,250,000.61 </w:t>
      </w:r>
    </w:p>
    <w:p w14:paraId="29E92B37" w14:textId="33F11CAE" w:rsidR="00A3606A" w:rsidRDefault="00A3606A" w:rsidP="00A3606A">
      <w:pPr>
        <w:pStyle w:val="ListBullet"/>
      </w:pPr>
      <w:r>
        <w:t>HEP</w:t>
      </w:r>
      <w:r w:rsidDel="007C017E">
        <w:t xml:space="preserve"> </w:t>
      </w:r>
      <w:r>
        <w:t>B: $7,500,000.92</w:t>
      </w:r>
      <w:r w:rsidRPr="0028790B">
        <w:t xml:space="preserve"> </w:t>
      </w:r>
    </w:p>
    <w:p w14:paraId="712B9865" w14:textId="6EA66A85" w:rsidR="00A3606A" w:rsidRDefault="00A3606A" w:rsidP="00A3606A">
      <w:pPr>
        <w:pStyle w:val="ListBullet"/>
      </w:pPr>
      <w:r>
        <w:t>HEP</w:t>
      </w:r>
      <w:r w:rsidRPr="00342458" w:rsidDel="007C017E">
        <w:t xml:space="preserve"> </w:t>
      </w:r>
      <w:r w:rsidRPr="00342458">
        <w:t>C: $5,750,000.</w:t>
      </w:r>
      <w:r>
        <w:t>4</w:t>
      </w:r>
      <w:r w:rsidRPr="00342458">
        <w:t>7</w:t>
      </w:r>
    </w:p>
    <w:p w14:paraId="30825C78" w14:textId="6CFA989C" w:rsidR="00A3606A" w:rsidRPr="00342458" w:rsidRDefault="00A3606A" w:rsidP="00A3606A">
      <w:pPr>
        <w:pStyle w:val="ListBullet"/>
      </w:pPr>
      <w:r w:rsidRPr="00A3606A">
        <w:rPr>
          <w:i/>
          <w:iCs/>
        </w:rPr>
        <w:t>Total:</w:t>
      </w:r>
      <w:r>
        <w:t xml:space="preserve"> $21,500,002.00</w:t>
      </w:r>
    </w:p>
    <w:p w14:paraId="14223227" w14:textId="5255030E"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1</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Round the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for each HEP down to the nearest dollar.</w:t>
      </w:r>
    </w:p>
    <w:p w14:paraId="7EEAAB60" w14:textId="7DA3BCBE" w:rsidR="00A3606A" w:rsidRDefault="00A3606A" w:rsidP="00A3606A">
      <w:pPr>
        <w:pStyle w:val="ListBullet"/>
      </w:pPr>
      <w:r>
        <w:t>HEP</w:t>
      </w:r>
      <w:r w:rsidDel="007C017E">
        <w:t xml:space="preserve"> </w:t>
      </w:r>
      <w:r>
        <w:t>A: $8,250,000.61 rounds down to $8,250,000</w:t>
      </w:r>
    </w:p>
    <w:p w14:paraId="0BBD7E56" w14:textId="0D8CCBC9" w:rsidR="00A3606A" w:rsidRDefault="00A3606A" w:rsidP="00A3606A">
      <w:pPr>
        <w:pStyle w:val="ListBullet"/>
      </w:pPr>
      <w:r>
        <w:t>HEP</w:t>
      </w:r>
      <w:r w:rsidDel="007C017E">
        <w:t xml:space="preserve"> </w:t>
      </w:r>
      <w:r>
        <w:t>B: $7,500,000.92</w:t>
      </w:r>
      <w:r w:rsidRPr="0028790B">
        <w:t xml:space="preserve"> </w:t>
      </w:r>
      <w:r>
        <w:t>rounds down to $7,500,000</w:t>
      </w:r>
    </w:p>
    <w:p w14:paraId="7FA4517A" w14:textId="6D729889" w:rsidR="00A3606A" w:rsidRDefault="00A3606A" w:rsidP="00A3606A">
      <w:pPr>
        <w:pStyle w:val="ListBullet"/>
      </w:pPr>
      <w:r>
        <w:t>HEP</w:t>
      </w:r>
      <w:r w:rsidDel="007C017E">
        <w:t xml:space="preserve"> </w:t>
      </w:r>
      <w:r>
        <w:t>C: $5,750,000.47</w:t>
      </w:r>
      <w:r w:rsidRPr="0028790B">
        <w:t xml:space="preserve"> </w:t>
      </w:r>
      <w:r>
        <w:t>rounds down to $5,750,000</w:t>
      </w:r>
    </w:p>
    <w:p w14:paraId="5DD6A3EA" w14:textId="6052BAA6" w:rsidR="00A3606A" w:rsidRPr="006C5E3F" w:rsidRDefault="00A3606A" w:rsidP="00A3606A">
      <w:pPr>
        <w:pStyle w:val="ListBullet"/>
      </w:pPr>
      <w:r w:rsidRPr="00A3606A">
        <w:rPr>
          <w:i/>
          <w:iCs/>
        </w:rPr>
        <w:t>Rounded down total:</w:t>
      </w:r>
      <w:r>
        <w:t xml:space="preserve"> $21,500,000.00</w:t>
      </w:r>
    </w:p>
    <w:p w14:paraId="0E5B25BF" w14:textId="2F80E56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Subtract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from the unrounded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The sum of all remainders is the unallocated dollars.</w:t>
      </w:r>
    </w:p>
    <w:p w14:paraId="59C3CCC7" w14:textId="10C7BE25" w:rsidR="00A3606A" w:rsidRDefault="00A3606A" w:rsidP="00A3606A">
      <w:pPr>
        <w:pStyle w:val="ListBullet"/>
      </w:pPr>
      <w:r>
        <w:t>HEP</w:t>
      </w:r>
      <w:r w:rsidDel="007C017E">
        <w:t xml:space="preserve"> </w:t>
      </w:r>
      <w:r>
        <w:t>A: $8,250,000.61 - $8,250,000 = 0.61</w:t>
      </w:r>
    </w:p>
    <w:p w14:paraId="4793D791" w14:textId="59D64511" w:rsidR="00A3606A" w:rsidRDefault="00A3606A" w:rsidP="00A3606A">
      <w:pPr>
        <w:pStyle w:val="ListBullet"/>
      </w:pPr>
      <w:r>
        <w:t>HEP</w:t>
      </w:r>
      <w:r w:rsidDel="007C017E">
        <w:t xml:space="preserve"> </w:t>
      </w:r>
      <w:r>
        <w:t>B: $7,500,000.92</w:t>
      </w:r>
      <w:r w:rsidRPr="0028790B">
        <w:t xml:space="preserve"> </w:t>
      </w:r>
      <w:r>
        <w:t>- $7,500,000 = 0.92</w:t>
      </w:r>
    </w:p>
    <w:p w14:paraId="5BA4FF0B" w14:textId="6ED3FC2A" w:rsidR="00A3606A" w:rsidRDefault="00A3606A" w:rsidP="00A3606A">
      <w:pPr>
        <w:pStyle w:val="ListBullet"/>
      </w:pPr>
      <w:r>
        <w:t>HEP</w:t>
      </w:r>
      <w:r w:rsidDel="007C017E">
        <w:t xml:space="preserve"> </w:t>
      </w:r>
      <w:r>
        <w:t>C: $5,750,000.47</w:t>
      </w:r>
      <w:r w:rsidRPr="0028790B">
        <w:t xml:space="preserve"> </w:t>
      </w:r>
      <w:r>
        <w:t>- $5,750,000 = 0.47</w:t>
      </w:r>
    </w:p>
    <w:p w14:paraId="63D93E08" w14:textId="557DCC98" w:rsidR="00A3606A" w:rsidRPr="00DE7CF4" w:rsidRDefault="00A3606A" w:rsidP="00A3606A">
      <w:pPr>
        <w:pStyle w:val="ListBullet"/>
      </w:pPr>
      <w:r w:rsidRPr="00A3606A">
        <w:rPr>
          <w:i/>
          <w:iCs/>
        </w:rPr>
        <w:t>Unallocated dollars</w:t>
      </w:r>
      <w:r>
        <w:rPr>
          <w:i/>
          <w:iCs/>
        </w:rPr>
        <w:t>:</w:t>
      </w:r>
      <w:r w:rsidRPr="00DE7CF4">
        <w:t xml:space="preserve"> (0.61 + 0.92 + 0.47) = 2.00</w:t>
      </w:r>
    </w:p>
    <w:p w14:paraId="2CBA460C" w14:textId="0DDFC9D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Rank HEPs in descending order </w:t>
      </w:r>
      <w:r w:rsidR="000F2630">
        <w:rPr>
          <w:rFonts w:asciiTheme="minorHAnsi" w:eastAsiaTheme="minorHAnsi" w:hAnsiTheme="minorHAnsi" w:cstheme="minorBidi"/>
          <w:sz w:val="22"/>
          <w:szCs w:val="22"/>
          <w:lang w:eastAsia="en-US"/>
        </w:rPr>
        <w:t>bas</w:t>
      </w:r>
      <w:r w:rsidR="00180B8E">
        <w:rPr>
          <w:rFonts w:asciiTheme="minorHAnsi" w:eastAsiaTheme="minorHAnsi" w:hAnsiTheme="minorHAnsi" w:cstheme="minorBidi"/>
          <w:sz w:val="22"/>
          <w:szCs w:val="22"/>
          <w:lang w:eastAsia="en-US"/>
        </w:rPr>
        <w:t>e</w:t>
      </w:r>
      <w:r w:rsidRPr="00A3606A">
        <w:rPr>
          <w:rFonts w:asciiTheme="minorHAnsi" w:eastAsiaTheme="minorHAnsi" w:hAnsiTheme="minorHAnsi" w:cstheme="minorBidi"/>
          <w:sz w:val="22"/>
          <w:szCs w:val="22"/>
          <w:lang w:eastAsia="en-US"/>
        </w:rPr>
        <w:t>d on their remainder’s closeness to 100 cents.</w:t>
      </w:r>
      <w:r w:rsidRPr="006C5E3F">
        <w:rPr>
          <w:rFonts w:asciiTheme="minorHAnsi" w:eastAsiaTheme="minorHAnsi" w:hAnsiTheme="minorHAnsi" w:cstheme="minorBidi"/>
          <w:sz w:val="22"/>
          <w:szCs w:val="22"/>
          <w:lang w:eastAsia="en-US"/>
        </w:rPr>
        <w:t> </w:t>
      </w:r>
    </w:p>
    <w:p w14:paraId="011E15B3" w14:textId="76E29C1D" w:rsidR="00A3606A" w:rsidRDefault="00A3606A" w:rsidP="00A3606A">
      <w:pPr>
        <w:pStyle w:val="ListBullet"/>
      </w:pPr>
      <w:r>
        <w:t>HEP</w:t>
      </w:r>
      <w:r w:rsidDel="007C017E">
        <w:t xml:space="preserve"> </w:t>
      </w:r>
      <w:r>
        <w:t>B: 92 cents</w:t>
      </w:r>
    </w:p>
    <w:p w14:paraId="7A33379C" w14:textId="6E8C0748" w:rsidR="00A3606A" w:rsidRDefault="00A3606A" w:rsidP="00A3606A">
      <w:pPr>
        <w:pStyle w:val="ListBullet"/>
      </w:pPr>
      <w:r>
        <w:t>HEP</w:t>
      </w:r>
      <w:r w:rsidDel="007C017E">
        <w:t xml:space="preserve"> </w:t>
      </w:r>
      <w:r>
        <w:t>A: 61 cents</w:t>
      </w:r>
    </w:p>
    <w:p w14:paraId="19E955BC" w14:textId="0D005403" w:rsidR="00A3606A" w:rsidRPr="006C5E3F" w:rsidRDefault="00A3606A" w:rsidP="00A3606A">
      <w:pPr>
        <w:pStyle w:val="ListBullet"/>
      </w:pPr>
      <w:r>
        <w:t>HEP</w:t>
      </w:r>
      <w:r w:rsidDel="007C017E">
        <w:t xml:space="preserve"> </w:t>
      </w:r>
      <w:r>
        <w:t>C: 47 cents</w:t>
      </w:r>
    </w:p>
    <w:p w14:paraId="278AC844" w14:textId="5695B498"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lastRenderedPageBreak/>
        <w:t>Step 4</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Assign one dollar to each HEP’s 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in order of ranking until all unallocated dollars are exhausted. Calculate each HEP’s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grant amount by adding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and any whole dollars assigned. </w:t>
      </w:r>
    </w:p>
    <w:p w14:paraId="1231B0AC" w14:textId="77777777"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Assigned dollar:</w:t>
      </w:r>
    </w:p>
    <w:p w14:paraId="17537367" w14:textId="04CFEBF3" w:rsidR="00A3606A" w:rsidRDefault="00A3606A" w:rsidP="00A3606A">
      <w:pPr>
        <w:pStyle w:val="ListBullet"/>
      </w:pPr>
      <w:r>
        <w:t>HEP</w:t>
      </w:r>
      <w:r w:rsidDel="007C017E">
        <w:t xml:space="preserve"> </w:t>
      </w:r>
      <w:r>
        <w:t>B: $1</w:t>
      </w:r>
    </w:p>
    <w:p w14:paraId="777F03BE" w14:textId="379B8CA4" w:rsidR="00A3606A" w:rsidRDefault="00A3606A" w:rsidP="00A3606A">
      <w:pPr>
        <w:pStyle w:val="ListBullet"/>
      </w:pPr>
      <w:r>
        <w:t>HEP</w:t>
      </w:r>
      <w:r w:rsidDel="007C017E">
        <w:t xml:space="preserve"> </w:t>
      </w:r>
      <w:r>
        <w:t>A: $1</w:t>
      </w:r>
    </w:p>
    <w:p w14:paraId="5EBF7B3F" w14:textId="656F2E5E" w:rsidR="00A3606A" w:rsidRDefault="00A3606A" w:rsidP="00A3606A">
      <w:pPr>
        <w:pStyle w:val="ListBullet"/>
      </w:pPr>
      <w:r>
        <w:t>HEP</w:t>
      </w:r>
      <w:r w:rsidDel="007C017E">
        <w:t xml:space="preserve"> </w:t>
      </w:r>
      <w:r>
        <w:t>C: $0</w:t>
      </w:r>
    </w:p>
    <w:p w14:paraId="72E7F707" w14:textId="2B90E818"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 xml:space="preserve">Final </w:t>
      </w:r>
      <w:r w:rsidR="00A9797A">
        <w:rPr>
          <w:rFonts w:asciiTheme="minorHAnsi" w:eastAsiaTheme="minorHAnsi" w:hAnsiTheme="minorHAnsi" w:cstheme="minorBidi"/>
          <w:sz w:val="22"/>
          <w:szCs w:val="22"/>
          <w:u w:val="single"/>
          <w:lang w:eastAsia="en-US"/>
        </w:rPr>
        <w:t>RTP</w:t>
      </w:r>
      <w:r w:rsidRPr="00A3606A">
        <w:rPr>
          <w:rFonts w:asciiTheme="minorHAnsi" w:eastAsiaTheme="minorHAnsi" w:hAnsiTheme="minorHAnsi" w:cstheme="minorBidi"/>
          <w:sz w:val="22"/>
          <w:szCs w:val="22"/>
          <w:u w:val="single"/>
          <w:lang w:eastAsia="en-US"/>
        </w:rPr>
        <w:t xml:space="preserve"> grant amount: </w:t>
      </w:r>
    </w:p>
    <w:p w14:paraId="47FCAAE6" w14:textId="48C997EC" w:rsidR="00A3606A" w:rsidRDefault="00A3606A" w:rsidP="00A3606A">
      <w:pPr>
        <w:pStyle w:val="ListBullet"/>
      </w:pPr>
      <w:r>
        <w:t>HEP</w:t>
      </w:r>
      <w:r w:rsidDel="007C017E">
        <w:t xml:space="preserve"> </w:t>
      </w:r>
      <w:r>
        <w:t>A: $8,250,000 + $1 = $8,250,001.00</w:t>
      </w:r>
    </w:p>
    <w:p w14:paraId="43350E00" w14:textId="78D607B5" w:rsidR="00A3606A" w:rsidRDefault="00A3606A" w:rsidP="00A3606A">
      <w:pPr>
        <w:pStyle w:val="ListBullet"/>
      </w:pPr>
      <w:r>
        <w:t>HEP</w:t>
      </w:r>
      <w:r w:rsidDel="007C017E">
        <w:t xml:space="preserve"> </w:t>
      </w:r>
      <w:r>
        <w:t>B: $7,500,000 + $1 = $7,500,001.00</w:t>
      </w:r>
    </w:p>
    <w:p w14:paraId="6566E4AC" w14:textId="45F295D4" w:rsidR="00A3606A" w:rsidRDefault="00A3606A" w:rsidP="00A3606A">
      <w:pPr>
        <w:pStyle w:val="ListBullet"/>
      </w:pPr>
      <w:r>
        <w:t>HEP</w:t>
      </w:r>
      <w:r w:rsidDel="007C017E">
        <w:t xml:space="preserve"> </w:t>
      </w:r>
      <w:r>
        <w:t>C: $5,750,000 + $0 = $5,750,000.00</w:t>
      </w:r>
    </w:p>
    <w:p w14:paraId="375F900C" w14:textId="066AAF39" w:rsidR="00A3606A" w:rsidRPr="00A3606A" w:rsidRDefault="00A3606A" w:rsidP="00A3606A">
      <w:pPr>
        <w:pStyle w:val="ListBullet"/>
      </w:pPr>
      <w:r w:rsidRPr="00A3606A">
        <w:rPr>
          <w:i/>
          <w:iCs/>
        </w:rPr>
        <w:t>Total:</w:t>
      </w:r>
      <w:r w:rsidRPr="00A3606A">
        <w:t xml:space="preserve"> $21,500,002.00</w:t>
      </w:r>
      <w:bookmarkEnd w:id="20"/>
      <w:bookmarkEnd w:id="21"/>
    </w:p>
    <w:sectPr w:rsidR="00A3606A" w:rsidRPr="00A3606A" w:rsidSect="005E6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E8B9" w14:textId="77777777" w:rsidR="00BF78CF" w:rsidRDefault="00BF78CF" w:rsidP="000A6228">
      <w:pPr>
        <w:spacing w:after="0" w:line="240" w:lineRule="auto"/>
      </w:pPr>
      <w:r>
        <w:separator/>
      </w:r>
    </w:p>
  </w:endnote>
  <w:endnote w:type="continuationSeparator" w:id="0">
    <w:p w14:paraId="4E1EE156" w14:textId="77777777" w:rsidR="00BF78CF" w:rsidRDefault="00BF78C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E5B8" w14:textId="6518FF10" w:rsidR="00221D8F" w:rsidRDefault="00BC4139">
    <w:pPr>
      <w:pStyle w:val="Footer"/>
    </w:pPr>
    <w:fldSimple w:instr=" DOCPROPERTY  Title  \* MERGEFORMAT ">
      <w:r w:rsidR="00607D38">
        <w:t>Calculation of Research Training Program allocations</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3E453C75" wp14:editId="012D2402">
          <wp:simplePos x="0" y="0"/>
          <wp:positionH relativeFrom="page">
            <wp:align>right</wp:align>
          </wp:positionH>
          <wp:positionV relativeFrom="page">
            <wp:align>bottom</wp:align>
          </wp:positionV>
          <wp:extent cx="1220400" cy="651600"/>
          <wp:effectExtent l="0" t="0" r="0" b="0"/>
          <wp:wrapNone/>
          <wp:docPr id="109073631" name="Picture 109073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8F97" w14:textId="77777777" w:rsidR="00BF78CF" w:rsidRDefault="00BF78CF" w:rsidP="000A6228">
      <w:pPr>
        <w:spacing w:after="0" w:line="240" w:lineRule="auto"/>
      </w:pPr>
      <w:r>
        <w:separator/>
      </w:r>
    </w:p>
  </w:footnote>
  <w:footnote w:type="continuationSeparator" w:id="0">
    <w:p w14:paraId="564C5AA4" w14:textId="77777777" w:rsidR="00BF78CF" w:rsidRDefault="00BF78C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F32C0"/>
    <w:multiLevelType w:val="hybridMultilevel"/>
    <w:tmpl w:val="4BB6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7CEE32C8"/>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F16710"/>
    <w:multiLevelType w:val="hybridMultilevel"/>
    <w:tmpl w:val="4C84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3"/>
  </w:num>
  <w:num w:numId="2" w16cid:durableId="436947581">
    <w:abstractNumId w:val="5"/>
  </w:num>
  <w:num w:numId="3" w16cid:durableId="75826877">
    <w:abstractNumId w:val="4"/>
  </w:num>
  <w:num w:numId="4" w16cid:durableId="306322255">
    <w:abstractNumId w:val="3"/>
  </w:num>
  <w:num w:numId="5" w16cid:durableId="75978829">
    <w:abstractNumId w:val="15"/>
  </w:num>
  <w:num w:numId="6" w16cid:durableId="932514008">
    <w:abstractNumId w:val="2"/>
  </w:num>
  <w:num w:numId="7" w16cid:durableId="1936595011">
    <w:abstractNumId w:val="1"/>
  </w:num>
  <w:num w:numId="8" w16cid:durableId="499849793">
    <w:abstractNumId w:val="0"/>
  </w:num>
  <w:num w:numId="9" w16cid:durableId="1493595375">
    <w:abstractNumId w:val="14"/>
  </w:num>
  <w:num w:numId="10" w16cid:durableId="1807892893">
    <w:abstractNumId w:val="7"/>
  </w:num>
  <w:num w:numId="11" w16cid:durableId="1829053031">
    <w:abstractNumId w:val="21"/>
  </w:num>
  <w:num w:numId="12" w16cid:durableId="1117526806">
    <w:abstractNumId w:val="12"/>
  </w:num>
  <w:num w:numId="13" w16cid:durableId="212946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2"/>
  </w:num>
  <w:num w:numId="17" w16cid:durableId="801265162">
    <w:abstractNumId w:val="16"/>
  </w:num>
  <w:num w:numId="18" w16cid:durableId="1928150622">
    <w:abstractNumId w:val="8"/>
  </w:num>
  <w:num w:numId="19" w16cid:durableId="476995438">
    <w:abstractNumId w:val="18"/>
  </w:num>
  <w:num w:numId="20" w16cid:durableId="480386195">
    <w:abstractNumId w:val="15"/>
  </w:num>
  <w:num w:numId="21" w16cid:durableId="972708011">
    <w:abstractNumId w:val="15"/>
  </w:num>
  <w:num w:numId="22" w16cid:durableId="20347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967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623137">
    <w:abstractNumId w:val="15"/>
  </w:num>
  <w:num w:numId="25" w16cid:durableId="213929265">
    <w:abstractNumId w:val="15"/>
  </w:num>
  <w:num w:numId="26" w16cid:durableId="1586572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9381621">
    <w:abstractNumId w:val="20"/>
  </w:num>
  <w:num w:numId="28" w16cid:durableId="509416431">
    <w:abstractNumId w:val="19"/>
  </w:num>
  <w:num w:numId="29" w16cid:durableId="1600988188">
    <w:abstractNumId w:val="13"/>
  </w:num>
  <w:num w:numId="30" w16cid:durableId="304164570">
    <w:abstractNumId w:val="13"/>
  </w:num>
  <w:num w:numId="31" w16cid:durableId="1605653022">
    <w:abstractNumId w:val="11"/>
  </w:num>
  <w:num w:numId="32" w16cid:durableId="2140100695">
    <w:abstractNumId w:val="17"/>
  </w:num>
  <w:num w:numId="33" w16cid:durableId="347567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733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CF"/>
    <w:rsid w:val="00012366"/>
    <w:rsid w:val="00021FBE"/>
    <w:rsid w:val="00045DAB"/>
    <w:rsid w:val="000521D7"/>
    <w:rsid w:val="00066D97"/>
    <w:rsid w:val="00095B4E"/>
    <w:rsid w:val="000A0B58"/>
    <w:rsid w:val="000A6228"/>
    <w:rsid w:val="000B5D40"/>
    <w:rsid w:val="000B7EC6"/>
    <w:rsid w:val="000F2630"/>
    <w:rsid w:val="00107D87"/>
    <w:rsid w:val="00107DD5"/>
    <w:rsid w:val="0011754B"/>
    <w:rsid w:val="0012343A"/>
    <w:rsid w:val="00133B8D"/>
    <w:rsid w:val="0013611E"/>
    <w:rsid w:val="001403EB"/>
    <w:rsid w:val="001515BF"/>
    <w:rsid w:val="0017134D"/>
    <w:rsid w:val="00180B8E"/>
    <w:rsid w:val="001C1523"/>
    <w:rsid w:val="001E0652"/>
    <w:rsid w:val="001F43CE"/>
    <w:rsid w:val="00221D8F"/>
    <w:rsid w:val="002272DB"/>
    <w:rsid w:val="0024028A"/>
    <w:rsid w:val="00243495"/>
    <w:rsid w:val="00276047"/>
    <w:rsid w:val="002A211D"/>
    <w:rsid w:val="002A4458"/>
    <w:rsid w:val="002D0C4A"/>
    <w:rsid w:val="002D589A"/>
    <w:rsid w:val="002E3A84"/>
    <w:rsid w:val="002F5B0A"/>
    <w:rsid w:val="00302EE9"/>
    <w:rsid w:val="00337684"/>
    <w:rsid w:val="00353E2B"/>
    <w:rsid w:val="003871D1"/>
    <w:rsid w:val="003B018B"/>
    <w:rsid w:val="003F36DD"/>
    <w:rsid w:val="0040155D"/>
    <w:rsid w:val="0041713E"/>
    <w:rsid w:val="00421D3F"/>
    <w:rsid w:val="00423785"/>
    <w:rsid w:val="00426D60"/>
    <w:rsid w:val="00452D26"/>
    <w:rsid w:val="004A06CD"/>
    <w:rsid w:val="004A0722"/>
    <w:rsid w:val="004A4B6F"/>
    <w:rsid w:val="004A4CF9"/>
    <w:rsid w:val="004A762D"/>
    <w:rsid w:val="004D2965"/>
    <w:rsid w:val="00511F57"/>
    <w:rsid w:val="005420B5"/>
    <w:rsid w:val="005548D5"/>
    <w:rsid w:val="00556DBF"/>
    <w:rsid w:val="00596C07"/>
    <w:rsid w:val="005A75C9"/>
    <w:rsid w:val="005B187D"/>
    <w:rsid w:val="005B2FBF"/>
    <w:rsid w:val="005E63EC"/>
    <w:rsid w:val="00607D38"/>
    <w:rsid w:val="006232DC"/>
    <w:rsid w:val="0063094F"/>
    <w:rsid w:val="00663E79"/>
    <w:rsid w:val="006D67F3"/>
    <w:rsid w:val="006F1FFF"/>
    <w:rsid w:val="006F6D10"/>
    <w:rsid w:val="00712B94"/>
    <w:rsid w:val="0074298F"/>
    <w:rsid w:val="00754C60"/>
    <w:rsid w:val="00796585"/>
    <w:rsid w:val="007A3461"/>
    <w:rsid w:val="007B2CA1"/>
    <w:rsid w:val="007D0ABC"/>
    <w:rsid w:val="007E62A2"/>
    <w:rsid w:val="008042F5"/>
    <w:rsid w:val="00816175"/>
    <w:rsid w:val="0082444F"/>
    <w:rsid w:val="00886959"/>
    <w:rsid w:val="00887166"/>
    <w:rsid w:val="008A36E1"/>
    <w:rsid w:val="008A37A7"/>
    <w:rsid w:val="008B0736"/>
    <w:rsid w:val="00921DBE"/>
    <w:rsid w:val="00950B06"/>
    <w:rsid w:val="0096573C"/>
    <w:rsid w:val="00970069"/>
    <w:rsid w:val="0097022B"/>
    <w:rsid w:val="009721EB"/>
    <w:rsid w:val="009961A9"/>
    <w:rsid w:val="009B706E"/>
    <w:rsid w:val="009C423A"/>
    <w:rsid w:val="009E79ED"/>
    <w:rsid w:val="00A07596"/>
    <w:rsid w:val="00A17A08"/>
    <w:rsid w:val="00A3606A"/>
    <w:rsid w:val="00A60673"/>
    <w:rsid w:val="00A711E0"/>
    <w:rsid w:val="00A87BA7"/>
    <w:rsid w:val="00A9797A"/>
    <w:rsid w:val="00AA52D7"/>
    <w:rsid w:val="00AB1F7B"/>
    <w:rsid w:val="00AC1872"/>
    <w:rsid w:val="00AD631F"/>
    <w:rsid w:val="00AE21FF"/>
    <w:rsid w:val="00AF1F18"/>
    <w:rsid w:val="00B021EF"/>
    <w:rsid w:val="00B0726E"/>
    <w:rsid w:val="00B219D1"/>
    <w:rsid w:val="00B30759"/>
    <w:rsid w:val="00B537A7"/>
    <w:rsid w:val="00B739FB"/>
    <w:rsid w:val="00B81FA4"/>
    <w:rsid w:val="00B8794C"/>
    <w:rsid w:val="00B95EF4"/>
    <w:rsid w:val="00BB6509"/>
    <w:rsid w:val="00BC248C"/>
    <w:rsid w:val="00BC4139"/>
    <w:rsid w:val="00BF78CF"/>
    <w:rsid w:val="00C01EC0"/>
    <w:rsid w:val="00C244EE"/>
    <w:rsid w:val="00C40A8F"/>
    <w:rsid w:val="00C62E9B"/>
    <w:rsid w:val="00C72224"/>
    <w:rsid w:val="00C75706"/>
    <w:rsid w:val="00C76BAD"/>
    <w:rsid w:val="00CA4815"/>
    <w:rsid w:val="00CC6E4E"/>
    <w:rsid w:val="00CF58C4"/>
    <w:rsid w:val="00CF6562"/>
    <w:rsid w:val="00D5688A"/>
    <w:rsid w:val="00DB665C"/>
    <w:rsid w:val="00DC5980"/>
    <w:rsid w:val="00DD2B46"/>
    <w:rsid w:val="00DE161D"/>
    <w:rsid w:val="00E01590"/>
    <w:rsid w:val="00E106F3"/>
    <w:rsid w:val="00E31489"/>
    <w:rsid w:val="00E529E5"/>
    <w:rsid w:val="00EA6053"/>
    <w:rsid w:val="00EB4C2F"/>
    <w:rsid w:val="00EB4D6C"/>
    <w:rsid w:val="00ED0DDF"/>
    <w:rsid w:val="00F1000D"/>
    <w:rsid w:val="00F222D2"/>
    <w:rsid w:val="00F240A9"/>
    <w:rsid w:val="00F311A4"/>
    <w:rsid w:val="00F6391C"/>
    <w:rsid w:val="00F82C2C"/>
    <w:rsid w:val="00F85913"/>
    <w:rsid w:val="00FD2886"/>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CD"/>
  <w15:chartTrackingRefBased/>
  <w15:docId w15:val="{970F4410-4FFB-44CB-92F8-B0C8D07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link w:val="ListBulletChar"/>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095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66D97"/>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066D97"/>
  </w:style>
  <w:style w:type="table" w:customStyle="1" w:styleId="DESE">
    <w:name w:val="DESE"/>
    <w:basedOn w:val="TableNormal"/>
    <w:uiPriority w:val="99"/>
    <w:rsid w:val="00A9797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54A" w:themeFill="text2"/>
      </w:tcPr>
    </w:tblStylePr>
    <w:tblStylePr w:type="firstCol">
      <w:rPr>
        <w:b w:val="0"/>
      </w:rPr>
    </w:tblStylePr>
    <w:tblStylePr w:type="nwCell">
      <w:rPr>
        <w:b w:val="0"/>
      </w:rPr>
    </w:tblStylePr>
  </w:style>
  <w:style w:type="character" w:styleId="FollowedHyperlink">
    <w:name w:val="FollowedHyperlink"/>
    <w:basedOn w:val="DefaultParagraphFont"/>
    <w:uiPriority w:val="99"/>
    <w:semiHidden/>
    <w:unhideWhenUsed/>
    <w:rsid w:val="00A9797A"/>
    <w:rPr>
      <w:color w:val="CE372F" w:themeColor="followedHyperlink"/>
      <w:u w:val="single"/>
    </w:rPr>
  </w:style>
  <w:style w:type="paragraph" w:styleId="Revision">
    <w:name w:val="Revision"/>
    <w:hidden/>
    <w:uiPriority w:val="99"/>
    <w:semiHidden/>
    <w:rsid w:val="004A0722"/>
    <w:pPr>
      <w:spacing w:after="0" w:line="240" w:lineRule="auto"/>
    </w:pPr>
  </w:style>
  <w:style w:type="paragraph" w:customStyle="1" w:styleId="ListBulletquote">
    <w:name w:val="List Bullet quote"/>
    <w:basedOn w:val="ListBullet"/>
    <w:link w:val="ListBulletquoteChar"/>
    <w:qFormat/>
    <w:rsid w:val="004A0722"/>
    <w:rPr>
      <w:color w:val="808080" w:themeColor="background1" w:themeShade="80"/>
    </w:rPr>
  </w:style>
  <w:style w:type="character" w:customStyle="1" w:styleId="ListBulletChar">
    <w:name w:val="List Bullet Char"/>
    <w:basedOn w:val="DefaultParagraphFont"/>
    <w:link w:val="ListBullet"/>
    <w:uiPriority w:val="98"/>
    <w:rsid w:val="004A0722"/>
  </w:style>
  <w:style w:type="character" w:customStyle="1" w:styleId="ListBulletquoteChar">
    <w:name w:val="List Bullet quote Char"/>
    <w:basedOn w:val="ListBulletChar"/>
    <w:link w:val="ListBulletquote"/>
    <w:rsid w:val="004A0722"/>
    <w:rPr>
      <w:color w:val="808080" w:themeColor="background1" w:themeShade="80"/>
    </w:rPr>
  </w:style>
  <w:style w:type="character" w:styleId="CommentReference">
    <w:name w:val="annotation reference"/>
    <w:basedOn w:val="DefaultParagraphFont"/>
    <w:uiPriority w:val="99"/>
    <w:semiHidden/>
    <w:unhideWhenUsed/>
    <w:rsid w:val="003F36DD"/>
    <w:rPr>
      <w:sz w:val="16"/>
      <w:szCs w:val="16"/>
    </w:rPr>
  </w:style>
  <w:style w:type="paragraph" w:styleId="CommentText">
    <w:name w:val="annotation text"/>
    <w:basedOn w:val="Normal"/>
    <w:link w:val="CommentTextChar"/>
    <w:uiPriority w:val="99"/>
    <w:unhideWhenUsed/>
    <w:rsid w:val="003F36DD"/>
    <w:pPr>
      <w:spacing w:line="240" w:lineRule="auto"/>
    </w:pPr>
    <w:rPr>
      <w:sz w:val="20"/>
      <w:szCs w:val="20"/>
    </w:rPr>
  </w:style>
  <w:style w:type="character" w:customStyle="1" w:styleId="CommentTextChar">
    <w:name w:val="Comment Text Char"/>
    <w:basedOn w:val="DefaultParagraphFont"/>
    <w:link w:val="CommentText"/>
    <w:uiPriority w:val="99"/>
    <w:rsid w:val="003F36DD"/>
    <w:rPr>
      <w:sz w:val="20"/>
      <w:szCs w:val="20"/>
    </w:rPr>
  </w:style>
  <w:style w:type="paragraph" w:styleId="CommentSubject">
    <w:name w:val="annotation subject"/>
    <w:basedOn w:val="CommentText"/>
    <w:next w:val="CommentText"/>
    <w:link w:val="CommentSubjectChar"/>
    <w:uiPriority w:val="99"/>
    <w:semiHidden/>
    <w:unhideWhenUsed/>
    <w:rsid w:val="003F36DD"/>
    <w:rPr>
      <w:b/>
      <w:bCs/>
    </w:rPr>
  </w:style>
  <w:style w:type="character" w:customStyle="1" w:styleId="CommentSubjectChar">
    <w:name w:val="Comment Subject Char"/>
    <w:basedOn w:val="CommentTextChar"/>
    <w:link w:val="CommentSubject"/>
    <w:uiPriority w:val="99"/>
    <w:semiHidden/>
    <w:rsid w:val="003F3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3744">
      <w:bodyDiv w:val="1"/>
      <w:marLeft w:val="0"/>
      <w:marRight w:val="0"/>
      <w:marTop w:val="0"/>
      <w:marBottom w:val="0"/>
      <w:divBdr>
        <w:top w:val="none" w:sz="0" w:space="0" w:color="auto"/>
        <w:left w:val="none" w:sz="0" w:space="0" w:color="auto"/>
        <w:bottom w:val="none" w:sz="0" w:space="0" w:color="auto"/>
        <w:right w:val="none" w:sz="0" w:space="0" w:color="auto"/>
      </w:divBdr>
    </w:div>
    <w:div w:id="143396753">
      <w:bodyDiv w:val="1"/>
      <w:marLeft w:val="0"/>
      <w:marRight w:val="0"/>
      <w:marTop w:val="0"/>
      <w:marBottom w:val="0"/>
      <w:divBdr>
        <w:top w:val="none" w:sz="0" w:space="0" w:color="auto"/>
        <w:left w:val="none" w:sz="0" w:space="0" w:color="auto"/>
        <w:bottom w:val="none" w:sz="0" w:space="0" w:color="auto"/>
        <w:right w:val="none" w:sz="0" w:space="0" w:color="auto"/>
      </w:divBdr>
    </w:div>
    <w:div w:id="157155588">
      <w:bodyDiv w:val="1"/>
      <w:marLeft w:val="0"/>
      <w:marRight w:val="0"/>
      <w:marTop w:val="0"/>
      <w:marBottom w:val="0"/>
      <w:divBdr>
        <w:top w:val="none" w:sz="0" w:space="0" w:color="auto"/>
        <w:left w:val="none" w:sz="0" w:space="0" w:color="auto"/>
        <w:bottom w:val="none" w:sz="0" w:space="0" w:color="auto"/>
        <w:right w:val="none" w:sz="0" w:space="0" w:color="auto"/>
      </w:divBdr>
    </w:div>
    <w:div w:id="398596771">
      <w:bodyDiv w:val="1"/>
      <w:marLeft w:val="0"/>
      <w:marRight w:val="0"/>
      <w:marTop w:val="0"/>
      <w:marBottom w:val="0"/>
      <w:divBdr>
        <w:top w:val="none" w:sz="0" w:space="0" w:color="auto"/>
        <w:left w:val="none" w:sz="0" w:space="0" w:color="auto"/>
        <w:bottom w:val="none" w:sz="0" w:space="0" w:color="auto"/>
        <w:right w:val="none" w:sz="0" w:space="0" w:color="auto"/>
      </w:divBdr>
    </w:div>
    <w:div w:id="918054385">
      <w:bodyDiv w:val="1"/>
      <w:marLeft w:val="0"/>
      <w:marRight w:val="0"/>
      <w:marTop w:val="0"/>
      <w:marBottom w:val="0"/>
      <w:divBdr>
        <w:top w:val="none" w:sz="0" w:space="0" w:color="auto"/>
        <w:left w:val="none" w:sz="0" w:space="0" w:color="auto"/>
        <w:bottom w:val="none" w:sz="0" w:space="0" w:color="auto"/>
        <w:right w:val="none" w:sz="0" w:space="0" w:color="auto"/>
      </w:divBdr>
    </w:div>
    <w:div w:id="995955883">
      <w:bodyDiv w:val="1"/>
      <w:marLeft w:val="0"/>
      <w:marRight w:val="0"/>
      <w:marTop w:val="0"/>
      <w:marBottom w:val="0"/>
      <w:divBdr>
        <w:top w:val="none" w:sz="0" w:space="0" w:color="auto"/>
        <w:left w:val="none" w:sz="0" w:space="0" w:color="auto"/>
        <w:bottom w:val="none" w:sz="0" w:space="0" w:color="auto"/>
        <w:right w:val="none" w:sz="0" w:space="0" w:color="auto"/>
      </w:divBdr>
    </w:div>
    <w:div w:id="1139499378">
      <w:bodyDiv w:val="1"/>
      <w:marLeft w:val="0"/>
      <w:marRight w:val="0"/>
      <w:marTop w:val="0"/>
      <w:marBottom w:val="0"/>
      <w:divBdr>
        <w:top w:val="none" w:sz="0" w:space="0" w:color="auto"/>
        <w:left w:val="none" w:sz="0" w:space="0" w:color="auto"/>
        <w:bottom w:val="none" w:sz="0" w:space="0" w:color="auto"/>
        <w:right w:val="none" w:sz="0" w:space="0" w:color="auto"/>
      </w:divBdr>
    </w:div>
    <w:div w:id="1327243498">
      <w:bodyDiv w:val="1"/>
      <w:marLeft w:val="0"/>
      <w:marRight w:val="0"/>
      <w:marTop w:val="0"/>
      <w:marBottom w:val="0"/>
      <w:divBdr>
        <w:top w:val="none" w:sz="0" w:space="0" w:color="auto"/>
        <w:left w:val="none" w:sz="0" w:space="0" w:color="auto"/>
        <w:bottom w:val="none" w:sz="0" w:space="0" w:color="auto"/>
        <w:right w:val="none" w:sz="0" w:space="0" w:color="auto"/>
      </w:divBdr>
    </w:div>
    <w:div w:id="1415008234">
      <w:bodyDiv w:val="1"/>
      <w:marLeft w:val="0"/>
      <w:marRight w:val="0"/>
      <w:marTop w:val="0"/>
      <w:marBottom w:val="0"/>
      <w:divBdr>
        <w:top w:val="none" w:sz="0" w:space="0" w:color="auto"/>
        <w:left w:val="none" w:sz="0" w:space="0" w:color="auto"/>
        <w:bottom w:val="none" w:sz="0" w:space="0" w:color="auto"/>
        <w:right w:val="none" w:sz="0" w:space="0" w:color="auto"/>
      </w:divBdr>
    </w:div>
    <w:div w:id="1473060317">
      <w:bodyDiv w:val="1"/>
      <w:marLeft w:val="0"/>
      <w:marRight w:val="0"/>
      <w:marTop w:val="0"/>
      <w:marBottom w:val="0"/>
      <w:divBdr>
        <w:top w:val="none" w:sz="0" w:space="0" w:color="auto"/>
        <w:left w:val="none" w:sz="0" w:space="0" w:color="auto"/>
        <w:bottom w:val="none" w:sz="0" w:space="0" w:color="auto"/>
        <w:right w:val="none" w:sz="0" w:space="0" w:color="auto"/>
      </w:divBdr>
    </w:div>
    <w:div w:id="1713923590">
      <w:bodyDiv w:val="1"/>
      <w:marLeft w:val="0"/>
      <w:marRight w:val="0"/>
      <w:marTop w:val="0"/>
      <w:marBottom w:val="0"/>
      <w:divBdr>
        <w:top w:val="none" w:sz="0" w:space="0" w:color="auto"/>
        <w:left w:val="none" w:sz="0" w:space="0" w:color="auto"/>
        <w:bottom w:val="none" w:sz="0" w:space="0" w:color="auto"/>
        <w:right w:val="none" w:sz="0" w:space="0" w:color="auto"/>
      </w:divBdr>
    </w:div>
    <w:div w:id="19712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research-block-grants/higher-education-research-data-coll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F2016L01602/latest/tex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education.gov.au/higher-education-statistics/stu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education.gov.au/research-block-grants/resources/research-income-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2603\OneDrive%20-%20Corporate%20Network\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E92958F00D4A3FB3EBC5E851EE2C84"/>
        <w:category>
          <w:name w:val="General"/>
          <w:gallery w:val="placeholder"/>
        </w:category>
        <w:types>
          <w:type w:val="bbPlcHdr"/>
        </w:types>
        <w:behaviors>
          <w:behavior w:val="content"/>
        </w:behaviors>
        <w:guid w:val="{212B8A00-7695-4BAD-B42D-5EE8827D3A2D}"/>
      </w:docPartPr>
      <w:docPartBody>
        <w:p w:rsidR="00315887" w:rsidRDefault="00315887">
          <w:pPr>
            <w:pStyle w:val="53E92958F00D4A3FB3EBC5E851EE2C8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7"/>
    <w:rsid w:val="002D0C4A"/>
    <w:rsid w:val="002E55E8"/>
    <w:rsid w:val="00315887"/>
    <w:rsid w:val="00353E2B"/>
    <w:rsid w:val="003871D1"/>
    <w:rsid w:val="00426D60"/>
    <w:rsid w:val="00511F57"/>
    <w:rsid w:val="007E62A2"/>
    <w:rsid w:val="0082444F"/>
    <w:rsid w:val="008D2EB1"/>
    <w:rsid w:val="0096573C"/>
    <w:rsid w:val="00B739FB"/>
    <w:rsid w:val="00CF58C4"/>
    <w:rsid w:val="00EB4D6C"/>
    <w:rsid w:val="00F2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E92958F00D4A3FB3EBC5E851EE2C84">
    <w:name w:val="53E92958F00D4A3FB3EBC5E851EE2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http://purl.org/dc/terms/"/>
    <ds:schemaRef ds:uri="6e4b1ab6-ec4c-4096-a25c-0c6453cbb475"/>
    <ds:schemaRef ds:uri="http://www.w3.org/XML/1998/namespace"/>
    <ds:schemaRef ds:uri="http://schemas.openxmlformats.org/package/2006/metadata/core-properties"/>
    <ds:schemaRef ds:uri="http://schemas.microsoft.com/office/2006/documentManagement/types"/>
    <ds:schemaRef ds:uri="da0d63fb-849c-47fd-8b76-64ea55ded23a"/>
    <ds:schemaRef ds:uri="56c1a76a-3993-402c-b889-bffc930cb825"/>
    <ds:schemaRef ds:uri="http://purl.org/dc/dcmitype/"/>
    <ds:schemaRef ds:uri="http://purl.org/dc/elements/1.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portrait report template - dark</Template>
  <TotalTime>27</TotalTime>
  <Pages>13</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Calculation of Research Training Program allocations</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Research Training Program allocations</dc:title>
  <dc:subject/>
  <dc:creator>WESTON,Peter</dc:creator>
  <cp:keywords/>
  <dc:description/>
  <cp:lastModifiedBy>LIN,Peter</cp:lastModifiedBy>
  <cp:revision>4</cp:revision>
  <cp:lastPrinted>2025-03-20T06:27:00Z</cp:lastPrinted>
  <dcterms:created xsi:type="dcterms:W3CDTF">2025-03-17T06:39:00Z</dcterms:created>
  <dcterms:modified xsi:type="dcterms:W3CDTF">2025-03-20T06:44:00Z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