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51F4" w14:textId="77777777" w:rsidR="00482D33" w:rsidRDefault="00482D33" w:rsidP="007856E6">
      <w:pPr>
        <w:ind w:left="-1440"/>
      </w:pPr>
      <w:r>
        <w:rPr>
          <w:noProof/>
        </w:rPr>
        <w:drawing>
          <wp:inline distT="0" distB="0" distL="0" distR="0" wp14:anchorId="11B5B01C" wp14:editId="72A4D972">
            <wp:extent cx="7566660" cy="2372919"/>
            <wp:effectExtent l="0" t="0" r="0" b="8890"/>
            <wp:docPr id="4" name="Picture 4" descr="Department of &#10;Education, Skills and Employmen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566660" cy="2372919"/>
                    </a:xfrm>
                    <a:prstGeom prst="rect">
                      <a:avLst/>
                    </a:prstGeom>
                  </pic:spPr>
                </pic:pic>
              </a:graphicData>
            </a:graphic>
          </wp:inline>
        </w:drawing>
      </w:r>
    </w:p>
    <w:p w14:paraId="7F03FB11" w14:textId="77777777" w:rsidR="00482D33" w:rsidRDefault="00482D33" w:rsidP="007856E6">
      <w:pPr>
        <w:ind w:left="-1440"/>
        <w:sectPr w:rsidR="00482D33" w:rsidSect="000F1ED1">
          <w:footerReference w:type="default" r:id="rId11"/>
          <w:pgSz w:w="11906" w:h="16838"/>
          <w:pgMar w:top="28" w:right="1440" w:bottom="1440" w:left="1418" w:header="708" w:footer="708" w:gutter="0"/>
          <w:cols w:space="708"/>
          <w:docGrid w:linePitch="360"/>
        </w:sectPr>
      </w:pPr>
    </w:p>
    <w:p w14:paraId="5CA22B78" w14:textId="4B59FCEC" w:rsidR="00C776E6" w:rsidRPr="001C1DA3" w:rsidRDefault="005648C8" w:rsidP="00D46A3D">
      <w:pPr>
        <w:pStyle w:val="Title"/>
        <w:spacing w:line="276" w:lineRule="auto"/>
        <w:jc w:val="both"/>
        <w:rPr>
          <w:b/>
          <w:bCs/>
          <w:color w:val="1F3864" w:themeColor="accent1" w:themeShade="80"/>
          <w:sz w:val="56"/>
          <w:szCs w:val="56"/>
        </w:rPr>
      </w:pPr>
      <w:r w:rsidRPr="001C1DA3">
        <w:rPr>
          <w:b/>
          <w:bCs/>
          <w:color w:val="1F3864" w:themeColor="accent1" w:themeShade="80"/>
          <w:sz w:val="56"/>
          <w:szCs w:val="56"/>
        </w:rPr>
        <w:t xml:space="preserve">Direct Measure of </w:t>
      </w:r>
      <w:r w:rsidR="00C776E6" w:rsidRPr="001C1DA3">
        <w:rPr>
          <w:b/>
          <w:bCs/>
          <w:color w:val="1F3864" w:themeColor="accent1" w:themeShade="80"/>
          <w:sz w:val="56"/>
          <w:szCs w:val="56"/>
        </w:rPr>
        <w:t>Income</w:t>
      </w:r>
      <w:r w:rsidRPr="001C1DA3">
        <w:rPr>
          <w:b/>
          <w:bCs/>
          <w:color w:val="1F3864" w:themeColor="accent1" w:themeShade="80"/>
          <w:sz w:val="56"/>
          <w:szCs w:val="56"/>
        </w:rPr>
        <w:t xml:space="preserve"> </w:t>
      </w:r>
      <w:r w:rsidR="001C3238">
        <w:rPr>
          <w:b/>
          <w:bCs/>
          <w:color w:val="1F3864" w:themeColor="accent1" w:themeShade="80"/>
          <w:sz w:val="56"/>
          <w:szCs w:val="56"/>
        </w:rPr>
        <w:t>(DMI)</w:t>
      </w:r>
    </w:p>
    <w:p w14:paraId="3AA6D8F4" w14:textId="52352A3C" w:rsidR="002C79B5" w:rsidRPr="001C1DA3" w:rsidRDefault="005648C8" w:rsidP="00D46A3D">
      <w:pPr>
        <w:pStyle w:val="Title"/>
        <w:spacing w:line="276" w:lineRule="auto"/>
        <w:jc w:val="both"/>
        <w:rPr>
          <w:b/>
          <w:bCs/>
          <w:color w:val="1F3864" w:themeColor="accent1" w:themeShade="80"/>
          <w:sz w:val="56"/>
          <w:szCs w:val="56"/>
        </w:rPr>
      </w:pPr>
      <w:r w:rsidRPr="001C1DA3">
        <w:rPr>
          <w:b/>
          <w:bCs/>
          <w:color w:val="1F3864" w:themeColor="accent1" w:themeShade="80"/>
          <w:sz w:val="56"/>
          <w:szCs w:val="56"/>
        </w:rPr>
        <w:t>Refinement Working Group</w:t>
      </w:r>
    </w:p>
    <w:p w14:paraId="1F2B305E" w14:textId="7336CCF3" w:rsidR="005648C8" w:rsidRPr="006F4167" w:rsidRDefault="005648C8" w:rsidP="00D46A3D">
      <w:pPr>
        <w:jc w:val="both"/>
      </w:pPr>
      <w:r>
        <w:t xml:space="preserve">The Department </w:t>
      </w:r>
      <w:r w:rsidR="003742A6">
        <w:t>of</w:t>
      </w:r>
      <w:r>
        <w:t xml:space="preserve"> Education, Skills and Employment</w:t>
      </w:r>
      <w:r w:rsidR="001C1DA3">
        <w:t xml:space="preserve"> (the department)</w:t>
      </w:r>
      <w:r>
        <w:t xml:space="preserve"> established </w:t>
      </w:r>
      <w:r w:rsidR="001C3238">
        <w:t>the</w:t>
      </w:r>
      <w:r>
        <w:t xml:space="preserve"> </w:t>
      </w:r>
      <w:r w:rsidR="00167A27">
        <w:t xml:space="preserve">DMI </w:t>
      </w:r>
      <w:r w:rsidR="003742A6">
        <w:t>Refinement</w:t>
      </w:r>
      <w:r>
        <w:t xml:space="preserve"> Working Group </w:t>
      </w:r>
      <w:r w:rsidR="001C1DA3">
        <w:t xml:space="preserve">(Working Group) </w:t>
      </w:r>
      <w:r>
        <w:t xml:space="preserve">to </w:t>
      </w:r>
      <w:r w:rsidR="003742A6">
        <w:t>undertake</w:t>
      </w:r>
      <w:r>
        <w:t xml:space="preserve"> </w:t>
      </w:r>
      <w:r w:rsidR="001C3238">
        <w:t xml:space="preserve">further </w:t>
      </w:r>
      <w:r>
        <w:t xml:space="preserve">work on the </w:t>
      </w:r>
      <w:r w:rsidR="001C3238">
        <w:t>DMI</w:t>
      </w:r>
      <w:r w:rsidR="00167A27">
        <w:t xml:space="preserve"> methodology</w:t>
      </w:r>
      <w:r w:rsidR="001C1DA3">
        <w:t xml:space="preserve">. </w:t>
      </w:r>
      <w:r w:rsidR="006F4167">
        <w:t>A</w:t>
      </w:r>
      <w:r w:rsidR="006F4167" w:rsidRPr="20922C2B">
        <w:t>s whole</w:t>
      </w:r>
      <w:r w:rsidR="76D7C794" w:rsidRPr="20922C2B">
        <w:t xml:space="preserve"> </w:t>
      </w:r>
      <w:r w:rsidR="006F4167" w:rsidRPr="20922C2B">
        <w:t>of</w:t>
      </w:r>
      <w:r w:rsidR="76D7C794" w:rsidRPr="20922C2B">
        <w:t xml:space="preserve"> </w:t>
      </w:r>
      <w:r w:rsidR="006F4167" w:rsidRPr="20922C2B">
        <w:t xml:space="preserve">government data is expected </w:t>
      </w:r>
      <w:r w:rsidR="00F742AD" w:rsidRPr="20922C2B">
        <w:t>to become increasingly available</w:t>
      </w:r>
      <w:r w:rsidR="006F4167" w:rsidRPr="20922C2B">
        <w:t xml:space="preserve">, further work will be undertaken to explore how innovations in the use and availability of additional Multi-Agency Data Integration Project (MADIP) data could be used to further refine the accuracy of the DMI. </w:t>
      </w:r>
      <w:r w:rsidR="001C1DA3">
        <w:t>This will ensure that the DMI continues to be the most reliable and robust measure available to determine non</w:t>
      </w:r>
      <w:r w:rsidR="00A3553C">
        <w:t>-</w:t>
      </w:r>
      <w:r w:rsidR="001C1DA3">
        <w:t xml:space="preserve">government school funding. </w:t>
      </w:r>
    </w:p>
    <w:p w14:paraId="39316BBA" w14:textId="249ACA4D" w:rsidR="005648C8" w:rsidRPr="00C776E6" w:rsidRDefault="005648C8" w:rsidP="00D46A3D">
      <w:pPr>
        <w:pStyle w:val="Heading1"/>
        <w:jc w:val="both"/>
        <w:rPr>
          <w:rFonts w:asciiTheme="minorHAnsi" w:hAnsiTheme="minorHAnsi" w:cstheme="minorHAnsi"/>
          <w:b/>
          <w:bCs/>
          <w:sz w:val="36"/>
          <w:szCs w:val="36"/>
        </w:rPr>
      </w:pPr>
      <w:r w:rsidRPr="00C776E6">
        <w:rPr>
          <w:rFonts w:asciiTheme="minorHAnsi" w:hAnsiTheme="minorHAnsi" w:cstheme="minorHAnsi"/>
          <w:b/>
          <w:bCs/>
          <w:sz w:val="36"/>
          <w:szCs w:val="36"/>
        </w:rPr>
        <w:t>Meeting 1 – 23 October 2020 – Communique</w:t>
      </w:r>
    </w:p>
    <w:p w14:paraId="61BAFE59" w14:textId="08F41718" w:rsidR="005648C8" w:rsidRDefault="005648C8" w:rsidP="00D46A3D">
      <w:pPr>
        <w:jc w:val="both"/>
      </w:pPr>
      <w:r>
        <w:t>The</w:t>
      </w:r>
      <w:r w:rsidR="00847E30" w:rsidRPr="00847E30">
        <w:t xml:space="preserve"> </w:t>
      </w:r>
      <w:r w:rsidR="00847E30">
        <w:t>first meeting of the</w:t>
      </w:r>
      <w:r>
        <w:t xml:space="preserve"> </w:t>
      </w:r>
      <w:r w:rsidR="00847E30">
        <w:t>DMI</w:t>
      </w:r>
      <w:r>
        <w:t xml:space="preserve"> Refinement Working Group </w:t>
      </w:r>
      <w:r w:rsidR="006F4167">
        <w:t xml:space="preserve">was </w:t>
      </w:r>
      <w:r>
        <w:t>held via video conference.</w:t>
      </w:r>
    </w:p>
    <w:p w14:paraId="32DE67DB" w14:textId="14713F64" w:rsidR="005648C8" w:rsidRPr="003742A6" w:rsidRDefault="005648C8" w:rsidP="00D46A3D">
      <w:pPr>
        <w:pStyle w:val="Heading2"/>
        <w:jc w:val="both"/>
        <w:rPr>
          <w:rFonts w:asciiTheme="minorHAnsi" w:hAnsiTheme="minorHAnsi" w:cstheme="minorHAnsi"/>
          <w:b/>
          <w:bCs/>
          <w:sz w:val="28"/>
          <w:szCs w:val="28"/>
        </w:rPr>
      </w:pPr>
      <w:r w:rsidRPr="003742A6">
        <w:rPr>
          <w:rFonts w:asciiTheme="minorHAnsi" w:hAnsiTheme="minorHAnsi" w:cstheme="minorHAnsi"/>
          <w:b/>
          <w:bCs/>
          <w:sz w:val="28"/>
          <w:szCs w:val="28"/>
        </w:rPr>
        <w:t>Forward Work Program</w:t>
      </w:r>
    </w:p>
    <w:p w14:paraId="2A36D550" w14:textId="0457FCE0" w:rsidR="00476292" w:rsidRPr="00476292" w:rsidRDefault="005648C8" w:rsidP="00D46A3D">
      <w:pPr>
        <w:jc w:val="both"/>
      </w:pPr>
      <w:r>
        <w:t xml:space="preserve">The </w:t>
      </w:r>
      <w:r w:rsidR="006F4167">
        <w:t xml:space="preserve">department provided the </w:t>
      </w:r>
      <w:r>
        <w:t>Working Group with an overview of the Forward Work Program</w:t>
      </w:r>
      <w:r w:rsidR="00476292">
        <w:t xml:space="preserve"> and the projects being undertaken. </w:t>
      </w:r>
      <w:r w:rsidR="001C3238">
        <w:t xml:space="preserve">The Working Group agreed to the Forward Work Program, which set out the following projects for consideration: </w:t>
      </w:r>
    </w:p>
    <w:p w14:paraId="5E9A031F" w14:textId="43D26BB7" w:rsidR="00AD7038" w:rsidRPr="00AD7038" w:rsidRDefault="00AD7038" w:rsidP="00D46A3D">
      <w:pPr>
        <w:pStyle w:val="ListParagraph"/>
        <w:numPr>
          <w:ilvl w:val="0"/>
          <w:numId w:val="5"/>
        </w:numPr>
        <w:jc w:val="both"/>
      </w:pPr>
      <w:r w:rsidRPr="20922C2B">
        <w:rPr>
          <w:i/>
          <w:iCs/>
        </w:rPr>
        <w:t>Project 1</w:t>
      </w:r>
      <w:r w:rsidRPr="20922C2B">
        <w:t xml:space="preserve">: Estimating income - options for estimating a value for the income for parents and/or guardians linked to </w:t>
      </w:r>
      <w:r w:rsidR="273AF0AB" w:rsidRPr="20922C2B">
        <w:t xml:space="preserve">a </w:t>
      </w:r>
      <w:r w:rsidRPr="20922C2B">
        <w:t>concession card (we are currently assuming nil income) and unlinked populations (who are currently excluded from the calculations)</w:t>
      </w:r>
    </w:p>
    <w:p w14:paraId="5576A217" w14:textId="0FE1035B" w:rsidR="00AD7038" w:rsidRPr="00AD7038" w:rsidRDefault="00AD7038" w:rsidP="00D46A3D">
      <w:pPr>
        <w:pStyle w:val="ListParagraph"/>
        <w:numPr>
          <w:ilvl w:val="0"/>
          <w:numId w:val="5"/>
        </w:numPr>
        <w:jc w:val="both"/>
        <w:rPr>
          <w:rFonts w:cstheme="minorHAnsi"/>
        </w:rPr>
      </w:pPr>
      <w:r w:rsidRPr="00AD7038">
        <w:rPr>
          <w:rFonts w:cstheme="minorHAnsi"/>
          <w:i/>
          <w:iCs/>
        </w:rPr>
        <w:t>Project 2</w:t>
      </w:r>
      <w:r w:rsidRPr="00AD7038">
        <w:rPr>
          <w:rFonts w:cstheme="minorHAnsi"/>
        </w:rPr>
        <w:t xml:space="preserve">: Statistical average - re-evaluating the statistical average used to ensure that the methodology takes account of the diversity of income in a school community </w:t>
      </w:r>
      <w:r w:rsidRPr="00AD7038">
        <w:rPr>
          <w:rFonts w:eastAsia="Times New Roman" w:cstheme="minorHAnsi"/>
        </w:rPr>
        <w:t>population</w:t>
      </w:r>
      <w:r w:rsidRPr="00AD7038">
        <w:rPr>
          <w:rFonts w:cstheme="minorHAnsi"/>
        </w:rPr>
        <w:t xml:space="preserve"> </w:t>
      </w:r>
    </w:p>
    <w:p w14:paraId="5BBD8173" w14:textId="18EB1823" w:rsidR="00AD7038" w:rsidRDefault="00AD7038" w:rsidP="00D46A3D">
      <w:pPr>
        <w:pStyle w:val="ListParagraph"/>
        <w:numPr>
          <w:ilvl w:val="0"/>
          <w:numId w:val="5"/>
        </w:numPr>
        <w:jc w:val="both"/>
        <w:rPr>
          <w:rFonts w:cstheme="minorHAnsi"/>
        </w:rPr>
      </w:pPr>
      <w:r w:rsidRPr="00AD7038">
        <w:rPr>
          <w:rFonts w:cstheme="minorHAnsi"/>
          <w:i/>
          <w:iCs/>
        </w:rPr>
        <w:t>Project 3</w:t>
      </w:r>
      <w:r w:rsidRPr="00AD7038">
        <w:rPr>
          <w:rFonts w:cstheme="minorHAnsi"/>
        </w:rPr>
        <w:t xml:space="preserve">: </w:t>
      </w:r>
      <w:r>
        <w:rPr>
          <w:rFonts w:eastAsia="Times New Roman" w:cstheme="minorHAnsi"/>
        </w:rPr>
        <w:t>O</w:t>
      </w:r>
      <w:r w:rsidRPr="00AD7038">
        <w:rPr>
          <w:rFonts w:cstheme="minorHAnsi"/>
        </w:rPr>
        <w:t>ptions for developing family size indicators</w:t>
      </w:r>
    </w:p>
    <w:p w14:paraId="635E187A" w14:textId="24409C63" w:rsidR="005648C8" w:rsidRPr="003742A6" w:rsidRDefault="00C776E6" w:rsidP="00D46A3D">
      <w:pPr>
        <w:pStyle w:val="Heading2"/>
        <w:jc w:val="both"/>
        <w:rPr>
          <w:rFonts w:asciiTheme="minorHAnsi" w:hAnsiTheme="minorHAnsi" w:cstheme="minorHAnsi"/>
          <w:b/>
          <w:bCs/>
          <w:sz w:val="28"/>
          <w:szCs w:val="28"/>
        </w:rPr>
      </w:pPr>
      <w:r w:rsidRPr="003742A6">
        <w:rPr>
          <w:rFonts w:asciiTheme="minorHAnsi" w:hAnsiTheme="minorHAnsi" w:cstheme="minorHAnsi"/>
          <w:b/>
          <w:bCs/>
          <w:sz w:val="28"/>
          <w:szCs w:val="28"/>
        </w:rPr>
        <w:t>Income Distribution</w:t>
      </w:r>
    </w:p>
    <w:p w14:paraId="7D879581" w14:textId="13F078E1" w:rsidR="00C776E6" w:rsidRDefault="00050DDB" w:rsidP="00D46A3D">
      <w:pPr>
        <w:jc w:val="both"/>
      </w:pPr>
      <w:r>
        <w:t xml:space="preserve">The Working Group discussed </w:t>
      </w:r>
      <w:r w:rsidR="00847E30">
        <w:t xml:space="preserve">an </w:t>
      </w:r>
      <w:r>
        <w:t xml:space="preserve">analysis </w:t>
      </w:r>
      <w:r w:rsidR="00847E30">
        <w:t xml:space="preserve">of the </w:t>
      </w:r>
      <w:r>
        <w:t xml:space="preserve">income distribution </w:t>
      </w:r>
      <w:r w:rsidR="00847E30">
        <w:t xml:space="preserve">of school communities </w:t>
      </w:r>
      <w:r w:rsidR="001C3238">
        <w:t xml:space="preserve">provided </w:t>
      </w:r>
      <w:r>
        <w:t xml:space="preserve">by the </w:t>
      </w:r>
      <w:r w:rsidR="00E77A06">
        <w:t>Australian Bureau of Statistics (</w:t>
      </w:r>
      <w:r w:rsidR="001C3238">
        <w:t>ABS</w:t>
      </w:r>
      <w:r w:rsidR="00E77A06">
        <w:t>)</w:t>
      </w:r>
      <w:r>
        <w:t xml:space="preserve">. The </w:t>
      </w:r>
      <w:r w:rsidR="00C776E6">
        <w:t xml:space="preserve">ABS </w:t>
      </w:r>
      <w:r w:rsidR="001C3238">
        <w:t xml:space="preserve">presented information </w:t>
      </w:r>
      <w:r>
        <w:t xml:space="preserve">on </w:t>
      </w:r>
      <w:r w:rsidR="00C776E6">
        <w:t xml:space="preserve">the </w:t>
      </w:r>
      <w:r w:rsidR="006F4167">
        <w:t xml:space="preserve">distribution </w:t>
      </w:r>
      <w:r w:rsidR="00C776E6">
        <w:t>of incomes within school communities. The objective of this analysis was to assess the diversity of incomes within school communities</w:t>
      </w:r>
      <w:r w:rsidR="00D519EB">
        <w:t xml:space="preserve"> and evaluate</w:t>
      </w:r>
      <w:r>
        <w:t xml:space="preserve"> the use of the median income as a measure of determining the capacity of a school community to contribute to the cost of schooling. </w:t>
      </w:r>
    </w:p>
    <w:p w14:paraId="4E033005" w14:textId="59354065" w:rsidR="00C776E6" w:rsidRPr="003742A6" w:rsidRDefault="00C776E6" w:rsidP="00D46A3D">
      <w:pPr>
        <w:pStyle w:val="Heading2"/>
        <w:jc w:val="both"/>
        <w:rPr>
          <w:rFonts w:asciiTheme="minorHAnsi" w:hAnsiTheme="minorHAnsi" w:cstheme="minorHAnsi"/>
          <w:b/>
          <w:bCs/>
          <w:sz w:val="28"/>
          <w:szCs w:val="28"/>
        </w:rPr>
      </w:pPr>
      <w:r w:rsidRPr="003742A6">
        <w:rPr>
          <w:rFonts w:asciiTheme="minorHAnsi" w:hAnsiTheme="minorHAnsi" w:cstheme="minorHAnsi"/>
          <w:b/>
          <w:bCs/>
          <w:sz w:val="28"/>
          <w:szCs w:val="28"/>
        </w:rPr>
        <w:lastRenderedPageBreak/>
        <w:t>Safe Data Release</w:t>
      </w:r>
    </w:p>
    <w:p w14:paraId="0FE7237D" w14:textId="7152CC65" w:rsidR="00381693" w:rsidRPr="00381693" w:rsidRDefault="007C7061" w:rsidP="00D46A3D">
      <w:pPr>
        <w:jc w:val="both"/>
      </w:pPr>
      <w:r>
        <w:t xml:space="preserve">The </w:t>
      </w:r>
      <w:r w:rsidR="006E4C6B">
        <w:t xml:space="preserve">ABS provided the </w:t>
      </w:r>
      <w:r>
        <w:t xml:space="preserve">Working Group with an overview of </w:t>
      </w:r>
      <w:r w:rsidR="001F1D4F">
        <w:t>safe data release</w:t>
      </w:r>
      <w:r w:rsidR="00E34997">
        <w:t xml:space="preserve"> principles</w:t>
      </w:r>
      <w:r w:rsidR="001F1D4F">
        <w:t xml:space="preserve">. The department </w:t>
      </w:r>
      <w:r w:rsidR="000A4DB1">
        <w:t>discussed the importance of</w:t>
      </w:r>
      <w:r w:rsidR="001F1D4F">
        <w:t xml:space="preserve"> assess</w:t>
      </w:r>
      <w:r w:rsidR="000A4DB1">
        <w:t>ing</w:t>
      </w:r>
      <w:r w:rsidR="001F1D4F">
        <w:t xml:space="preserve"> information needs and confidentiality risks associat</w:t>
      </w:r>
      <w:r w:rsidR="1476EA14">
        <w:t>ed</w:t>
      </w:r>
      <w:r w:rsidR="001F1D4F">
        <w:t xml:space="preserve"> with the </w:t>
      </w:r>
      <w:r w:rsidR="00381693">
        <w:t>C</w:t>
      </w:r>
      <w:r w:rsidR="001F1D4F">
        <w:t>apacity to Contribute</w:t>
      </w:r>
      <w:r w:rsidR="00381693">
        <w:t xml:space="preserve"> (CTC)</w:t>
      </w:r>
      <w:r w:rsidR="001F1D4F">
        <w:t xml:space="preserve"> data. </w:t>
      </w:r>
      <w:r w:rsidR="000A4DB1">
        <w:t>Any release of data will be considered based on</w:t>
      </w:r>
      <w:r w:rsidR="001F1D4F">
        <w:t xml:space="preserve"> the balance between releasing useful information while protecting confidentiality and parent privacy. Australian Government agencies, including the ABS and the department, are responsible for maintaining the confidentiality of those who provide information, in accordance with legislation such as the </w:t>
      </w:r>
      <w:r w:rsidR="001F1D4F" w:rsidRPr="20922C2B">
        <w:rPr>
          <w:i/>
          <w:iCs/>
        </w:rPr>
        <w:t>Privacy Act 1988</w:t>
      </w:r>
      <w:r w:rsidR="001F1D4F">
        <w:t xml:space="preserve">. CTC data is protected </w:t>
      </w:r>
      <w:r w:rsidR="006F4167">
        <w:t xml:space="preserve">under </w:t>
      </w:r>
      <w:r w:rsidR="001F1D4F">
        <w:t xml:space="preserve">the </w:t>
      </w:r>
      <w:r w:rsidR="001F1D4F" w:rsidRPr="20922C2B">
        <w:rPr>
          <w:i/>
          <w:iCs/>
        </w:rPr>
        <w:t>Census</w:t>
      </w:r>
      <w:r w:rsidR="000A4DB1" w:rsidRPr="20922C2B">
        <w:rPr>
          <w:i/>
          <w:iCs/>
        </w:rPr>
        <w:t> </w:t>
      </w:r>
      <w:r w:rsidR="001F1D4F" w:rsidRPr="20922C2B">
        <w:rPr>
          <w:i/>
          <w:iCs/>
        </w:rPr>
        <w:t>and</w:t>
      </w:r>
      <w:r w:rsidR="000A4DB1" w:rsidRPr="20922C2B">
        <w:rPr>
          <w:i/>
          <w:iCs/>
        </w:rPr>
        <w:t> </w:t>
      </w:r>
      <w:r w:rsidR="001F1D4F" w:rsidRPr="20922C2B">
        <w:rPr>
          <w:i/>
          <w:iCs/>
        </w:rPr>
        <w:t>Statistics</w:t>
      </w:r>
      <w:r w:rsidR="000A4DB1" w:rsidRPr="20922C2B">
        <w:rPr>
          <w:i/>
          <w:iCs/>
        </w:rPr>
        <w:t> </w:t>
      </w:r>
      <w:r w:rsidR="001F1D4F" w:rsidRPr="20922C2B">
        <w:rPr>
          <w:i/>
          <w:iCs/>
        </w:rPr>
        <w:t>Act</w:t>
      </w:r>
      <w:r w:rsidR="000A4DB1" w:rsidRPr="20922C2B">
        <w:rPr>
          <w:i/>
          <w:iCs/>
        </w:rPr>
        <w:t> </w:t>
      </w:r>
      <w:r w:rsidR="001F1D4F" w:rsidRPr="20922C2B">
        <w:rPr>
          <w:i/>
          <w:iCs/>
        </w:rPr>
        <w:t>1905</w:t>
      </w:r>
      <w:r w:rsidR="001F1D4F">
        <w:t xml:space="preserve"> which strictly prohibits the release of information in a manner likely to enable the identification of a person. </w:t>
      </w:r>
      <w:r w:rsidR="00403750">
        <w:t xml:space="preserve">The department and the ABS will assess the release of data </w:t>
      </w:r>
      <w:r w:rsidR="000A4DB1">
        <w:t>on a case</w:t>
      </w:r>
      <w:r w:rsidR="5ADCF8C1">
        <w:t xml:space="preserve"> </w:t>
      </w:r>
      <w:r w:rsidR="000A4DB1">
        <w:t>by</w:t>
      </w:r>
      <w:r w:rsidR="5ADCF8C1">
        <w:noBreakHyphen/>
        <w:t xml:space="preserve"> </w:t>
      </w:r>
      <w:r w:rsidR="000A4DB1">
        <w:noBreakHyphen/>
      </w:r>
      <w:r w:rsidR="00BF48F5">
        <w:t>c</w:t>
      </w:r>
      <w:r w:rsidR="000A4DB1">
        <w:t xml:space="preserve">ase basis </w:t>
      </w:r>
      <w:r w:rsidR="00403750">
        <w:t xml:space="preserve">for the </w:t>
      </w:r>
      <w:r w:rsidR="000A4DB1">
        <w:t>W</w:t>
      </w:r>
      <w:r w:rsidR="00403750">
        <w:t xml:space="preserve">orking </w:t>
      </w:r>
      <w:r w:rsidR="000A4DB1">
        <w:t>G</w:t>
      </w:r>
      <w:r w:rsidR="00403750">
        <w:t xml:space="preserve">roup to ensure it is useful and maintains privacy. </w:t>
      </w:r>
    </w:p>
    <w:p w14:paraId="6AF44F69" w14:textId="57B95E22" w:rsidR="00C776E6" w:rsidRPr="003742A6" w:rsidRDefault="004A2A98" w:rsidP="00D46A3D">
      <w:pPr>
        <w:pStyle w:val="Heading2"/>
        <w:jc w:val="both"/>
        <w:rPr>
          <w:rFonts w:asciiTheme="minorHAnsi" w:hAnsiTheme="minorHAnsi" w:cstheme="minorHAnsi"/>
          <w:b/>
          <w:bCs/>
          <w:sz w:val="28"/>
          <w:szCs w:val="28"/>
        </w:rPr>
      </w:pPr>
      <w:r>
        <w:rPr>
          <w:rFonts w:asciiTheme="minorHAnsi" w:hAnsiTheme="minorHAnsi" w:cstheme="minorHAnsi"/>
          <w:b/>
          <w:bCs/>
          <w:sz w:val="28"/>
          <w:szCs w:val="28"/>
        </w:rPr>
        <w:t>Stakeholder Engagement</w:t>
      </w:r>
    </w:p>
    <w:p w14:paraId="2C92A75C" w14:textId="41E889E8" w:rsidR="00E705F3" w:rsidRPr="00E705F3" w:rsidRDefault="00C05AAA" w:rsidP="00D46A3D">
      <w:pPr>
        <w:jc w:val="both"/>
      </w:pPr>
      <w:r>
        <w:t>F</w:t>
      </w:r>
      <w:r w:rsidR="00E705F3">
        <w:t xml:space="preserve">urther work </w:t>
      </w:r>
      <w:r w:rsidR="007B71D2">
        <w:t xml:space="preserve">on the </w:t>
      </w:r>
      <w:r w:rsidR="006E4C6B">
        <w:t>DMI</w:t>
      </w:r>
      <w:r w:rsidR="007B71D2">
        <w:t xml:space="preserve"> </w:t>
      </w:r>
      <w:r w:rsidR="00E705F3">
        <w:t xml:space="preserve">will be undertaken in partnership with the </w:t>
      </w:r>
      <w:r w:rsidR="006E4C6B">
        <w:t>ABS</w:t>
      </w:r>
      <w:r w:rsidR="002B1D57">
        <w:t xml:space="preserve">, </w:t>
      </w:r>
      <w:r w:rsidR="00E705F3">
        <w:t>Australian Taxation Office, Department of Social Services, key non</w:t>
      </w:r>
      <w:r w:rsidR="00A3553C">
        <w:t>-</w:t>
      </w:r>
      <w:r w:rsidR="00E705F3">
        <w:t xml:space="preserve">government sector representatives, and relevant academic experts. </w:t>
      </w:r>
      <w:r w:rsidR="004A2A98">
        <w:t xml:space="preserve">The department will convene the </w:t>
      </w:r>
      <w:r w:rsidR="000A4893">
        <w:t xml:space="preserve">DMI </w:t>
      </w:r>
      <w:r w:rsidR="004A2A98">
        <w:t xml:space="preserve">Consultative Reference Group Forum to present work </w:t>
      </w:r>
      <w:r w:rsidR="007B71D2">
        <w:t>and</w:t>
      </w:r>
      <w:r w:rsidR="004A2A98">
        <w:t xml:space="preserve"> discuss key considerations and outcomes</w:t>
      </w:r>
      <w:r w:rsidR="006E4C6B">
        <w:t xml:space="preserve"> from the Working Group</w:t>
      </w:r>
      <w:r w:rsidR="004A2A98">
        <w:t>. The</w:t>
      </w:r>
      <w:r w:rsidR="000A4893">
        <w:t xml:space="preserve"> DMI</w:t>
      </w:r>
      <w:r w:rsidR="009A6E3B">
        <w:t xml:space="preserve"> </w:t>
      </w:r>
      <w:r w:rsidR="004A2A98">
        <w:t xml:space="preserve">Consultative Reference Group consists of state-based </w:t>
      </w:r>
      <w:r w:rsidR="00896B4F">
        <w:t>Catholic c</w:t>
      </w:r>
      <w:r w:rsidR="004A2A98">
        <w:t>ommissions</w:t>
      </w:r>
      <w:r w:rsidR="00A3553C">
        <w:t>, state and territory Associations of Independent Schools</w:t>
      </w:r>
      <w:r w:rsidR="004A2A98">
        <w:t xml:space="preserve"> as well as smaller </w:t>
      </w:r>
      <w:r w:rsidR="00E77A06">
        <w:t>non</w:t>
      </w:r>
      <w:r w:rsidR="00A3553C">
        <w:t>-</w:t>
      </w:r>
      <w:r w:rsidR="00E77A06">
        <w:t xml:space="preserve">government school </w:t>
      </w:r>
      <w:r w:rsidR="004A2A98">
        <w:t>systems</w:t>
      </w:r>
      <w:r w:rsidR="00A3553C">
        <w:t xml:space="preserve"> and other national sector groups</w:t>
      </w:r>
      <w:r w:rsidR="004A2A98">
        <w:t xml:space="preserve">. </w:t>
      </w:r>
    </w:p>
    <w:p w14:paraId="7C45FE7B" w14:textId="77777777" w:rsidR="00C776E6" w:rsidRDefault="00C776E6" w:rsidP="00D46A3D">
      <w:pPr>
        <w:jc w:val="both"/>
      </w:pPr>
    </w:p>
    <w:p w14:paraId="6B7E736D" w14:textId="77777777" w:rsidR="00C776E6" w:rsidRDefault="00C776E6" w:rsidP="00D46A3D">
      <w:pPr>
        <w:jc w:val="both"/>
      </w:pPr>
      <w:bookmarkStart w:id="0" w:name="_GoBack"/>
      <w:bookmarkEnd w:id="0"/>
    </w:p>
    <w:sectPr w:rsidR="00C776E6" w:rsidSect="00A00B43">
      <w:headerReference w:type="default" r:id="rId12"/>
      <w:footerReference w:type="default" r:id="rId13"/>
      <w:type w:val="continuous"/>
      <w:pgSz w:w="11906" w:h="16838"/>
      <w:pgMar w:top="2155" w:right="1440" w:bottom="1440" w:left="1418"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F1144" w14:textId="77777777" w:rsidR="004177DF" w:rsidRDefault="004177DF">
      <w:pPr>
        <w:spacing w:after="0" w:line="240" w:lineRule="auto"/>
      </w:pPr>
      <w:r>
        <w:separator/>
      </w:r>
    </w:p>
  </w:endnote>
  <w:endnote w:type="continuationSeparator" w:id="0">
    <w:p w14:paraId="28365596" w14:textId="77777777" w:rsidR="004177DF" w:rsidRDefault="0041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6538"/>
      <w:docPartObj>
        <w:docPartGallery w:val="Page Numbers (Bottom of Page)"/>
        <w:docPartUnique/>
      </w:docPartObj>
    </w:sdtPr>
    <w:sdtEndPr>
      <w:rPr>
        <w:noProof/>
      </w:rPr>
    </w:sdtEndPr>
    <w:sdtContent>
      <w:p w14:paraId="4E4282F1" w14:textId="77777777" w:rsidR="009C0B8E" w:rsidRPr="00835F96" w:rsidRDefault="00FF237A" w:rsidP="00835F9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296457"/>
      <w:docPartObj>
        <w:docPartGallery w:val="Page Numbers (Bottom of Page)"/>
        <w:docPartUnique/>
      </w:docPartObj>
    </w:sdtPr>
    <w:sdtEndPr>
      <w:rPr>
        <w:noProof/>
      </w:rPr>
    </w:sdtEndPr>
    <w:sdtContent>
      <w:p w14:paraId="2B320C85" w14:textId="77777777" w:rsidR="0008137C" w:rsidRDefault="00C05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706DC" w14:textId="77777777" w:rsidR="009C0B8E" w:rsidRPr="00AE2035" w:rsidRDefault="00FF237A" w:rsidP="00A7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8F98" w14:textId="77777777" w:rsidR="004177DF" w:rsidRDefault="004177DF">
      <w:pPr>
        <w:spacing w:after="0" w:line="240" w:lineRule="auto"/>
      </w:pPr>
      <w:r>
        <w:separator/>
      </w:r>
    </w:p>
  </w:footnote>
  <w:footnote w:type="continuationSeparator" w:id="0">
    <w:p w14:paraId="3440A280" w14:textId="77777777" w:rsidR="004177DF" w:rsidRDefault="0041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07FD" w14:textId="77777777" w:rsidR="009C0B8E" w:rsidRPr="0008137C" w:rsidRDefault="00FF237A" w:rsidP="00081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547"/>
    <w:multiLevelType w:val="hybridMultilevel"/>
    <w:tmpl w:val="0ED6A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022C48"/>
    <w:multiLevelType w:val="hybridMultilevel"/>
    <w:tmpl w:val="FF12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D25030"/>
    <w:multiLevelType w:val="hybridMultilevel"/>
    <w:tmpl w:val="F44A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55CC5"/>
    <w:multiLevelType w:val="hybridMultilevel"/>
    <w:tmpl w:val="8EDE46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2A15A4"/>
    <w:multiLevelType w:val="hybridMultilevel"/>
    <w:tmpl w:val="BABA02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3A3293"/>
    <w:multiLevelType w:val="hybridMultilevel"/>
    <w:tmpl w:val="FC7E1666"/>
    <w:lvl w:ilvl="0" w:tplc="7234C50E">
      <w:start w:val="1"/>
      <w:numFmt w:val="bullet"/>
      <w:lvlText w:val="­"/>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671565B"/>
    <w:multiLevelType w:val="hybridMultilevel"/>
    <w:tmpl w:val="CB8984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33"/>
    <w:rsid w:val="00050DDB"/>
    <w:rsid w:val="000548A3"/>
    <w:rsid w:val="000A4893"/>
    <w:rsid w:val="000A4DB1"/>
    <w:rsid w:val="001362A8"/>
    <w:rsid w:val="00167A27"/>
    <w:rsid w:val="001C1DA3"/>
    <w:rsid w:val="001C3238"/>
    <w:rsid w:val="001F1D4F"/>
    <w:rsid w:val="00225837"/>
    <w:rsid w:val="002B1D57"/>
    <w:rsid w:val="002C79B5"/>
    <w:rsid w:val="003742A6"/>
    <w:rsid w:val="00381693"/>
    <w:rsid w:val="00403750"/>
    <w:rsid w:val="004177DF"/>
    <w:rsid w:val="00476292"/>
    <w:rsid w:val="00482D33"/>
    <w:rsid w:val="004A2A98"/>
    <w:rsid w:val="005648C8"/>
    <w:rsid w:val="005E507A"/>
    <w:rsid w:val="005F17BB"/>
    <w:rsid w:val="006357F1"/>
    <w:rsid w:val="006E4C6B"/>
    <w:rsid w:val="006F4167"/>
    <w:rsid w:val="007856E6"/>
    <w:rsid w:val="007B71D2"/>
    <w:rsid w:val="007C7061"/>
    <w:rsid w:val="00831F9A"/>
    <w:rsid w:val="00847E30"/>
    <w:rsid w:val="00896B4F"/>
    <w:rsid w:val="008A09F8"/>
    <w:rsid w:val="009A35A6"/>
    <w:rsid w:val="009A6E3B"/>
    <w:rsid w:val="009E5217"/>
    <w:rsid w:val="00A3553C"/>
    <w:rsid w:val="00A73D59"/>
    <w:rsid w:val="00AD7038"/>
    <w:rsid w:val="00B2797F"/>
    <w:rsid w:val="00BE7ED6"/>
    <w:rsid w:val="00BF48F5"/>
    <w:rsid w:val="00C05AAA"/>
    <w:rsid w:val="00C776E6"/>
    <w:rsid w:val="00CB194C"/>
    <w:rsid w:val="00D46A3D"/>
    <w:rsid w:val="00D519EB"/>
    <w:rsid w:val="00D53042"/>
    <w:rsid w:val="00E34997"/>
    <w:rsid w:val="00E705F3"/>
    <w:rsid w:val="00E77A06"/>
    <w:rsid w:val="00F742AD"/>
    <w:rsid w:val="00FF237A"/>
    <w:rsid w:val="060E1F8F"/>
    <w:rsid w:val="1211B964"/>
    <w:rsid w:val="1476EA14"/>
    <w:rsid w:val="1AA35768"/>
    <w:rsid w:val="20922C2B"/>
    <w:rsid w:val="2479C7E1"/>
    <w:rsid w:val="273AF0AB"/>
    <w:rsid w:val="2B504DC9"/>
    <w:rsid w:val="50E29B6C"/>
    <w:rsid w:val="5A49C188"/>
    <w:rsid w:val="5ADCF8C1"/>
    <w:rsid w:val="76D7C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5638"/>
  <w15:chartTrackingRefBased/>
  <w15:docId w15:val="{9FCF6C35-D5A1-4D33-8C62-D2FE79E8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2D33"/>
    <w:pPr>
      <w:spacing w:after="200" w:line="276" w:lineRule="auto"/>
    </w:pPr>
    <w:rPr>
      <w:rFonts w:eastAsiaTheme="minorEastAsia"/>
    </w:rPr>
  </w:style>
  <w:style w:type="paragraph" w:styleId="Heading1">
    <w:name w:val="heading 1"/>
    <w:basedOn w:val="Normal"/>
    <w:next w:val="Normal"/>
    <w:link w:val="Heading1Char"/>
    <w:uiPriority w:val="9"/>
    <w:qFormat/>
    <w:rsid w:val="00C77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76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D33"/>
    <w:rPr>
      <w:color w:val="0563C1" w:themeColor="hyperlink"/>
      <w:u w:val="single"/>
    </w:rPr>
  </w:style>
  <w:style w:type="paragraph" w:styleId="Title">
    <w:name w:val="Title"/>
    <w:basedOn w:val="Normal"/>
    <w:next w:val="Normal"/>
    <w:link w:val="TitleChar"/>
    <w:uiPriority w:val="10"/>
    <w:qFormat/>
    <w:rsid w:val="00482D33"/>
    <w:pPr>
      <w:spacing w:after="120" w:line="240" w:lineRule="auto"/>
      <w:contextualSpacing/>
    </w:pPr>
    <w:rPr>
      <w:rFonts w:ascii="Calibri" w:eastAsiaTheme="majorEastAsia" w:hAnsi="Calibri" w:cstheme="majorBidi"/>
      <w:spacing w:val="5"/>
      <w:sz w:val="60"/>
      <w:szCs w:val="60"/>
    </w:rPr>
  </w:style>
  <w:style w:type="character" w:customStyle="1" w:styleId="TitleChar">
    <w:name w:val="Title Char"/>
    <w:basedOn w:val="DefaultParagraphFont"/>
    <w:link w:val="Title"/>
    <w:uiPriority w:val="10"/>
    <w:rsid w:val="00482D33"/>
    <w:rPr>
      <w:rFonts w:ascii="Calibri" w:eastAsiaTheme="majorEastAsia" w:hAnsi="Calibri" w:cstheme="majorBidi"/>
      <w:spacing w:val="5"/>
      <w:sz w:val="60"/>
      <w:szCs w:val="60"/>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82D33"/>
    <w:pPr>
      <w:ind w:left="720"/>
      <w:contextualSpacing/>
    </w:pPr>
  </w:style>
  <w:style w:type="paragraph" w:styleId="Header">
    <w:name w:val="header"/>
    <w:basedOn w:val="Normal"/>
    <w:link w:val="HeaderChar"/>
    <w:uiPriority w:val="99"/>
    <w:unhideWhenUsed/>
    <w:rsid w:val="00482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D33"/>
    <w:rPr>
      <w:rFonts w:eastAsiaTheme="minorEastAsia"/>
    </w:rPr>
  </w:style>
  <w:style w:type="paragraph" w:styleId="Footer">
    <w:name w:val="footer"/>
    <w:basedOn w:val="Normal"/>
    <w:link w:val="FooterChar"/>
    <w:uiPriority w:val="99"/>
    <w:unhideWhenUsed/>
    <w:rsid w:val="00482D33"/>
    <w:pPr>
      <w:pBdr>
        <w:top w:val="single" w:sz="48" w:space="3" w:color="E7E6E6" w:themeColor="background2"/>
      </w:pBdr>
      <w:tabs>
        <w:tab w:val="center" w:pos="4513"/>
        <w:tab w:val="right" w:pos="9026"/>
      </w:tabs>
      <w:spacing w:before="120" w:after="0" w:line="240" w:lineRule="auto"/>
    </w:pPr>
    <w:rPr>
      <w:color w:val="767171" w:themeColor="background2" w:themeShade="80"/>
    </w:rPr>
  </w:style>
  <w:style w:type="character" w:customStyle="1" w:styleId="FooterChar">
    <w:name w:val="Footer Char"/>
    <w:basedOn w:val="DefaultParagraphFont"/>
    <w:link w:val="Footer"/>
    <w:uiPriority w:val="99"/>
    <w:rsid w:val="00482D33"/>
    <w:rPr>
      <w:rFonts w:eastAsiaTheme="minorEastAsia"/>
      <w:color w:val="767171" w:themeColor="background2" w:themeShade="8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rsid w:val="005648C8"/>
    <w:rPr>
      <w:rFonts w:eastAsiaTheme="minorEastAsia"/>
    </w:rPr>
  </w:style>
  <w:style w:type="paragraph" w:customStyle="1" w:styleId="Default">
    <w:name w:val="Default"/>
    <w:rsid w:val="00C776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776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76E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C7061"/>
    <w:pPr>
      <w:spacing w:after="0" w:line="240" w:lineRule="auto"/>
    </w:pPr>
    <w:rPr>
      <w:rFonts w:eastAsiaTheme="minorEastAsia"/>
    </w:rPr>
  </w:style>
  <w:style w:type="paragraph" w:styleId="BalloonText">
    <w:name w:val="Balloon Text"/>
    <w:basedOn w:val="Normal"/>
    <w:link w:val="BalloonTextChar"/>
    <w:uiPriority w:val="99"/>
    <w:semiHidden/>
    <w:unhideWhenUsed/>
    <w:rsid w:val="00831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9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6" ma:contentTypeDescription="Create a new document." ma:contentTypeScope="" ma:versionID="4de0d32561de2326b59df9620bcbe430">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b30690fe6e8901bee387b5b55004e2e2"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7641A-9293-48B5-A758-0820719EB10C}">
  <ds:schemaRefs>
    <ds:schemaRef ds:uri="http://schemas.microsoft.com/sharepoint/v3/contenttype/forms"/>
  </ds:schemaRefs>
</ds:datastoreItem>
</file>

<file path=customXml/itemProps2.xml><?xml version="1.0" encoding="utf-8"?>
<ds:datastoreItem xmlns:ds="http://schemas.openxmlformats.org/officeDocument/2006/customXml" ds:itemID="{2F2DDEC5-49E0-4589-B977-EAE52F0BA153}">
  <ds:schemaRefs>
    <ds:schemaRef ds:uri="811bef87-b317-4239-89d2-1f3b6fba6559"/>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ae7c9846-b409-431d-9ec7-76b30568bf70"/>
    <ds:schemaRef ds:uri="http://purl.org/dc/dcmitype/"/>
  </ds:schemaRefs>
</ds:datastoreItem>
</file>

<file path=customXml/itemProps3.xml><?xml version="1.0" encoding="utf-8"?>
<ds:datastoreItem xmlns:ds="http://schemas.openxmlformats.org/officeDocument/2006/customXml" ds:itemID="{9D78798A-26BE-439E-8EE8-742C01AEF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KLAR,Jessica</dc:creator>
  <cp:keywords/>
  <dc:description/>
  <cp:lastModifiedBy>WICKS,Kaylea</cp:lastModifiedBy>
  <cp:revision>2</cp:revision>
  <cp:lastPrinted>2020-11-20T00:16:00Z</cp:lastPrinted>
  <dcterms:created xsi:type="dcterms:W3CDTF">2020-11-20T00:18:00Z</dcterms:created>
  <dcterms:modified xsi:type="dcterms:W3CDTF">2020-11-20T00:18:00Z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ies>
</file>